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96534C" w14:textId="77777777" w:rsidR="00484BB0" w:rsidRPr="003B37B6" w:rsidRDefault="00484BB0" w:rsidP="00484BB0">
      <w:pPr>
        <w:spacing w:after="0"/>
        <w:ind w:firstLine="567"/>
        <w:jc w:val="right"/>
        <w:rPr>
          <w:rFonts w:cs="Times New Roman"/>
          <w:sz w:val="24"/>
          <w:szCs w:val="24"/>
        </w:rPr>
      </w:pPr>
      <w:bookmarkStart w:id="0" w:name="_Hlk82185032"/>
      <w:bookmarkStart w:id="1" w:name="_Hlk84954606"/>
      <w:r w:rsidRPr="003B37B6">
        <w:rPr>
          <w:rFonts w:cs="Times New Roman"/>
          <w:sz w:val="24"/>
          <w:szCs w:val="24"/>
        </w:rPr>
        <w:t>Приложение к Приказу</w:t>
      </w:r>
    </w:p>
    <w:p w14:paraId="61065529" w14:textId="77777777" w:rsidR="00484BB0" w:rsidRPr="003B37B6" w:rsidRDefault="00484BB0" w:rsidP="00484BB0">
      <w:pPr>
        <w:spacing w:after="0"/>
        <w:ind w:firstLine="567"/>
        <w:jc w:val="right"/>
        <w:rPr>
          <w:rFonts w:eastAsia="Calibri" w:cs="Times New Roman"/>
          <w:sz w:val="24"/>
          <w:szCs w:val="24"/>
        </w:rPr>
      </w:pPr>
      <w:r w:rsidRPr="003B37B6">
        <w:rPr>
          <w:rFonts w:cs="Times New Roman"/>
          <w:sz w:val="24"/>
          <w:szCs w:val="24"/>
        </w:rPr>
        <w:t xml:space="preserve">Министерства здравоохранения  </w:t>
      </w:r>
    </w:p>
    <w:p w14:paraId="4AFDFBD5" w14:textId="77777777" w:rsidR="00484BB0" w:rsidRPr="003B37B6" w:rsidRDefault="00484BB0" w:rsidP="00484BB0">
      <w:pPr>
        <w:spacing w:after="0"/>
        <w:ind w:firstLine="567"/>
        <w:jc w:val="right"/>
        <w:rPr>
          <w:rFonts w:cs="Times New Roman"/>
          <w:sz w:val="24"/>
          <w:szCs w:val="24"/>
        </w:rPr>
      </w:pPr>
      <w:r w:rsidRPr="003B37B6">
        <w:rPr>
          <w:rFonts w:cs="Times New Roman"/>
          <w:sz w:val="24"/>
          <w:szCs w:val="24"/>
        </w:rPr>
        <w:t xml:space="preserve">Приднестровской Молдавской Республики   </w:t>
      </w:r>
    </w:p>
    <w:bookmarkEnd w:id="0"/>
    <w:bookmarkEnd w:id="1"/>
    <w:p w14:paraId="727C9B9B" w14:textId="0A8E38CC" w:rsidR="00015365" w:rsidRDefault="00484BB0" w:rsidP="00484BB0">
      <w:pPr>
        <w:shd w:val="clear" w:color="auto" w:fill="FFFFFF"/>
        <w:spacing w:after="0"/>
        <w:jc w:val="right"/>
        <w:rPr>
          <w:rStyle w:val="ac"/>
          <w:rFonts w:eastAsiaTheme="majorEastAsia"/>
        </w:rPr>
      </w:pPr>
      <w:r w:rsidRPr="003B37B6">
        <w:rPr>
          <w:rFonts w:cs="Times New Roman"/>
          <w:spacing w:val="-4"/>
          <w:sz w:val="24"/>
          <w:szCs w:val="24"/>
          <w:lang w:eastAsia="ru-RU"/>
        </w:rPr>
        <w:t>от «__» ______ 2025 года № _____</w:t>
      </w:r>
    </w:p>
    <w:p w14:paraId="316A762E" w14:textId="77777777" w:rsidR="00015365" w:rsidRDefault="00015365" w:rsidP="00015365">
      <w:pPr>
        <w:pStyle w:val="11"/>
        <w:spacing w:after="100" w:line="240" w:lineRule="auto"/>
        <w:ind w:firstLine="340"/>
        <w:jc w:val="center"/>
        <w:rPr>
          <w:rStyle w:val="ac"/>
          <w:rFonts w:eastAsiaTheme="majorEastAsia"/>
        </w:rPr>
      </w:pPr>
    </w:p>
    <w:p w14:paraId="5C4499B4" w14:textId="77777777" w:rsidR="00015365" w:rsidRDefault="00015365" w:rsidP="00015365">
      <w:pPr>
        <w:pStyle w:val="11"/>
        <w:spacing w:after="100" w:line="240" w:lineRule="auto"/>
        <w:ind w:firstLine="340"/>
        <w:jc w:val="center"/>
        <w:rPr>
          <w:rStyle w:val="ac"/>
          <w:rFonts w:eastAsiaTheme="majorEastAsia"/>
        </w:rPr>
      </w:pPr>
    </w:p>
    <w:p w14:paraId="4EC963CF" w14:textId="77777777" w:rsidR="00015365" w:rsidRDefault="00015365" w:rsidP="00015365">
      <w:pPr>
        <w:pStyle w:val="11"/>
        <w:spacing w:after="100" w:line="240" w:lineRule="auto"/>
        <w:ind w:firstLine="340"/>
        <w:jc w:val="center"/>
        <w:rPr>
          <w:rStyle w:val="ac"/>
          <w:rFonts w:eastAsiaTheme="majorEastAsia"/>
        </w:rPr>
      </w:pPr>
    </w:p>
    <w:p w14:paraId="1F06D8BD" w14:textId="77777777" w:rsidR="00015365" w:rsidRDefault="00015365" w:rsidP="00015365">
      <w:pPr>
        <w:pStyle w:val="11"/>
        <w:spacing w:after="100" w:line="240" w:lineRule="auto"/>
        <w:ind w:firstLine="340"/>
        <w:jc w:val="center"/>
        <w:rPr>
          <w:rStyle w:val="ac"/>
          <w:rFonts w:eastAsiaTheme="majorEastAsia"/>
        </w:rPr>
      </w:pPr>
    </w:p>
    <w:p w14:paraId="64B58AA6" w14:textId="77777777" w:rsidR="00015365" w:rsidRDefault="00015365" w:rsidP="00015365">
      <w:pPr>
        <w:pStyle w:val="11"/>
        <w:spacing w:after="100" w:line="240" w:lineRule="auto"/>
        <w:ind w:firstLine="340"/>
        <w:jc w:val="center"/>
        <w:rPr>
          <w:rStyle w:val="ac"/>
          <w:rFonts w:eastAsiaTheme="majorEastAsia"/>
        </w:rPr>
      </w:pPr>
    </w:p>
    <w:p w14:paraId="2394E0CB" w14:textId="77777777" w:rsidR="00015365" w:rsidRDefault="00015365" w:rsidP="00015365">
      <w:pPr>
        <w:pStyle w:val="11"/>
        <w:spacing w:after="100" w:line="240" w:lineRule="auto"/>
        <w:ind w:firstLine="340"/>
        <w:jc w:val="center"/>
        <w:rPr>
          <w:rStyle w:val="ac"/>
          <w:rFonts w:eastAsiaTheme="majorEastAsia"/>
        </w:rPr>
      </w:pPr>
    </w:p>
    <w:p w14:paraId="21808119" w14:textId="77777777" w:rsidR="00015365" w:rsidRDefault="00015365" w:rsidP="00015365">
      <w:pPr>
        <w:pStyle w:val="11"/>
        <w:spacing w:after="100" w:line="240" w:lineRule="auto"/>
        <w:ind w:firstLine="340"/>
        <w:jc w:val="center"/>
        <w:rPr>
          <w:rStyle w:val="ac"/>
          <w:rFonts w:eastAsiaTheme="majorEastAsia"/>
        </w:rPr>
      </w:pPr>
    </w:p>
    <w:p w14:paraId="59E55C25" w14:textId="77777777" w:rsidR="00015365" w:rsidRDefault="00015365" w:rsidP="00015365">
      <w:pPr>
        <w:pStyle w:val="11"/>
        <w:spacing w:after="100" w:line="240" w:lineRule="auto"/>
        <w:ind w:firstLine="340"/>
        <w:jc w:val="center"/>
        <w:rPr>
          <w:rStyle w:val="ac"/>
          <w:rFonts w:eastAsiaTheme="majorEastAsia"/>
        </w:rPr>
      </w:pPr>
    </w:p>
    <w:p w14:paraId="4F0CDCE5" w14:textId="77777777" w:rsidR="00015365" w:rsidRPr="005012BF" w:rsidRDefault="00015365" w:rsidP="00015365">
      <w:pPr>
        <w:pStyle w:val="11"/>
        <w:spacing w:after="100" w:line="240" w:lineRule="auto"/>
        <w:ind w:firstLine="340"/>
        <w:jc w:val="center"/>
        <w:rPr>
          <w:rStyle w:val="ac"/>
          <w:rFonts w:eastAsiaTheme="majorEastAsia"/>
          <w:sz w:val="24"/>
          <w:szCs w:val="24"/>
        </w:rPr>
      </w:pPr>
    </w:p>
    <w:p w14:paraId="3B8314C8" w14:textId="77777777" w:rsidR="00015365" w:rsidRPr="005012BF" w:rsidRDefault="00015365" w:rsidP="00015365">
      <w:pPr>
        <w:pStyle w:val="11"/>
        <w:spacing w:after="100" w:line="240" w:lineRule="auto"/>
        <w:ind w:firstLine="340"/>
        <w:jc w:val="center"/>
        <w:rPr>
          <w:rStyle w:val="ac"/>
          <w:rFonts w:eastAsiaTheme="majorEastAsia"/>
          <w:sz w:val="24"/>
          <w:szCs w:val="24"/>
        </w:rPr>
      </w:pPr>
    </w:p>
    <w:p w14:paraId="2EC12376" w14:textId="77777777" w:rsidR="00015365" w:rsidRPr="005012BF" w:rsidRDefault="00015365" w:rsidP="00015365">
      <w:pPr>
        <w:pStyle w:val="11"/>
        <w:spacing w:after="100" w:line="240" w:lineRule="auto"/>
        <w:ind w:firstLine="340"/>
        <w:jc w:val="center"/>
        <w:rPr>
          <w:sz w:val="24"/>
          <w:szCs w:val="24"/>
        </w:rPr>
      </w:pPr>
      <w:r w:rsidRPr="005012BF">
        <w:rPr>
          <w:rStyle w:val="ac"/>
          <w:rFonts w:eastAsiaTheme="majorEastAsia"/>
          <w:sz w:val="24"/>
          <w:szCs w:val="24"/>
        </w:rPr>
        <w:t>Клинические рекомендации</w:t>
      </w:r>
    </w:p>
    <w:p w14:paraId="427A216F" w14:textId="77777777" w:rsidR="00015365" w:rsidRPr="009D482E" w:rsidRDefault="009D482E" w:rsidP="005012BF">
      <w:pPr>
        <w:pStyle w:val="24"/>
        <w:ind w:right="-8"/>
        <w:rPr>
          <w:b w:val="0"/>
          <w:bCs w:val="0"/>
          <w:sz w:val="28"/>
          <w:szCs w:val="28"/>
        </w:rPr>
      </w:pPr>
      <w:r w:rsidRPr="009D482E">
        <w:rPr>
          <w:rStyle w:val="23"/>
          <w:rFonts w:eastAsiaTheme="majorEastAsia"/>
          <w:b/>
          <w:bCs/>
          <w:sz w:val="28"/>
          <w:szCs w:val="28"/>
        </w:rPr>
        <w:t>АРТЕРИАЛЬНАЯ ГИПЕРТЕНЗИЯ У ВЗРОСЛЫХ</w:t>
      </w:r>
    </w:p>
    <w:p w14:paraId="52C51729" w14:textId="77A26F15" w:rsidR="00015365" w:rsidRPr="003B37B6" w:rsidRDefault="00015365" w:rsidP="00015365">
      <w:pPr>
        <w:pStyle w:val="11"/>
        <w:spacing w:after="100" w:line="240" w:lineRule="auto"/>
        <w:ind w:firstLine="880"/>
        <w:rPr>
          <w:sz w:val="24"/>
          <w:szCs w:val="24"/>
        </w:rPr>
      </w:pPr>
      <w:r w:rsidRPr="003B37B6">
        <w:rPr>
          <w:rStyle w:val="ac"/>
          <w:rFonts w:eastAsiaTheme="majorEastAsia"/>
          <w:sz w:val="24"/>
          <w:szCs w:val="24"/>
        </w:rPr>
        <w:t>Кодирование по Международной</w:t>
      </w:r>
      <w:r w:rsidR="00484BB0" w:rsidRPr="003B37B6">
        <w:rPr>
          <w:rStyle w:val="ac"/>
          <w:rFonts w:eastAsiaTheme="majorEastAsia"/>
          <w:sz w:val="24"/>
          <w:szCs w:val="24"/>
        </w:rPr>
        <w:t xml:space="preserve"> </w:t>
      </w:r>
      <w:r w:rsidRPr="003B37B6">
        <w:rPr>
          <w:rStyle w:val="ac"/>
          <w:rFonts w:eastAsiaTheme="majorEastAsia"/>
          <w:sz w:val="24"/>
          <w:szCs w:val="24"/>
        </w:rPr>
        <w:t>статистической классификации</w:t>
      </w:r>
    </w:p>
    <w:p w14:paraId="6E165037" w14:textId="77777777" w:rsidR="00015365" w:rsidRPr="003B37B6" w:rsidRDefault="00015365" w:rsidP="005012BF">
      <w:pPr>
        <w:pStyle w:val="11"/>
        <w:spacing w:after="480" w:line="240" w:lineRule="auto"/>
        <w:ind w:firstLine="851"/>
        <w:rPr>
          <w:sz w:val="24"/>
          <w:szCs w:val="24"/>
        </w:rPr>
      </w:pPr>
      <w:r w:rsidRPr="003B37B6">
        <w:rPr>
          <w:rStyle w:val="ac"/>
          <w:rFonts w:eastAsiaTheme="majorEastAsia"/>
          <w:sz w:val="24"/>
          <w:szCs w:val="24"/>
        </w:rPr>
        <w:t xml:space="preserve">болезней и проблем, связанных со здоровьем: </w:t>
      </w:r>
      <w:r w:rsidRPr="003B37B6">
        <w:rPr>
          <w:rStyle w:val="ac"/>
          <w:rFonts w:eastAsiaTheme="majorEastAsia"/>
          <w:b/>
          <w:bCs/>
          <w:sz w:val="24"/>
          <w:szCs w:val="24"/>
        </w:rPr>
        <w:t>110/111/112/113/115/195.2</w:t>
      </w:r>
    </w:p>
    <w:p w14:paraId="69104364" w14:textId="77777777" w:rsidR="00015365" w:rsidRPr="003B37B6" w:rsidRDefault="00015365" w:rsidP="00015365">
      <w:pPr>
        <w:pStyle w:val="11"/>
        <w:spacing w:after="480" w:line="240" w:lineRule="auto"/>
        <w:ind w:firstLine="880"/>
        <w:rPr>
          <w:sz w:val="24"/>
          <w:szCs w:val="24"/>
        </w:rPr>
      </w:pPr>
      <w:r w:rsidRPr="003B37B6">
        <w:rPr>
          <w:rStyle w:val="ac"/>
          <w:rFonts w:eastAsiaTheme="majorEastAsia"/>
          <w:sz w:val="24"/>
          <w:szCs w:val="24"/>
        </w:rPr>
        <w:t xml:space="preserve">Возрастная группа: </w:t>
      </w:r>
      <w:r w:rsidRPr="003B37B6">
        <w:rPr>
          <w:rStyle w:val="ac"/>
          <w:rFonts w:eastAsiaTheme="majorEastAsia"/>
          <w:b/>
          <w:bCs/>
          <w:sz w:val="24"/>
          <w:szCs w:val="24"/>
        </w:rPr>
        <w:t>взрослые</w:t>
      </w:r>
    </w:p>
    <w:p w14:paraId="2FF64572" w14:textId="19D87BE8" w:rsidR="00015365" w:rsidRPr="00484BB0" w:rsidRDefault="00015365" w:rsidP="00015365">
      <w:pPr>
        <w:pStyle w:val="11"/>
        <w:spacing w:after="480" w:line="240" w:lineRule="auto"/>
        <w:ind w:firstLine="880"/>
        <w:rPr>
          <w:sz w:val="24"/>
          <w:szCs w:val="24"/>
        </w:rPr>
      </w:pPr>
      <w:r w:rsidRPr="003B37B6">
        <w:rPr>
          <w:rStyle w:val="ac"/>
          <w:rFonts w:eastAsiaTheme="majorEastAsia"/>
          <w:sz w:val="24"/>
          <w:szCs w:val="24"/>
        </w:rPr>
        <w:t>Год утверждения</w:t>
      </w:r>
      <w:r w:rsidR="00484BB0" w:rsidRPr="003B37B6">
        <w:rPr>
          <w:rStyle w:val="ac"/>
          <w:rFonts w:eastAsiaTheme="majorEastAsia"/>
          <w:sz w:val="24"/>
          <w:szCs w:val="24"/>
        </w:rPr>
        <w:t xml:space="preserve"> (частота пересмотра)</w:t>
      </w:r>
      <w:r w:rsidRPr="003B37B6">
        <w:rPr>
          <w:rStyle w:val="ac"/>
          <w:rFonts w:eastAsiaTheme="majorEastAsia"/>
          <w:sz w:val="24"/>
          <w:szCs w:val="24"/>
        </w:rPr>
        <w:t xml:space="preserve">: </w:t>
      </w:r>
      <w:r w:rsidRPr="003B37B6">
        <w:rPr>
          <w:rStyle w:val="ac"/>
          <w:rFonts w:eastAsiaTheme="majorEastAsia"/>
          <w:b/>
          <w:bCs/>
          <w:sz w:val="24"/>
          <w:szCs w:val="24"/>
        </w:rPr>
        <w:t>202</w:t>
      </w:r>
      <w:r w:rsidR="00564F95" w:rsidRPr="003B37B6">
        <w:rPr>
          <w:rStyle w:val="ac"/>
          <w:rFonts w:eastAsiaTheme="majorEastAsia"/>
          <w:b/>
          <w:bCs/>
          <w:sz w:val="24"/>
          <w:szCs w:val="24"/>
        </w:rPr>
        <w:t>5</w:t>
      </w:r>
      <w:r w:rsidR="00484BB0" w:rsidRPr="003B37B6">
        <w:rPr>
          <w:rStyle w:val="ac"/>
          <w:rFonts w:eastAsiaTheme="majorEastAsia"/>
          <w:b/>
          <w:bCs/>
          <w:sz w:val="24"/>
          <w:szCs w:val="24"/>
        </w:rPr>
        <w:t xml:space="preserve"> </w:t>
      </w:r>
      <w:r w:rsidR="00484BB0" w:rsidRPr="003B37B6">
        <w:rPr>
          <w:rStyle w:val="ac"/>
          <w:rFonts w:eastAsiaTheme="majorEastAsia"/>
          <w:sz w:val="24"/>
          <w:szCs w:val="24"/>
        </w:rPr>
        <w:t>(пересмотр каждые 5 лет)</w:t>
      </w:r>
    </w:p>
    <w:p w14:paraId="15D2F265" w14:textId="77777777" w:rsidR="00F12C76" w:rsidRDefault="00F12C76" w:rsidP="006C0B77">
      <w:pPr>
        <w:spacing w:after="0"/>
        <w:ind w:firstLine="709"/>
        <w:jc w:val="both"/>
      </w:pPr>
    </w:p>
    <w:p w14:paraId="58A9C736" w14:textId="77777777" w:rsidR="00015365" w:rsidRDefault="00015365" w:rsidP="006C0B77">
      <w:pPr>
        <w:spacing w:after="0"/>
        <w:ind w:firstLine="709"/>
        <w:jc w:val="both"/>
      </w:pPr>
    </w:p>
    <w:p w14:paraId="044C3724" w14:textId="77777777" w:rsidR="00015365" w:rsidRDefault="00015365" w:rsidP="006C0B77">
      <w:pPr>
        <w:spacing w:after="0"/>
        <w:ind w:firstLine="709"/>
        <w:jc w:val="both"/>
      </w:pPr>
    </w:p>
    <w:p w14:paraId="7AEC0F5B" w14:textId="77777777" w:rsidR="00015365" w:rsidRDefault="00015365" w:rsidP="006C0B77">
      <w:pPr>
        <w:spacing w:after="0"/>
        <w:ind w:firstLine="709"/>
        <w:jc w:val="both"/>
      </w:pPr>
    </w:p>
    <w:p w14:paraId="4D160780" w14:textId="77777777" w:rsidR="00015365" w:rsidRDefault="00015365" w:rsidP="006C0B77">
      <w:pPr>
        <w:spacing w:after="0"/>
        <w:ind w:firstLine="709"/>
        <w:jc w:val="both"/>
      </w:pPr>
    </w:p>
    <w:p w14:paraId="612A93A3" w14:textId="77777777" w:rsidR="00015365" w:rsidRDefault="00015365" w:rsidP="006C0B77">
      <w:pPr>
        <w:spacing w:after="0"/>
        <w:ind w:firstLine="709"/>
        <w:jc w:val="both"/>
      </w:pPr>
    </w:p>
    <w:p w14:paraId="396EC1C3" w14:textId="77777777" w:rsidR="00015365" w:rsidRDefault="00015365" w:rsidP="006C0B77">
      <w:pPr>
        <w:spacing w:after="0"/>
        <w:ind w:firstLine="709"/>
        <w:jc w:val="both"/>
      </w:pPr>
    </w:p>
    <w:p w14:paraId="690C1EBE" w14:textId="77777777" w:rsidR="00015365" w:rsidRDefault="00015365" w:rsidP="006C0B77">
      <w:pPr>
        <w:spacing w:after="0"/>
        <w:ind w:firstLine="709"/>
        <w:jc w:val="both"/>
      </w:pPr>
    </w:p>
    <w:p w14:paraId="1104551D" w14:textId="77777777" w:rsidR="00015365" w:rsidRDefault="00015365" w:rsidP="006C0B77">
      <w:pPr>
        <w:spacing w:after="0"/>
        <w:ind w:firstLine="709"/>
        <w:jc w:val="both"/>
      </w:pPr>
    </w:p>
    <w:p w14:paraId="6E41F733" w14:textId="77777777" w:rsidR="00015365" w:rsidRDefault="00015365" w:rsidP="006C0B77">
      <w:pPr>
        <w:spacing w:after="0"/>
        <w:ind w:firstLine="709"/>
        <w:jc w:val="both"/>
      </w:pPr>
    </w:p>
    <w:p w14:paraId="73B54C2C" w14:textId="77777777" w:rsidR="00015365" w:rsidRDefault="00015365" w:rsidP="006C0B77">
      <w:pPr>
        <w:spacing w:after="0"/>
        <w:ind w:firstLine="709"/>
        <w:jc w:val="both"/>
      </w:pPr>
    </w:p>
    <w:p w14:paraId="0D381C83" w14:textId="77777777" w:rsidR="00015365" w:rsidRDefault="00015365" w:rsidP="006C0B77">
      <w:pPr>
        <w:spacing w:after="0"/>
        <w:ind w:firstLine="709"/>
        <w:jc w:val="both"/>
      </w:pPr>
    </w:p>
    <w:p w14:paraId="3CAA900D" w14:textId="77777777" w:rsidR="00015365" w:rsidRDefault="00015365" w:rsidP="006C0B77">
      <w:pPr>
        <w:spacing w:after="0"/>
        <w:ind w:firstLine="709"/>
        <w:jc w:val="both"/>
      </w:pPr>
    </w:p>
    <w:p w14:paraId="766520FB" w14:textId="77777777" w:rsidR="00015365" w:rsidRDefault="00015365" w:rsidP="006C0B77">
      <w:pPr>
        <w:spacing w:after="0"/>
        <w:ind w:firstLine="709"/>
        <w:jc w:val="both"/>
      </w:pPr>
    </w:p>
    <w:p w14:paraId="20AF2A5B" w14:textId="77777777" w:rsidR="00015365" w:rsidRDefault="00015365" w:rsidP="006C0B77">
      <w:pPr>
        <w:spacing w:after="0"/>
        <w:ind w:firstLine="709"/>
        <w:jc w:val="both"/>
      </w:pPr>
    </w:p>
    <w:p w14:paraId="7AF8B18F" w14:textId="77777777" w:rsidR="00015365" w:rsidRDefault="00015365" w:rsidP="006C0B77">
      <w:pPr>
        <w:spacing w:after="0"/>
        <w:ind w:firstLine="709"/>
        <w:jc w:val="both"/>
      </w:pPr>
    </w:p>
    <w:bookmarkStart w:id="2" w:name="bookmark0" w:displacedByCustomXml="next"/>
    <w:sdt>
      <w:sdtPr>
        <w:rPr>
          <w:rFonts w:ascii="Times New Roman" w:eastAsiaTheme="minorHAnsi" w:hAnsi="Times New Roman" w:cstheme="minorBidi"/>
          <w:color w:val="auto"/>
          <w:kern w:val="2"/>
          <w:sz w:val="28"/>
          <w:szCs w:val="22"/>
          <w:lang w:eastAsia="en-US"/>
        </w:rPr>
        <w:id w:val="-992098014"/>
        <w:docPartObj>
          <w:docPartGallery w:val="Table of Contents"/>
          <w:docPartUnique/>
        </w:docPartObj>
      </w:sdtPr>
      <w:sdtEndPr>
        <w:rPr>
          <w:b/>
          <w:bCs/>
        </w:rPr>
      </w:sdtEndPr>
      <w:sdtContent>
        <w:p w14:paraId="31C0A63F" w14:textId="77777777" w:rsidR="0008732C" w:rsidRPr="0059765D" w:rsidRDefault="0008732C" w:rsidP="0059765D">
          <w:pPr>
            <w:pStyle w:val="aff4"/>
            <w:spacing w:line="360" w:lineRule="auto"/>
            <w:rPr>
              <w:rFonts w:ascii="Times New Roman" w:hAnsi="Times New Roman" w:cs="Times New Roman"/>
              <w:sz w:val="24"/>
              <w:szCs w:val="24"/>
            </w:rPr>
          </w:pPr>
          <w:r w:rsidRPr="0059765D">
            <w:rPr>
              <w:rFonts w:ascii="Times New Roman" w:hAnsi="Times New Roman" w:cs="Times New Roman"/>
              <w:sz w:val="24"/>
              <w:szCs w:val="24"/>
            </w:rPr>
            <w:t>Оглавление</w:t>
          </w:r>
        </w:p>
        <w:p w14:paraId="46B69CEC" w14:textId="49050F6F" w:rsidR="00350B76" w:rsidRPr="0059765D" w:rsidRDefault="00E07E79" w:rsidP="0059765D">
          <w:pPr>
            <w:pStyle w:val="15"/>
            <w:tabs>
              <w:tab w:val="right" w:leader="dot" w:pos="9338"/>
            </w:tabs>
            <w:spacing w:line="360" w:lineRule="auto"/>
            <w:rPr>
              <w:rFonts w:cs="Times New Roman"/>
              <w:noProof/>
              <w:sz w:val="24"/>
              <w:szCs w:val="24"/>
            </w:rPr>
          </w:pPr>
          <w:r w:rsidRPr="0059765D">
            <w:rPr>
              <w:rFonts w:cs="Times New Roman"/>
              <w:sz w:val="24"/>
              <w:szCs w:val="24"/>
            </w:rPr>
            <w:fldChar w:fldCharType="begin"/>
          </w:r>
          <w:r w:rsidR="0008732C" w:rsidRPr="0059765D">
            <w:rPr>
              <w:rFonts w:cs="Times New Roman"/>
              <w:sz w:val="24"/>
              <w:szCs w:val="24"/>
            </w:rPr>
            <w:instrText xml:space="preserve"> TOC \o "1-3" \h \z \u </w:instrText>
          </w:r>
          <w:r w:rsidRPr="0059765D">
            <w:rPr>
              <w:rFonts w:cs="Times New Roman"/>
              <w:sz w:val="24"/>
              <w:szCs w:val="24"/>
            </w:rPr>
            <w:fldChar w:fldCharType="separate"/>
          </w:r>
          <w:hyperlink w:anchor="_Toc202877425" w:history="1">
            <w:r w:rsidR="00350B76" w:rsidRPr="0059765D">
              <w:rPr>
                <w:rStyle w:val="afd"/>
                <w:rFonts w:eastAsiaTheme="majorEastAsia" w:cs="Times New Roman"/>
                <w:noProof/>
                <w:sz w:val="24"/>
                <w:szCs w:val="24"/>
              </w:rPr>
              <w:t>Список сокращений</w:t>
            </w:r>
            <w:r w:rsidR="00350B76" w:rsidRPr="0059765D">
              <w:rPr>
                <w:rFonts w:cs="Times New Roman"/>
                <w:noProof/>
                <w:webHidden/>
                <w:sz w:val="24"/>
                <w:szCs w:val="24"/>
              </w:rPr>
              <w:tab/>
            </w:r>
            <w:r w:rsidRPr="0059765D">
              <w:rPr>
                <w:rFonts w:cs="Times New Roman"/>
                <w:noProof/>
                <w:webHidden/>
                <w:sz w:val="24"/>
                <w:szCs w:val="24"/>
              </w:rPr>
              <w:fldChar w:fldCharType="begin"/>
            </w:r>
            <w:r w:rsidR="00350B76" w:rsidRPr="0059765D">
              <w:rPr>
                <w:rFonts w:cs="Times New Roman"/>
                <w:noProof/>
                <w:webHidden/>
                <w:sz w:val="24"/>
                <w:szCs w:val="24"/>
              </w:rPr>
              <w:instrText xml:space="preserve"> PAGEREF _Toc202877425 \h </w:instrText>
            </w:r>
            <w:r w:rsidRPr="0059765D">
              <w:rPr>
                <w:rFonts w:cs="Times New Roman"/>
                <w:noProof/>
                <w:webHidden/>
                <w:sz w:val="24"/>
                <w:szCs w:val="24"/>
              </w:rPr>
            </w:r>
            <w:r w:rsidRPr="0059765D">
              <w:rPr>
                <w:rFonts w:cs="Times New Roman"/>
                <w:noProof/>
                <w:webHidden/>
                <w:sz w:val="24"/>
                <w:szCs w:val="24"/>
              </w:rPr>
              <w:fldChar w:fldCharType="separate"/>
            </w:r>
            <w:r w:rsidR="000546C0">
              <w:rPr>
                <w:rFonts w:cs="Times New Roman"/>
                <w:noProof/>
                <w:webHidden/>
                <w:sz w:val="24"/>
                <w:szCs w:val="24"/>
              </w:rPr>
              <w:t>4</w:t>
            </w:r>
            <w:r w:rsidRPr="0059765D">
              <w:rPr>
                <w:rFonts w:cs="Times New Roman"/>
                <w:noProof/>
                <w:webHidden/>
                <w:sz w:val="24"/>
                <w:szCs w:val="24"/>
              </w:rPr>
              <w:fldChar w:fldCharType="end"/>
            </w:r>
          </w:hyperlink>
        </w:p>
        <w:p w14:paraId="66AEE1FF" w14:textId="2F6D9801" w:rsidR="00350B76" w:rsidRPr="0059765D" w:rsidRDefault="00765F69" w:rsidP="0059765D">
          <w:pPr>
            <w:pStyle w:val="15"/>
            <w:tabs>
              <w:tab w:val="right" w:leader="dot" w:pos="9338"/>
            </w:tabs>
            <w:spacing w:line="360" w:lineRule="auto"/>
            <w:rPr>
              <w:rFonts w:cs="Times New Roman"/>
              <w:noProof/>
              <w:sz w:val="24"/>
              <w:szCs w:val="24"/>
            </w:rPr>
          </w:pPr>
          <w:hyperlink w:anchor="_Toc202877426" w:history="1">
            <w:r w:rsidR="00350B76" w:rsidRPr="0059765D">
              <w:rPr>
                <w:rStyle w:val="afd"/>
                <w:rFonts w:eastAsiaTheme="majorEastAsia" w:cs="Times New Roman"/>
                <w:noProof/>
                <w:sz w:val="24"/>
                <w:szCs w:val="24"/>
              </w:rPr>
              <w:t>Термины и определения.</w:t>
            </w:r>
            <w:r w:rsidR="00350B76" w:rsidRPr="0059765D">
              <w:rPr>
                <w:rFonts w:cs="Times New Roman"/>
                <w:noProof/>
                <w:webHidden/>
                <w:sz w:val="24"/>
                <w:szCs w:val="24"/>
              </w:rPr>
              <w:tab/>
            </w:r>
            <w:r w:rsidR="00E07E79" w:rsidRPr="0059765D">
              <w:rPr>
                <w:rFonts w:cs="Times New Roman"/>
                <w:noProof/>
                <w:webHidden/>
                <w:sz w:val="24"/>
                <w:szCs w:val="24"/>
              </w:rPr>
              <w:fldChar w:fldCharType="begin"/>
            </w:r>
            <w:r w:rsidR="00350B76" w:rsidRPr="0059765D">
              <w:rPr>
                <w:rFonts w:cs="Times New Roman"/>
                <w:noProof/>
                <w:webHidden/>
                <w:sz w:val="24"/>
                <w:szCs w:val="24"/>
              </w:rPr>
              <w:instrText xml:space="preserve"> PAGEREF _Toc202877426 \h </w:instrText>
            </w:r>
            <w:r w:rsidR="00E07E79" w:rsidRPr="0059765D">
              <w:rPr>
                <w:rFonts w:cs="Times New Roman"/>
                <w:noProof/>
                <w:webHidden/>
                <w:sz w:val="24"/>
                <w:szCs w:val="24"/>
              </w:rPr>
            </w:r>
            <w:r w:rsidR="00E07E79" w:rsidRPr="0059765D">
              <w:rPr>
                <w:rFonts w:cs="Times New Roman"/>
                <w:noProof/>
                <w:webHidden/>
                <w:sz w:val="24"/>
                <w:szCs w:val="24"/>
              </w:rPr>
              <w:fldChar w:fldCharType="separate"/>
            </w:r>
            <w:r w:rsidR="000546C0">
              <w:rPr>
                <w:rFonts w:cs="Times New Roman"/>
                <w:noProof/>
                <w:webHidden/>
                <w:sz w:val="24"/>
                <w:szCs w:val="24"/>
              </w:rPr>
              <w:t>7</w:t>
            </w:r>
            <w:r w:rsidR="00E07E79" w:rsidRPr="0059765D">
              <w:rPr>
                <w:rFonts w:cs="Times New Roman"/>
                <w:noProof/>
                <w:webHidden/>
                <w:sz w:val="24"/>
                <w:szCs w:val="24"/>
              </w:rPr>
              <w:fldChar w:fldCharType="end"/>
            </w:r>
          </w:hyperlink>
        </w:p>
        <w:p w14:paraId="5E20F2CA" w14:textId="67859D6D" w:rsidR="00350B76" w:rsidRPr="0059765D" w:rsidRDefault="00765F69" w:rsidP="0059765D">
          <w:pPr>
            <w:pStyle w:val="15"/>
            <w:tabs>
              <w:tab w:val="right" w:leader="dot" w:pos="9338"/>
            </w:tabs>
            <w:spacing w:line="360" w:lineRule="auto"/>
            <w:rPr>
              <w:rFonts w:cs="Times New Roman"/>
              <w:noProof/>
              <w:sz w:val="24"/>
              <w:szCs w:val="24"/>
            </w:rPr>
          </w:pPr>
          <w:hyperlink w:anchor="_Toc202877427" w:history="1">
            <w:r w:rsidR="00350B76" w:rsidRPr="0059765D">
              <w:rPr>
                <w:rStyle w:val="afd"/>
                <w:rFonts w:eastAsiaTheme="majorEastAsia" w:cs="Times New Roman"/>
                <w:noProof/>
                <w:sz w:val="24"/>
                <w:szCs w:val="24"/>
              </w:rPr>
              <w:t>1.Краткая информация</w:t>
            </w:r>
            <w:r w:rsidR="00350B76" w:rsidRPr="0059765D">
              <w:rPr>
                <w:rFonts w:cs="Times New Roman"/>
                <w:noProof/>
                <w:webHidden/>
                <w:sz w:val="24"/>
                <w:szCs w:val="24"/>
              </w:rPr>
              <w:tab/>
            </w:r>
            <w:r w:rsidR="00E07E79" w:rsidRPr="0059765D">
              <w:rPr>
                <w:rFonts w:cs="Times New Roman"/>
                <w:noProof/>
                <w:webHidden/>
                <w:sz w:val="24"/>
                <w:szCs w:val="24"/>
              </w:rPr>
              <w:fldChar w:fldCharType="begin"/>
            </w:r>
            <w:r w:rsidR="00350B76" w:rsidRPr="0059765D">
              <w:rPr>
                <w:rFonts w:cs="Times New Roman"/>
                <w:noProof/>
                <w:webHidden/>
                <w:sz w:val="24"/>
                <w:szCs w:val="24"/>
              </w:rPr>
              <w:instrText xml:space="preserve"> PAGEREF _Toc202877427 \h </w:instrText>
            </w:r>
            <w:r w:rsidR="00E07E79" w:rsidRPr="0059765D">
              <w:rPr>
                <w:rFonts w:cs="Times New Roman"/>
                <w:noProof/>
                <w:webHidden/>
                <w:sz w:val="24"/>
                <w:szCs w:val="24"/>
              </w:rPr>
            </w:r>
            <w:r w:rsidR="00E07E79" w:rsidRPr="0059765D">
              <w:rPr>
                <w:rFonts w:cs="Times New Roman"/>
                <w:noProof/>
                <w:webHidden/>
                <w:sz w:val="24"/>
                <w:szCs w:val="24"/>
              </w:rPr>
              <w:fldChar w:fldCharType="separate"/>
            </w:r>
            <w:r w:rsidR="000546C0">
              <w:rPr>
                <w:rFonts w:cs="Times New Roman"/>
                <w:noProof/>
                <w:webHidden/>
                <w:sz w:val="24"/>
                <w:szCs w:val="24"/>
              </w:rPr>
              <w:t>11</w:t>
            </w:r>
            <w:r w:rsidR="00E07E79" w:rsidRPr="0059765D">
              <w:rPr>
                <w:rFonts w:cs="Times New Roman"/>
                <w:noProof/>
                <w:webHidden/>
                <w:sz w:val="24"/>
                <w:szCs w:val="24"/>
              </w:rPr>
              <w:fldChar w:fldCharType="end"/>
            </w:r>
          </w:hyperlink>
        </w:p>
        <w:p w14:paraId="310F1297" w14:textId="5EE0F48A" w:rsidR="00350B76" w:rsidRPr="0059765D" w:rsidRDefault="00765F69" w:rsidP="0059765D">
          <w:pPr>
            <w:pStyle w:val="29"/>
            <w:rPr>
              <w:noProof/>
              <w:sz w:val="24"/>
              <w:szCs w:val="24"/>
            </w:rPr>
          </w:pPr>
          <w:hyperlink w:anchor="_Toc202877428" w:history="1">
            <w:r w:rsidR="00350B76" w:rsidRPr="0059765D">
              <w:rPr>
                <w:rStyle w:val="afd"/>
                <w:rFonts w:eastAsiaTheme="majorEastAsia" w:cs="Times New Roman"/>
                <w:noProof/>
                <w:sz w:val="24"/>
                <w:szCs w:val="24"/>
              </w:rPr>
              <w:t>1.1 Определение</w:t>
            </w:r>
            <w:r w:rsidR="00350B76" w:rsidRPr="0059765D">
              <w:rPr>
                <w:noProof/>
                <w:webHidden/>
                <w:sz w:val="24"/>
                <w:szCs w:val="24"/>
              </w:rPr>
              <w:tab/>
            </w:r>
            <w:r w:rsidR="00E07E79" w:rsidRPr="0059765D">
              <w:rPr>
                <w:noProof/>
                <w:webHidden/>
                <w:sz w:val="24"/>
                <w:szCs w:val="24"/>
              </w:rPr>
              <w:fldChar w:fldCharType="begin"/>
            </w:r>
            <w:r w:rsidR="00350B76" w:rsidRPr="0059765D">
              <w:rPr>
                <w:noProof/>
                <w:webHidden/>
                <w:sz w:val="24"/>
                <w:szCs w:val="24"/>
              </w:rPr>
              <w:instrText xml:space="preserve"> PAGEREF _Toc202877428 \h </w:instrText>
            </w:r>
            <w:r w:rsidR="00E07E79" w:rsidRPr="0059765D">
              <w:rPr>
                <w:noProof/>
                <w:webHidden/>
                <w:sz w:val="24"/>
                <w:szCs w:val="24"/>
              </w:rPr>
            </w:r>
            <w:r w:rsidR="00E07E79" w:rsidRPr="0059765D">
              <w:rPr>
                <w:noProof/>
                <w:webHidden/>
                <w:sz w:val="24"/>
                <w:szCs w:val="24"/>
              </w:rPr>
              <w:fldChar w:fldCharType="separate"/>
            </w:r>
            <w:r w:rsidR="000546C0">
              <w:rPr>
                <w:noProof/>
                <w:webHidden/>
                <w:sz w:val="24"/>
                <w:szCs w:val="24"/>
              </w:rPr>
              <w:t>11</w:t>
            </w:r>
            <w:r w:rsidR="00E07E79" w:rsidRPr="0059765D">
              <w:rPr>
                <w:noProof/>
                <w:webHidden/>
                <w:sz w:val="24"/>
                <w:szCs w:val="24"/>
              </w:rPr>
              <w:fldChar w:fldCharType="end"/>
            </w:r>
          </w:hyperlink>
        </w:p>
        <w:p w14:paraId="2A48F137" w14:textId="12DC96B7" w:rsidR="00350B76" w:rsidRPr="0059765D" w:rsidRDefault="00765F69" w:rsidP="0059765D">
          <w:pPr>
            <w:pStyle w:val="29"/>
            <w:rPr>
              <w:noProof/>
              <w:sz w:val="24"/>
              <w:szCs w:val="24"/>
            </w:rPr>
          </w:pPr>
          <w:hyperlink w:anchor="_Toc202877429" w:history="1">
            <w:r w:rsidR="00350B76" w:rsidRPr="0059765D">
              <w:rPr>
                <w:rStyle w:val="afd"/>
                <w:rFonts w:eastAsiaTheme="majorEastAsia" w:cs="Times New Roman"/>
                <w:noProof/>
                <w:sz w:val="24"/>
                <w:szCs w:val="24"/>
              </w:rPr>
              <w:t>1.2</w:t>
            </w:r>
            <w:r w:rsidR="00350B76" w:rsidRPr="0059765D">
              <w:rPr>
                <w:noProof/>
                <w:sz w:val="24"/>
                <w:szCs w:val="24"/>
              </w:rPr>
              <w:t xml:space="preserve"> </w:t>
            </w:r>
            <w:r w:rsidR="00350B76" w:rsidRPr="0059765D">
              <w:rPr>
                <w:rStyle w:val="afd"/>
                <w:rFonts w:eastAsiaTheme="majorEastAsia" w:cs="Times New Roman"/>
                <w:noProof/>
                <w:sz w:val="24"/>
                <w:szCs w:val="24"/>
              </w:rPr>
              <w:t>Этиология и патогенез</w:t>
            </w:r>
            <w:r w:rsidR="00350B76" w:rsidRPr="0059765D">
              <w:rPr>
                <w:noProof/>
                <w:webHidden/>
                <w:sz w:val="24"/>
                <w:szCs w:val="24"/>
              </w:rPr>
              <w:tab/>
            </w:r>
            <w:r w:rsidR="00E07E79" w:rsidRPr="0059765D">
              <w:rPr>
                <w:noProof/>
                <w:webHidden/>
                <w:sz w:val="24"/>
                <w:szCs w:val="24"/>
              </w:rPr>
              <w:fldChar w:fldCharType="begin"/>
            </w:r>
            <w:r w:rsidR="00350B76" w:rsidRPr="0059765D">
              <w:rPr>
                <w:noProof/>
                <w:webHidden/>
                <w:sz w:val="24"/>
                <w:szCs w:val="24"/>
              </w:rPr>
              <w:instrText xml:space="preserve"> PAGEREF _Toc202877429 \h </w:instrText>
            </w:r>
            <w:r w:rsidR="00E07E79" w:rsidRPr="0059765D">
              <w:rPr>
                <w:noProof/>
                <w:webHidden/>
                <w:sz w:val="24"/>
                <w:szCs w:val="24"/>
              </w:rPr>
            </w:r>
            <w:r w:rsidR="00E07E79" w:rsidRPr="0059765D">
              <w:rPr>
                <w:noProof/>
                <w:webHidden/>
                <w:sz w:val="24"/>
                <w:szCs w:val="24"/>
              </w:rPr>
              <w:fldChar w:fldCharType="separate"/>
            </w:r>
            <w:r w:rsidR="000546C0">
              <w:rPr>
                <w:noProof/>
                <w:webHidden/>
                <w:sz w:val="24"/>
                <w:szCs w:val="24"/>
              </w:rPr>
              <w:t>11</w:t>
            </w:r>
            <w:r w:rsidR="00E07E79" w:rsidRPr="0059765D">
              <w:rPr>
                <w:noProof/>
                <w:webHidden/>
                <w:sz w:val="24"/>
                <w:szCs w:val="24"/>
              </w:rPr>
              <w:fldChar w:fldCharType="end"/>
            </w:r>
          </w:hyperlink>
        </w:p>
        <w:p w14:paraId="4B5A93F6" w14:textId="7FEA21B5" w:rsidR="00350B76" w:rsidRPr="0059765D" w:rsidRDefault="00765F69" w:rsidP="0059765D">
          <w:pPr>
            <w:pStyle w:val="29"/>
            <w:rPr>
              <w:noProof/>
              <w:sz w:val="24"/>
              <w:szCs w:val="24"/>
            </w:rPr>
          </w:pPr>
          <w:hyperlink w:anchor="_Toc202877430" w:history="1">
            <w:r w:rsidR="00350B76" w:rsidRPr="0059765D">
              <w:rPr>
                <w:rStyle w:val="afd"/>
                <w:rFonts w:cs="Times New Roman"/>
                <w:noProof/>
                <w:sz w:val="24"/>
                <w:szCs w:val="24"/>
              </w:rPr>
              <w:t xml:space="preserve">1.3 </w:t>
            </w:r>
            <w:r w:rsidR="00350B76" w:rsidRPr="0059765D">
              <w:rPr>
                <w:rStyle w:val="afd"/>
                <w:rFonts w:eastAsiaTheme="majorEastAsia" w:cs="Times New Roman"/>
                <w:noProof/>
                <w:sz w:val="24"/>
                <w:szCs w:val="24"/>
              </w:rPr>
              <w:t>Эпидемиология</w:t>
            </w:r>
            <w:r w:rsidR="00350B76" w:rsidRPr="0059765D">
              <w:rPr>
                <w:noProof/>
                <w:webHidden/>
                <w:sz w:val="24"/>
                <w:szCs w:val="24"/>
              </w:rPr>
              <w:tab/>
            </w:r>
            <w:r w:rsidR="00E07E79" w:rsidRPr="0059765D">
              <w:rPr>
                <w:noProof/>
                <w:webHidden/>
                <w:sz w:val="24"/>
                <w:szCs w:val="24"/>
              </w:rPr>
              <w:fldChar w:fldCharType="begin"/>
            </w:r>
            <w:r w:rsidR="00350B76" w:rsidRPr="0059765D">
              <w:rPr>
                <w:noProof/>
                <w:webHidden/>
                <w:sz w:val="24"/>
                <w:szCs w:val="24"/>
              </w:rPr>
              <w:instrText xml:space="preserve"> PAGEREF _Toc202877430 \h </w:instrText>
            </w:r>
            <w:r w:rsidR="00E07E79" w:rsidRPr="0059765D">
              <w:rPr>
                <w:noProof/>
                <w:webHidden/>
                <w:sz w:val="24"/>
                <w:szCs w:val="24"/>
              </w:rPr>
            </w:r>
            <w:r w:rsidR="00E07E79" w:rsidRPr="0059765D">
              <w:rPr>
                <w:noProof/>
                <w:webHidden/>
                <w:sz w:val="24"/>
                <w:szCs w:val="24"/>
              </w:rPr>
              <w:fldChar w:fldCharType="separate"/>
            </w:r>
            <w:r w:rsidR="000546C0">
              <w:rPr>
                <w:noProof/>
                <w:webHidden/>
                <w:sz w:val="24"/>
                <w:szCs w:val="24"/>
              </w:rPr>
              <w:t>13</w:t>
            </w:r>
            <w:r w:rsidR="00E07E79" w:rsidRPr="0059765D">
              <w:rPr>
                <w:noProof/>
                <w:webHidden/>
                <w:sz w:val="24"/>
                <w:szCs w:val="24"/>
              </w:rPr>
              <w:fldChar w:fldCharType="end"/>
            </w:r>
          </w:hyperlink>
        </w:p>
        <w:p w14:paraId="6CEB1B0F" w14:textId="5755E051" w:rsidR="00350B76" w:rsidRPr="0059765D" w:rsidRDefault="00765F69" w:rsidP="0059765D">
          <w:pPr>
            <w:pStyle w:val="29"/>
            <w:rPr>
              <w:noProof/>
              <w:sz w:val="24"/>
              <w:szCs w:val="24"/>
            </w:rPr>
          </w:pPr>
          <w:hyperlink w:anchor="_Toc202877431" w:history="1">
            <w:r w:rsidR="00350B76" w:rsidRPr="0059765D">
              <w:rPr>
                <w:rStyle w:val="afd"/>
                <w:rFonts w:cs="Times New Roman"/>
                <w:noProof/>
                <w:sz w:val="24"/>
                <w:szCs w:val="24"/>
              </w:rPr>
              <w:t>1.4</w:t>
            </w:r>
            <w:r w:rsidR="00350B76" w:rsidRPr="0059765D">
              <w:rPr>
                <w:noProof/>
                <w:sz w:val="24"/>
                <w:szCs w:val="24"/>
              </w:rPr>
              <w:t xml:space="preserve"> </w:t>
            </w:r>
            <w:r w:rsidR="00350B76" w:rsidRPr="0059765D">
              <w:rPr>
                <w:rStyle w:val="afd"/>
                <w:rFonts w:cs="Times New Roman"/>
                <w:noProof/>
                <w:sz w:val="24"/>
                <w:szCs w:val="24"/>
              </w:rPr>
              <w:t>Кодирование по МКБ</w:t>
            </w:r>
            <w:r w:rsidR="00350B76" w:rsidRPr="0059765D">
              <w:rPr>
                <w:rStyle w:val="afd"/>
                <w:rFonts w:cs="Times New Roman"/>
                <w:noProof/>
                <w:spacing w:val="-4"/>
                <w:sz w:val="24"/>
                <w:szCs w:val="24"/>
              </w:rPr>
              <w:t xml:space="preserve"> </w:t>
            </w:r>
            <w:r w:rsidR="00350B76" w:rsidRPr="0059765D">
              <w:rPr>
                <w:rStyle w:val="afd"/>
                <w:rFonts w:cs="Times New Roman"/>
                <w:noProof/>
                <w:sz w:val="24"/>
                <w:szCs w:val="24"/>
              </w:rPr>
              <w:t>10</w:t>
            </w:r>
            <w:r w:rsidR="00350B76" w:rsidRPr="0059765D">
              <w:rPr>
                <w:noProof/>
                <w:webHidden/>
                <w:sz w:val="24"/>
                <w:szCs w:val="24"/>
              </w:rPr>
              <w:tab/>
            </w:r>
            <w:r w:rsidR="00E07E79" w:rsidRPr="0059765D">
              <w:rPr>
                <w:noProof/>
                <w:webHidden/>
                <w:sz w:val="24"/>
                <w:szCs w:val="24"/>
              </w:rPr>
              <w:fldChar w:fldCharType="begin"/>
            </w:r>
            <w:r w:rsidR="00350B76" w:rsidRPr="0059765D">
              <w:rPr>
                <w:noProof/>
                <w:webHidden/>
                <w:sz w:val="24"/>
                <w:szCs w:val="24"/>
              </w:rPr>
              <w:instrText xml:space="preserve"> PAGEREF _Toc202877431 \h </w:instrText>
            </w:r>
            <w:r w:rsidR="00E07E79" w:rsidRPr="0059765D">
              <w:rPr>
                <w:noProof/>
                <w:webHidden/>
                <w:sz w:val="24"/>
                <w:szCs w:val="24"/>
              </w:rPr>
            </w:r>
            <w:r w:rsidR="00E07E79" w:rsidRPr="0059765D">
              <w:rPr>
                <w:noProof/>
                <w:webHidden/>
                <w:sz w:val="24"/>
                <w:szCs w:val="24"/>
              </w:rPr>
              <w:fldChar w:fldCharType="separate"/>
            </w:r>
            <w:r w:rsidR="000546C0">
              <w:rPr>
                <w:noProof/>
                <w:webHidden/>
                <w:sz w:val="24"/>
                <w:szCs w:val="24"/>
              </w:rPr>
              <w:t>15</w:t>
            </w:r>
            <w:r w:rsidR="00E07E79" w:rsidRPr="0059765D">
              <w:rPr>
                <w:noProof/>
                <w:webHidden/>
                <w:sz w:val="24"/>
                <w:szCs w:val="24"/>
              </w:rPr>
              <w:fldChar w:fldCharType="end"/>
            </w:r>
          </w:hyperlink>
        </w:p>
        <w:p w14:paraId="1279EE5C" w14:textId="42A81E50" w:rsidR="00350B76" w:rsidRPr="0059765D" w:rsidRDefault="00765F69" w:rsidP="0059765D">
          <w:pPr>
            <w:pStyle w:val="29"/>
            <w:rPr>
              <w:noProof/>
              <w:sz w:val="24"/>
              <w:szCs w:val="24"/>
            </w:rPr>
          </w:pPr>
          <w:hyperlink w:anchor="_Toc202877432" w:history="1">
            <w:r w:rsidR="00350B76" w:rsidRPr="0059765D">
              <w:rPr>
                <w:rStyle w:val="afd"/>
                <w:rFonts w:eastAsiaTheme="majorEastAsia" w:cs="Times New Roman"/>
                <w:noProof/>
                <w:sz w:val="24"/>
                <w:szCs w:val="24"/>
              </w:rPr>
              <w:t>1.5 Классификация</w:t>
            </w:r>
            <w:r w:rsidR="00350B76" w:rsidRPr="0059765D">
              <w:rPr>
                <w:noProof/>
                <w:webHidden/>
                <w:sz w:val="24"/>
                <w:szCs w:val="24"/>
              </w:rPr>
              <w:tab/>
            </w:r>
            <w:r w:rsidR="00E07E79" w:rsidRPr="0059765D">
              <w:rPr>
                <w:noProof/>
                <w:webHidden/>
                <w:sz w:val="24"/>
                <w:szCs w:val="24"/>
              </w:rPr>
              <w:fldChar w:fldCharType="begin"/>
            </w:r>
            <w:r w:rsidR="00350B76" w:rsidRPr="0059765D">
              <w:rPr>
                <w:noProof/>
                <w:webHidden/>
                <w:sz w:val="24"/>
                <w:szCs w:val="24"/>
              </w:rPr>
              <w:instrText xml:space="preserve"> PAGEREF _Toc202877432 \h </w:instrText>
            </w:r>
            <w:r w:rsidR="00E07E79" w:rsidRPr="0059765D">
              <w:rPr>
                <w:noProof/>
                <w:webHidden/>
                <w:sz w:val="24"/>
                <w:szCs w:val="24"/>
              </w:rPr>
            </w:r>
            <w:r w:rsidR="00E07E79" w:rsidRPr="0059765D">
              <w:rPr>
                <w:noProof/>
                <w:webHidden/>
                <w:sz w:val="24"/>
                <w:szCs w:val="24"/>
              </w:rPr>
              <w:fldChar w:fldCharType="separate"/>
            </w:r>
            <w:r w:rsidR="000546C0">
              <w:rPr>
                <w:noProof/>
                <w:webHidden/>
                <w:sz w:val="24"/>
                <w:szCs w:val="24"/>
              </w:rPr>
              <w:t>16</w:t>
            </w:r>
            <w:r w:rsidR="00E07E79" w:rsidRPr="0059765D">
              <w:rPr>
                <w:noProof/>
                <w:webHidden/>
                <w:sz w:val="24"/>
                <w:szCs w:val="24"/>
              </w:rPr>
              <w:fldChar w:fldCharType="end"/>
            </w:r>
          </w:hyperlink>
        </w:p>
        <w:p w14:paraId="6ABA0614" w14:textId="79EAD268" w:rsidR="00350B76" w:rsidRPr="0059765D" w:rsidRDefault="00765F69" w:rsidP="0059765D">
          <w:pPr>
            <w:pStyle w:val="29"/>
            <w:rPr>
              <w:noProof/>
              <w:sz w:val="24"/>
              <w:szCs w:val="24"/>
            </w:rPr>
          </w:pPr>
          <w:hyperlink w:anchor="_Toc202877433" w:history="1">
            <w:r w:rsidR="00350B76" w:rsidRPr="0059765D">
              <w:rPr>
                <w:rStyle w:val="afd"/>
                <w:rFonts w:eastAsiaTheme="majorEastAsia" w:cs="Times New Roman"/>
                <w:noProof/>
                <w:sz w:val="24"/>
                <w:szCs w:val="24"/>
              </w:rPr>
              <w:t>1.6 Клиническая картина</w:t>
            </w:r>
            <w:r w:rsidR="00350B76" w:rsidRPr="0059765D">
              <w:rPr>
                <w:noProof/>
                <w:webHidden/>
                <w:sz w:val="24"/>
                <w:szCs w:val="24"/>
              </w:rPr>
              <w:tab/>
            </w:r>
            <w:r w:rsidR="00E07E79" w:rsidRPr="0059765D">
              <w:rPr>
                <w:noProof/>
                <w:webHidden/>
                <w:sz w:val="24"/>
                <w:szCs w:val="24"/>
              </w:rPr>
              <w:fldChar w:fldCharType="begin"/>
            </w:r>
            <w:r w:rsidR="00350B76" w:rsidRPr="0059765D">
              <w:rPr>
                <w:noProof/>
                <w:webHidden/>
                <w:sz w:val="24"/>
                <w:szCs w:val="24"/>
              </w:rPr>
              <w:instrText xml:space="preserve"> PAGEREF _Toc202877433 \h </w:instrText>
            </w:r>
            <w:r w:rsidR="00E07E79" w:rsidRPr="0059765D">
              <w:rPr>
                <w:noProof/>
                <w:webHidden/>
                <w:sz w:val="24"/>
                <w:szCs w:val="24"/>
              </w:rPr>
            </w:r>
            <w:r w:rsidR="00E07E79" w:rsidRPr="0059765D">
              <w:rPr>
                <w:noProof/>
                <w:webHidden/>
                <w:sz w:val="24"/>
                <w:szCs w:val="24"/>
              </w:rPr>
              <w:fldChar w:fldCharType="separate"/>
            </w:r>
            <w:r w:rsidR="000546C0">
              <w:rPr>
                <w:noProof/>
                <w:webHidden/>
                <w:sz w:val="24"/>
                <w:szCs w:val="24"/>
              </w:rPr>
              <w:t>19</w:t>
            </w:r>
            <w:r w:rsidR="00E07E79" w:rsidRPr="0059765D">
              <w:rPr>
                <w:noProof/>
                <w:webHidden/>
                <w:sz w:val="24"/>
                <w:szCs w:val="24"/>
              </w:rPr>
              <w:fldChar w:fldCharType="end"/>
            </w:r>
          </w:hyperlink>
        </w:p>
        <w:p w14:paraId="7D88121E" w14:textId="736FA281" w:rsidR="00350B76" w:rsidRPr="0059765D" w:rsidRDefault="00765F69" w:rsidP="0059765D">
          <w:pPr>
            <w:pStyle w:val="15"/>
            <w:tabs>
              <w:tab w:val="right" w:leader="dot" w:pos="9338"/>
            </w:tabs>
            <w:spacing w:line="360" w:lineRule="auto"/>
            <w:rPr>
              <w:rFonts w:cs="Times New Roman"/>
              <w:noProof/>
              <w:sz w:val="24"/>
              <w:szCs w:val="24"/>
            </w:rPr>
          </w:pPr>
          <w:hyperlink w:anchor="_Toc202877434" w:history="1">
            <w:r w:rsidR="00350B76" w:rsidRPr="0059765D">
              <w:rPr>
                <w:rStyle w:val="afd"/>
                <w:rFonts w:cs="Times New Roman"/>
                <w:noProof/>
                <w:sz w:val="24"/>
                <w:szCs w:val="24"/>
              </w:rPr>
              <w:t>2. Диагностика</w:t>
            </w:r>
            <w:r w:rsidR="00350B76" w:rsidRPr="0059765D">
              <w:rPr>
                <w:rFonts w:cs="Times New Roman"/>
                <w:noProof/>
                <w:webHidden/>
                <w:sz w:val="24"/>
                <w:szCs w:val="24"/>
              </w:rPr>
              <w:tab/>
            </w:r>
            <w:r w:rsidR="00E07E79" w:rsidRPr="0059765D">
              <w:rPr>
                <w:rFonts w:cs="Times New Roman"/>
                <w:noProof/>
                <w:webHidden/>
                <w:sz w:val="24"/>
                <w:szCs w:val="24"/>
              </w:rPr>
              <w:fldChar w:fldCharType="begin"/>
            </w:r>
            <w:r w:rsidR="00350B76" w:rsidRPr="0059765D">
              <w:rPr>
                <w:rFonts w:cs="Times New Roman"/>
                <w:noProof/>
                <w:webHidden/>
                <w:sz w:val="24"/>
                <w:szCs w:val="24"/>
              </w:rPr>
              <w:instrText xml:space="preserve"> PAGEREF _Toc202877434 \h </w:instrText>
            </w:r>
            <w:r w:rsidR="00E07E79" w:rsidRPr="0059765D">
              <w:rPr>
                <w:rFonts w:cs="Times New Roman"/>
                <w:noProof/>
                <w:webHidden/>
                <w:sz w:val="24"/>
                <w:szCs w:val="24"/>
              </w:rPr>
            </w:r>
            <w:r w:rsidR="00E07E79" w:rsidRPr="0059765D">
              <w:rPr>
                <w:rFonts w:cs="Times New Roman"/>
                <w:noProof/>
                <w:webHidden/>
                <w:sz w:val="24"/>
                <w:szCs w:val="24"/>
              </w:rPr>
              <w:fldChar w:fldCharType="separate"/>
            </w:r>
            <w:r w:rsidR="000546C0">
              <w:rPr>
                <w:rFonts w:cs="Times New Roman"/>
                <w:noProof/>
                <w:webHidden/>
                <w:sz w:val="24"/>
                <w:szCs w:val="24"/>
              </w:rPr>
              <w:t>20</w:t>
            </w:r>
            <w:r w:rsidR="00E07E79" w:rsidRPr="0059765D">
              <w:rPr>
                <w:rFonts w:cs="Times New Roman"/>
                <w:noProof/>
                <w:webHidden/>
                <w:sz w:val="24"/>
                <w:szCs w:val="24"/>
              </w:rPr>
              <w:fldChar w:fldCharType="end"/>
            </w:r>
          </w:hyperlink>
        </w:p>
        <w:p w14:paraId="682BF578" w14:textId="2E56095E" w:rsidR="00350B76" w:rsidRPr="0059765D" w:rsidRDefault="00765F69" w:rsidP="0059765D">
          <w:pPr>
            <w:pStyle w:val="29"/>
            <w:rPr>
              <w:noProof/>
              <w:sz w:val="24"/>
              <w:szCs w:val="24"/>
            </w:rPr>
          </w:pPr>
          <w:hyperlink w:anchor="_Toc202877435" w:history="1">
            <w:r w:rsidR="00350B76" w:rsidRPr="0059765D">
              <w:rPr>
                <w:rStyle w:val="afd"/>
                <w:rFonts w:cs="Times New Roman"/>
                <w:noProof/>
                <w:sz w:val="24"/>
                <w:szCs w:val="24"/>
              </w:rPr>
              <w:t>2.1 Жалобы и анамнез</w:t>
            </w:r>
            <w:r w:rsidR="00350B76" w:rsidRPr="0059765D">
              <w:rPr>
                <w:noProof/>
                <w:webHidden/>
                <w:sz w:val="24"/>
                <w:szCs w:val="24"/>
              </w:rPr>
              <w:tab/>
            </w:r>
            <w:r w:rsidR="00E07E79" w:rsidRPr="0059765D">
              <w:rPr>
                <w:noProof/>
                <w:webHidden/>
                <w:sz w:val="24"/>
                <w:szCs w:val="24"/>
              </w:rPr>
              <w:fldChar w:fldCharType="begin"/>
            </w:r>
            <w:r w:rsidR="00350B76" w:rsidRPr="0059765D">
              <w:rPr>
                <w:noProof/>
                <w:webHidden/>
                <w:sz w:val="24"/>
                <w:szCs w:val="24"/>
              </w:rPr>
              <w:instrText xml:space="preserve"> PAGEREF _Toc202877435 \h </w:instrText>
            </w:r>
            <w:r w:rsidR="00E07E79" w:rsidRPr="0059765D">
              <w:rPr>
                <w:noProof/>
                <w:webHidden/>
                <w:sz w:val="24"/>
                <w:szCs w:val="24"/>
              </w:rPr>
            </w:r>
            <w:r w:rsidR="00E07E79" w:rsidRPr="0059765D">
              <w:rPr>
                <w:noProof/>
                <w:webHidden/>
                <w:sz w:val="24"/>
                <w:szCs w:val="24"/>
              </w:rPr>
              <w:fldChar w:fldCharType="separate"/>
            </w:r>
            <w:r w:rsidR="000546C0">
              <w:rPr>
                <w:noProof/>
                <w:webHidden/>
                <w:sz w:val="24"/>
                <w:szCs w:val="24"/>
              </w:rPr>
              <w:t>20</w:t>
            </w:r>
            <w:r w:rsidR="00E07E79" w:rsidRPr="0059765D">
              <w:rPr>
                <w:noProof/>
                <w:webHidden/>
                <w:sz w:val="24"/>
                <w:szCs w:val="24"/>
              </w:rPr>
              <w:fldChar w:fldCharType="end"/>
            </w:r>
          </w:hyperlink>
        </w:p>
        <w:p w14:paraId="7974DE13" w14:textId="10BBBEAE" w:rsidR="00350B76" w:rsidRPr="0059765D" w:rsidRDefault="00765F69" w:rsidP="0059765D">
          <w:pPr>
            <w:pStyle w:val="29"/>
            <w:rPr>
              <w:noProof/>
              <w:sz w:val="24"/>
              <w:szCs w:val="24"/>
            </w:rPr>
          </w:pPr>
          <w:hyperlink w:anchor="_Toc202877436" w:history="1">
            <w:r w:rsidR="00350B76" w:rsidRPr="0059765D">
              <w:rPr>
                <w:rStyle w:val="afd"/>
                <w:rFonts w:eastAsiaTheme="majorEastAsia" w:cs="Times New Roman"/>
                <w:noProof/>
                <w:sz w:val="24"/>
                <w:szCs w:val="24"/>
              </w:rPr>
              <w:t>2.2 Физикальное обследование</w:t>
            </w:r>
            <w:r w:rsidR="00350B76" w:rsidRPr="0059765D">
              <w:rPr>
                <w:noProof/>
                <w:webHidden/>
                <w:sz w:val="24"/>
                <w:szCs w:val="24"/>
              </w:rPr>
              <w:tab/>
            </w:r>
            <w:r w:rsidR="00E07E79" w:rsidRPr="0059765D">
              <w:rPr>
                <w:noProof/>
                <w:webHidden/>
                <w:sz w:val="24"/>
                <w:szCs w:val="24"/>
              </w:rPr>
              <w:fldChar w:fldCharType="begin"/>
            </w:r>
            <w:r w:rsidR="00350B76" w:rsidRPr="0059765D">
              <w:rPr>
                <w:noProof/>
                <w:webHidden/>
                <w:sz w:val="24"/>
                <w:szCs w:val="24"/>
              </w:rPr>
              <w:instrText xml:space="preserve"> PAGEREF _Toc202877436 \h </w:instrText>
            </w:r>
            <w:r w:rsidR="00E07E79" w:rsidRPr="0059765D">
              <w:rPr>
                <w:noProof/>
                <w:webHidden/>
                <w:sz w:val="24"/>
                <w:szCs w:val="24"/>
              </w:rPr>
            </w:r>
            <w:r w:rsidR="00E07E79" w:rsidRPr="0059765D">
              <w:rPr>
                <w:noProof/>
                <w:webHidden/>
                <w:sz w:val="24"/>
                <w:szCs w:val="24"/>
              </w:rPr>
              <w:fldChar w:fldCharType="separate"/>
            </w:r>
            <w:r w:rsidR="000546C0">
              <w:rPr>
                <w:noProof/>
                <w:webHidden/>
                <w:sz w:val="24"/>
                <w:szCs w:val="24"/>
              </w:rPr>
              <w:t>20</w:t>
            </w:r>
            <w:r w:rsidR="00E07E79" w:rsidRPr="0059765D">
              <w:rPr>
                <w:noProof/>
                <w:webHidden/>
                <w:sz w:val="24"/>
                <w:szCs w:val="24"/>
              </w:rPr>
              <w:fldChar w:fldCharType="end"/>
            </w:r>
          </w:hyperlink>
        </w:p>
        <w:p w14:paraId="137864CF" w14:textId="3BAB1DF6" w:rsidR="00350B76" w:rsidRPr="0059765D" w:rsidRDefault="00765F69" w:rsidP="0059765D">
          <w:pPr>
            <w:pStyle w:val="29"/>
            <w:rPr>
              <w:noProof/>
              <w:sz w:val="24"/>
              <w:szCs w:val="24"/>
            </w:rPr>
          </w:pPr>
          <w:hyperlink w:anchor="_Toc202877437" w:history="1">
            <w:r w:rsidR="00350B76" w:rsidRPr="0059765D">
              <w:rPr>
                <w:rStyle w:val="afd"/>
                <w:rFonts w:eastAsiaTheme="majorEastAsia" w:cs="Times New Roman"/>
                <w:noProof/>
                <w:sz w:val="24"/>
                <w:szCs w:val="24"/>
              </w:rPr>
              <w:t>2.3</w:t>
            </w:r>
            <w:r w:rsidR="00350B76" w:rsidRPr="0059765D">
              <w:rPr>
                <w:noProof/>
                <w:sz w:val="24"/>
                <w:szCs w:val="24"/>
              </w:rPr>
              <w:t xml:space="preserve"> </w:t>
            </w:r>
            <w:r w:rsidR="00350B76" w:rsidRPr="0059765D">
              <w:rPr>
                <w:rStyle w:val="afd"/>
                <w:rFonts w:eastAsiaTheme="majorEastAsia" w:cs="Times New Roman"/>
                <w:noProof/>
                <w:sz w:val="24"/>
                <w:szCs w:val="24"/>
              </w:rPr>
              <w:t>Лабораторная диагностика</w:t>
            </w:r>
            <w:r w:rsidR="00350B76" w:rsidRPr="0059765D">
              <w:rPr>
                <w:noProof/>
                <w:webHidden/>
                <w:sz w:val="24"/>
                <w:szCs w:val="24"/>
              </w:rPr>
              <w:tab/>
            </w:r>
            <w:r w:rsidR="00E07E79" w:rsidRPr="0059765D">
              <w:rPr>
                <w:noProof/>
                <w:webHidden/>
                <w:sz w:val="24"/>
                <w:szCs w:val="24"/>
              </w:rPr>
              <w:fldChar w:fldCharType="begin"/>
            </w:r>
            <w:r w:rsidR="00350B76" w:rsidRPr="0059765D">
              <w:rPr>
                <w:noProof/>
                <w:webHidden/>
                <w:sz w:val="24"/>
                <w:szCs w:val="24"/>
              </w:rPr>
              <w:instrText xml:space="preserve"> PAGEREF _Toc202877437 \h </w:instrText>
            </w:r>
            <w:r w:rsidR="00E07E79" w:rsidRPr="0059765D">
              <w:rPr>
                <w:noProof/>
                <w:webHidden/>
                <w:sz w:val="24"/>
                <w:szCs w:val="24"/>
              </w:rPr>
            </w:r>
            <w:r w:rsidR="00E07E79" w:rsidRPr="0059765D">
              <w:rPr>
                <w:noProof/>
                <w:webHidden/>
                <w:sz w:val="24"/>
                <w:szCs w:val="24"/>
              </w:rPr>
              <w:fldChar w:fldCharType="separate"/>
            </w:r>
            <w:r w:rsidR="000546C0">
              <w:rPr>
                <w:noProof/>
                <w:webHidden/>
                <w:sz w:val="24"/>
                <w:szCs w:val="24"/>
              </w:rPr>
              <w:t>21</w:t>
            </w:r>
            <w:r w:rsidR="00E07E79" w:rsidRPr="0059765D">
              <w:rPr>
                <w:noProof/>
                <w:webHidden/>
                <w:sz w:val="24"/>
                <w:szCs w:val="24"/>
              </w:rPr>
              <w:fldChar w:fldCharType="end"/>
            </w:r>
          </w:hyperlink>
        </w:p>
        <w:p w14:paraId="0CC00DE1" w14:textId="2E02A393" w:rsidR="00350B76" w:rsidRPr="0059765D" w:rsidRDefault="00765F69" w:rsidP="0059765D">
          <w:pPr>
            <w:pStyle w:val="29"/>
            <w:rPr>
              <w:noProof/>
              <w:sz w:val="24"/>
              <w:szCs w:val="24"/>
            </w:rPr>
          </w:pPr>
          <w:hyperlink w:anchor="_Toc202877438" w:history="1">
            <w:r w:rsidR="00350B76" w:rsidRPr="0059765D">
              <w:rPr>
                <w:rStyle w:val="afd"/>
                <w:rFonts w:cs="Times New Roman"/>
                <w:noProof/>
                <w:sz w:val="24"/>
                <w:szCs w:val="24"/>
              </w:rPr>
              <w:t>2.4 Инструментальная диагностика</w:t>
            </w:r>
            <w:r w:rsidR="00350B76" w:rsidRPr="0059765D">
              <w:rPr>
                <w:noProof/>
                <w:webHidden/>
                <w:sz w:val="24"/>
                <w:szCs w:val="24"/>
              </w:rPr>
              <w:tab/>
            </w:r>
            <w:r w:rsidR="00E07E79" w:rsidRPr="0059765D">
              <w:rPr>
                <w:noProof/>
                <w:webHidden/>
                <w:sz w:val="24"/>
                <w:szCs w:val="24"/>
              </w:rPr>
              <w:fldChar w:fldCharType="begin"/>
            </w:r>
            <w:r w:rsidR="00350B76" w:rsidRPr="0059765D">
              <w:rPr>
                <w:noProof/>
                <w:webHidden/>
                <w:sz w:val="24"/>
                <w:szCs w:val="24"/>
              </w:rPr>
              <w:instrText xml:space="preserve"> PAGEREF _Toc202877438 \h </w:instrText>
            </w:r>
            <w:r w:rsidR="00E07E79" w:rsidRPr="0059765D">
              <w:rPr>
                <w:noProof/>
                <w:webHidden/>
                <w:sz w:val="24"/>
                <w:szCs w:val="24"/>
              </w:rPr>
            </w:r>
            <w:r w:rsidR="00E07E79" w:rsidRPr="0059765D">
              <w:rPr>
                <w:noProof/>
                <w:webHidden/>
                <w:sz w:val="24"/>
                <w:szCs w:val="24"/>
              </w:rPr>
              <w:fldChar w:fldCharType="separate"/>
            </w:r>
            <w:r w:rsidR="000546C0">
              <w:rPr>
                <w:noProof/>
                <w:webHidden/>
                <w:sz w:val="24"/>
                <w:szCs w:val="24"/>
              </w:rPr>
              <w:t>24</w:t>
            </w:r>
            <w:r w:rsidR="00E07E79" w:rsidRPr="0059765D">
              <w:rPr>
                <w:noProof/>
                <w:webHidden/>
                <w:sz w:val="24"/>
                <w:szCs w:val="24"/>
              </w:rPr>
              <w:fldChar w:fldCharType="end"/>
            </w:r>
          </w:hyperlink>
        </w:p>
        <w:p w14:paraId="3EE11873" w14:textId="50D6539F" w:rsidR="00350B76" w:rsidRPr="0059765D" w:rsidRDefault="00765F69" w:rsidP="0059765D">
          <w:pPr>
            <w:pStyle w:val="29"/>
            <w:rPr>
              <w:noProof/>
              <w:sz w:val="24"/>
              <w:szCs w:val="24"/>
            </w:rPr>
          </w:pPr>
          <w:hyperlink w:anchor="_Toc202877439" w:history="1">
            <w:r w:rsidR="00350B76" w:rsidRPr="0059765D">
              <w:rPr>
                <w:rStyle w:val="afd"/>
                <w:rFonts w:eastAsiaTheme="majorEastAsia" w:cs="Times New Roman"/>
                <w:noProof/>
                <w:sz w:val="24"/>
                <w:szCs w:val="24"/>
              </w:rPr>
              <w:t>2.5 Иная диагностика</w:t>
            </w:r>
            <w:r w:rsidR="00350B76" w:rsidRPr="0059765D">
              <w:rPr>
                <w:noProof/>
                <w:webHidden/>
                <w:sz w:val="24"/>
                <w:szCs w:val="24"/>
              </w:rPr>
              <w:tab/>
            </w:r>
            <w:r w:rsidR="00E07E79" w:rsidRPr="0059765D">
              <w:rPr>
                <w:noProof/>
                <w:webHidden/>
                <w:sz w:val="24"/>
                <w:szCs w:val="24"/>
              </w:rPr>
              <w:fldChar w:fldCharType="begin"/>
            </w:r>
            <w:r w:rsidR="00350B76" w:rsidRPr="0059765D">
              <w:rPr>
                <w:noProof/>
                <w:webHidden/>
                <w:sz w:val="24"/>
                <w:szCs w:val="24"/>
              </w:rPr>
              <w:instrText xml:space="preserve"> PAGEREF _Toc202877439 \h </w:instrText>
            </w:r>
            <w:r w:rsidR="00E07E79" w:rsidRPr="0059765D">
              <w:rPr>
                <w:noProof/>
                <w:webHidden/>
                <w:sz w:val="24"/>
                <w:szCs w:val="24"/>
              </w:rPr>
            </w:r>
            <w:r w:rsidR="00E07E79" w:rsidRPr="0059765D">
              <w:rPr>
                <w:noProof/>
                <w:webHidden/>
                <w:sz w:val="24"/>
                <w:szCs w:val="24"/>
              </w:rPr>
              <w:fldChar w:fldCharType="separate"/>
            </w:r>
            <w:r w:rsidR="000546C0">
              <w:rPr>
                <w:noProof/>
                <w:webHidden/>
                <w:sz w:val="24"/>
                <w:szCs w:val="24"/>
              </w:rPr>
              <w:t>27</w:t>
            </w:r>
            <w:r w:rsidR="00E07E79" w:rsidRPr="0059765D">
              <w:rPr>
                <w:noProof/>
                <w:webHidden/>
                <w:sz w:val="24"/>
                <w:szCs w:val="24"/>
              </w:rPr>
              <w:fldChar w:fldCharType="end"/>
            </w:r>
          </w:hyperlink>
        </w:p>
        <w:p w14:paraId="5C73D7F4" w14:textId="0A3A038B" w:rsidR="00350B76" w:rsidRPr="0059765D" w:rsidRDefault="00765F69" w:rsidP="0059765D">
          <w:pPr>
            <w:pStyle w:val="15"/>
            <w:tabs>
              <w:tab w:val="right" w:leader="dot" w:pos="9338"/>
            </w:tabs>
            <w:spacing w:line="360" w:lineRule="auto"/>
            <w:rPr>
              <w:rFonts w:cs="Times New Roman"/>
              <w:noProof/>
              <w:sz w:val="24"/>
              <w:szCs w:val="24"/>
            </w:rPr>
          </w:pPr>
          <w:hyperlink w:anchor="_Toc202877440" w:history="1">
            <w:r w:rsidR="00350B76" w:rsidRPr="0059765D">
              <w:rPr>
                <w:rStyle w:val="afd"/>
                <w:rFonts w:cs="Times New Roman"/>
                <w:noProof/>
                <w:sz w:val="24"/>
                <w:szCs w:val="24"/>
              </w:rPr>
              <w:t>3.Лечение</w:t>
            </w:r>
            <w:r w:rsidR="00350B76" w:rsidRPr="0059765D">
              <w:rPr>
                <w:rFonts w:cs="Times New Roman"/>
                <w:noProof/>
                <w:webHidden/>
                <w:sz w:val="24"/>
                <w:szCs w:val="24"/>
              </w:rPr>
              <w:tab/>
            </w:r>
            <w:r w:rsidR="00E07E79" w:rsidRPr="0059765D">
              <w:rPr>
                <w:rFonts w:cs="Times New Roman"/>
                <w:noProof/>
                <w:webHidden/>
                <w:sz w:val="24"/>
                <w:szCs w:val="24"/>
              </w:rPr>
              <w:fldChar w:fldCharType="begin"/>
            </w:r>
            <w:r w:rsidR="00350B76" w:rsidRPr="0059765D">
              <w:rPr>
                <w:rFonts w:cs="Times New Roman"/>
                <w:noProof/>
                <w:webHidden/>
                <w:sz w:val="24"/>
                <w:szCs w:val="24"/>
              </w:rPr>
              <w:instrText xml:space="preserve"> PAGEREF _Toc202877440 \h </w:instrText>
            </w:r>
            <w:r w:rsidR="00E07E79" w:rsidRPr="0059765D">
              <w:rPr>
                <w:rFonts w:cs="Times New Roman"/>
                <w:noProof/>
                <w:webHidden/>
                <w:sz w:val="24"/>
                <w:szCs w:val="24"/>
              </w:rPr>
            </w:r>
            <w:r w:rsidR="00E07E79" w:rsidRPr="0059765D">
              <w:rPr>
                <w:rFonts w:cs="Times New Roman"/>
                <w:noProof/>
                <w:webHidden/>
                <w:sz w:val="24"/>
                <w:szCs w:val="24"/>
              </w:rPr>
              <w:fldChar w:fldCharType="separate"/>
            </w:r>
            <w:r w:rsidR="000546C0">
              <w:rPr>
                <w:rFonts w:cs="Times New Roman"/>
                <w:noProof/>
                <w:webHidden/>
                <w:sz w:val="24"/>
                <w:szCs w:val="24"/>
              </w:rPr>
              <w:t>36</w:t>
            </w:r>
            <w:r w:rsidR="00E07E79" w:rsidRPr="0059765D">
              <w:rPr>
                <w:rFonts w:cs="Times New Roman"/>
                <w:noProof/>
                <w:webHidden/>
                <w:sz w:val="24"/>
                <w:szCs w:val="24"/>
              </w:rPr>
              <w:fldChar w:fldCharType="end"/>
            </w:r>
          </w:hyperlink>
        </w:p>
        <w:p w14:paraId="6330A639" w14:textId="08D46C24" w:rsidR="00350B76" w:rsidRPr="0059765D" w:rsidRDefault="00765F69" w:rsidP="0059765D">
          <w:pPr>
            <w:pStyle w:val="29"/>
            <w:rPr>
              <w:noProof/>
              <w:sz w:val="24"/>
              <w:szCs w:val="24"/>
            </w:rPr>
          </w:pPr>
          <w:hyperlink w:anchor="_Toc202877441" w:history="1">
            <w:r w:rsidR="00350B76" w:rsidRPr="0059765D">
              <w:rPr>
                <w:rStyle w:val="afd"/>
                <w:rFonts w:cs="Times New Roman"/>
                <w:noProof/>
                <w:sz w:val="24"/>
                <w:szCs w:val="24"/>
              </w:rPr>
              <w:t>3.1 Консервативное лечение</w:t>
            </w:r>
            <w:r w:rsidR="00350B76" w:rsidRPr="0059765D">
              <w:rPr>
                <w:noProof/>
                <w:webHidden/>
                <w:sz w:val="24"/>
                <w:szCs w:val="24"/>
              </w:rPr>
              <w:tab/>
            </w:r>
            <w:r w:rsidR="00E07E79" w:rsidRPr="0059765D">
              <w:rPr>
                <w:noProof/>
                <w:webHidden/>
                <w:sz w:val="24"/>
                <w:szCs w:val="24"/>
              </w:rPr>
              <w:fldChar w:fldCharType="begin"/>
            </w:r>
            <w:r w:rsidR="00350B76" w:rsidRPr="0059765D">
              <w:rPr>
                <w:noProof/>
                <w:webHidden/>
                <w:sz w:val="24"/>
                <w:szCs w:val="24"/>
              </w:rPr>
              <w:instrText xml:space="preserve"> PAGEREF _Toc202877441 \h </w:instrText>
            </w:r>
            <w:r w:rsidR="00E07E79" w:rsidRPr="0059765D">
              <w:rPr>
                <w:noProof/>
                <w:webHidden/>
                <w:sz w:val="24"/>
                <w:szCs w:val="24"/>
              </w:rPr>
            </w:r>
            <w:r w:rsidR="00E07E79" w:rsidRPr="0059765D">
              <w:rPr>
                <w:noProof/>
                <w:webHidden/>
                <w:sz w:val="24"/>
                <w:szCs w:val="24"/>
              </w:rPr>
              <w:fldChar w:fldCharType="separate"/>
            </w:r>
            <w:r w:rsidR="000546C0">
              <w:rPr>
                <w:noProof/>
                <w:webHidden/>
                <w:sz w:val="24"/>
                <w:szCs w:val="24"/>
              </w:rPr>
              <w:t>42</w:t>
            </w:r>
            <w:r w:rsidR="00E07E79" w:rsidRPr="0059765D">
              <w:rPr>
                <w:noProof/>
                <w:webHidden/>
                <w:sz w:val="24"/>
                <w:szCs w:val="24"/>
              </w:rPr>
              <w:fldChar w:fldCharType="end"/>
            </w:r>
          </w:hyperlink>
        </w:p>
        <w:p w14:paraId="5C65B8D7" w14:textId="78A1080C" w:rsidR="00350B76" w:rsidRPr="0059765D" w:rsidRDefault="00765F69" w:rsidP="0059765D">
          <w:pPr>
            <w:pStyle w:val="29"/>
            <w:rPr>
              <w:noProof/>
              <w:sz w:val="24"/>
              <w:szCs w:val="24"/>
            </w:rPr>
          </w:pPr>
          <w:hyperlink w:anchor="_Toc202877442" w:history="1">
            <w:r w:rsidR="00350B76" w:rsidRPr="0059765D">
              <w:rPr>
                <w:rStyle w:val="afd"/>
                <w:rFonts w:eastAsiaTheme="majorEastAsia" w:cs="Times New Roman"/>
                <w:noProof/>
                <w:sz w:val="24"/>
                <w:szCs w:val="24"/>
              </w:rPr>
              <w:t>3.2 Хирургическое лечение</w:t>
            </w:r>
            <w:r w:rsidR="00350B76" w:rsidRPr="0059765D">
              <w:rPr>
                <w:noProof/>
                <w:webHidden/>
                <w:sz w:val="24"/>
                <w:szCs w:val="24"/>
              </w:rPr>
              <w:tab/>
            </w:r>
            <w:r w:rsidR="00E07E79" w:rsidRPr="0059765D">
              <w:rPr>
                <w:noProof/>
                <w:webHidden/>
                <w:sz w:val="24"/>
                <w:szCs w:val="24"/>
              </w:rPr>
              <w:fldChar w:fldCharType="begin"/>
            </w:r>
            <w:r w:rsidR="00350B76" w:rsidRPr="0059765D">
              <w:rPr>
                <w:noProof/>
                <w:webHidden/>
                <w:sz w:val="24"/>
                <w:szCs w:val="24"/>
              </w:rPr>
              <w:instrText xml:space="preserve"> PAGEREF _Toc202877442 \h </w:instrText>
            </w:r>
            <w:r w:rsidR="00E07E79" w:rsidRPr="0059765D">
              <w:rPr>
                <w:noProof/>
                <w:webHidden/>
                <w:sz w:val="24"/>
                <w:szCs w:val="24"/>
              </w:rPr>
            </w:r>
            <w:r w:rsidR="00E07E79" w:rsidRPr="0059765D">
              <w:rPr>
                <w:noProof/>
                <w:webHidden/>
                <w:sz w:val="24"/>
                <w:szCs w:val="24"/>
              </w:rPr>
              <w:fldChar w:fldCharType="separate"/>
            </w:r>
            <w:r w:rsidR="000546C0">
              <w:rPr>
                <w:noProof/>
                <w:webHidden/>
                <w:sz w:val="24"/>
                <w:szCs w:val="24"/>
              </w:rPr>
              <w:t>127</w:t>
            </w:r>
            <w:r w:rsidR="00E07E79" w:rsidRPr="0059765D">
              <w:rPr>
                <w:noProof/>
                <w:webHidden/>
                <w:sz w:val="24"/>
                <w:szCs w:val="24"/>
              </w:rPr>
              <w:fldChar w:fldCharType="end"/>
            </w:r>
          </w:hyperlink>
        </w:p>
        <w:p w14:paraId="4570EBAB" w14:textId="2F8433B4" w:rsidR="00350B76" w:rsidRPr="0059765D" w:rsidRDefault="00765F69" w:rsidP="0059765D">
          <w:pPr>
            <w:pStyle w:val="29"/>
            <w:rPr>
              <w:noProof/>
              <w:sz w:val="24"/>
              <w:szCs w:val="24"/>
            </w:rPr>
          </w:pPr>
          <w:hyperlink w:anchor="_Toc202877443" w:history="1">
            <w:r w:rsidR="00350B76" w:rsidRPr="0059765D">
              <w:rPr>
                <w:rStyle w:val="afd"/>
                <w:rFonts w:eastAsiaTheme="majorEastAsia" w:cs="Times New Roman"/>
                <w:noProof/>
                <w:sz w:val="24"/>
                <w:szCs w:val="24"/>
              </w:rPr>
              <w:t>3.3 Иное лечение</w:t>
            </w:r>
            <w:r w:rsidR="00350B76" w:rsidRPr="0059765D">
              <w:rPr>
                <w:noProof/>
                <w:webHidden/>
                <w:sz w:val="24"/>
                <w:szCs w:val="24"/>
              </w:rPr>
              <w:tab/>
            </w:r>
            <w:r w:rsidR="00E07E79" w:rsidRPr="0059765D">
              <w:rPr>
                <w:noProof/>
                <w:webHidden/>
                <w:sz w:val="24"/>
                <w:szCs w:val="24"/>
              </w:rPr>
              <w:fldChar w:fldCharType="begin"/>
            </w:r>
            <w:r w:rsidR="00350B76" w:rsidRPr="0059765D">
              <w:rPr>
                <w:noProof/>
                <w:webHidden/>
                <w:sz w:val="24"/>
                <w:szCs w:val="24"/>
              </w:rPr>
              <w:instrText xml:space="preserve"> PAGEREF _Toc202877443 \h </w:instrText>
            </w:r>
            <w:r w:rsidR="00E07E79" w:rsidRPr="0059765D">
              <w:rPr>
                <w:noProof/>
                <w:webHidden/>
                <w:sz w:val="24"/>
                <w:szCs w:val="24"/>
              </w:rPr>
            </w:r>
            <w:r w:rsidR="00E07E79" w:rsidRPr="0059765D">
              <w:rPr>
                <w:noProof/>
                <w:webHidden/>
                <w:sz w:val="24"/>
                <w:szCs w:val="24"/>
              </w:rPr>
              <w:fldChar w:fldCharType="separate"/>
            </w:r>
            <w:r w:rsidR="000546C0">
              <w:rPr>
                <w:noProof/>
                <w:webHidden/>
                <w:sz w:val="24"/>
                <w:szCs w:val="24"/>
              </w:rPr>
              <w:t>127</w:t>
            </w:r>
            <w:r w:rsidR="00E07E79" w:rsidRPr="0059765D">
              <w:rPr>
                <w:noProof/>
                <w:webHidden/>
                <w:sz w:val="24"/>
                <w:szCs w:val="24"/>
              </w:rPr>
              <w:fldChar w:fldCharType="end"/>
            </w:r>
          </w:hyperlink>
        </w:p>
        <w:p w14:paraId="180DD79D" w14:textId="55F0CB03" w:rsidR="00350B76" w:rsidRPr="0059765D" w:rsidRDefault="00765F69" w:rsidP="0059765D">
          <w:pPr>
            <w:pStyle w:val="15"/>
            <w:tabs>
              <w:tab w:val="right" w:leader="dot" w:pos="9338"/>
            </w:tabs>
            <w:spacing w:line="360" w:lineRule="auto"/>
            <w:rPr>
              <w:rFonts w:cs="Times New Roman"/>
              <w:noProof/>
              <w:sz w:val="24"/>
              <w:szCs w:val="24"/>
            </w:rPr>
          </w:pPr>
          <w:hyperlink w:anchor="_Toc202877444" w:history="1">
            <w:r w:rsidR="00350B76" w:rsidRPr="0059765D">
              <w:rPr>
                <w:rStyle w:val="afd"/>
                <w:rFonts w:cs="Times New Roman"/>
                <w:noProof/>
                <w:sz w:val="24"/>
                <w:szCs w:val="24"/>
              </w:rPr>
              <w:t>4.Реабилитация</w:t>
            </w:r>
            <w:r w:rsidR="00350B76" w:rsidRPr="0059765D">
              <w:rPr>
                <w:rFonts w:cs="Times New Roman"/>
                <w:noProof/>
                <w:webHidden/>
                <w:sz w:val="24"/>
                <w:szCs w:val="24"/>
              </w:rPr>
              <w:tab/>
            </w:r>
            <w:r w:rsidR="00E07E79" w:rsidRPr="0059765D">
              <w:rPr>
                <w:rFonts w:cs="Times New Roman"/>
                <w:noProof/>
                <w:webHidden/>
                <w:sz w:val="24"/>
                <w:szCs w:val="24"/>
              </w:rPr>
              <w:fldChar w:fldCharType="begin"/>
            </w:r>
            <w:r w:rsidR="00350B76" w:rsidRPr="0059765D">
              <w:rPr>
                <w:rFonts w:cs="Times New Roman"/>
                <w:noProof/>
                <w:webHidden/>
                <w:sz w:val="24"/>
                <w:szCs w:val="24"/>
              </w:rPr>
              <w:instrText xml:space="preserve"> PAGEREF _Toc202877444 \h </w:instrText>
            </w:r>
            <w:r w:rsidR="00E07E79" w:rsidRPr="0059765D">
              <w:rPr>
                <w:rFonts w:cs="Times New Roman"/>
                <w:noProof/>
                <w:webHidden/>
                <w:sz w:val="24"/>
                <w:szCs w:val="24"/>
              </w:rPr>
            </w:r>
            <w:r w:rsidR="00E07E79" w:rsidRPr="0059765D">
              <w:rPr>
                <w:rFonts w:cs="Times New Roman"/>
                <w:noProof/>
                <w:webHidden/>
                <w:sz w:val="24"/>
                <w:szCs w:val="24"/>
              </w:rPr>
              <w:fldChar w:fldCharType="separate"/>
            </w:r>
            <w:r w:rsidR="000546C0">
              <w:rPr>
                <w:rFonts w:cs="Times New Roman"/>
                <w:noProof/>
                <w:webHidden/>
                <w:sz w:val="24"/>
                <w:szCs w:val="24"/>
              </w:rPr>
              <w:t>130</w:t>
            </w:r>
            <w:r w:rsidR="00E07E79" w:rsidRPr="0059765D">
              <w:rPr>
                <w:rFonts w:cs="Times New Roman"/>
                <w:noProof/>
                <w:webHidden/>
                <w:sz w:val="24"/>
                <w:szCs w:val="24"/>
              </w:rPr>
              <w:fldChar w:fldCharType="end"/>
            </w:r>
          </w:hyperlink>
        </w:p>
        <w:p w14:paraId="6615695D" w14:textId="1E666DAF" w:rsidR="00350B76" w:rsidRPr="0059765D" w:rsidRDefault="00765F69" w:rsidP="0059765D">
          <w:pPr>
            <w:pStyle w:val="15"/>
            <w:tabs>
              <w:tab w:val="right" w:leader="dot" w:pos="9338"/>
            </w:tabs>
            <w:spacing w:line="360" w:lineRule="auto"/>
            <w:rPr>
              <w:rFonts w:cs="Times New Roman"/>
              <w:noProof/>
              <w:sz w:val="24"/>
              <w:szCs w:val="24"/>
            </w:rPr>
          </w:pPr>
          <w:hyperlink w:anchor="_Toc202877445" w:history="1">
            <w:r w:rsidR="00350B76" w:rsidRPr="0059765D">
              <w:rPr>
                <w:rStyle w:val="afd"/>
                <w:rFonts w:eastAsiaTheme="majorEastAsia" w:cs="Times New Roman"/>
                <w:noProof/>
                <w:sz w:val="24"/>
                <w:szCs w:val="24"/>
              </w:rPr>
              <w:t>5.Профилактика и диспансерное наблюдение</w:t>
            </w:r>
            <w:r w:rsidR="00350B76" w:rsidRPr="0059765D">
              <w:rPr>
                <w:rFonts w:cs="Times New Roman"/>
                <w:noProof/>
                <w:webHidden/>
                <w:sz w:val="24"/>
                <w:szCs w:val="24"/>
              </w:rPr>
              <w:tab/>
            </w:r>
            <w:r w:rsidR="00E07E79" w:rsidRPr="0059765D">
              <w:rPr>
                <w:rFonts w:cs="Times New Roman"/>
                <w:noProof/>
                <w:webHidden/>
                <w:sz w:val="24"/>
                <w:szCs w:val="24"/>
              </w:rPr>
              <w:fldChar w:fldCharType="begin"/>
            </w:r>
            <w:r w:rsidR="00350B76" w:rsidRPr="0059765D">
              <w:rPr>
                <w:rFonts w:cs="Times New Roman"/>
                <w:noProof/>
                <w:webHidden/>
                <w:sz w:val="24"/>
                <w:szCs w:val="24"/>
              </w:rPr>
              <w:instrText xml:space="preserve"> PAGEREF _Toc202877445 \h </w:instrText>
            </w:r>
            <w:r w:rsidR="00E07E79" w:rsidRPr="0059765D">
              <w:rPr>
                <w:rFonts w:cs="Times New Roman"/>
                <w:noProof/>
                <w:webHidden/>
                <w:sz w:val="24"/>
                <w:szCs w:val="24"/>
              </w:rPr>
            </w:r>
            <w:r w:rsidR="00E07E79" w:rsidRPr="0059765D">
              <w:rPr>
                <w:rFonts w:cs="Times New Roman"/>
                <w:noProof/>
                <w:webHidden/>
                <w:sz w:val="24"/>
                <w:szCs w:val="24"/>
              </w:rPr>
              <w:fldChar w:fldCharType="separate"/>
            </w:r>
            <w:r w:rsidR="000546C0">
              <w:rPr>
                <w:rFonts w:cs="Times New Roman"/>
                <w:noProof/>
                <w:webHidden/>
                <w:sz w:val="24"/>
                <w:szCs w:val="24"/>
              </w:rPr>
              <w:t>133</w:t>
            </w:r>
            <w:r w:rsidR="00E07E79" w:rsidRPr="0059765D">
              <w:rPr>
                <w:rFonts w:cs="Times New Roman"/>
                <w:noProof/>
                <w:webHidden/>
                <w:sz w:val="24"/>
                <w:szCs w:val="24"/>
              </w:rPr>
              <w:fldChar w:fldCharType="end"/>
            </w:r>
          </w:hyperlink>
        </w:p>
        <w:p w14:paraId="5E7811FD" w14:textId="13F6FC57" w:rsidR="00350B76" w:rsidRPr="0059765D" w:rsidRDefault="00765F69" w:rsidP="0059765D">
          <w:pPr>
            <w:pStyle w:val="15"/>
            <w:tabs>
              <w:tab w:val="right" w:leader="dot" w:pos="9338"/>
            </w:tabs>
            <w:spacing w:line="360" w:lineRule="auto"/>
            <w:rPr>
              <w:rFonts w:cs="Times New Roman"/>
              <w:noProof/>
              <w:sz w:val="24"/>
              <w:szCs w:val="24"/>
            </w:rPr>
          </w:pPr>
          <w:hyperlink w:anchor="_Toc202877446" w:history="1">
            <w:r w:rsidR="00350B76" w:rsidRPr="0059765D">
              <w:rPr>
                <w:rStyle w:val="afd"/>
                <w:rFonts w:eastAsiaTheme="majorEastAsia" w:cs="Times New Roman"/>
                <w:noProof/>
                <w:sz w:val="24"/>
                <w:szCs w:val="24"/>
              </w:rPr>
              <w:t>6.Организация медицинской помощи</w:t>
            </w:r>
            <w:r w:rsidR="00350B76" w:rsidRPr="0059765D">
              <w:rPr>
                <w:rFonts w:cs="Times New Roman"/>
                <w:noProof/>
                <w:webHidden/>
                <w:sz w:val="24"/>
                <w:szCs w:val="24"/>
              </w:rPr>
              <w:tab/>
            </w:r>
            <w:r w:rsidR="00E07E79" w:rsidRPr="0059765D">
              <w:rPr>
                <w:rFonts w:cs="Times New Roman"/>
                <w:noProof/>
                <w:webHidden/>
                <w:sz w:val="24"/>
                <w:szCs w:val="24"/>
              </w:rPr>
              <w:fldChar w:fldCharType="begin"/>
            </w:r>
            <w:r w:rsidR="00350B76" w:rsidRPr="0059765D">
              <w:rPr>
                <w:rFonts w:cs="Times New Roman"/>
                <w:noProof/>
                <w:webHidden/>
                <w:sz w:val="24"/>
                <w:szCs w:val="24"/>
              </w:rPr>
              <w:instrText xml:space="preserve"> PAGEREF _Toc202877446 \h </w:instrText>
            </w:r>
            <w:r w:rsidR="00E07E79" w:rsidRPr="0059765D">
              <w:rPr>
                <w:rFonts w:cs="Times New Roman"/>
                <w:noProof/>
                <w:webHidden/>
                <w:sz w:val="24"/>
                <w:szCs w:val="24"/>
              </w:rPr>
            </w:r>
            <w:r w:rsidR="00E07E79" w:rsidRPr="0059765D">
              <w:rPr>
                <w:rFonts w:cs="Times New Roman"/>
                <w:noProof/>
                <w:webHidden/>
                <w:sz w:val="24"/>
                <w:szCs w:val="24"/>
              </w:rPr>
              <w:fldChar w:fldCharType="separate"/>
            </w:r>
            <w:r w:rsidR="000546C0">
              <w:rPr>
                <w:rFonts w:cs="Times New Roman"/>
                <w:noProof/>
                <w:webHidden/>
                <w:sz w:val="24"/>
                <w:szCs w:val="24"/>
              </w:rPr>
              <w:t>138</w:t>
            </w:r>
            <w:r w:rsidR="00E07E79" w:rsidRPr="0059765D">
              <w:rPr>
                <w:rFonts w:cs="Times New Roman"/>
                <w:noProof/>
                <w:webHidden/>
                <w:sz w:val="24"/>
                <w:szCs w:val="24"/>
              </w:rPr>
              <w:fldChar w:fldCharType="end"/>
            </w:r>
          </w:hyperlink>
        </w:p>
        <w:p w14:paraId="3F5704C1" w14:textId="4EEDF69C" w:rsidR="00350B76" w:rsidRPr="0059765D" w:rsidRDefault="00765F69" w:rsidP="0059765D">
          <w:pPr>
            <w:pStyle w:val="15"/>
            <w:tabs>
              <w:tab w:val="right" w:leader="dot" w:pos="9338"/>
            </w:tabs>
            <w:spacing w:line="360" w:lineRule="auto"/>
            <w:rPr>
              <w:rFonts w:cs="Times New Roman"/>
              <w:noProof/>
              <w:sz w:val="24"/>
              <w:szCs w:val="24"/>
            </w:rPr>
          </w:pPr>
          <w:hyperlink w:anchor="_Toc202877447" w:history="1">
            <w:r w:rsidR="00350B76" w:rsidRPr="0059765D">
              <w:rPr>
                <w:rStyle w:val="afd"/>
                <w:rFonts w:cs="Times New Roman"/>
                <w:noProof/>
                <w:sz w:val="24"/>
                <w:szCs w:val="24"/>
              </w:rPr>
              <w:t>7.Дополнительная информация, влияющая на исход заболевания/синдрома</w:t>
            </w:r>
            <w:r w:rsidR="00350B76" w:rsidRPr="0059765D">
              <w:rPr>
                <w:rFonts w:cs="Times New Roman"/>
                <w:noProof/>
                <w:webHidden/>
                <w:sz w:val="24"/>
                <w:szCs w:val="24"/>
              </w:rPr>
              <w:tab/>
            </w:r>
            <w:r w:rsidR="00E07E79" w:rsidRPr="0059765D">
              <w:rPr>
                <w:rFonts w:cs="Times New Roman"/>
                <w:noProof/>
                <w:webHidden/>
                <w:sz w:val="24"/>
                <w:szCs w:val="24"/>
              </w:rPr>
              <w:fldChar w:fldCharType="begin"/>
            </w:r>
            <w:r w:rsidR="00350B76" w:rsidRPr="0059765D">
              <w:rPr>
                <w:rFonts w:cs="Times New Roman"/>
                <w:noProof/>
                <w:webHidden/>
                <w:sz w:val="24"/>
                <w:szCs w:val="24"/>
              </w:rPr>
              <w:instrText xml:space="preserve"> PAGEREF _Toc202877447 \h </w:instrText>
            </w:r>
            <w:r w:rsidR="00E07E79" w:rsidRPr="0059765D">
              <w:rPr>
                <w:rFonts w:cs="Times New Roman"/>
                <w:noProof/>
                <w:webHidden/>
                <w:sz w:val="24"/>
                <w:szCs w:val="24"/>
              </w:rPr>
            </w:r>
            <w:r w:rsidR="00E07E79" w:rsidRPr="0059765D">
              <w:rPr>
                <w:rFonts w:cs="Times New Roman"/>
                <w:noProof/>
                <w:webHidden/>
                <w:sz w:val="24"/>
                <w:szCs w:val="24"/>
              </w:rPr>
              <w:fldChar w:fldCharType="separate"/>
            </w:r>
            <w:r w:rsidR="000546C0">
              <w:rPr>
                <w:rFonts w:cs="Times New Roman"/>
                <w:noProof/>
                <w:webHidden/>
                <w:sz w:val="24"/>
                <w:szCs w:val="24"/>
              </w:rPr>
              <w:t>139</w:t>
            </w:r>
            <w:r w:rsidR="00E07E79" w:rsidRPr="0059765D">
              <w:rPr>
                <w:rFonts w:cs="Times New Roman"/>
                <w:noProof/>
                <w:webHidden/>
                <w:sz w:val="24"/>
                <w:szCs w:val="24"/>
              </w:rPr>
              <w:fldChar w:fldCharType="end"/>
            </w:r>
          </w:hyperlink>
        </w:p>
        <w:p w14:paraId="085E44E5" w14:textId="0ADAD9F0" w:rsidR="00350B76" w:rsidRPr="0059765D" w:rsidRDefault="00765F69" w:rsidP="0059765D">
          <w:pPr>
            <w:pStyle w:val="15"/>
            <w:tabs>
              <w:tab w:val="right" w:leader="dot" w:pos="9338"/>
            </w:tabs>
            <w:spacing w:line="360" w:lineRule="auto"/>
            <w:rPr>
              <w:rFonts w:cs="Times New Roman"/>
              <w:noProof/>
              <w:sz w:val="24"/>
              <w:szCs w:val="24"/>
            </w:rPr>
          </w:pPr>
          <w:hyperlink w:anchor="_Toc202877448" w:history="1">
            <w:r w:rsidR="00350B76" w:rsidRPr="0059765D">
              <w:rPr>
                <w:rStyle w:val="afd"/>
                <w:rFonts w:eastAsiaTheme="majorEastAsia" w:cs="Times New Roman"/>
                <w:noProof/>
                <w:sz w:val="24"/>
                <w:szCs w:val="24"/>
              </w:rPr>
              <w:t>Критерии оценки качества медицинской помощи</w:t>
            </w:r>
            <w:r w:rsidR="00350B76" w:rsidRPr="0059765D">
              <w:rPr>
                <w:rFonts w:cs="Times New Roman"/>
                <w:noProof/>
                <w:webHidden/>
                <w:sz w:val="24"/>
                <w:szCs w:val="24"/>
              </w:rPr>
              <w:tab/>
            </w:r>
            <w:r w:rsidR="00E07E79" w:rsidRPr="0059765D">
              <w:rPr>
                <w:rFonts w:cs="Times New Roman"/>
                <w:noProof/>
                <w:webHidden/>
                <w:sz w:val="24"/>
                <w:szCs w:val="24"/>
              </w:rPr>
              <w:fldChar w:fldCharType="begin"/>
            </w:r>
            <w:r w:rsidR="00350B76" w:rsidRPr="0059765D">
              <w:rPr>
                <w:rFonts w:cs="Times New Roman"/>
                <w:noProof/>
                <w:webHidden/>
                <w:sz w:val="24"/>
                <w:szCs w:val="24"/>
              </w:rPr>
              <w:instrText xml:space="preserve"> PAGEREF _Toc202877448 \h </w:instrText>
            </w:r>
            <w:r w:rsidR="00E07E79" w:rsidRPr="0059765D">
              <w:rPr>
                <w:rFonts w:cs="Times New Roman"/>
                <w:noProof/>
                <w:webHidden/>
                <w:sz w:val="24"/>
                <w:szCs w:val="24"/>
              </w:rPr>
            </w:r>
            <w:r w:rsidR="00E07E79" w:rsidRPr="0059765D">
              <w:rPr>
                <w:rFonts w:cs="Times New Roman"/>
                <w:noProof/>
                <w:webHidden/>
                <w:sz w:val="24"/>
                <w:szCs w:val="24"/>
              </w:rPr>
              <w:fldChar w:fldCharType="separate"/>
            </w:r>
            <w:r w:rsidR="000546C0">
              <w:rPr>
                <w:rFonts w:cs="Times New Roman"/>
                <w:noProof/>
                <w:webHidden/>
                <w:sz w:val="24"/>
                <w:szCs w:val="24"/>
              </w:rPr>
              <w:t>139</w:t>
            </w:r>
            <w:r w:rsidR="00E07E79" w:rsidRPr="0059765D">
              <w:rPr>
                <w:rFonts w:cs="Times New Roman"/>
                <w:noProof/>
                <w:webHidden/>
                <w:sz w:val="24"/>
                <w:szCs w:val="24"/>
              </w:rPr>
              <w:fldChar w:fldCharType="end"/>
            </w:r>
          </w:hyperlink>
        </w:p>
        <w:p w14:paraId="2385C46F" w14:textId="31C38955" w:rsidR="00350B76" w:rsidRPr="0059765D" w:rsidRDefault="00765F69" w:rsidP="0059765D">
          <w:pPr>
            <w:pStyle w:val="15"/>
            <w:tabs>
              <w:tab w:val="right" w:leader="dot" w:pos="9338"/>
            </w:tabs>
            <w:spacing w:line="360" w:lineRule="auto"/>
            <w:rPr>
              <w:rFonts w:cs="Times New Roman"/>
              <w:noProof/>
              <w:sz w:val="24"/>
              <w:szCs w:val="24"/>
            </w:rPr>
          </w:pPr>
          <w:hyperlink w:anchor="_Toc202877449" w:history="1">
            <w:r w:rsidR="00350B76" w:rsidRPr="0059765D">
              <w:rPr>
                <w:rStyle w:val="afd"/>
                <w:rFonts w:eastAsiaTheme="majorEastAsia" w:cs="Times New Roman"/>
                <w:noProof/>
                <w:sz w:val="24"/>
                <w:szCs w:val="24"/>
              </w:rPr>
              <w:t>Список литературы</w:t>
            </w:r>
            <w:r w:rsidR="00350B76" w:rsidRPr="0059765D">
              <w:rPr>
                <w:rFonts w:cs="Times New Roman"/>
                <w:noProof/>
                <w:webHidden/>
                <w:sz w:val="24"/>
                <w:szCs w:val="24"/>
              </w:rPr>
              <w:tab/>
            </w:r>
            <w:r w:rsidR="00E07E79" w:rsidRPr="0059765D">
              <w:rPr>
                <w:rFonts w:cs="Times New Roman"/>
                <w:noProof/>
                <w:webHidden/>
                <w:sz w:val="24"/>
                <w:szCs w:val="24"/>
              </w:rPr>
              <w:fldChar w:fldCharType="begin"/>
            </w:r>
            <w:r w:rsidR="00350B76" w:rsidRPr="0059765D">
              <w:rPr>
                <w:rFonts w:cs="Times New Roman"/>
                <w:noProof/>
                <w:webHidden/>
                <w:sz w:val="24"/>
                <w:szCs w:val="24"/>
              </w:rPr>
              <w:instrText xml:space="preserve"> PAGEREF _Toc202877449 \h </w:instrText>
            </w:r>
            <w:r w:rsidR="00E07E79" w:rsidRPr="0059765D">
              <w:rPr>
                <w:rFonts w:cs="Times New Roman"/>
                <w:noProof/>
                <w:webHidden/>
                <w:sz w:val="24"/>
                <w:szCs w:val="24"/>
              </w:rPr>
            </w:r>
            <w:r w:rsidR="00E07E79" w:rsidRPr="0059765D">
              <w:rPr>
                <w:rFonts w:cs="Times New Roman"/>
                <w:noProof/>
                <w:webHidden/>
                <w:sz w:val="24"/>
                <w:szCs w:val="24"/>
              </w:rPr>
              <w:fldChar w:fldCharType="separate"/>
            </w:r>
            <w:r w:rsidR="000546C0">
              <w:rPr>
                <w:rFonts w:cs="Times New Roman"/>
                <w:noProof/>
                <w:webHidden/>
                <w:sz w:val="24"/>
                <w:szCs w:val="24"/>
              </w:rPr>
              <w:t>143</w:t>
            </w:r>
            <w:r w:rsidR="00E07E79" w:rsidRPr="0059765D">
              <w:rPr>
                <w:rFonts w:cs="Times New Roman"/>
                <w:noProof/>
                <w:webHidden/>
                <w:sz w:val="24"/>
                <w:szCs w:val="24"/>
              </w:rPr>
              <w:fldChar w:fldCharType="end"/>
            </w:r>
          </w:hyperlink>
        </w:p>
        <w:p w14:paraId="5DCD957D" w14:textId="618C5FBE" w:rsidR="00350B76" w:rsidRPr="0059765D" w:rsidRDefault="00765F69" w:rsidP="0059765D">
          <w:pPr>
            <w:pStyle w:val="15"/>
            <w:tabs>
              <w:tab w:val="right" w:leader="dot" w:pos="9338"/>
            </w:tabs>
            <w:spacing w:line="360" w:lineRule="auto"/>
            <w:rPr>
              <w:rFonts w:cs="Times New Roman"/>
              <w:noProof/>
              <w:sz w:val="24"/>
              <w:szCs w:val="24"/>
            </w:rPr>
          </w:pPr>
          <w:hyperlink w:anchor="_Toc202877450" w:history="1">
            <w:r w:rsidR="00350B76" w:rsidRPr="0059765D">
              <w:rPr>
                <w:rStyle w:val="afd"/>
                <w:rFonts w:cs="Times New Roman"/>
                <w:noProof/>
                <w:sz w:val="24"/>
                <w:szCs w:val="24"/>
              </w:rPr>
              <w:t>Приложение А1. Состав Рабочей группы</w:t>
            </w:r>
            <w:r w:rsidR="00350B76" w:rsidRPr="0059765D">
              <w:rPr>
                <w:rFonts w:cs="Times New Roman"/>
                <w:noProof/>
                <w:webHidden/>
                <w:sz w:val="24"/>
                <w:szCs w:val="24"/>
              </w:rPr>
              <w:tab/>
            </w:r>
            <w:r w:rsidR="00E07E79" w:rsidRPr="0059765D">
              <w:rPr>
                <w:rFonts w:cs="Times New Roman"/>
                <w:noProof/>
                <w:webHidden/>
                <w:sz w:val="24"/>
                <w:szCs w:val="24"/>
              </w:rPr>
              <w:fldChar w:fldCharType="begin"/>
            </w:r>
            <w:r w:rsidR="00350B76" w:rsidRPr="0059765D">
              <w:rPr>
                <w:rFonts w:cs="Times New Roman"/>
                <w:noProof/>
                <w:webHidden/>
                <w:sz w:val="24"/>
                <w:szCs w:val="24"/>
              </w:rPr>
              <w:instrText xml:space="preserve"> PAGEREF _Toc202877450 \h </w:instrText>
            </w:r>
            <w:r w:rsidR="00E07E79" w:rsidRPr="0059765D">
              <w:rPr>
                <w:rFonts w:cs="Times New Roman"/>
                <w:noProof/>
                <w:webHidden/>
                <w:sz w:val="24"/>
                <w:szCs w:val="24"/>
              </w:rPr>
            </w:r>
            <w:r w:rsidR="00E07E79" w:rsidRPr="0059765D">
              <w:rPr>
                <w:rFonts w:cs="Times New Roman"/>
                <w:noProof/>
                <w:webHidden/>
                <w:sz w:val="24"/>
                <w:szCs w:val="24"/>
              </w:rPr>
              <w:fldChar w:fldCharType="separate"/>
            </w:r>
            <w:r w:rsidR="000546C0">
              <w:rPr>
                <w:rFonts w:cs="Times New Roman"/>
                <w:noProof/>
                <w:webHidden/>
                <w:sz w:val="24"/>
                <w:szCs w:val="24"/>
              </w:rPr>
              <w:t>179</w:t>
            </w:r>
            <w:r w:rsidR="00E07E79" w:rsidRPr="0059765D">
              <w:rPr>
                <w:rFonts w:cs="Times New Roman"/>
                <w:noProof/>
                <w:webHidden/>
                <w:sz w:val="24"/>
                <w:szCs w:val="24"/>
              </w:rPr>
              <w:fldChar w:fldCharType="end"/>
            </w:r>
          </w:hyperlink>
        </w:p>
        <w:p w14:paraId="32ECBAF9" w14:textId="39E3A0D9" w:rsidR="00350B76" w:rsidRPr="0059765D" w:rsidRDefault="00765F69" w:rsidP="0059765D">
          <w:pPr>
            <w:pStyle w:val="15"/>
            <w:tabs>
              <w:tab w:val="right" w:leader="dot" w:pos="9338"/>
            </w:tabs>
            <w:spacing w:line="360" w:lineRule="auto"/>
            <w:rPr>
              <w:rFonts w:cs="Times New Roman"/>
              <w:noProof/>
              <w:sz w:val="24"/>
              <w:szCs w:val="24"/>
            </w:rPr>
          </w:pPr>
          <w:hyperlink w:anchor="_Toc202877451" w:history="1">
            <w:r w:rsidR="00350B76" w:rsidRPr="0059765D">
              <w:rPr>
                <w:rStyle w:val="afd"/>
                <w:rFonts w:cs="Times New Roman"/>
                <w:noProof/>
                <w:sz w:val="24"/>
                <w:szCs w:val="24"/>
              </w:rPr>
              <w:t>Приложение А2. 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350B76" w:rsidRPr="0059765D">
              <w:rPr>
                <w:rFonts w:cs="Times New Roman"/>
                <w:noProof/>
                <w:webHidden/>
                <w:sz w:val="24"/>
                <w:szCs w:val="24"/>
              </w:rPr>
              <w:tab/>
            </w:r>
            <w:r w:rsidR="00E07E79" w:rsidRPr="0059765D">
              <w:rPr>
                <w:rFonts w:cs="Times New Roman"/>
                <w:noProof/>
                <w:webHidden/>
                <w:sz w:val="24"/>
                <w:szCs w:val="24"/>
              </w:rPr>
              <w:fldChar w:fldCharType="begin"/>
            </w:r>
            <w:r w:rsidR="00350B76" w:rsidRPr="0059765D">
              <w:rPr>
                <w:rFonts w:cs="Times New Roman"/>
                <w:noProof/>
                <w:webHidden/>
                <w:sz w:val="24"/>
                <w:szCs w:val="24"/>
              </w:rPr>
              <w:instrText xml:space="preserve"> PAGEREF _Toc202877451 \h </w:instrText>
            </w:r>
            <w:r w:rsidR="00E07E79" w:rsidRPr="0059765D">
              <w:rPr>
                <w:rFonts w:cs="Times New Roman"/>
                <w:noProof/>
                <w:webHidden/>
                <w:sz w:val="24"/>
                <w:szCs w:val="24"/>
              </w:rPr>
            </w:r>
            <w:r w:rsidR="00E07E79" w:rsidRPr="0059765D">
              <w:rPr>
                <w:rFonts w:cs="Times New Roman"/>
                <w:noProof/>
                <w:webHidden/>
                <w:sz w:val="24"/>
                <w:szCs w:val="24"/>
              </w:rPr>
              <w:fldChar w:fldCharType="separate"/>
            </w:r>
            <w:r w:rsidR="000546C0">
              <w:rPr>
                <w:rFonts w:cs="Times New Roman"/>
                <w:noProof/>
                <w:webHidden/>
                <w:sz w:val="24"/>
                <w:szCs w:val="24"/>
              </w:rPr>
              <w:t>183</w:t>
            </w:r>
            <w:r w:rsidR="00E07E79" w:rsidRPr="0059765D">
              <w:rPr>
                <w:rFonts w:cs="Times New Roman"/>
                <w:noProof/>
                <w:webHidden/>
                <w:sz w:val="24"/>
                <w:szCs w:val="24"/>
              </w:rPr>
              <w:fldChar w:fldCharType="end"/>
            </w:r>
          </w:hyperlink>
        </w:p>
        <w:p w14:paraId="3ECD9EC6" w14:textId="17969C59" w:rsidR="00350B76" w:rsidRPr="0059765D" w:rsidRDefault="00765F69" w:rsidP="0059765D">
          <w:pPr>
            <w:pStyle w:val="15"/>
            <w:tabs>
              <w:tab w:val="right" w:leader="dot" w:pos="9338"/>
            </w:tabs>
            <w:spacing w:line="360" w:lineRule="auto"/>
            <w:rPr>
              <w:rFonts w:cs="Times New Roman"/>
              <w:noProof/>
              <w:sz w:val="24"/>
              <w:szCs w:val="24"/>
            </w:rPr>
          </w:pPr>
          <w:hyperlink w:anchor="_Toc202877452" w:history="1">
            <w:r w:rsidR="00350B76" w:rsidRPr="0059765D">
              <w:rPr>
                <w:rStyle w:val="afd"/>
                <w:rFonts w:eastAsia="Times New Roman" w:cs="Times New Roman"/>
                <w:noProof/>
                <w:sz w:val="24"/>
                <w:szCs w:val="24"/>
              </w:rPr>
              <w:t>Приложение Б. Алгоритмы действий врача</w:t>
            </w:r>
            <w:r w:rsidR="00350B76" w:rsidRPr="0059765D">
              <w:rPr>
                <w:rFonts w:cs="Times New Roman"/>
                <w:noProof/>
                <w:webHidden/>
                <w:sz w:val="24"/>
                <w:szCs w:val="24"/>
              </w:rPr>
              <w:tab/>
            </w:r>
            <w:r w:rsidR="00E07E79" w:rsidRPr="0059765D">
              <w:rPr>
                <w:rFonts w:cs="Times New Roman"/>
                <w:noProof/>
                <w:webHidden/>
                <w:sz w:val="24"/>
                <w:szCs w:val="24"/>
              </w:rPr>
              <w:fldChar w:fldCharType="begin"/>
            </w:r>
            <w:r w:rsidR="00350B76" w:rsidRPr="0059765D">
              <w:rPr>
                <w:rFonts w:cs="Times New Roman"/>
                <w:noProof/>
                <w:webHidden/>
                <w:sz w:val="24"/>
                <w:szCs w:val="24"/>
              </w:rPr>
              <w:instrText xml:space="preserve"> PAGEREF _Toc202877452 \h </w:instrText>
            </w:r>
            <w:r w:rsidR="00E07E79" w:rsidRPr="0059765D">
              <w:rPr>
                <w:rFonts w:cs="Times New Roman"/>
                <w:noProof/>
                <w:webHidden/>
                <w:sz w:val="24"/>
                <w:szCs w:val="24"/>
              </w:rPr>
            </w:r>
            <w:r w:rsidR="00E07E79" w:rsidRPr="0059765D">
              <w:rPr>
                <w:rFonts w:cs="Times New Roman"/>
                <w:noProof/>
                <w:webHidden/>
                <w:sz w:val="24"/>
                <w:szCs w:val="24"/>
              </w:rPr>
              <w:fldChar w:fldCharType="separate"/>
            </w:r>
            <w:r w:rsidR="000546C0">
              <w:rPr>
                <w:rFonts w:cs="Times New Roman"/>
                <w:noProof/>
                <w:webHidden/>
                <w:sz w:val="24"/>
                <w:szCs w:val="24"/>
              </w:rPr>
              <w:t>218</w:t>
            </w:r>
            <w:r w:rsidR="00E07E79" w:rsidRPr="0059765D">
              <w:rPr>
                <w:rFonts w:cs="Times New Roman"/>
                <w:noProof/>
                <w:webHidden/>
                <w:sz w:val="24"/>
                <w:szCs w:val="24"/>
              </w:rPr>
              <w:fldChar w:fldCharType="end"/>
            </w:r>
          </w:hyperlink>
        </w:p>
        <w:p w14:paraId="7150F43C" w14:textId="6E2C77CC" w:rsidR="00350B76" w:rsidRPr="0059765D" w:rsidRDefault="00765F69" w:rsidP="0059765D">
          <w:pPr>
            <w:pStyle w:val="15"/>
            <w:tabs>
              <w:tab w:val="right" w:leader="dot" w:pos="9338"/>
            </w:tabs>
            <w:spacing w:line="360" w:lineRule="auto"/>
            <w:rPr>
              <w:rFonts w:cs="Times New Roman"/>
              <w:noProof/>
              <w:sz w:val="24"/>
              <w:szCs w:val="24"/>
            </w:rPr>
          </w:pPr>
          <w:hyperlink w:anchor="_Toc202877453" w:history="1">
            <w:r w:rsidR="00350B76" w:rsidRPr="0059765D">
              <w:rPr>
                <w:rStyle w:val="afd"/>
                <w:rFonts w:cs="Times New Roman"/>
                <w:noProof/>
                <w:sz w:val="24"/>
                <w:szCs w:val="24"/>
              </w:rPr>
              <w:t>Приложение В. Информация для пациента</w:t>
            </w:r>
            <w:r w:rsidR="00350B76" w:rsidRPr="0059765D">
              <w:rPr>
                <w:rFonts w:cs="Times New Roman"/>
                <w:noProof/>
                <w:webHidden/>
                <w:sz w:val="24"/>
                <w:szCs w:val="24"/>
              </w:rPr>
              <w:tab/>
            </w:r>
            <w:r w:rsidR="00E07E79" w:rsidRPr="0059765D">
              <w:rPr>
                <w:rFonts w:cs="Times New Roman"/>
                <w:noProof/>
                <w:webHidden/>
                <w:sz w:val="24"/>
                <w:szCs w:val="24"/>
              </w:rPr>
              <w:fldChar w:fldCharType="begin"/>
            </w:r>
            <w:r w:rsidR="00350B76" w:rsidRPr="0059765D">
              <w:rPr>
                <w:rFonts w:cs="Times New Roman"/>
                <w:noProof/>
                <w:webHidden/>
                <w:sz w:val="24"/>
                <w:szCs w:val="24"/>
              </w:rPr>
              <w:instrText xml:space="preserve"> PAGEREF _Toc202877453 \h </w:instrText>
            </w:r>
            <w:r w:rsidR="00E07E79" w:rsidRPr="0059765D">
              <w:rPr>
                <w:rFonts w:cs="Times New Roman"/>
                <w:noProof/>
                <w:webHidden/>
                <w:sz w:val="24"/>
                <w:szCs w:val="24"/>
              </w:rPr>
            </w:r>
            <w:r w:rsidR="00E07E79" w:rsidRPr="0059765D">
              <w:rPr>
                <w:rFonts w:cs="Times New Roman"/>
                <w:noProof/>
                <w:webHidden/>
                <w:sz w:val="24"/>
                <w:szCs w:val="24"/>
              </w:rPr>
              <w:fldChar w:fldCharType="separate"/>
            </w:r>
            <w:r w:rsidR="000546C0">
              <w:rPr>
                <w:rFonts w:cs="Times New Roman"/>
                <w:noProof/>
                <w:webHidden/>
                <w:sz w:val="24"/>
                <w:szCs w:val="24"/>
              </w:rPr>
              <w:t>224</w:t>
            </w:r>
            <w:r w:rsidR="00E07E79" w:rsidRPr="0059765D">
              <w:rPr>
                <w:rFonts w:cs="Times New Roman"/>
                <w:noProof/>
                <w:webHidden/>
                <w:sz w:val="24"/>
                <w:szCs w:val="24"/>
              </w:rPr>
              <w:fldChar w:fldCharType="end"/>
            </w:r>
          </w:hyperlink>
        </w:p>
        <w:p w14:paraId="49B687A0" w14:textId="0B9D3302" w:rsidR="00350B76" w:rsidRPr="0059765D" w:rsidRDefault="00765F69" w:rsidP="0059765D">
          <w:pPr>
            <w:pStyle w:val="15"/>
            <w:tabs>
              <w:tab w:val="right" w:leader="dot" w:pos="9338"/>
            </w:tabs>
            <w:spacing w:line="360" w:lineRule="auto"/>
            <w:rPr>
              <w:rFonts w:cs="Times New Roman"/>
              <w:noProof/>
              <w:sz w:val="24"/>
              <w:szCs w:val="24"/>
            </w:rPr>
          </w:pPr>
          <w:hyperlink w:anchor="_Toc202877454" w:history="1">
            <w:r w:rsidR="00350B76" w:rsidRPr="0059765D">
              <w:rPr>
                <w:rStyle w:val="afd"/>
                <w:rFonts w:cs="Times New Roman"/>
                <w:noProof/>
                <w:sz w:val="24"/>
                <w:szCs w:val="24"/>
              </w:rPr>
              <w:t>Приложение</w:t>
            </w:r>
            <w:r w:rsidR="00350B76" w:rsidRPr="0059765D">
              <w:rPr>
                <w:rStyle w:val="afd"/>
                <w:rFonts w:cs="Times New Roman"/>
                <w:noProof/>
                <w:spacing w:val="-14"/>
                <w:sz w:val="24"/>
                <w:szCs w:val="24"/>
              </w:rPr>
              <w:t xml:space="preserve"> </w:t>
            </w:r>
            <w:r w:rsidR="00350B76" w:rsidRPr="0059765D">
              <w:rPr>
                <w:rStyle w:val="afd"/>
                <w:rFonts w:cs="Times New Roman"/>
                <w:noProof/>
                <w:sz w:val="24"/>
                <w:szCs w:val="24"/>
              </w:rPr>
              <w:t xml:space="preserve">Г. </w:t>
            </w:r>
            <w:r w:rsidR="00350B76" w:rsidRPr="0059765D">
              <w:rPr>
                <w:rStyle w:val="afd"/>
                <w:rFonts w:cs="Times New Roman"/>
                <w:noProof/>
                <w:spacing w:val="-14"/>
                <w:sz w:val="24"/>
                <w:szCs w:val="24"/>
              </w:rPr>
              <w:t xml:space="preserve"> </w:t>
            </w:r>
            <w:r w:rsidR="00350B76" w:rsidRPr="0059765D">
              <w:rPr>
                <w:rStyle w:val="afd"/>
                <w:rFonts w:cs="Times New Roman"/>
                <w:noProof/>
                <w:sz w:val="24"/>
                <w:szCs w:val="24"/>
              </w:rPr>
              <w:t>Шкалы</w:t>
            </w:r>
            <w:r w:rsidR="00350B76" w:rsidRPr="0059765D">
              <w:rPr>
                <w:rStyle w:val="afd"/>
                <w:rFonts w:cs="Times New Roman"/>
                <w:noProof/>
                <w:spacing w:val="-13"/>
                <w:sz w:val="24"/>
                <w:szCs w:val="24"/>
              </w:rPr>
              <w:t xml:space="preserve"> </w:t>
            </w:r>
            <w:r w:rsidR="00350B76" w:rsidRPr="0059765D">
              <w:rPr>
                <w:rStyle w:val="afd"/>
                <w:rFonts w:cs="Times New Roman"/>
                <w:noProof/>
                <w:sz w:val="24"/>
                <w:szCs w:val="24"/>
              </w:rPr>
              <w:t>оценки,</w:t>
            </w:r>
            <w:r w:rsidR="00350B76" w:rsidRPr="0059765D">
              <w:rPr>
                <w:rStyle w:val="afd"/>
                <w:rFonts w:cs="Times New Roman"/>
                <w:noProof/>
                <w:spacing w:val="-13"/>
                <w:sz w:val="24"/>
                <w:szCs w:val="24"/>
              </w:rPr>
              <w:t xml:space="preserve"> </w:t>
            </w:r>
            <w:r w:rsidR="00350B76" w:rsidRPr="0059765D">
              <w:rPr>
                <w:rStyle w:val="afd"/>
                <w:rFonts w:cs="Times New Roman"/>
                <w:noProof/>
                <w:sz w:val="24"/>
                <w:szCs w:val="24"/>
              </w:rPr>
              <w:t>опросники</w:t>
            </w:r>
            <w:r w:rsidR="00350B76" w:rsidRPr="0059765D">
              <w:rPr>
                <w:rStyle w:val="afd"/>
                <w:rFonts w:cs="Times New Roman"/>
                <w:noProof/>
                <w:spacing w:val="-13"/>
                <w:sz w:val="24"/>
                <w:szCs w:val="24"/>
              </w:rPr>
              <w:t xml:space="preserve"> </w:t>
            </w:r>
            <w:r w:rsidR="00350B76" w:rsidRPr="0059765D">
              <w:rPr>
                <w:rStyle w:val="afd"/>
                <w:rFonts w:cs="Times New Roman"/>
                <w:noProof/>
                <w:sz w:val="24"/>
                <w:szCs w:val="24"/>
              </w:rPr>
              <w:t>и</w:t>
            </w:r>
            <w:r w:rsidR="00350B76" w:rsidRPr="0059765D">
              <w:rPr>
                <w:rStyle w:val="afd"/>
                <w:rFonts w:cs="Times New Roman"/>
                <w:noProof/>
                <w:spacing w:val="-14"/>
                <w:sz w:val="24"/>
                <w:szCs w:val="24"/>
              </w:rPr>
              <w:t xml:space="preserve"> </w:t>
            </w:r>
            <w:r w:rsidR="00350B76" w:rsidRPr="0059765D">
              <w:rPr>
                <w:rStyle w:val="afd"/>
                <w:rFonts w:cs="Times New Roman"/>
                <w:noProof/>
                <w:sz w:val="24"/>
                <w:szCs w:val="24"/>
              </w:rPr>
              <w:t>т.д.,</w:t>
            </w:r>
            <w:r w:rsidR="00350B76" w:rsidRPr="0059765D">
              <w:rPr>
                <w:rStyle w:val="afd"/>
                <w:rFonts w:cs="Times New Roman"/>
                <w:noProof/>
                <w:spacing w:val="-14"/>
                <w:sz w:val="24"/>
                <w:szCs w:val="24"/>
              </w:rPr>
              <w:t xml:space="preserve"> </w:t>
            </w:r>
            <w:r w:rsidR="00350B76" w:rsidRPr="0059765D">
              <w:rPr>
                <w:rStyle w:val="afd"/>
                <w:rFonts w:cs="Times New Roman"/>
                <w:noProof/>
                <w:sz w:val="24"/>
                <w:szCs w:val="24"/>
              </w:rPr>
              <w:t>приведённые</w:t>
            </w:r>
            <w:r w:rsidR="00350B76" w:rsidRPr="0059765D">
              <w:rPr>
                <w:rStyle w:val="afd"/>
                <w:rFonts w:cs="Times New Roman"/>
                <w:noProof/>
                <w:spacing w:val="-17"/>
                <w:sz w:val="24"/>
                <w:szCs w:val="24"/>
              </w:rPr>
              <w:t xml:space="preserve"> </w:t>
            </w:r>
            <w:r w:rsidR="00350B76" w:rsidRPr="0059765D">
              <w:rPr>
                <w:rStyle w:val="afd"/>
                <w:rFonts w:cs="Times New Roman"/>
                <w:noProof/>
                <w:sz w:val="24"/>
                <w:szCs w:val="24"/>
              </w:rPr>
              <w:t>в</w:t>
            </w:r>
            <w:r w:rsidR="00350B76" w:rsidRPr="0059765D">
              <w:rPr>
                <w:rStyle w:val="afd"/>
                <w:rFonts w:cs="Times New Roman"/>
                <w:noProof/>
                <w:spacing w:val="-13"/>
                <w:sz w:val="24"/>
                <w:szCs w:val="24"/>
              </w:rPr>
              <w:t xml:space="preserve"> </w:t>
            </w:r>
            <w:r w:rsidR="00350B76" w:rsidRPr="0059765D">
              <w:rPr>
                <w:rStyle w:val="afd"/>
                <w:rFonts w:cs="Times New Roman"/>
                <w:noProof/>
                <w:sz w:val="24"/>
                <w:szCs w:val="24"/>
              </w:rPr>
              <w:t>тексте</w:t>
            </w:r>
            <w:r w:rsidR="00350B76" w:rsidRPr="0059765D">
              <w:rPr>
                <w:rStyle w:val="afd"/>
                <w:rFonts w:cs="Times New Roman"/>
                <w:noProof/>
                <w:spacing w:val="-14"/>
                <w:sz w:val="24"/>
                <w:szCs w:val="24"/>
              </w:rPr>
              <w:t xml:space="preserve"> </w:t>
            </w:r>
            <w:r w:rsidR="00350B76" w:rsidRPr="0059765D">
              <w:rPr>
                <w:rStyle w:val="afd"/>
                <w:rFonts w:cs="Times New Roman"/>
                <w:noProof/>
                <w:sz w:val="24"/>
                <w:szCs w:val="24"/>
              </w:rPr>
              <w:t>клинических рекомендаций</w:t>
            </w:r>
            <w:r w:rsidR="00350B76" w:rsidRPr="0059765D">
              <w:rPr>
                <w:rFonts w:cs="Times New Roman"/>
                <w:noProof/>
                <w:webHidden/>
                <w:sz w:val="24"/>
                <w:szCs w:val="24"/>
              </w:rPr>
              <w:tab/>
            </w:r>
            <w:r w:rsidR="00E07E79" w:rsidRPr="0059765D">
              <w:rPr>
                <w:rFonts w:cs="Times New Roman"/>
                <w:noProof/>
                <w:webHidden/>
                <w:sz w:val="24"/>
                <w:szCs w:val="24"/>
              </w:rPr>
              <w:fldChar w:fldCharType="begin"/>
            </w:r>
            <w:r w:rsidR="00350B76" w:rsidRPr="0059765D">
              <w:rPr>
                <w:rFonts w:cs="Times New Roman"/>
                <w:noProof/>
                <w:webHidden/>
                <w:sz w:val="24"/>
                <w:szCs w:val="24"/>
              </w:rPr>
              <w:instrText xml:space="preserve"> PAGEREF _Toc202877454 \h </w:instrText>
            </w:r>
            <w:r w:rsidR="00E07E79" w:rsidRPr="0059765D">
              <w:rPr>
                <w:rFonts w:cs="Times New Roman"/>
                <w:noProof/>
                <w:webHidden/>
                <w:sz w:val="24"/>
                <w:szCs w:val="24"/>
              </w:rPr>
            </w:r>
            <w:r w:rsidR="00E07E79" w:rsidRPr="0059765D">
              <w:rPr>
                <w:rFonts w:cs="Times New Roman"/>
                <w:noProof/>
                <w:webHidden/>
                <w:sz w:val="24"/>
                <w:szCs w:val="24"/>
              </w:rPr>
              <w:fldChar w:fldCharType="separate"/>
            </w:r>
            <w:r w:rsidR="000546C0">
              <w:rPr>
                <w:rFonts w:cs="Times New Roman"/>
                <w:noProof/>
                <w:webHidden/>
                <w:sz w:val="24"/>
                <w:szCs w:val="24"/>
              </w:rPr>
              <w:t>228</w:t>
            </w:r>
            <w:r w:rsidR="00E07E79" w:rsidRPr="0059765D">
              <w:rPr>
                <w:rFonts w:cs="Times New Roman"/>
                <w:noProof/>
                <w:webHidden/>
                <w:sz w:val="24"/>
                <w:szCs w:val="24"/>
              </w:rPr>
              <w:fldChar w:fldCharType="end"/>
            </w:r>
          </w:hyperlink>
        </w:p>
        <w:p w14:paraId="7A7DD944" w14:textId="77777777" w:rsidR="0008732C" w:rsidRDefault="00E07E79" w:rsidP="0059765D">
          <w:pPr>
            <w:spacing w:line="360" w:lineRule="auto"/>
          </w:pPr>
          <w:r w:rsidRPr="0059765D">
            <w:rPr>
              <w:rFonts w:cs="Times New Roman"/>
              <w:sz w:val="24"/>
              <w:szCs w:val="24"/>
            </w:rPr>
            <w:fldChar w:fldCharType="end"/>
          </w:r>
        </w:p>
      </w:sdtContent>
    </w:sdt>
    <w:p w14:paraId="4905053B" w14:textId="77777777" w:rsidR="0008732C" w:rsidRDefault="0008732C" w:rsidP="005012BF">
      <w:pPr>
        <w:pStyle w:val="11"/>
        <w:ind w:firstLine="0"/>
        <w:jc w:val="center"/>
        <w:rPr>
          <w:rStyle w:val="ac"/>
          <w:rFonts w:eastAsiaTheme="majorEastAsia"/>
          <w:b/>
          <w:bCs/>
          <w:sz w:val="28"/>
          <w:szCs w:val="28"/>
        </w:rPr>
      </w:pPr>
    </w:p>
    <w:p w14:paraId="60A68844" w14:textId="77777777" w:rsidR="0008732C" w:rsidRDefault="0008732C">
      <w:pPr>
        <w:spacing w:line="259" w:lineRule="auto"/>
        <w:rPr>
          <w:rStyle w:val="ac"/>
          <w:rFonts w:eastAsiaTheme="majorEastAsia"/>
          <w:b/>
          <w:bCs/>
          <w:szCs w:val="28"/>
        </w:rPr>
      </w:pPr>
      <w:r>
        <w:rPr>
          <w:rStyle w:val="ac"/>
          <w:rFonts w:eastAsiaTheme="majorEastAsia"/>
          <w:b/>
          <w:bCs/>
          <w:szCs w:val="28"/>
        </w:rPr>
        <w:br w:type="page"/>
      </w:r>
    </w:p>
    <w:p w14:paraId="6FC67EC1" w14:textId="77777777" w:rsidR="00015365" w:rsidRPr="005012BF" w:rsidRDefault="00015365" w:rsidP="0008732C">
      <w:pPr>
        <w:pStyle w:val="11"/>
        <w:ind w:firstLine="0"/>
        <w:jc w:val="center"/>
        <w:outlineLvl w:val="0"/>
        <w:rPr>
          <w:sz w:val="28"/>
          <w:szCs w:val="28"/>
        </w:rPr>
      </w:pPr>
      <w:bookmarkStart w:id="3" w:name="_Toc202877425"/>
      <w:r w:rsidRPr="005012BF">
        <w:rPr>
          <w:rStyle w:val="ac"/>
          <w:rFonts w:eastAsiaTheme="majorEastAsia"/>
          <w:b/>
          <w:bCs/>
          <w:sz w:val="28"/>
          <w:szCs w:val="28"/>
        </w:rPr>
        <w:lastRenderedPageBreak/>
        <w:t>Список сокращений</w:t>
      </w:r>
      <w:bookmarkEnd w:id="2"/>
      <w:bookmarkEnd w:id="3"/>
    </w:p>
    <w:p w14:paraId="2CF99B17" w14:textId="77777777" w:rsidR="00015365" w:rsidRPr="005012BF" w:rsidRDefault="00015365" w:rsidP="005012BF">
      <w:pPr>
        <w:pStyle w:val="11"/>
        <w:ind w:firstLine="0"/>
        <w:jc w:val="both"/>
        <w:rPr>
          <w:sz w:val="24"/>
          <w:szCs w:val="24"/>
        </w:rPr>
      </w:pPr>
      <w:r w:rsidRPr="005012BF">
        <w:rPr>
          <w:rStyle w:val="ac"/>
          <w:rFonts w:eastAsiaTheme="majorEastAsia"/>
          <w:sz w:val="24"/>
          <w:szCs w:val="24"/>
        </w:rPr>
        <w:t>АГ — артериальная гипертензия</w:t>
      </w:r>
    </w:p>
    <w:p w14:paraId="7EBF8743" w14:textId="77777777" w:rsidR="00015365" w:rsidRPr="005012BF" w:rsidRDefault="00015365" w:rsidP="005012BF">
      <w:pPr>
        <w:pStyle w:val="11"/>
        <w:ind w:firstLine="0"/>
        <w:jc w:val="both"/>
        <w:rPr>
          <w:sz w:val="24"/>
          <w:szCs w:val="24"/>
        </w:rPr>
      </w:pPr>
      <w:r w:rsidRPr="005012BF">
        <w:rPr>
          <w:rStyle w:val="ac"/>
          <w:rFonts w:eastAsiaTheme="majorEastAsia"/>
          <w:sz w:val="24"/>
          <w:szCs w:val="24"/>
        </w:rPr>
        <w:t>АГП — антигипертензивные препараты (антигипертензивные средства)</w:t>
      </w:r>
    </w:p>
    <w:p w14:paraId="14B5013D" w14:textId="77777777" w:rsidR="00015365" w:rsidRPr="005012BF" w:rsidRDefault="00015365" w:rsidP="005012BF">
      <w:pPr>
        <w:pStyle w:val="11"/>
        <w:ind w:firstLine="0"/>
        <w:jc w:val="both"/>
        <w:rPr>
          <w:sz w:val="24"/>
          <w:szCs w:val="24"/>
        </w:rPr>
      </w:pPr>
      <w:r w:rsidRPr="005012BF">
        <w:rPr>
          <w:rStyle w:val="ac"/>
          <w:rFonts w:eastAsiaTheme="majorEastAsia"/>
          <w:sz w:val="24"/>
          <w:szCs w:val="24"/>
        </w:rPr>
        <w:t>АГТ — антигипертензивная лекарственная терапия</w:t>
      </w:r>
    </w:p>
    <w:p w14:paraId="7EFD4A36" w14:textId="77777777" w:rsidR="00015365" w:rsidRPr="005012BF" w:rsidRDefault="00015365" w:rsidP="005012BF">
      <w:pPr>
        <w:pStyle w:val="11"/>
        <w:ind w:firstLine="0"/>
        <w:jc w:val="both"/>
        <w:rPr>
          <w:sz w:val="24"/>
          <w:szCs w:val="24"/>
        </w:rPr>
      </w:pPr>
      <w:r w:rsidRPr="005012BF">
        <w:rPr>
          <w:rStyle w:val="ac"/>
          <w:rFonts w:eastAsiaTheme="majorEastAsia"/>
          <w:sz w:val="24"/>
          <w:szCs w:val="24"/>
        </w:rPr>
        <w:t>АГЭ — антигипертензивный эффект</w:t>
      </w:r>
    </w:p>
    <w:p w14:paraId="5614FDA4" w14:textId="77777777" w:rsidR="00015365" w:rsidRPr="005012BF" w:rsidRDefault="00015365" w:rsidP="005012BF">
      <w:pPr>
        <w:pStyle w:val="11"/>
        <w:ind w:firstLine="0"/>
        <w:jc w:val="both"/>
        <w:rPr>
          <w:sz w:val="24"/>
          <w:szCs w:val="24"/>
        </w:rPr>
      </w:pPr>
      <w:r w:rsidRPr="005012BF">
        <w:rPr>
          <w:rStyle w:val="ac"/>
          <w:rFonts w:eastAsiaTheme="majorEastAsia"/>
          <w:sz w:val="24"/>
          <w:szCs w:val="24"/>
        </w:rPr>
        <w:t>АД — артериальное давление</w:t>
      </w:r>
    </w:p>
    <w:p w14:paraId="7E535883" w14:textId="77777777" w:rsidR="00015365" w:rsidRPr="005012BF" w:rsidRDefault="00015365" w:rsidP="005012BF">
      <w:pPr>
        <w:pStyle w:val="11"/>
        <w:ind w:firstLine="0"/>
        <w:jc w:val="both"/>
        <w:rPr>
          <w:sz w:val="24"/>
          <w:szCs w:val="24"/>
        </w:rPr>
      </w:pPr>
      <w:r w:rsidRPr="005012BF">
        <w:rPr>
          <w:rStyle w:val="ac"/>
          <w:rFonts w:eastAsiaTheme="majorEastAsia"/>
          <w:sz w:val="24"/>
          <w:szCs w:val="24"/>
        </w:rPr>
        <w:t>АИР — агонисты имидазолиновых рецепторов</w:t>
      </w:r>
    </w:p>
    <w:p w14:paraId="5E7794EC" w14:textId="77777777" w:rsidR="00015365" w:rsidRPr="005012BF" w:rsidRDefault="00015365" w:rsidP="005012BF">
      <w:pPr>
        <w:pStyle w:val="11"/>
        <w:ind w:firstLine="0"/>
        <w:jc w:val="both"/>
        <w:rPr>
          <w:sz w:val="24"/>
          <w:szCs w:val="24"/>
        </w:rPr>
      </w:pPr>
      <w:r w:rsidRPr="005012BF">
        <w:rPr>
          <w:rStyle w:val="ac"/>
          <w:rFonts w:eastAsiaTheme="majorEastAsia"/>
          <w:sz w:val="24"/>
          <w:szCs w:val="24"/>
        </w:rPr>
        <w:t>АК — антагонисты кальция (блокаторы кальциевых каналов)</w:t>
      </w:r>
    </w:p>
    <w:p w14:paraId="2C98FAFA" w14:textId="77777777" w:rsidR="00015365" w:rsidRPr="005012BF" w:rsidRDefault="00015365" w:rsidP="005012BF">
      <w:pPr>
        <w:pStyle w:val="11"/>
        <w:ind w:firstLine="0"/>
        <w:jc w:val="both"/>
        <w:rPr>
          <w:sz w:val="24"/>
          <w:szCs w:val="24"/>
        </w:rPr>
      </w:pPr>
      <w:r w:rsidRPr="005012BF">
        <w:rPr>
          <w:rStyle w:val="ac"/>
          <w:rFonts w:eastAsiaTheme="majorEastAsia"/>
          <w:sz w:val="24"/>
          <w:szCs w:val="24"/>
        </w:rPr>
        <w:t>АКС — ассоциированное клиническое состояние</w:t>
      </w:r>
    </w:p>
    <w:p w14:paraId="03E1091D" w14:textId="77777777" w:rsidR="00015365" w:rsidRPr="005012BF" w:rsidRDefault="00015365" w:rsidP="005012BF">
      <w:pPr>
        <w:pStyle w:val="11"/>
        <w:ind w:firstLine="0"/>
        <w:jc w:val="both"/>
        <w:rPr>
          <w:sz w:val="24"/>
          <w:szCs w:val="24"/>
        </w:rPr>
      </w:pPr>
      <w:r w:rsidRPr="005012BF">
        <w:rPr>
          <w:rStyle w:val="ac"/>
          <w:rFonts w:eastAsiaTheme="majorEastAsia"/>
          <w:sz w:val="24"/>
          <w:szCs w:val="24"/>
        </w:rPr>
        <w:t>АЛТ — аланинаминотрансфераза</w:t>
      </w:r>
    </w:p>
    <w:p w14:paraId="6B274B2A" w14:textId="77777777" w:rsidR="00015365" w:rsidRPr="005012BF" w:rsidRDefault="00015365" w:rsidP="005012BF">
      <w:pPr>
        <w:pStyle w:val="11"/>
        <w:ind w:firstLine="0"/>
        <w:jc w:val="both"/>
        <w:rPr>
          <w:sz w:val="24"/>
          <w:szCs w:val="24"/>
        </w:rPr>
      </w:pPr>
      <w:r w:rsidRPr="005012BF">
        <w:rPr>
          <w:rStyle w:val="ac"/>
          <w:rFonts w:eastAsiaTheme="majorEastAsia"/>
          <w:sz w:val="24"/>
          <w:szCs w:val="24"/>
        </w:rPr>
        <w:t>альфа1-АБ — альфа-адреноблокаторы</w:t>
      </w:r>
    </w:p>
    <w:p w14:paraId="5D7B7BD9" w14:textId="77777777" w:rsidR="00015365" w:rsidRPr="005012BF" w:rsidRDefault="00015365" w:rsidP="005012BF">
      <w:pPr>
        <w:pStyle w:val="11"/>
        <w:ind w:firstLine="0"/>
        <w:rPr>
          <w:sz w:val="24"/>
          <w:szCs w:val="24"/>
        </w:rPr>
      </w:pPr>
      <w:r w:rsidRPr="005012BF">
        <w:rPr>
          <w:rStyle w:val="ac"/>
          <w:rFonts w:eastAsiaTheme="majorEastAsia"/>
          <w:sz w:val="24"/>
          <w:szCs w:val="24"/>
        </w:rPr>
        <w:t>АМКР — антагонисты минералокортикоидных рецепторов (антагонисты альдостерона)</w:t>
      </w:r>
    </w:p>
    <w:p w14:paraId="654B1BC1" w14:textId="77777777" w:rsidR="00015365" w:rsidRPr="005012BF" w:rsidRDefault="00015365" w:rsidP="005012BF">
      <w:pPr>
        <w:pStyle w:val="11"/>
        <w:ind w:firstLine="0"/>
        <w:jc w:val="both"/>
        <w:rPr>
          <w:sz w:val="24"/>
          <w:szCs w:val="24"/>
        </w:rPr>
      </w:pPr>
      <w:r w:rsidRPr="005012BF">
        <w:rPr>
          <w:rStyle w:val="ac"/>
          <w:rFonts w:eastAsiaTheme="majorEastAsia"/>
          <w:sz w:val="24"/>
          <w:szCs w:val="24"/>
        </w:rPr>
        <w:t>АПФ — ангиотензинпревращающий фермент</w:t>
      </w:r>
    </w:p>
    <w:p w14:paraId="0D74B8D9" w14:textId="77777777" w:rsidR="00015365" w:rsidRPr="005012BF" w:rsidRDefault="00015365" w:rsidP="005012BF">
      <w:pPr>
        <w:pStyle w:val="11"/>
        <w:ind w:firstLine="0"/>
        <w:jc w:val="both"/>
        <w:rPr>
          <w:sz w:val="24"/>
          <w:szCs w:val="24"/>
        </w:rPr>
      </w:pPr>
      <w:r w:rsidRPr="005012BF">
        <w:rPr>
          <w:rStyle w:val="ac"/>
          <w:rFonts w:eastAsiaTheme="majorEastAsia"/>
          <w:sz w:val="24"/>
          <w:szCs w:val="24"/>
        </w:rPr>
        <w:t>АРНИ - ангиотензиновых рецепторов и неприлизина ингибитор (антагонисты рецепторов ангиотензина II в комбинации с другими средствами)</w:t>
      </w:r>
    </w:p>
    <w:p w14:paraId="51E4085D" w14:textId="77777777" w:rsidR="00015365" w:rsidRPr="005012BF" w:rsidRDefault="00015365" w:rsidP="005012BF">
      <w:pPr>
        <w:pStyle w:val="11"/>
        <w:ind w:firstLine="0"/>
        <w:jc w:val="both"/>
        <w:rPr>
          <w:sz w:val="24"/>
          <w:szCs w:val="24"/>
        </w:rPr>
      </w:pPr>
      <w:r w:rsidRPr="005012BF">
        <w:rPr>
          <w:rStyle w:val="ac"/>
          <w:rFonts w:eastAsiaTheme="majorEastAsia"/>
          <w:sz w:val="24"/>
          <w:szCs w:val="24"/>
        </w:rPr>
        <w:t>АСТ — аспартатаминотрансфераза</w:t>
      </w:r>
    </w:p>
    <w:p w14:paraId="3421C615" w14:textId="77777777" w:rsidR="00015365" w:rsidRPr="005012BF" w:rsidRDefault="00015365" w:rsidP="005012BF">
      <w:pPr>
        <w:pStyle w:val="11"/>
        <w:ind w:firstLine="0"/>
        <w:jc w:val="both"/>
        <w:rPr>
          <w:sz w:val="24"/>
          <w:szCs w:val="24"/>
        </w:rPr>
      </w:pPr>
      <w:r w:rsidRPr="005012BF">
        <w:rPr>
          <w:rStyle w:val="ac"/>
          <w:rFonts w:eastAsiaTheme="majorEastAsia"/>
          <w:sz w:val="24"/>
          <w:szCs w:val="24"/>
        </w:rPr>
        <w:t>АСК — ацетилсалициловая кислота</w:t>
      </w:r>
    </w:p>
    <w:p w14:paraId="0EB8D57F" w14:textId="77777777" w:rsidR="00015365" w:rsidRPr="005012BF" w:rsidRDefault="00015365" w:rsidP="005012BF">
      <w:pPr>
        <w:pStyle w:val="11"/>
        <w:ind w:firstLine="0"/>
        <w:jc w:val="both"/>
        <w:rPr>
          <w:sz w:val="24"/>
          <w:szCs w:val="24"/>
        </w:rPr>
      </w:pPr>
      <w:r w:rsidRPr="005012BF">
        <w:rPr>
          <w:rStyle w:val="ac"/>
          <w:rFonts w:eastAsiaTheme="majorEastAsia"/>
          <w:sz w:val="24"/>
          <w:szCs w:val="24"/>
        </w:rPr>
        <w:t>БА — бронхиальная астма</w:t>
      </w:r>
    </w:p>
    <w:p w14:paraId="63E30FA6" w14:textId="77777777" w:rsidR="00015365" w:rsidRPr="005012BF" w:rsidRDefault="00015365" w:rsidP="005012BF">
      <w:pPr>
        <w:pStyle w:val="11"/>
        <w:ind w:firstLine="0"/>
        <w:jc w:val="both"/>
        <w:rPr>
          <w:sz w:val="24"/>
          <w:szCs w:val="24"/>
        </w:rPr>
      </w:pPr>
      <w:r w:rsidRPr="005012BF">
        <w:rPr>
          <w:rStyle w:val="ac"/>
          <w:rFonts w:eastAsiaTheme="majorEastAsia"/>
          <w:sz w:val="24"/>
          <w:szCs w:val="24"/>
        </w:rPr>
        <w:t>ББ — бета-адреноблокатор</w:t>
      </w:r>
    </w:p>
    <w:p w14:paraId="18DC3B15" w14:textId="77777777" w:rsidR="00015365" w:rsidRPr="005012BF" w:rsidRDefault="00015365" w:rsidP="005012BF">
      <w:pPr>
        <w:pStyle w:val="11"/>
        <w:ind w:firstLine="0"/>
        <w:rPr>
          <w:sz w:val="24"/>
          <w:szCs w:val="24"/>
        </w:rPr>
      </w:pPr>
      <w:r w:rsidRPr="005012BF">
        <w:rPr>
          <w:rStyle w:val="ac"/>
          <w:rFonts w:eastAsiaTheme="majorEastAsia"/>
          <w:sz w:val="24"/>
          <w:szCs w:val="24"/>
        </w:rPr>
        <w:t xml:space="preserve">БРА — блокатор рецепторов ангиотензина (антагонисты рецепторов ангиотензина </w:t>
      </w:r>
      <w:r w:rsidRPr="005012BF">
        <w:rPr>
          <w:rStyle w:val="ac"/>
          <w:rFonts w:eastAsiaTheme="majorEastAsia"/>
          <w:sz w:val="24"/>
          <w:szCs w:val="24"/>
          <w:lang w:val="en-US"/>
        </w:rPr>
        <w:t>II</w:t>
      </w:r>
      <w:r w:rsidRPr="005012BF">
        <w:rPr>
          <w:rStyle w:val="ac"/>
          <w:rFonts w:eastAsiaTheme="majorEastAsia"/>
          <w:sz w:val="24"/>
          <w:szCs w:val="24"/>
        </w:rPr>
        <w:t>)</w:t>
      </w:r>
    </w:p>
    <w:p w14:paraId="53D35E0F" w14:textId="77777777" w:rsidR="00015365" w:rsidRPr="005012BF" w:rsidRDefault="00015365" w:rsidP="005012BF">
      <w:pPr>
        <w:pStyle w:val="11"/>
        <w:ind w:firstLine="0"/>
        <w:jc w:val="both"/>
        <w:rPr>
          <w:sz w:val="24"/>
          <w:szCs w:val="24"/>
        </w:rPr>
      </w:pPr>
      <w:r w:rsidRPr="005012BF">
        <w:rPr>
          <w:rStyle w:val="ac"/>
          <w:rFonts w:eastAsiaTheme="majorEastAsia"/>
          <w:sz w:val="24"/>
          <w:szCs w:val="24"/>
        </w:rPr>
        <w:t>БСК — болезни системы кровообращения</w:t>
      </w:r>
    </w:p>
    <w:p w14:paraId="6ECC3F96" w14:textId="77777777" w:rsidR="00015365" w:rsidRPr="005012BF" w:rsidRDefault="00015365" w:rsidP="005012BF">
      <w:pPr>
        <w:pStyle w:val="11"/>
        <w:ind w:firstLine="0"/>
        <w:jc w:val="both"/>
        <w:rPr>
          <w:sz w:val="24"/>
          <w:szCs w:val="24"/>
        </w:rPr>
      </w:pPr>
      <w:r w:rsidRPr="005012BF">
        <w:rPr>
          <w:rStyle w:val="ac"/>
          <w:rFonts w:eastAsiaTheme="majorEastAsia"/>
          <w:sz w:val="24"/>
          <w:szCs w:val="24"/>
        </w:rPr>
        <w:t>ГБ — гипертоническая болезнь</w:t>
      </w:r>
    </w:p>
    <w:p w14:paraId="2CB04B0A" w14:textId="77777777" w:rsidR="00015365" w:rsidRPr="005012BF" w:rsidRDefault="00015365" w:rsidP="005012BF">
      <w:pPr>
        <w:pStyle w:val="11"/>
        <w:ind w:firstLine="0"/>
        <w:jc w:val="both"/>
        <w:rPr>
          <w:sz w:val="24"/>
          <w:szCs w:val="24"/>
        </w:rPr>
      </w:pPr>
      <w:r w:rsidRPr="005012BF">
        <w:rPr>
          <w:rStyle w:val="ac"/>
          <w:rFonts w:eastAsiaTheme="majorEastAsia"/>
          <w:sz w:val="24"/>
          <w:szCs w:val="24"/>
        </w:rPr>
        <w:t>ГК — гипертонический криз</w:t>
      </w:r>
    </w:p>
    <w:p w14:paraId="023B87B1" w14:textId="77777777" w:rsidR="00015365" w:rsidRPr="005012BF" w:rsidRDefault="00015365" w:rsidP="005012BF">
      <w:pPr>
        <w:pStyle w:val="11"/>
        <w:ind w:firstLine="0"/>
        <w:jc w:val="both"/>
        <w:rPr>
          <w:sz w:val="24"/>
          <w:szCs w:val="24"/>
        </w:rPr>
      </w:pPr>
      <w:r w:rsidRPr="005012BF">
        <w:rPr>
          <w:rStyle w:val="ac"/>
          <w:rFonts w:eastAsiaTheme="majorEastAsia"/>
          <w:sz w:val="24"/>
          <w:szCs w:val="24"/>
        </w:rPr>
        <w:t>ГКС — глюкокортикостероиды (глюкокортикоиды, кортикостероиды системного действя)</w:t>
      </w:r>
    </w:p>
    <w:p w14:paraId="40D14899" w14:textId="77777777" w:rsidR="00015365" w:rsidRPr="005012BF" w:rsidRDefault="00015365" w:rsidP="005012BF">
      <w:pPr>
        <w:pStyle w:val="11"/>
        <w:ind w:firstLine="0"/>
        <w:jc w:val="both"/>
        <w:rPr>
          <w:sz w:val="24"/>
          <w:szCs w:val="24"/>
        </w:rPr>
      </w:pPr>
      <w:r w:rsidRPr="005012BF">
        <w:rPr>
          <w:rStyle w:val="ac"/>
          <w:rFonts w:eastAsiaTheme="majorEastAsia"/>
          <w:sz w:val="24"/>
          <w:szCs w:val="24"/>
        </w:rPr>
        <w:t>ГЛЖ — гипертрофия левого желудочка</w:t>
      </w:r>
    </w:p>
    <w:p w14:paraId="37DAF15F" w14:textId="77777777" w:rsidR="00015365" w:rsidRPr="005012BF" w:rsidRDefault="00015365" w:rsidP="005012BF">
      <w:pPr>
        <w:pStyle w:val="11"/>
        <w:ind w:firstLine="0"/>
        <w:jc w:val="both"/>
        <w:rPr>
          <w:sz w:val="24"/>
          <w:szCs w:val="24"/>
        </w:rPr>
      </w:pPr>
      <w:r w:rsidRPr="005012BF">
        <w:rPr>
          <w:rStyle w:val="ac"/>
          <w:rFonts w:eastAsiaTheme="majorEastAsia"/>
          <w:sz w:val="24"/>
          <w:szCs w:val="24"/>
        </w:rPr>
        <w:t>ДАД — диастолическое артериальное давление</w:t>
      </w:r>
    </w:p>
    <w:p w14:paraId="656AA78B" w14:textId="77777777" w:rsidR="00015365" w:rsidRPr="005012BF" w:rsidRDefault="00015365" w:rsidP="005012BF">
      <w:pPr>
        <w:pStyle w:val="11"/>
        <w:ind w:firstLine="0"/>
        <w:jc w:val="both"/>
        <w:rPr>
          <w:sz w:val="24"/>
          <w:szCs w:val="24"/>
        </w:rPr>
      </w:pPr>
      <w:r w:rsidRPr="005012BF">
        <w:rPr>
          <w:rStyle w:val="ac"/>
          <w:rFonts w:eastAsiaTheme="majorEastAsia"/>
          <w:sz w:val="24"/>
          <w:szCs w:val="24"/>
        </w:rPr>
        <w:t>ДМАД — домашнее мониторирование артериального давления (в том числе активный мониторинг АД при помощи дистанционных технологий)</w:t>
      </w:r>
    </w:p>
    <w:p w14:paraId="47AA7E20" w14:textId="77777777" w:rsidR="00015365" w:rsidRPr="005012BF" w:rsidRDefault="00015365" w:rsidP="005012BF">
      <w:pPr>
        <w:pStyle w:val="11"/>
        <w:ind w:firstLine="0"/>
        <w:jc w:val="both"/>
        <w:rPr>
          <w:sz w:val="24"/>
          <w:szCs w:val="24"/>
        </w:rPr>
      </w:pPr>
      <w:r w:rsidRPr="005012BF">
        <w:rPr>
          <w:rStyle w:val="ac"/>
          <w:rFonts w:eastAsiaTheme="majorEastAsia"/>
          <w:sz w:val="24"/>
          <w:szCs w:val="24"/>
        </w:rPr>
        <w:t>ЕОК/ЕОАГ — Европейское общество кардиологов/Европейское общество артериальной гипертонии</w:t>
      </w:r>
    </w:p>
    <w:p w14:paraId="72B56A6A" w14:textId="77777777" w:rsidR="00015365" w:rsidRPr="005012BF" w:rsidRDefault="00015365" w:rsidP="005012BF">
      <w:pPr>
        <w:pStyle w:val="11"/>
        <w:ind w:firstLine="0"/>
        <w:jc w:val="both"/>
        <w:rPr>
          <w:sz w:val="24"/>
          <w:szCs w:val="24"/>
        </w:rPr>
      </w:pPr>
      <w:r w:rsidRPr="005012BF">
        <w:rPr>
          <w:rStyle w:val="ac"/>
          <w:rFonts w:eastAsiaTheme="majorEastAsia"/>
          <w:sz w:val="24"/>
          <w:szCs w:val="24"/>
        </w:rPr>
        <w:t>ИААГ — изолированная амбулаторная артериальная гипертензия</w:t>
      </w:r>
    </w:p>
    <w:p w14:paraId="34C047B7" w14:textId="77777777" w:rsidR="00015365" w:rsidRPr="005012BF" w:rsidRDefault="00015365" w:rsidP="005012BF">
      <w:pPr>
        <w:pStyle w:val="11"/>
        <w:ind w:firstLine="0"/>
        <w:rPr>
          <w:sz w:val="24"/>
          <w:szCs w:val="24"/>
        </w:rPr>
      </w:pPr>
      <w:r w:rsidRPr="005012BF">
        <w:rPr>
          <w:rStyle w:val="ac"/>
          <w:rFonts w:eastAsiaTheme="majorEastAsia"/>
          <w:sz w:val="24"/>
          <w:szCs w:val="24"/>
        </w:rPr>
        <w:t>ИАПФ — ингибиторы ангиотензинпревращающего фермента (АПФ) (ингибиторы АПФ)</w:t>
      </w:r>
    </w:p>
    <w:p w14:paraId="4F8BFDD6" w14:textId="77777777" w:rsidR="00015365" w:rsidRPr="005012BF" w:rsidRDefault="00015365" w:rsidP="005012BF">
      <w:pPr>
        <w:pStyle w:val="11"/>
        <w:ind w:firstLine="0"/>
        <w:rPr>
          <w:sz w:val="24"/>
          <w:szCs w:val="24"/>
        </w:rPr>
      </w:pPr>
      <w:r w:rsidRPr="005012BF">
        <w:rPr>
          <w:rStyle w:val="ac"/>
          <w:rFonts w:eastAsiaTheme="majorEastAsia"/>
          <w:sz w:val="24"/>
          <w:szCs w:val="24"/>
        </w:rPr>
        <w:t>ИБС — ишемическая болезнь сердца</w:t>
      </w:r>
    </w:p>
    <w:p w14:paraId="4895EA16" w14:textId="77777777" w:rsidR="00015365" w:rsidRPr="005012BF" w:rsidRDefault="00015365" w:rsidP="005012BF">
      <w:pPr>
        <w:pStyle w:val="11"/>
        <w:ind w:firstLine="0"/>
        <w:rPr>
          <w:sz w:val="24"/>
          <w:szCs w:val="24"/>
        </w:rPr>
      </w:pPr>
      <w:r w:rsidRPr="005012BF">
        <w:rPr>
          <w:rStyle w:val="ac"/>
          <w:rFonts w:eastAsiaTheme="majorEastAsia"/>
          <w:sz w:val="24"/>
          <w:szCs w:val="24"/>
        </w:rPr>
        <w:t>ИДАГ — изолированная диастолическая артериальная гипертензия</w:t>
      </w:r>
    </w:p>
    <w:p w14:paraId="3A4224AF"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t>ИМ — инфаркт миокарда</w:t>
      </w:r>
    </w:p>
    <w:p w14:paraId="16862D7C"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lastRenderedPageBreak/>
        <w:t>ИММЛЖ — индекс массы миокарда левого желудочка</w:t>
      </w:r>
    </w:p>
    <w:p w14:paraId="348BB4B5"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t>ИМТ — индекс массы тела</w:t>
      </w:r>
    </w:p>
    <w:p w14:paraId="6EA0423E"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t>иНГЛТ-2 – Ингибиторы натрий-глюкозного котранспортера 2-го типа (ингибиторы натрийзависимого переносчика глюкозы 2 типа)</w:t>
      </w:r>
    </w:p>
    <w:p w14:paraId="151A3119"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t>иРААС – ингибиторы ренин-ангиотензин-альдостероновой системы (средства, действующие на ренин-ангиотензиновую систему)</w:t>
      </w:r>
    </w:p>
    <w:p w14:paraId="28DA4734" w14:textId="77777777" w:rsidR="00015365" w:rsidRPr="005012BF" w:rsidRDefault="00015365" w:rsidP="00AA7B93">
      <w:pPr>
        <w:pStyle w:val="11"/>
        <w:ind w:firstLine="0"/>
        <w:rPr>
          <w:sz w:val="24"/>
          <w:szCs w:val="24"/>
        </w:rPr>
      </w:pPr>
      <w:r w:rsidRPr="005012BF">
        <w:rPr>
          <w:rStyle w:val="ac"/>
          <w:rFonts w:eastAsiaTheme="majorEastAsia"/>
          <w:sz w:val="24"/>
          <w:szCs w:val="24"/>
        </w:rPr>
        <w:t>ИСАГ — изолированная систолическая артериальная гипертензия</w:t>
      </w:r>
    </w:p>
    <w:p w14:paraId="58EA556E" w14:textId="77777777" w:rsidR="00015365" w:rsidRPr="005012BF" w:rsidRDefault="00015365" w:rsidP="00AA7B93">
      <w:pPr>
        <w:pStyle w:val="11"/>
        <w:ind w:firstLine="0"/>
        <w:rPr>
          <w:sz w:val="24"/>
          <w:szCs w:val="24"/>
        </w:rPr>
      </w:pPr>
      <w:r w:rsidRPr="005012BF">
        <w:rPr>
          <w:rStyle w:val="ac"/>
          <w:rFonts w:eastAsiaTheme="majorEastAsia"/>
          <w:sz w:val="24"/>
          <w:szCs w:val="24"/>
        </w:rPr>
        <w:t>КТ — компьютерная томография</w:t>
      </w:r>
    </w:p>
    <w:p w14:paraId="30DC3800" w14:textId="77777777" w:rsidR="00015365" w:rsidRPr="005012BF" w:rsidRDefault="00015365" w:rsidP="00AA7B93">
      <w:pPr>
        <w:pStyle w:val="11"/>
        <w:ind w:firstLine="0"/>
        <w:rPr>
          <w:sz w:val="24"/>
          <w:szCs w:val="24"/>
        </w:rPr>
      </w:pPr>
      <w:r w:rsidRPr="005012BF">
        <w:rPr>
          <w:rStyle w:val="ac"/>
          <w:rFonts w:eastAsiaTheme="majorEastAsia"/>
          <w:sz w:val="24"/>
          <w:szCs w:val="24"/>
        </w:rPr>
        <w:t>ЛЖ — левый желудочек</w:t>
      </w:r>
    </w:p>
    <w:p w14:paraId="0B5D2614" w14:textId="77777777" w:rsidR="00015365" w:rsidRPr="005012BF" w:rsidRDefault="00015365" w:rsidP="00AA7B93">
      <w:pPr>
        <w:pStyle w:val="11"/>
        <w:ind w:firstLine="0"/>
        <w:rPr>
          <w:sz w:val="24"/>
          <w:szCs w:val="24"/>
        </w:rPr>
      </w:pPr>
      <w:r w:rsidRPr="005012BF">
        <w:rPr>
          <w:rStyle w:val="ac"/>
          <w:rFonts w:eastAsiaTheme="majorEastAsia"/>
          <w:sz w:val="24"/>
          <w:szCs w:val="24"/>
        </w:rPr>
        <w:t>ЛП — левое предсердие</w:t>
      </w:r>
    </w:p>
    <w:p w14:paraId="0F8A8B16" w14:textId="77777777" w:rsidR="00015365" w:rsidRPr="005012BF" w:rsidRDefault="00015365" w:rsidP="00AA7B93">
      <w:pPr>
        <w:pStyle w:val="11"/>
        <w:ind w:firstLine="0"/>
        <w:rPr>
          <w:sz w:val="24"/>
          <w:szCs w:val="24"/>
        </w:rPr>
      </w:pPr>
      <w:r w:rsidRPr="005012BF">
        <w:rPr>
          <w:rStyle w:val="ac"/>
          <w:rFonts w:eastAsiaTheme="majorEastAsia"/>
          <w:sz w:val="24"/>
          <w:szCs w:val="24"/>
        </w:rPr>
        <w:t>ЛВП — липопротеиды высокой плотности</w:t>
      </w:r>
    </w:p>
    <w:p w14:paraId="510678D9"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t>ЛПИ — лодыжечно-плечевой индекс</w:t>
      </w:r>
    </w:p>
    <w:p w14:paraId="0056FCF8"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t>ЛНП — липопротеиды низкой плотности</w:t>
      </w:r>
    </w:p>
    <w:p w14:paraId="24336B4B"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t>МРТ — магнитно-резонансная томография</w:t>
      </w:r>
    </w:p>
    <w:p w14:paraId="63A7F4BC"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t>МС — метаболический синдром</w:t>
      </w:r>
    </w:p>
    <w:p w14:paraId="3D64CC61"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t>Недигидропиридиновый АК - селективный блокатор кальциевых каналов с прямым действием на сердце</w:t>
      </w:r>
    </w:p>
    <w:p w14:paraId="5F017748"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t>не-ЛВП — липопротеиды невысокой плотности</w:t>
      </w:r>
    </w:p>
    <w:p w14:paraId="564A0163" w14:textId="77777777" w:rsidR="00015365" w:rsidRPr="005012BF" w:rsidRDefault="00015365" w:rsidP="00AA7B93">
      <w:pPr>
        <w:pStyle w:val="11"/>
        <w:ind w:firstLine="0"/>
        <w:rPr>
          <w:sz w:val="24"/>
          <w:szCs w:val="24"/>
        </w:rPr>
      </w:pPr>
      <w:r w:rsidRPr="005012BF">
        <w:rPr>
          <w:rStyle w:val="ac"/>
          <w:rFonts w:eastAsiaTheme="majorEastAsia"/>
          <w:sz w:val="24"/>
          <w:szCs w:val="24"/>
        </w:rPr>
        <w:t>НПВП – нестероидные противовоспалительные и противоревматические препараты</w:t>
      </w:r>
    </w:p>
    <w:p w14:paraId="702412F2" w14:textId="77777777" w:rsidR="00015365" w:rsidRPr="005012BF" w:rsidRDefault="00015365" w:rsidP="00AA7B93">
      <w:pPr>
        <w:pStyle w:val="11"/>
        <w:ind w:firstLine="0"/>
        <w:rPr>
          <w:sz w:val="24"/>
          <w:szCs w:val="24"/>
        </w:rPr>
      </w:pPr>
      <w:r w:rsidRPr="005012BF">
        <w:rPr>
          <w:rStyle w:val="ac"/>
          <w:rFonts w:eastAsiaTheme="majorEastAsia"/>
          <w:sz w:val="24"/>
          <w:szCs w:val="24"/>
        </w:rPr>
        <w:t>НТГ — нарушенная толерантность к глюкозе</w:t>
      </w:r>
    </w:p>
    <w:p w14:paraId="32F7C1E7" w14:textId="77777777" w:rsidR="00015365" w:rsidRPr="005012BF" w:rsidRDefault="00015365" w:rsidP="00AA7B93">
      <w:pPr>
        <w:pStyle w:val="11"/>
        <w:ind w:firstLine="0"/>
        <w:rPr>
          <w:sz w:val="24"/>
          <w:szCs w:val="24"/>
        </w:rPr>
      </w:pPr>
      <w:r w:rsidRPr="005012BF">
        <w:rPr>
          <w:rStyle w:val="ac"/>
          <w:rFonts w:eastAsiaTheme="majorEastAsia"/>
          <w:sz w:val="24"/>
          <w:szCs w:val="24"/>
        </w:rPr>
        <w:t>ОК — оральные контрацептивы (гормональные контрацептивы системного действия)</w:t>
      </w:r>
    </w:p>
    <w:p w14:paraId="65D69BA6" w14:textId="77777777" w:rsidR="00015365" w:rsidRPr="005012BF" w:rsidRDefault="00015365" w:rsidP="00AA7B93">
      <w:pPr>
        <w:pStyle w:val="11"/>
        <w:ind w:firstLine="0"/>
        <w:rPr>
          <w:sz w:val="24"/>
          <w:szCs w:val="24"/>
        </w:rPr>
      </w:pPr>
      <w:r w:rsidRPr="005012BF">
        <w:rPr>
          <w:rStyle w:val="ac"/>
          <w:rFonts w:eastAsiaTheme="majorEastAsia"/>
          <w:sz w:val="24"/>
          <w:szCs w:val="24"/>
        </w:rPr>
        <w:t>ОКС — острый коронарный синдром</w:t>
      </w:r>
    </w:p>
    <w:p w14:paraId="751E1C3F" w14:textId="77777777" w:rsidR="00015365" w:rsidRPr="005012BF" w:rsidRDefault="00015365" w:rsidP="00AA7B93">
      <w:pPr>
        <w:pStyle w:val="11"/>
        <w:ind w:firstLine="0"/>
        <w:rPr>
          <w:sz w:val="24"/>
          <w:szCs w:val="24"/>
        </w:rPr>
      </w:pPr>
      <w:r w:rsidRPr="005012BF">
        <w:rPr>
          <w:rStyle w:val="ac"/>
          <w:rFonts w:eastAsiaTheme="majorEastAsia"/>
          <w:sz w:val="24"/>
          <w:szCs w:val="24"/>
        </w:rPr>
        <w:t>ОПСС — общее периферическое сосудистое сопротивление</w:t>
      </w:r>
    </w:p>
    <w:p w14:paraId="1F2EA123"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t>ОХС — общий холестерин</w:t>
      </w:r>
    </w:p>
    <w:p w14:paraId="5AE8861E" w14:textId="4F578A79" w:rsidR="00015365" w:rsidRDefault="00015365" w:rsidP="00AA7B93">
      <w:pPr>
        <w:pStyle w:val="11"/>
        <w:ind w:firstLine="0"/>
        <w:jc w:val="both"/>
        <w:rPr>
          <w:rStyle w:val="ac"/>
          <w:rFonts w:eastAsiaTheme="majorEastAsia"/>
          <w:sz w:val="24"/>
          <w:szCs w:val="24"/>
        </w:rPr>
      </w:pPr>
      <w:r w:rsidRPr="005012BF">
        <w:rPr>
          <w:rStyle w:val="ac"/>
          <w:rFonts w:eastAsiaTheme="majorEastAsia"/>
          <w:sz w:val="24"/>
          <w:szCs w:val="24"/>
        </w:rPr>
        <w:t>ОЦК — объем циркулирующей крови</w:t>
      </w:r>
    </w:p>
    <w:p w14:paraId="6C683060" w14:textId="40901F59" w:rsidR="005774C4" w:rsidRPr="005774C4" w:rsidRDefault="005774C4" w:rsidP="00AA7B93">
      <w:pPr>
        <w:pStyle w:val="11"/>
        <w:ind w:firstLine="0"/>
        <w:jc w:val="both"/>
        <w:rPr>
          <w:sz w:val="28"/>
          <w:szCs w:val="28"/>
        </w:rPr>
      </w:pPr>
      <w:r w:rsidRPr="005774C4">
        <w:rPr>
          <w:color w:val="0F1115"/>
          <w:sz w:val="24"/>
          <w:szCs w:val="24"/>
        </w:rPr>
        <w:t>ОЛЖН</w:t>
      </w:r>
      <w:r>
        <w:rPr>
          <w:color w:val="0F1115"/>
          <w:sz w:val="24"/>
          <w:szCs w:val="24"/>
        </w:rPr>
        <w:t xml:space="preserve"> – Острая левожелудочковая недостаточность (Отек легких).</w:t>
      </w:r>
    </w:p>
    <w:p w14:paraId="256E14E7"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t>ПД — пульсовое давление</w:t>
      </w:r>
    </w:p>
    <w:p w14:paraId="0B2499E5"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t>ПОАК — пероральные антикоагулянты (антитромботические средства)</w:t>
      </w:r>
    </w:p>
    <w:p w14:paraId="42BA7496" w14:textId="77777777" w:rsidR="00693C9D" w:rsidRDefault="00015365" w:rsidP="00AA7B93">
      <w:pPr>
        <w:pStyle w:val="11"/>
        <w:ind w:firstLine="0"/>
        <w:jc w:val="both"/>
        <w:rPr>
          <w:rStyle w:val="ac"/>
          <w:rFonts w:eastAsiaTheme="majorEastAsia"/>
          <w:sz w:val="24"/>
          <w:szCs w:val="24"/>
        </w:rPr>
      </w:pPr>
      <w:r w:rsidRPr="005012BF">
        <w:rPr>
          <w:rStyle w:val="ac"/>
          <w:rFonts w:eastAsiaTheme="majorEastAsia"/>
          <w:sz w:val="24"/>
          <w:szCs w:val="24"/>
        </w:rPr>
        <w:t>ПОМ — поражение органов-мишеней</w:t>
      </w:r>
      <w:r w:rsidR="00693C9D">
        <w:rPr>
          <w:rStyle w:val="ac"/>
          <w:rFonts w:eastAsiaTheme="majorEastAsia"/>
          <w:sz w:val="24"/>
          <w:szCs w:val="24"/>
        </w:rPr>
        <w:t xml:space="preserve">. </w:t>
      </w:r>
    </w:p>
    <w:p w14:paraId="16308D9B" w14:textId="5B7C183B" w:rsidR="00015365" w:rsidRDefault="00015365" w:rsidP="00AA7B93">
      <w:pPr>
        <w:pStyle w:val="11"/>
        <w:ind w:firstLine="0"/>
        <w:jc w:val="both"/>
        <w:rPr>
          <w:rStyle w:val="ac"/>
          <w:rFonts w:eastAsiaTheme="majorEastAsia"/>
          <w:sz w:val="24"/>
          <w:szCs w:val="24"/>
        </w:rPr>
      </w:pPr>
      <w:r w:rsidRPr="005012BF">
        <w:rPr>
          <w:rStyle w:val="ac"/>
          <w:rFonts w:eastAsiaTheme="majorEastAsia"/>
          <w:sz w:val="24"/>
          <w:szCs w:val="24"/>
        </w:rPr>
        <w:t>Препараты центрального действия – антиадренергические средства центрального действия</w:t>
      </w:r>
    </w:p>
    <w:p w14:paraId="5B8D41CA" w14:textId="49EDA95C" w:rsidR="00592856" w:rsidRPr="005012BF" w:rsidRDefault="00592856" w:rsidP="00AA7B93">
      <w:pPr>
        <w:pStyle w:val="11"/>
        <w:ind w:firstLine="0"/>
        <w:jc w:val="both"/>
        <w:rPr>
          <w:sz w:val="24"/>
          <w:szCs w:val="24"/>
        </w:rPr>
      </w:pPr>
      <w:r>
        <w:rPr>
          <w:rStyle w:val="ac"/>
          <w:rFonts w:eastAsiaTheme="majorEastAsia"/>
          <w:sz w:val="24"/>
          <w:szCs w:val="24"/>
        </w:rPr>
        <w:t>Р-р. - Раствор</w:t>
      </w:r>
    </w:p>
    <w:p w14:paraId="5FB53B9D"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t>РААС — ренин-ангиотензин-альдостероновая система</w:t>
      </w:r>
    </w:p>
    <w:p w14:paraId="46BCDABD"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t>РКИ — рандомизированные клинические исследования</w:t>
      </w:r>
    </w:p>
    <w:p w14:paraId="338E1DE5"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t>САД — систолическое артериальное давление</w:t>
      </w:r>
    </w:p>
    <w:p w14:paraId="6E1DB860"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t xml:space="preserve">САС — </w:t>
      </w:r>
      <w:proofErr w:type="gramStart"/>
      <w:r w:rsidRPr="005012BF">
        <w:rPr>
          <w:rStyle w:val="ac"/>
          <w:rFonts w:eastAsiaTheme="majorEastAsia"/>
          <w:sz w:val="24"/>
          <w:szCs w:val="24"/>
        </w:rPr>
        <w:t>симпато-адреналовая</w:t>
      </w:r>
      <w:proofErr w:type="gramEnd"/>
      <w:r w:rsidRPr="005012BF">
        <w:rPr>
          <w:rStyle w:val="ac"/>
          <w:rFonts w:eastAsiaTheme="majorEastAsia"/>
          <w:sz w:val="24"/>
          <w:szCs w:val="24"/>
        </w:rPr>
        <w:t xml:space="preserve"> система</w:t>
      </w:r>
    </w:p>
    <w:p w14:paraId="05372115"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lastRenderedPageBreak/>
        <w:t>СД — сахарный диабет</w:t>
      </w:r>
    </w:p>
    <w:p w14:paraId="2EFCCCD1"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t>СКФ — скорость клубочковой фильтрации</w:t>
      </w:r>
    </w:p>
    <w:p w14:paraId="334A2B85"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t>СМАД — суточное мониторирование артериального давления</w:t>
      </w:r>
    </w:p>
    <w:p w14:paraId="3F744CA2"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t>СН – сердечная недостаточность</w:t>
      </w:r>
    </w:p>
    <w:p w14:paraId="6BACA8FB"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t>СНС — симпатическая нервная система</w:t>
      </w:r>
    </w:p>
    <w:p w14:paraId="59DBA5FC"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t>СОАС — синдром обструктивного апноэ во время сна</w:t>
      </w:r>
    </w:p>
    <w:p w14:paraId="5A7B97AD"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t>СПВ — скорость пульсовой волны</w:t>
      </w:r>
    </w:p>
    <w:p w14:paraId="5276AD99"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t>СС — сердечно-сосудистый</w:t>
      </w:r>
    </w:p>
    <w:p w14:paraId="2DEEBA0C"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t>ССЗ — сердечно-сосудистые заболевания</w:t>
      </w:r>
    </w:p>
    <w:p w14:paraId="3A6434AD" w14:textId="77777777" w:rsidR="00015365" w:rsidRDefault="00015365" w:rsidP="00AA7B93">
      <w:pPr>
        <w:pStyle w:val="11"/>
        <w:ind w:firstLine="0"/>
        <w:jc w:val="both"/>
        <w:rPr>
          <w:rStyle w:val="ac"/>
          <w:rFonts w:eastAsiaTheme="majorEastAsia"/>
          <w:sz w:val="24"/>
          <w:szCs w:val="24"/>
        </w:rPr>
      </w:pPr>
      <w:r w:rsidRPr="005012BF">
        <w:rPr>
          <w:rStyle w:val="ac"/>
          <w:rFonts w:eastAsiaTheme="majorEastAsia"/>
          <w:sz w:val="24"/>
          <w:szCs w:val="24"/>
        </w:rPr>
        <w:t>ССО — сердечно-сосудистые осложнения</w:t>
      </w:r>
    </w:p>
    <w:p w14:paraId="035758AB" w14:textId="493AC89B" w:rsidR="00592856" w:rsidRPr="00592856" w:rsidRDefault="00592856" w:rsidP="00AA7B93">
      <w:pPr>
        <w:pStyle w:val="11"/>
        <w:ind w:firstLine="0"/>
        <w:jc w:val="both"/>
        <w:rPr>
          <w:sz w:val="24"/>
          <w:szCs w:val="24"/>
        </w:rPr>
      </w:pPr>
      <w:r w:rsidRPr="00592856">
        <w:rPr>
          <w:rStyle w:val="aff9"/>
          <w:rFonts w:eastAsiaTheme="majorEastAsia"/>
          <w:b w:val="0"/>
          <w:bCs w:val="0"/>
          <w:sz w:val="24"/>
          <w:szCs w:val="24"/>
        </w:rPr>
        <w:t>Таб. – Таблетированная форма</w:t>
      </w:r>
    </w:p>
    <w:p w14:paraId="3145B447"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t>ТГ — триглицериды</w:t>
      </w:r>
    </w:p>
    <w:p w14:paraId="5A21E30E"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t>ТИА — транзиторная ишемическая атака</w:t>
      </w:r>
    </w:p>
    <w:p w14:paraId="61107311"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t>Т3 — трийодтиронин</w:t>
      </w:r>
    </w:p>
    <w:p w14:paraId="4F1B2AFE"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t>Т4 — тироксин</w:t>
      </w:r>
    </w:p>
    <w:p w14:paraId="604D279D"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t>ТТГ — тиреотропный гормон</w:t>
      </w:r>
    </w:p>
    <w:p w14:paraId="0AF5ADF8" w14:textId="1D2DD4A2" w:rsidR="00015365" w:rsidRPr="005012BF" w:rsidRDefault="008E4B86" w:rsidP="00AA7B93">
      <w:pPr>
        <w:pStyle w:val="11"/>
        <w:ind w:firstLine="0"/>
        <w:jc w:val="both"/>
        <w:rPr>
          <w:sz w:val="24"/>
          <w:szCs w:val="24"/>
        </w:rPr>
      </w:pPr>
      <w:r>
        <w:rPr>
          <w:rStyle w:val="ac"/>
          <w:rFonts w:eastAsiaTheme="majorEastAsia"/>
          <w:sz w:val="24"/>
          <w:szCs w:val="24"/>
        </w:rPr>
        <w:t>УДД</w:t>
      </w:r>
      <w:r w:rsidR="00015365" w:rsidRPr="005012BF">
        <w:rPr>
          <w:rStyle w:val="ac"/>
          <w:rFonts w:eastAsiaTheme="majorEastAsia"/>
          <w:sz w:val="24"/>
          <w:szCs w:val="24"/>
        </w:rPr>
        <w:t xml:space="preserve"> — </w:t>
      </w:r>
      <w:r w:rsidR="003D51B3">
        <w:rPr>
          <w:rStyle w:val="ac"/>
          <w:rFonts w:eastAsiaTheme="majorEastAsia"/>
          <w:sz w:val="24"/>
          <w:szCs w:val="24"/>
        </w:rPr>
        <w:t>Уровень достоверности доказательств</w:t>
      </w:r>
    </w:p>
    <w:p w14:paraId="0E1FC735"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t>УЗИ — ультразвуковое исследование</w:t>
      </w:r>
    </w:p>
    <w:p w14:paraId="7429F3FF" w14:textId="77777777" w:rsidR="00015365" w:rsidRPr="005012BF" w:rsidRDefault="008E4B86" w:rsidP="00AA7B93">
      <w:pPr>
        <w:pStyle w:val="11"/>
        <w:ind w:firstLine="0"/>
        <w:jc w:val="both"/>
        <w:rPr>
          <w:sz w:val="24"/>
          <w:szCs w:val="24"/>
        </w:rPr>
      </w:pPr>
      <w:r>
        <w:rPr>
          <w:rStyle w:val="ac"/>
          <w:rFonts w:eastAsiaTheme="majorEastAsia"/>
          <w:sz w:val="24"/>
          <w:szCs w:val="24"/>
        </w:rPr>
        <w:t>УУР</w:t>
      </w:r>
      <w:r w:rsidR="00015365" w:rsidRPr="005012BF">
        <w:rPr>
          <w:rStyle w:val="ac"/>
          <w:rFonts w:eastAsiaTheme="majorEastAsia"/>
          <w:sz w:val="24"/>
          <w:szCs w:val="24"/>
        </w:rPr>
        <w:t xml:space="preserve"> — уровень убедительности рекомендаций</w:t>
      </w:r>
    </w:p>
    <w:p w14:paraId="0882833D"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t>ФВ — фракция выброса</w:t>
      </w:r>
    </w:p>
    <w:p w14:paraId="11F1698B"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t>ФК — функциональный класс</w:t>
      </w:r>
    </w:p>
    <w:p w14:paraId="756ABDAE"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t>ФП — фибрилляция предсердий</w:t>
      </w:r>
    </w:p>
    <w:p w14:paraId="1AFBA14B"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t>ФР — фактор риска</w:t>
      </w:r>
    </w:p>
    <w:p w14:paraId="42676F12"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t>ХБП — хроническая болезнь почек</w:t>
      </w:r>
    </w:p>
    <w:p w14:paraId="151CE18E"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t>ХОБЛ — хроническая обструктивная болезнь легких</w:t>
      </w:r>
    </w:p>
    <w:p w14:paraId="1005BA2A"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t>ХПН — хроническая почечная недостаточность</w:t>
      </w:r>
    </w:p>
    <w:p w14:paraId="46C38BDD"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t>ХС — холестерин</w:t>
      </w:r>
    </w:p>
    <w:p w14:paraId="56D97660"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t>ХСН — хроническая сердечная недостаточность</w:t>
      </w:r>
    </w:p>
    <w:p w14:paraId="6F9F1996" w14:textId="77777777" w:rsidR="00015365" w:rsidRPr="005012BF" w:rsidRDefault="00015365" w:rsidP="00AA7B93">
      <w:pPr>
        <w:pStyle w:val="11"/>
        <w:ind w:firstLine="0"/>
        <w:jc w:val="both"/>
        <w:rPr>
          <w:sz w:val="24"/>
          <w:szCs w:val="24"/>
        </w:rPr>
      </w:pPr>
      <w:r w:rsidRPr="005012BF">
        <w:rPr>
          <w:rStyle w:val="ac"/>
          <w:rFonts w:eastAsiaTheme="majorEastAsia"/>
          <w:sz w:val="24"/>
          <w:szCs w:val="24"/>
        </w:rPr>
        <w:t>ХСНнФВ — хроническая сердечная недостаточность с низкой фракцией выброса</w:t>
      </w:r>
    </w:p>
    <w:p w14:paraId="45A59218" w14:textId="77777777" w:rsidR="00015365" w:rsidRPr="005012BF" w:rsidRDefault="00015365" w:rsidP="00AA7B93">
      <w:pPr>
        <w:pStyle w:val="11"/>
        <w:ind w:firstLine="0"/>
        <w:rPr>
          <w:sz w:val="24"/>
          <w:szCs w:val="24"/>
        </w:rPr>
      </w:pPr>
      <w:r w:rsidRPr="005012BF">
        <w:rPr>
          <w:rStyle w:val="ac"/>
          <w:rFonts w:eastAsiaTheme="majorEastAsia"/>
          <w:sz w:val="24"/>
          <w:szCs w:val="24"/>
        </w:rPr>
        <w:t>ХСНсФВ — хроническая сердечная недостаточность с сохраненной фракцией выброса</w:t>
      </w:r>
    </w:p>
    <w:p w14:paraId="7BE26D45" w14:textId="77777777" w:rsidR="00015365" w:rsidRPr="005012BF" w:rsidRDefault="00015365" w:rsidP="005012BF">
      <w:pPr>
        <w:pStyle w:val="11"/>
        <w:ind w:firstLine="0"/>
        <w:rPr>
          <w:sz w:val="24"/>
          <w:szCs w:val="24"/>
        </w:rPr>
      </w:pPr>
      <w:r w:rsidRPr="005012BF">
        <w:rPr>
          <w:rStyle w:val="ac"/>
          <w:rFonts w:eastAsiaTheme="majorEastAsia"/>
          <w:sz w:val="24"/>
          <w:szCs w:val="24"/>
        </w:rPr>
        <w:t>ХСНунФВ — хроническая сердечная недостаточность с умеренно сниженной фракцией выброса</w:t>
      </w:r>
    </w:p>
    <w:p w14:paraId="3886E601" w14:textId="77777777" w:rsidR="00015365" w:rsidRPr="005012BF" w:rsidRDefault="00015365" w:rsidP="005012BF">
      <w:pPr>
        <w:pStyle w:val="11"/>
        <w:ind w:firstLine="0"/>
        <w:rPr>
          <w:sz w:val="24"/>
          <w:szCs w:val="24"/>
        </w:rPr>
      </w:pPr>
      <w:r w:rsidRPr="005012BF">
        <w:rPr>
          <w:rStyle w:val="ac"/>
          <w:rFonts w:eastAsiaTheme="majorEastAsia"/>
          <w:sz w:val="24"/>
          <w:szCs w:val="24"/>
        </w:rPr>
        <w:t>ЦАД — центральное артериальное давление</w:t>
      </w:r>
    </w:p>
    <w:p w14:paraId="2A328A9B" w14:textId="77777777" w:rsidR="00015365" w:rsidRPr="005012BF" w:rsidRDefault="00015365" w:rsidP="005012BF">
      <w:pPr>
        <w:pStyle w:val="11"/>
        <w:ind w:firstLine="0"/>
        <w:rPr>
          <w:sz w:val="24"/>
          <w:szCs w:val="24"/>
        </w:rPr>
      </w:pPr>
      <w:r w:rsidRPr="005012BF">
        <w:rPr>
          <w:rStyle w:val="ac"/>
          <w:rFonts w:eastAsiaTheme="majorEastAsia"/>
          <w:sz w:val="24"/>
          <w:szCs w:val="24"/>
        </w:rPr>
        <w:t>ЦВБ — цереброваскулярная болезнь</w:t>
      </w:r>
    </w:p>
    <w:p w14:paraId="6FFC38C4" w14:textId="77777777" w:rsidR="00015365" w:rsidRPr="005012BF" w:rsidRDefault="00015365" w:rsidP="005012BF">
      <w:pPr>
        <w:pStyle w:val="11"/>
        <w:ind w:firstLine="0"/>
        <w:rPr>
          <w:sz w:val="24"/>
          <w:szCs w:val="24"/>
        </w:rPr>
      </w:pPr>
      <w:r w:rsidRPr="005012BF">
        <w:rPr>
          <w:rStyle w:val="ac"/>
          <w:rFonts w:eastAsiaTheme="majorEastAsia"/>
          <w:sz w:val="24"/>
          <w:szCs w:val="24"/>
        </w:rPr>
        <w:t>ЧСС — частота сердечных сокращений</w:t>
      </w:r>
    </w:p>
    <w:p w14:paraId="3A1ABCF3" w14:textId="77777777" w:rsidR="00015365" w:rsidRPr="005012BF" w:rsidRDefault="00015365" w:rsidP="005012BF">
      <w:pPr>
        <w:pStyle w:val="11"/>
        <w:ind w:firstLine="0"/>
        <w:rPr>
          <w:sz w:val="24"/>
          <w:szCs w:val="24"/>
        </w:rPr>
      </w:pPr>
      <w:r w:rsidRPr="005012BF">
        <w:rPr>
          <w:rStyle w:val="ac"/>
          <w:rFonts w:eastAsiaTheme="majorEastAsia"/>
          <w:sz w:val="24"/>
          <w:szCs w:val="24"/>
        </w:rPr>
        <w:lastRenderedPageBreak/>
        <w:t>ЭД — эректильная дисфункция</w:t>
      </w:r>
    </w:p>
    <w:p w14:paraId="2ECF98F6" w14:textId="77777777" w:rsidR="00015365" w:rsidRPr="005012BF" w:rsidRDefault="00015365" w:rsidP="005012BF">
      <w:pPr>
        <w:pStyle w:val="11"/>
        <w:ind w:firstLine="0"/>
        <w:rPr>
          <w:sz w:val="24"/>
          <w:szCs w:val="24"/>
        </w:rPr>
      </w:pPr>
      <w:r w:rsidRPr="005012BF">
        <w:rPr>
          <w:rStyle w:val="ac"/>
          <w:rFonts w:eastAsiaTheme="majorEastAsia"/>
          <w:sz w:val="24"/>
          <w:szCs w:val="24"/>
        </w:rPr>
        <w:t>ЭКГ — электрокардиограмма</w:t>
      </w:r>
    </w:p>
    <w:p w14:paraId="6D2BD14F" w14:textId="77777777" w:rsidR="00015365" w:rsidRPr="005012BF" w:rsidRDefault="00015365" w:rsidP="005012BF">
      <w:pPr>
        <w:pStyle w:val="11"/>
        <w:ind w:firstLine="0"/>
        <w:rPr>
          <w:sz w:val="24"/>
          <w:szCs w:val="24"/>
        </w:rPr>
      </w:pPr>
      <w:r w:rsidRPr="005012BF">
        <w:rPr>
          <w:rStyle w:val="ac"/>
          <w:rFonts w:eastAsiaTheme="majorEastAsia"/>
          <w:sz w:val="24"/>
          <w:szCs w:val="24"/>
        </w:rPr>
        <w:t>ЭхоКГ — эхокардиография</w:t>
      </w:r>
    </w:p>
    <w:p w14:paraId="4509A987" w14:textId="77777777" w:rsidR="00015365" w:rsidRPr="005012BF" w:rsidRDefault="00015365" w:rsidP="005012BF">
      <w:pPr>
        <w:pStyle w:val="11"/>
        <w:ind w:firstLine="0"/>
        <w:rPr>
          <w:sz w:val="24"/>
          <w:szCs w:val="24"/>
        </w:rPr>
      </w:pPr>
      <w:r w:rsidRPr="005012BF">
        <w:rPr>
          <w:rStyle w:val="ac"/>
          <w:rFonts w:eastAsiaTheme="majorEastAsia"/>
          <w:sz w:val="24"/>
          <w:szCs w:val="24"/>
          <w:lang w:val="en-US"/>
        </w:rPr>
        <w:t>CKD</w:t>
      </w:r>
      <w:r w:rsidRPr="005012BF">
        <w:rPr>
          <w:rStyle w:val="ac"/>
          <w:rFonts w:eastAsiaTheme="majorEastAsia"/>
          <w:sz w:val="24"/>
          <w:szCs w:val="24"/>
        </w:rPr>
        <w:t>-</w:t>
      </w:r>
      <w:r w:rsidRPr="005012BF">
        <w:rPr>
          <w:rStyle w:val="ac"/>
          <w:rFonts w:eastAsiaTheme="majorEastAsia"/>
          <w:sz w:val="24"/>
          <w:szCs w:val="24"/>
          <w:lang w:val="en-US"/>
        </w:rPr>
        <w:t>EPI</w:t>
      </w:r>
      <w:r w:rsidRPr="005012BF">
        <w:rPr>
          <w:rStyle w:val="ac"/>
          <w:rFonts w:eastAsiaTheme="majorEastAsia"/>
          <w:sz w:val="24"/>
          <w:szCs w:val="24"/>
        </w:rPr>
        <w:t xml:space="preserve"> — </w:t>
      </w:r>
      <w:r w:rsidRPr="005012BF">
        <w:rPr>
          <w:rStyle w:val="ac"/>
          <w:rFonts w:eastAsiaTheme="majorEastAsia"/>
          <w:sz w:val="24"/>
          <w:szCs w:val="24"/>
          <w:lang w:val="en-US"/>
        </w:rPr>
        <w:t>ChronicKidneyDiseaseEpidemiology</w:t>
      </w:r>
      <w:r w:rsidRPr="005012BF">
        <w:rPr>
          <w:rStyle w:val="ac"/>
          <w:rFonts w:eastAsiaTheme="majorEastAsia"/>
          <w:sz w:val="24"/>
          <w:szCs w:val="24"/>
        </w:rPr>
        <w:t xml:space="preserve"> </w:t>
      </w:r>
      <w:r w:rsidRPr="005012BF">
        <w:rPr>
          <w:rStyle w:val="ac"/>
          <w:rFonts w:eastAsiaTheme="majorEastAsia"/>
          <w:sz w:val="24"/>
          <w:szCs w:val="24"/>
          <w:lang w:val="en-US"/>
        </w:rPr>
        <w:t>Collaboration</w:t>
      </w:r>
    </w:p>
    <w:p w14:paraId="1EB97431" w14:textId="77777777" w:rsidR="00015365" w:rsidRPr="008E7E6A" w:rsidRDefault="00015365" w:rsidP="005012BF">
      <w:pPr>
        <w:pStyle w:val="11"/>
        <w:ind w:firstLine="0"/>
        <w:rPr>
          <w:rStyle w:val="ac"/>
          <w:rFonts w:eastAsiaTheme="majorEastAsia"/>
          <w:sz w:val="24"/>
          <w:szCs w:val="24"/>
          <w:lang w:val="en-US"/>
        </w:rPr>
      </w:pPr>
      <w:r w:rsidRPr="005012BF">
        <w:rPr>
          <w:rStyle w:val="ac"/>
          <w:rFonts w:eastAsiaTheme="majorEastAsia"/>
          <w:sz w:val="24"/>
          <w:szCs w:val="24"/>
          <w:lang w:val="en-US"/>
        </w:rPr>
        <w:t>ESC/ESH — European society of cardiology/European society of hypertension</w:t>
      </w:r>
    </w:p>
    <w:p w14:paraId="70D52087" w14:textId="6411661D" w:rsidR="00583C1F" w:rsidRPr="00583C1F" w:rsidRDefault="00583C1F" w:rsidP="005012BF">
      <w:pPr>
        <w:pStyle w:val="11"/>
        <w:ind w:firstLine="0"/>
        <w:rPr>
          <w:sz w:val="24"/>
          <w:szCs w:val="24"/>
        </w:rPr>
      </w:pPr>
      <w:r w:rsidRPr="00583C1F">
        <w:rPr>
          <w:sz w:val="24"/>
          <w:szCs w:val="24"/>
        </w:rPr>
        <w:t>NMDA-рецептор (NMDAR; НМДА-рецептор) — ионотропный рецептор глутамата, селективно связывающий N-метил-D-аспартат (NMDA). </w:t>
      </w:r>
    </w:p>
    <w:p w14:paraId="4BAB2E9A" w14:textId="77777777" w:rsidR="00015365" w:rsidRPr="005012BF" w:rsidRDefault="00015365" w:rsidP="005012BF">
      <w:pPr>
        <w:pStyle w:val="11"/>
        <w:ind w:firstLine="0"/>
        <w:rPr>
          <w:sz w:val="24"/>
          <w:szCs w:val="24"/>
          <w:lang w:val="en-US"/>
        </w:rPr>
      </w:pPr>
      <w:r w:rsidRPr="005012BF">
        <w:rPr>
          <w:rStyle w:val="ac"/>
          <w:rFonts w:eastAsiaTheme="majorEastAsia"/>
          <w:sz w:val="24"/>
          <w:szCs w:val="24"/>
          <w:lang w:val="en-US"/>
        </w:rPr>
        <w:t>MDRD — Modification of Diet in Renal Disease</w:t>
      </w:r>
    </w:p>
    <w:p w14:paraId="0127A9A2" w14:textId="77777777" w:rsidR="00015365" w:rsidRPr="005012BF" w:rsidRDefault="00015365" w:rsidP="005012BF">
      <w:pPr>
        <w:pStyle w:val="11"/>
        <w:ind w:firstLine="0"/>
        <w:rPr>
          <w:sz w:val="24"/>
          <w:szCs w:val="24"/>
          <w:lang w:val="en-US"/>
        </w:rPr>
      </w:pPr>
      <w:r w:rsidRPr="005012BF">
        <w:rPr>
          <w:rStyle w:val="ac"/>
          <w:rFonts w:eastAsiaTheme="majorEastAsia"/>
          <w:sz w:val="24"/>
          <w:szCs w:val="24"/>
          <w:lang w:val="en-US"/>
        </w:rPr>
        <w:t>SCORE-2 — Systemic coronary risk evaluation -2</w:t>
      </w:r>
    </w:p>
    <w:p w14:paraId="69A35D9A" w14:textId="77777777" w:rsidR="00015365" w:rsidRPr="005012BF" w:rsidRDefault="00015365" w:rsidP="005012BF">
      <w:pPr>
        <w:pStyle w:val="11"/>
        <w:ind w:firstLine="0"/>
        <w:rPr>
          <w:sz w:val="24"/>
          <w:szCs w:val="24"/>
          <w:lang w:val="en-US"/>
        </w:rPr>
      </w:pPr>
      <w:r w:rsidRPr="005012BF">
        <w:rPr>
          <w:rStyle w:val="ac"/>
          <w:rFonts w:eastAsiaTheme="majorEastAsia"/>
          <w:sz w:val="24"/>
          <w:szCs w:val="24"/>
          <w:lang w:val="en-US"/>
        </w:rPr>
        <w:t>SCORE-2-OP - Systemic coronary risk evaluation -2 -Older Persons</w:t>
      </w:r>
    </w:p>
    <w:p w14:paraId="3B4ACE2A" w14:textId="77777777" w:rsidR="00015365" w:rsidRPr="005012BF" w:rsidRDefault="00015365" w:rsidP="005012BF">
      <w:pPr>
        <w:pStyle w:val="11"/>
        <w:ind w:firstLine="0"/>
        <w:rPr>
          <w:rStyle w:val="ac"/>
          <w:rFonts w:eastAsiaTheme="majorEastAsia"/>
          <w:sz w:val="24"/>
          <w:szCs w:val="24"/>
        </w:rPr>
      </w:pPr>
      <w:bookmarkStart w:id="4" w:name="bookmark1"/>
      <w:r w:rsidRPr="005012BF">
        <w:rPr>
          <w:rStyle w:val="ac"/>
          <w:rFonts w:eastAsiaTheme="majorEastAsia"/>
          <w:sz w:val="24"/>
          <w:szCs w:val="24"/>
        </w:rPr>
        <w:t xml:space="preserve">Ингибиторы </w:t>
      </w:r>
      <w:r w:rsidRPr="005012BF">
        <w:rPr>
          <w:rStyle w:val="ac"/>
          <w:rFonts w:eastAsiaTheme="majorEastAsia"/>
          <w:sz w:val="24"/>
          <w:szCs w:val="24"/>
          <w:lang w:val="en-US"/>
        </w:rPr>
        <w:t>VEGFR</w:t>
      </w:r>
      <w:r w:rsidRPr="005012BF">
        <w:rPr>
          <w:rStyle w:val="ac"/>
          <w:rFonts w:eastAsiaTheme="majorEastAsia"/>
          <w:sz w:val="24"/>
          <w:szCs w:val="24"/>
        </w:rPr>
        <w:t xml:space="preserve"> - Ингибиторы тирозинкиназы рецептора фактора роста эндотелия сосудов</w:t>
      </w:r>
      <w:bookmarkEnd w:id="4"/>
    </w:p>
    <w:p w14:paraId="3FD3F1CE" w14:textId="77777777" w:rsidR="001B274E" w:rsidRDefault="001B274E" w:rsidP="00564F95">
      <w:pPr>
        <w:pStyle w:val="11"/>
        <w:ind w:firstLine="0"/>
        <w:rPr>
          <w:rStyle w:val="ac"/>
          <w:rFonts w:eastAsiaTheme="majorEastAsia"/>
        </w:rPr>
      </w:pPr>
    </w:p>
    <w:p w14:paraId="05B4682A" w14:textId="77777777" w:rsidR="001B274E" w:rsidRPr="00AA7B93" w:rsidRDefault="001B274E" w:rsidP="0008732C">
      <w:pPr>
        <w:pStyle w:val="11"/>
        <w:ind w:firstLine="580"/>
        <w:jc w:val="center"/>
        <w:outlineLvl w:val="0"/>
        <w:rPr>
          <w:rStyle w:val="ac"/>
          <w:rFonts w:eastAsiaTheme="majorEastAsia"/>
          <w:b/>
          <w:bCs/>
          <w:sz w:val="28"/>
          <w:szCs w:val="28"/>
        </w:rPr>
      </w:pPr>
      <w:bookmarkStart w:id="5" w:name="_Toc202877426"/>
      <w:r w:rsidRPr="00AA7B93">
        <w:rPr>
          <w:rStyle w:val="ac"/>
          <w:rFonts w:eastAsiaTheme="majorEastAsia"/>
          <w:b/>
          <w:bCs/>
          <w:sz w:val="28"/>
          <w:szCs w:val="28"/>
        </w:rPr>
        <w:t>Термины и определения.</w:t>
      </w:r>
      <w:bookmarkEnd w:id="5"/>
    </w:p>
    <w:p w14:paraId="750CC0A9" w14:textId="27E93F53" w:rsidR="001B274E" w:rsidRPr="00AA7B93" w:rsidRDefault="001B274E" w:rsidP="00AA7B93">
      <w:pPr>
        <w:pStyle w:val="11"/>
        <w:ind w:firstLine="709"/>
        <w:jc w:val="both"/>
        <w:rPr>
          <w:sz w:val="24"/>
          <w:szCs w:val="24"/>
        </w:rPr>
      </w:pPr>
      <w:r w:rsidRPr="00AA7B93">
        <w:rPr>
          <w:rStyle w:val="ac"/>
          <w:rFonts w:eastAsiaTheme="majorEastAsia"/>
          <w:b/>
          <w:bCs/>
          <w:sz w:val="24"/>
          <w:szCs w:val="24"/>
        </w:rPr>
        <w:t xml:space="preserve">Артериальная гипертензия (АГ)— </w:t>
      </w:r>
      <w:r w:rsidRPr="00AA7B93">
        <w:rPr>
          <w:rStyle w:val="ac"/>
          <w:rFonts w:eastAsiaTheme="majorEastAsia"/>
          <w:sz w:val="24"/>
          <w:szCs w:val="24"/>
        </w:rPr>
        <w:t xml:space="preserve">синдром повышения артериального давления (АД) при гипертонической болезни и симптоматических АГ выше пороговых значений, определенных в результате эпидемиологических и рандомизированных контролируемых исследований, продемонстрировавших связь с повышением сердечно-сосудистого риска и </w:t>
      </w:r>
      <w:r w:rsidR="00AA302D" w:rsidRPr="00AA7B93">
        <w:rPr>
          <w:rStyle w:val="ac"/>
          <w:rFonts w:eastAsiaTheme="majorEastAsia"/>
          <w:sz w:val="24"/>
          <w:szCs w:val="24"/>
        </w:rPr>
        <w:t>целесообразность,</w:t>
      </w:r>
      <w:r w:rsidRPr="00AA7B93">
        <w:rPr>
          <w:rStyle w:val="ac"/>
          <w:rFonts w:eastAsiaTheme="majorEastAsia"/>
          <w:sz w:val="24"/>
          <w:szCs w:val="24"/>
        </w:rPr>
        <w:t xml:space="preserve"> и пользу лечения, направленного на снижение АД ниже этих уровней АД </w:t>
      </w:r>
      <w:r w:rsidRPr="00AA7B93">
        <w:rPr>
          <w:rStyle w:val="ac"/>
          <w:rFonts w:eastAsiaTheme="majorEastAsia"/>
          <w:b/>
          <w:bCs/>
          <w:sz w:val="24"/>
          <w:szCs w:val="24"/>
        </w:rPr>
        <w:t>(Синоним – Артериальная гипертония (АГ))</w:t>
      </w:r>
    </w:p>
    <w:p w14:paraId="05481673" w14:textId="77777777" w:rsidR="001B274E" w:rsidRPr="00AA7B93" w:rsidRDefault="001B274E" w:rsidP="00AA7B93">
      <w:pPr>
        <w:pStyle w:val="11"/>
        <w:ind w:firstLine="709"/>
        <w:jc w:val="both"/>
        <w:rPr>
          <w:sz w:val="24"/>
          <w:szCs w:val="24"/>
        </w:rPr>
      </w:pPr>
      <w:r w:rsidRPr="00AA7B93">
        <w:rPr>
          <w:rStyle w:val="ac"/>
          <w:rFonts w:eastAsiaTheme="majorEastAsia"/>
          <w:b/>
          <w:bCs/>
          <w:sz w:val="24"/>
          <w:szCs w:val="24"/>
        </w:rPr>
        <w:t xml:space="preserve">Артериальная гипертензия у молодых — </w:t>
      </w:r>
      <w:r w:rsidRPr="00AA7B93">
        <w:rPr>
          <w:rStyle w:val="ac"/>
          <w:rFonts w:eastAsiaTheme="majorEastAsia"/>
          <w:sz w:val="24"/>
          <w:szCs w:val="24"/>
        </w:rPr>
        <w:t>повышение АД выше пороговых значений у лиц моложе 50 лет</w:t>
      </w:r>
    </w:p>
    <w:p w14:paraId="3991E16A" w14:textId="77777777" w:rsidR="001B274E" w:rsidRPr="00AA7B93" w:rsidRDefault="001B274E" w:rsidP="00AA7B93">
      <w:pPr>
        <w:pStyle w:val="11"/>
        <w:ind w:firstLine="709"/>
        <w:jc w:val="both"/>
        <w:rPr>
          <w:sz w:val="24"/>
          <w:szCs w:val="24"/>
        </w:rPr>
      </w:pPr>
      <w:r w:rsidRPr="00AA7B93">
        <w:rPr>
          <w:rStyle w:val="ac"/>
          <w:rFonts w:eastAsiaTheme="majorEastAsia"/>
          <w:b/>
          <w:bCs/>
          <w:sz w:val="24"/>
          <w:szCs w:val="24"/>
        </w:rPr>
        <w:t xml:space="preserve">Высокое нормальное АД — </w:t>
      </w:r>
      <w:r w:rsidRPr="00AA7B93">
        <w:rPr>
          <w:rStyle w:val="ac"/>
          <w:rFonts w:eastAsiaTheme="majorEastAsia"/>
          <w:sz w:val="24"/>
          <w:szCs w:val="24"/>
        </w:rPr>
        <w:t>давление в диапазоне систолического АД (САД) от 130 до 139 мм рт. ст. и/или диастолического АД (ДАД) от 85 до 89 мм рт. ст.</w:t>
      </w:r>
    </w:p>
    <w:p w14:paraId="2C817CB8" w14:textId="77777777" w:rsidR="001B274E" w:rsidRPr="00AA7B93" w:rsidRDefault="001B274E" w:rsidP="00AA7B93">
      <w:pPr>
        <w:pStyle w:val="11"/>
        <w:ind w:firstLine="709"/>
        <w:jc w:val="both"/>
        <w:rPr>
          <w:sz w:val="24"/>
          <w:szCs w:val="24"/>
        </w:rPr>
      </w:pPr>
      <w:r w:rsidRPr="00AA7B93">
        <w:rPr>
          <w:rStyle w:val="ac"/>
          <w:rFonts w:eastAsiaTheme="majorEastAsia"/>
          <w:b/>
          <w:bCs/>
          <w:sz w:val="24"/>
          <w:szCs w:val="24"/>
        </w:rPr>
        <w:t xml:space="preserve">Гипертоническая болезнь (ГБ) — </w:t>
      </w:r>
      <w:r w:rsidRPr="00AA7B93">
        <w:rPr>
          <w:rStyle w:val="ac"/>
          <w:rFonts w:eastAsiaTheme="majorEastAsia"/>
          <w:sz w:val="24"/>
          <w:szCs w:val="24"/>
        </w:rPr>
        <w:t>хронически протекающее заболевание, основным проявлением которого является повышение АД, не связанное с выявлением явных причин, приводящих к развитию вторичных форм АГ (симптоматические АГ).</w:t>
      </w:r>
    </w:p>
    <w:p w14:paraId="7E9A772E" w14:textId="77777777" w:rsidR="001B274E" w:rsidRPr="00AA7B93" w:rsidRDefault="001B274E" w:rsidP="00AA7B93">
      <w:pPr>
        <w:pStyle w:val="11"/>
        <w:ind w:firstLine="709"/>
        <w:jc w:val="both"/>
        <w:rPr>
          <w:sz w:val="24"/>
          <w:szCs w:val="24"/>
        </w:rPr>
      </w:pPr>
      <w:r w:rsidRPr="00AA7B93">
        <w:rPr>
          <w:rStyle w:val="ac"/>
          <w:rFonts w:eastAsiaTheme="majorEastAsia"/>
          <w:b/>
          <w:bCs/>
          <w:sz w:val="24"/>
          <w:szCs w:val="24"/>
        </w:rPr>
        <w:t xml:space="preserve">Доказательная медицина — </w:t>
      </w:r>
      <w:r w:rsidRPr="00AA7B93">
        <w:rPr>
          <w:rStyle w:val="ac"/>
          <w:rFonts w:eastAsiaTheme="majorEastAsia"/>
          <w:sz w:val="24"/>
          <w:szCs w:val="24"/>
        </w:rPr>
        <w:t xml:space="preserve">надлежащее, последовательное и осмысленное использование современных наилучших доказательств (результатов клинических исследований) в сочетании с индивидуальным клиническим опытом и </w:t>
      </w:r>
      <w:r w:rsidRPr="00AA7B93">
        <w:rPr>
          <w:rStyle w:val="ac"/>
          <w:rFonts w:eastAsiaTheme="majorEastAsia"/>
          <w:sz w:val="24"/>
          <w:szCs w:val="24"/>
          <w:lang w:val="en-US"/>
        </w:rPr>
        <w:t>c</w:t>
      </w:r>
      <w:r w:rsidRPr="00AA7B93">
        <w:rPr>
          <w:rStyle w:val="ac"/>
          <w:rFonts w:eastAsiaTheme="majorEastAsia"/>
          <w:sz w:val="24"/>
          <w:szCs w:val="24"/>
        </w:rPr>
        <w:t xml:space="preserve"> учетом ценностей и предпочтений пациента в процессе принятия решений о состоянии здоровья и лечении пациента [1].</w:t>
      </w:r>
    </w:p>
    <w:p w14:paraId="06DB25D6" w14:textId="77777777" w:rsidR="001B274E" w:rsidRPr="00AA7B93" w:rsidRDefault="001B274E" w:rsidP="00AA7B93">
      <w:pPr>
        <w:pStyle w:val="11"/>
        <w:ind w:firstLine="709"/>
        <w:jc w:val="both"/>
        <w:rPr>
          <w:sz w:val="24"/>
          <w:szCs w:val="24"/>
        </w:rPr>
      </w:pPr>
      <w:r w:rsidRPr="00AA7B93">
        <w:rPr>
          <w:rStyle w:val="ac"/>
          <w:rFonts w:eastAsiaTheme="majorEastAsia"/>
          <w:b/>
          <w:bCs/>
          <w:sz w:val="24"/>
          <w:szCs w:val="24"/>
        </w:rPr>
        <w:t xml:space="preserve">Заболевание — </w:t>
      </w:r>
      <w:r w:rsidRPr="00AA7B93">
        <w:rPr>
          <w:rStyle w:val="ac"/>
          <w:rFonts w:eastAsiaTheme="majorEastAsia"/>
          <w:sz w:val="24"/>
          <w:szCs w:val="24"/>
        </w:rPr>
        <w:t xml:space="preserve">состояние,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w:t>
      </w:r>
      <w:r w:rsidRPr="00AA7B93">
        <w:rPr>
          <w:rStyle w:val="ac"/>
          <w:rFonts w:eastAsiaTheme="majorEastAsia"/>
          <w:sz w:val="24"/>
          <w:szCs w:val="24"/>
        </w:rPr>
        <w:lastRenderedPageBreak/>
        <w:t>одновременном изменении защитно - компенсаторных и защитно-приспособительных реакций и механизмов организма [2].</w:t>
      </w:r>
    </w:p>
    <w:p w14:paraId="20473B9D" w14:textId="77777777" w:rsidR="001B274E" w:rsidRPr="00AA7B93" w:rsidRDefault="001B274E" w:rsidP="00AA7B93">
      <w:pPr>
        <w:pStyle w:val="11"/>
        <w:ind w:firstLine="709"/>
        <w:jc w:val="both"/>
        <w:rPr>
          <w:sz w:val="24"/>
          <w:szCs w:val="24"/>
        </w:rPr>
      </w:pPr>
      <w:r w:rsidRPr="00AA7B93">
        <w:rPr>
          <w:rStyle w:val="ac"/>
          <w:rFonts w:eastAsiaTheme="majorEastAsia"/>
          <w:b/>
          <w:bCs/>
          <w:sz w:val="24"/>
          <w:szCs w:val="24"/>
        </w:rPr>
        <w:t xml:space="preserve">Изменение образа жизни — </w:t>
      </w:r>
      <w:r w:rsidRPr="00AA7B93">
        <w:rPr>
          <w:rStyle w:val="ac"/>
          <w:rFonts w:eastAsiaTheme="majorEastAsia"/>
          <w:sz w:val="24"/>
          <w:szCs w:val="24"/>
        </w:rPr>
        <w:t>мероприятия, направленные на нормализацию веса и характера питания, двигательной активности, отказ от курения и алкоголя, целью которых является снижение сердечно-сосудистого риска.</w:t>
      </w:r>
    </w:p>
    <w:p w14:paraId="67C6CAB4" w14:textId="77777777" w:rsidR="001B274E" w:rsidRPr="00AA7B93" w:rsidRDefault="001B274E" w:rsidP="00AA7B93">
      <w:pPr>
        <w:pStyle w:val="11"/>
        <w:ind w:firstLine="709"/>
        <w:jc w:val="both"/>
        <w:rPr>
          <w:sz w:val="24"/>
          <w:szCs w:val="24"/>
        </w:rPr>
      </w:pPr>
      <w:r w:rsidRPr="00AA7B93">
        <w:rPr>
          <w:rStyle w:val="ac"/>
          <w:rFonts w:eastAsiaTheme="majorEastAsia"/>
          <w:b/>
          <w:bCs/>
          <w:sz w:val="24"/>
          <w:szCs w:val="24"/>
        </w:rPr>
        <w:t xml:space="preserve">Изолированная амбулаторная АГ (маскированная АГ) — </w:t>
      </w:r>
      <w:r w:rsidRPr="00AA7B93">
        <w:rPr>
          <w:rStyle w:val="ac"/>
          <w:rFonts w:eastAsiaTheme="majorEastAsia"/>
          <w:sz w:val="24"/>
          <w:szCs w:val="24"/>
        </w:rPr>
        <w:t>форма гипертонии, особенностью которой являются нормальные показатели офисного АД (&lt;140/90 мм рт. ст.) и повышенные — по данным суточного мониторирования АД (СМАД) и/или домашнего мониторирования АД (ДМАД (в том числе активный мониторинг АД при помощи дистанционных технологий)).</w:t>
      </w:r>
    </w:p>
    <w:p w14:paraId="505B3EF8" w14:textId="77777777" w:rsidR="00AA7B93" w:rsidRPr="00AA7B93" w:rsidRDefault="001B274E" w:rsidP="00AA7B93">
      <w:pPr>
        <w:pStyle w:val="11"/>
        <w:ind w:firstLine="709"/>
        <w:jc w:val="both"/>
        <w:rPr>
          <w:sz w:val="24"/>
          <w:szCs w:val="24"/>
        </w:rPr>
      </w:pPr>
      <w:r w:rsidRPr="00AA7B93">
        <w:rPr>
          <w:rStyle w:val="ac"/>
          <w:rFonts w:eastAsiaTheme="majorEastAsia"/>
          <w:b/>
          <w:bCs/>
          <w:sz w:val="24"/>
          <w:szCs w:val="24"/>
        </w:rPr>
        <w:t xml:space="preserve">Изолированная офисная АГ (гипертония белого халата) — </w:t>
      </w:r>
      <w:r w:rsidRPr="00AA7B93">
        <w:rPr>
          <w:rStyle w:val="ac"/>
          <w:rFonts w:eastAsiaTheme="majorEastAsia"/>
          <w:sz w:val="24"/>
          <w:szCs w:val="24"/>
        </w:rPr>
        <w:t xml:space="preserve">форма АГ, при которой повышение АД ≥140 и/или ≥90 мм рт. ст. отмечается только на приеме у врача, а при измерении АД методом домашнего мониторирования АД (ДМАД (в том числе активный мониторинг АД </w:t>
      </w:r>
      <w:r w:rsidR="00AA7B93">
        <w:rPr>
          <w:rStyle w:val="ac"/>
          <w:rFonts w:eastAsiaTheme="majorEastAsia"/>
          <w:sz w:val="24"/>
          <w:szCs w:val="24"/>
        </w:rPr>
        <w:t>)</w:t>
      </w:r>
      <w:r w:rsidR="00AA7B93" w:rsidRPr="00AA7B93">
        <w:rPr>
          <w:rStyle w:val="ac"/>
          <w:rFonts w:eastAsiaTheme="majorEastAsia"/>
          <w:sz w:val="24"/>
          <w:szCs w:val="24"/>
        </w:rPr>
        <w:t xml:space="preserve"> при помощи дистанционных технологий)). и/или суточного мониторирования АД (СМАД) показатели АД — в пределах нормальных значений.</w:t>
      </w:r>
    </w:p>
    <w:p w14:paraId="578B994B" w14:textId="77777777" w:rsidR="00AA7B93" w:rsidRPr="00AA7B93" w:rsidRDefault="00AA7B93" w:rsidP="00AA7B93">
      <w:pPr>
        <w:pStyle w:val="11"/>
        <w:ind w:firstLine="709"/>
        <w:jc w:val="both"/>
        <w:rPr>
          <w:sz w:val="24"/>
          <w:szCs w:val="24"/>
        </w:rPr>
      </w:pPr>
      <w:r w:rsidRPr="00AA7B93">
        <w:rPr>
          <w:rStyle w:val="ac"/>
          <w:rFonts w:eastAsiaTheme="majorEastAsia"/>
          <w:b/>
          <w:bCs/>
          <w:sz w:val="24"/>
          <w:szCs w:val="24"/>
        </w:rPr>
        <w:t>Изолированная систолическая АГ</w:t>
      </w:r>
      <w:r w:rsidRPr="00AA7B93">
        <w:rPr>
          <w:rStyle w:val="ac"/>
          <w:rFonts w:eastAsiaTheme="majorEastAsia"/>
          <w:sz w:val="24"/>
          <w:szCs w:val="24"/>
        </w:rPr>
        <w:t>–повышение САД ≥140 мм рт. ст. при уровне ДАД &lt;90 мм рт. ст.</w:t>
      </w:r>
    </w:p>
    <w:p w14:paraId="2184ACFD" w14:textId="77777777" w:rsidR="00AA7B93" w:rsidRPr="00AA7B93" w:rsidRDefault="00AA7B93" w:rsidP="00AA7B93">
      <w:pPr>
        <w:pStyle w:val="11"/>
        <w:ind w:firstLine="709"/>
        <w:jc w:val="both"/>
        <w:rPr>
          <w:sz w:val="24"/>
          <w:szCs w:val="24"/>
        </w:rPr>
      </w:pPr>
      <w:r w:rsidRPr="00AA7B93">
        <w:rPr>
          <w:rStyle w:val="ac"/>
          <w:rFonts w:eastAsiaTheme="majorEastAsia"/>
          <w:b/>
          <w:bCs/>
          <w:sz w:val="24"/>
          <w:szCs w:val="24"/>
        </w:rPr>
        <w:t xml:space="preserve">Исход — </w:t>
      </w:r>
      <w:r w:rsidRPr="00AA7B93">
        <w:rPr>
          <w:rStyle w:val="ac"/>
          <w:rFonts w:eastAsiaTheme="majorEastAsia"/>
          <w:sz w:val="24"/>
          <w:szCs w:val="24"/>
        </w:rPr>
        <w:t>любой возможный результат, возникающий от воздействия причинного фактора, профилактического или терапевтического вмешательства, все установленные изменения состояния здоровья, возникающие как следствие вмешательства [3].</w:t>
      </w:r>
    </w:p>
    <w:p w14:paraId="79ED181C" w14:textId="77777777" w:rsidR="00AA7B93" w:rsidRPr="00AA7B93" w:rsidRDefault="00AA7B93" w:rsidP="00AA7B93">
      <w:pPr>
        <w:pStyle w:val="11"/>
        <w:ind w:firstLine="709"/>
        <w:jc w:val="both"/>
        <w:rPr>
          <w:sz w:val="24"/>
          <w:szCs w:val="24"/>
        </w:rPr>
      </w:pPr>
      <w:r w:rsidRPr="00AA7B93">
        <w:rPr>
          <w:rStyle w:val="ac"/>
          <w:rFonts w:eastAsiaTheme="majorEastAsia"/>
          <w:b/>
          <w:bCs/>
          <w:sz w:val="24"/>
          <w:szCs w:val="24"/>
        </w:rPr>
        <w:t xml:space="preserve">Клиническое исследование </w:t>
      </w:r>
      <w:r w:rsidRPr="00AA7B93">
        <w:rPr>
          <w:rStyle w:val="ac"/>
          <w:rFonts w:eastAsiaTheme="majorEastAsia"/>
          <w:sz w:val="24"/>
          <w:szCs w:val="24"/>
        </w:rPr>
        <w:t>— любое исследование, проводимое с участием человека в качестве субъекта для выявления или подтверждения клинических и/или фармакологических эффектов исследуемых продуктов и/или выявления нежелательных реакций на исследуемые продукты, и/или изучения их всасывания, распределения, метаболизма и выведения с целью оценить их безопасность и/или эффективность [4].</w:t>
      </w:r>
    </w:p>
    <w:p w14:paraId="17C2DED7" w14:textId="77777777" w:rsidR="00AA7B93" w:rsidRPr="00AA7B93" w:rsidRDefault="00AA7B93" w:rsidP="00AA7B93">
      <w:pPr>
        <w:pStyle w:val="11"/>
        <w:ind w:firstLine="709"/>
        <w:jc w:val="both"/>
        <w:rPr>
          <w:sz w:val="24"/>
          <w:szCs w:val="24"/>
        </w:rPr>
      </w:pPr>
      <w:r w:rsidRPr="00AA7B93">
        <w:rPr>
          <w:rStyle w:val="ac"/>
          <w:rFonts w:eastAsiaTheme="majorEastAsia"/>
          <w:b/>
          <w:bCs/>
          <w:sz w:val="24"/>
          <w:szCs w:val="24"/>
        </w:rPr>
        <w:t xml:space="preserve">Конфликт интересов </w:t>
      </w:r>
      <w:r w:rsidRPr="00AA7B93">
        <w:rPr>
          <w:rStyle w:val="ac"/>
          <w:rFonts w:eastAsiaTheme="majorEastAsia"/>
          <w:sz w:val="24"/>
          <w:szCs w:val="24"/>
        </w:rPr>
        <w:t>— ситуация, при которой у медицинского или фармацевтического работника при осуществлении ими профессиональной деятельности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вследствие противоречия между личной заинтересованностью медицинского работника или фармацевтического работника и интересами пациента [2].</w:t>
      </w:r>
    </w:p>
    <w:p w14:paraId="29EB8A8A" w14:textId="77777777" w:rsidR="00AA7B93" w:rsidRPr="00AA7B93" w:rsidRDefault="00AA7B93" w:rsidP="00AA7B93">
      <w:pPr>
        <w:pStyle w:val="11"/>
        <w:ind w:firstLine="709"/>
        <w:jc w:val="both"/>
        <w:rPr>
          <w:sz w:val="24"/>
          <w:szCs w:val="24"/>
        </w:rPr>
      </w:pPr>
      <w:r w:rsidRPr="00AA7B93">
        <w:rPr>
          <w:rStyle w:val="ac"/>
          <w:rFonts w:eastAsiaTheme="majorEastAsia"/>
          <w:b/>
          <w:bCs/>
          <w:sz w:val="24"/>
          <w:szCs w:val="24"/>
        </w:rPr>
        <w:t xml:space="preserve">Лекарственные препараты </w:t>
      </w:r>
      <w:r w:rsidRPr="00AA7B93">
        <w:rPr>
          <w:rStyle w:val="ac"/>
          <w:rFonts w:eastAsiaTheme="majorEastAsia"/>
          <w:sz w:val="24"/>
          <w:szCs w:val="24"/>
        </w:rPr>
        <w:t>— лекарственные средства в виде лекарственных форм, применяемые для профилактики, диагностики, лечения заболевания, реабилитации, для сохранения, предотвращения или прерывания беременности [5].</w:t>
      </w:r>
    </w:p>
    <w:p w14:paraId="4C2E9EF5" w14:textId="3B61B76F" w:rsidR="00AA7B93" w:rsidRPr="00AA7B93" w:rsidRDefault="00AA7B93" w:rsidP="00AA7B93">
      <w:pPr>
        <w:pStyle w:val="11"/>
        <w:ind w:firstLine="709"/>
        <w:jc w:val="both"/>
        <w:rPr>
          <w:sz w:val="24"/>
          <w:szCs w:val="24"/>
        </w:rPr>
      </w:pPr>
      <w:r w:rsidRPr="00AA7B93">
        <w:rPr>
          <w:rStyle w:val="ac"/>
          <w:rFonts w:eastAsiaTheme="majorEastAsia"/>
          <w:b/>
          <w:bCs/>
          <w:sz w:val="24"/>
          <w:szCs w:val="24"/>
        </w:rPr>
        <w:lastRenderedPageBreak/>
        <w:t xml:space="preserve">Медицинская реабилитация </w:t>
      </w:r>
      <w:r w:rsidRPr="00AA7B93">
        <w:rPr>
          <w:rStyle w:val="ac"/>
          <w:rFonts w:eastAsiaTheme="majorEastAsia"/>
          <w:sz w:val="24"/>
          <w:szCs w:val="24"/>
        </w:rPr>
        <w:t>—</w:t>
      </w:r>
      <w:r w:rsidR="00CB16CF" w:rsidRPr="00CB16CF">
        <w:rPr>
          <w:rStyle w:val="ac"/>
          <w:rFonts w:eastAsiaTheme="majorEastAsia"/>
          <w:sz w:val="24"/>
          <w:szCs w:val="24"/>
        </w:rPr>
        <w:t xml:space="preserve"> </w:t>
      </w:r>
      <w:r w:rsidRPr="00AA7B93">
        <w:rPr>
          <w:rStyle w:val="ac"/>
          <w:rFonts w:eastAsiaTheme="majorEastAsia"/>
          <w:sz w:val="24"/>
          <w:szCs w:val="24"/>
        </w:rPr>
        <w:t>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организма в процессе завершения остро развившегося патологического процесса или обострения хронического патологического процесса в организме, а также на предупреждение, раннюю диагностику и коррекцию возможных нарушений функций поврежденных органов либо 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 [2].</w:t>
      </w:r>
    </w:p>
    <w:p w14:paraId="3394FA24" w14:textId="77777777" w:rsidR="00AA7B93" w:rsidRPr="00AA7B93" w:rsidRDefault="00AA7B93" w:rsidP="00694457">
      <w:pPr>
        <w:pStyle w:val="11"/>
        <w:ind w:firstLine="709"/>
        <w:jc w:val="both"/>
        <w:rPr>
          <w:sz w:val="24"/>
          <w:szCs w:val="24"/>
        </w:rPr>
      </w:pPr>
      <w:r w:rsidRPr="00AA7B93">
        <w:rPr>
          <w:rStyle w:val="ac"/>
          <w:rFonts w:eastAsiaTheme="majorEastAsia"/>
          <w:b/>
          <w:bCs/>
          <w:sz w:val="24"/>
          <w:szCs w:val="24"/>
        </w:rPr>
        <w:t xml:space="preserve">Медицинское вмешательство </w:t>
      </w:r>
      <w:r w:rsidRPr="00AA7B93">
        <w:rPr>
          <w:rStyle w:val="ac"/>
          <w:rFonts w:eastAsiaTheme="majorEastAsia"/>
          <w:sz w:val="24"/>
          <w:szCs w:val="24"/>
        </w:rPr>
        <w:t>— выполняемые медицинским работником и иным работником, имеющим право на осуществление медицинской деятельности, по отношению к</w:t>
      </w:r>
      <w:r w:rsidR="00694457">
        <w:rPr>
          <w:sz w:val="24"/>
          <w:szCs w:val="24"/>
        </w:rPr>
        <w:t xml:space="preserve"> </w:t>
      </w:r>
      <w:r w:rsidRPr="00AA7B93">
        <w:rPr>
          <w:rStyle w:val="ac"/>
          <w:rFonts w:eastAsiaTheme="majorEastAsia"/>
          <w:sz w:val="24"/>
          <w:szCs w:val="24"/>
        </w:rPr>
        <w:t>пациенту, затрагивающие физическое или психическое состояние человека и имеющие профилактическую, диагностическую, лечебную, реабилитационную или исследовательскую направленность виды медицинских обследований и (или) медицинских манипуляций, а также искусственное прерывание беременности [2].</w:t>
      </w:r>
    </w:p>
    <w:p w14:paraId="754D0873" w14:textId="6677BA6A" w:rsidR="00AA7B93" w:rsidRDefault="00AA7B93" w:rsidP="00AA7B93">
      <w:pPr>
        <w:pStyle w:val="11"/>
        <w:ind w:firstLine="709"/>
        <w:jc w:val="both"/>
        <w:rPr>
          <w:rStyle w:val="ac"/>
          <w:rFonts w:eastAsiaTheme="majorEastAsia"/>
          <w:sz w:val="24"/>
          <w:szCs w:val="24"/>
        </w:rPr>
      </w:pPr>
      <w:r w:rsidRPr="00AA7B93">
        <w:rPr>
          <w:rStyle w:val="ac"/>
          <w:rFonts w:eastAsiaTheme="majorEastAsia"/>
          <w:b/>
          <w:bCs/>
          <w:sz w:val="24"/>
          <w:szCs w:val="24"/>
        </w:rPr>
        <w:t xml:space="preserve">Нормальное АД </w:t>
      </w:r>
      <w:r w:rsidRPr="00AA7B93">
        <w:rPr>
          <w:rStyle w:val="ac"/>
          <w:rFonts w:eastAsiaTheme="majorEastAsia"/>
          <w:sz w:val="24"/>
          <w:szCs w:val="24"/>
        </w:rPr>
        <w:t>— давление в диапазоне САД 120–129 мм рт. ст. и/или ДАД 80–84 мм рт. ст.</w:t>
      </w:r>
    </w:p>
    <w:p w14:paraId="1A3763B4" w14:textId="646A540C" w:rsidR="00E44A5B" w:rsidRPr="00E44A5B" w:rsidRDefault="00E44A5B" w:rsidP="00AA7B93">
      <w:pPr>
        <w:pStyle w:val="11"/>
        <w:ind w:firstLine="709"/>
        <w:jc w:val="both"/>
        <w:rPr>
          <w:b/>
          <w:bCs/>
          <w:sz w:val="24"/>
          <w:szCs w:val="24"/>
        </w:rPr>
      </w:pPr>
      <w:r>
        <w:rPr>
          <w:b/>
          <w:bCs/>
          <w:sz w:val="24"/>
          <w:szCs w:val="24"/>
        </w:rPr>
        <w:t>Н</w:t>
      </w:r>
      <w:r w:rsidRPr="00E44A5B">
        <w:rPr>
          <w:b/>
          <w:bCs/>
          <w:sz w:val="24"/>
          <w:szCs w:val="24"/>
        </w:rPr>
        <w:t>он-дапер</w:t>
      </w:r>
      <w:r>
        <w:rPr>
          <w:b/>
          <w:bCs/>
          <w:sz w:val="24"/>
          <w:szCs w:val="24"/>
        </w:rPr>
        <w:t xml:space="preserve"> -</w:t>
      </w:r>
      <w:r w:rsidRPr="00E44A5B">
        <w:t xml:space="preserve"> </w:t>
      </w:r>
      <w:r>
        <w:t>(non-dipper) — это термин, который используется для описания паттерна суточного ритма артериального давления (АД).</w:t>
      </w:r>
      <w:r w:rsidRPr="00E44A5B">
        <w:t xml:space="preserve"> </w:t>
      </w:r>
      <w:r>
        <w:t>В норме артериальное давление ночью снижается на 10–20% по сравнению с дневными значениями — это называется «дапер» (dipper).</w:t>
      </w:r>
      <w:r w:rsidRPr="00E44A5B">
        <w:t xml:space="preserve"> </w:t>
      </w:r>
      <w:r>
        <w:t>Если же ночное снижение АД составляет менее 10%, то такой пациент называется «нон-дапер».</w:t>
      </w:r>
    </w:p>
    <w:p w14:paraId="274A07A9" w14:textId="77777777" w:rsidR="00AA7B93" w:rsidRPr="00AA7B93" w:rsidRDefault="00AA7B93" w:rsidP="00AA7B93">
      <w:pPr>
        <w:pStyle w:val="11"/>
        <w:ind w:firstLine="709"/>
        <w:jc w:val="both"/>
        <w:rPr>
          <w:sz w:val="24"/>
          <w:szCs w:val="24"/>
        </w:rPr>
      </w:pPr>
      <w:r w:rsidRPr="00AA7B93">
        <w:rPr>
          <w:rStyle w:val="ac"/>
          <w:rFonts w:eastAsiaTheme="majorEastAsia"/>
          <w:b/>
          <w:bCs/>
          <w:sz w:val="24"/>
          <w:szCs w:val="24"/>
        </w:rPr>
        <w:t xml:space="preserve">Оптимальное АД </w:t>
      </w:r>
      <w:r w:rsidRPr="00AA7B93">
        <w:rPr>
          <w:rStyle w:val="ac"/>
          <w:rFonts w:eastAsiaTheme="majorEastAsia"/>
          <w:sz w:val="24"/>
          <w:szCs w:val="24"/>
        </w:rPr>
        <w:t>— САД менее 120 ммрт. ст. и/или ДАД менее 80 мм рт. ст.</w:t>
      </w:r>
    </w:p>
    <w:p w14:paraId="5E1496D0" w14:textId="77777777" w:rsidR="00AA7B93" w:rsidRPr="00AA7B93" w:rsidRDefault="00AA7B93" w:rsidP="00AA7B93">
      <w:pPr>
        <w:pStyle w:val="11"/>
        <w:ind w:firstLine="709"/>
        <w:jc w:val="both"/>
        <w:rPr>
          <w:sz w:val="24"/>
          <w:szCs w:val="24"/>
        </w:rPr>
      </w:pPr>
      <w:r w:rsidRPr="00AA7B93">
        <w:rPr>
          <w:rStyle w:val="ac"/>
          <w:rFonts w:eastAsiaTheme="majorEastAsia"/>
          <w:b/>
          <w:bCs/>
          <w:sz w:val="24"/>
          <w:szCs w:val="24"/>
        </w:rPr>
        <w:t xml:space="preserve">Очень пожилые пациенты </w:t>
      </w:r>
      <w:r w:rsidRPr="00AA7B93">
        <w:rPr>
          <w:rStyle w:val="ac"/>
          <w:rFonts w:eastAsiaTheme="majorEastAsia"/>
          <w:sz w:val="24"/>
          <w:szCs w:val="24"/>
        </w:rPr>
        <w:t>— пациенты в возрасте ≥ 80 лет.</w:t>
      </w:r>
    </w:p>
    <w:p w14:paraId="56EAA126" w14:textId="77777777" w:rsidR="00AA7B93" w:rsidRPr="00AA7B93" w:rsidRDefault="00AA7B93" w:rsidP="00AA7B93">
      <w:pPr>
        <w:pStyle w:val="11"/>
        <w:ind w:firstLine="709"/>
        <w:jc w:val="both"/>
        <w:rPr>
          <w:sz w:val="24"/>
          <w:szCs w:val="24"/>
        </w:rPr>
      </w:pPr>
      <w:r w:rsidRPr="00AA7B93">
        <w:rPr>
          <w:rStyle w:val="ac"/>
          <w:rFonts w:eastAsiaTheme="majorEastAsia"/>
          <w:b/>
          <w:bCs/>
          <w:sz w:val="24"/>
          <w:szCs w:val="24"/>
        </w:rPr>
        <w:t xml:space="preserve">Пациент — </w:t>
      </w:r>
      <w:r w:rsidRPr="00AA7B93">
        <w:rPr>
          <w:rStyle w:val="ac"/>
          <w:rFonts w:eastAsiaTheme="majorEastAsia"/>
          <w:sz w:val="24"/>
          <w:szCs w:val="24"/>
        </w:rPr>
        <w:t>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 [2].</w:t>
      </w:r>
    </w:p>
    <w:p w14:paraId="023504C0" w14:textId="77777777" w:rsidR="00AA7B93" w:rsidRPr="00AA7B93" w:rsidRDefault="00AA7B93" w:rsidP="00AA7B93">
      <w:pPr>
        <w:pStyle w:val="11"/>
        <w:ind w:firstLine="709"/>
        <w:jc w:val="both"/>
        <w:rPr>
          <w:sz w:val="24"/>
          <w:szCs w:val="24"/>
        </w:rPr>
      </w:pPr>
      <w:r w:rsidRPr="00AA7B93">
        <w:rPr>
          <w:rStyle w:val="ac"/>
          <w:rFonts w:eastAsiaTheme="majorEastAsia"/>
          <w:b/>
          <w:bCs/>
          <w:sz w:val="24"/>
          <w:szCs w:val="24"/>
        </w:rPr>
        <w:t xml:space="preserve">Пожилой пациент – </w:t>
      </w:r>
      <w:r w:rsidRPr="00AA7B93">
        <w:rPr>
          <w:rStyle w:val="ac"/>
          <w:rFonts w:eastAsiaTheme="majorEastAsia"/>
          <w:sz w:val="24"/>
          <w:szCs w:val="24"/>
        </w:rPr>
        <w:t>пациент в возрасте 60 лет и старше.</w:t>
      </w:r>
    </w:p>
    <w:p w14:paraId="4703FA57" w14:textId="77777777" w:rsidR="00AA7B93" w:rsidRPr="00AA7B93" w:rsidRDefault="00AA7B93" w:rsidP="00AA7B93">
      <w:pPr>
        <w:pStyle w:val="11"/>
        <w:ind w:firstLine="709"/>
        <w:jc w:val="both"/>
        <w:rPr>
          <w:sz w:val="24"/>
          <w:szCs w:val="24"/>
        </w:rPr>
      </w:pPr>
      <w:r w:rsidRPr="00AA7B93">
        <w:rPr>
          <w:rStyle w:val="ac"/>
          <w:rFonts w:eastAsiaTheme="majorEastAsia"/>
          <w:b/>
          <w:bCs/>
          <w:sz w:val="24"/>
          <w:szCs w:val="24"/>
        </w:rPr>
        <w:t xml:space="preserve">Политаблетка (полипилл, комбинированный препарат с фиксированными дозировками) </w:t>
      </w:r>
      <w:r w:rsidRPr="00AA7B93">
        <w:rPr>
          <w:rStyle w:val="ac"/>
          <w:rFonts w:eastAsiaTheme="majorEastAsia"/>
          <w:sz w:val="24"/>
          <w:szCs w:val="24"/>
        </w:rPr>
        <w:t>одноцелевого и многоцелевого действия - фиксированная комбинация лекарственных препаратов с однонаправленным или разнонаправленным фармакодинамическим эффектом.</w:t>
      </w:r>
    </w:p>
    <w:p w14:paraId="7EA7A51C" w14:textId="77777777" w:rsidR="00AA7B93" w:rsidRPr="00AA7B93" w:rsidRDefault="00AA7B93" w:rsidP="00AA7B93">
      <w:pPr>
        <w:pStyle w:val="11"/>
        <w:ind w:firstLine="709"/>
        <w:jc w:val="both"/>
        <w:rPr>
          <w:sz w:val="24"/>
          <w:szCs w:val="24"/>
        </w:rPr>
      </w:pPr>
      <w:r w:rsidRPr="00AA7B93">
        <w:rPr>
          <w:rStyle w:val="ac"/>
          <w:rFonts w:eastAsiaTheme="majorEastAsia"/>
          <w:b/>
          <w:bCs/>
          <w:sz w:val="24"/>
          <w:szCs w:val="24"/>
        </w:rPr>
        <w:t xml:space="preserve">Постпрандиальная гипотензия — </w:t>
      </w:r>
      <w:r w:rsidRPr="00AA7B93">
        <w:rPr>
          <w:rStyle w:val="ac"/>
          <w:rFonts w:eastAsiaTheme="majorEastAsia"/>
          <w:sz w:val="24"/>
          <w:szCs w:val="24"/>
        </w:rPr>
        <w:t>снижение систолического АД более, чем на 20 мм рт. ст. в течение двух часов после приема пищи при нахождении в положении лежа или сидя [6].</w:t>
      </w:r>
    </w:p>
    <w:p w14:paraId="00761B49" w14:textId="77777777" w:rsidR="00AA7B93" w:rsidRPr="00AA7B93" w:rsidRDefault="00AA7B93" w:rsidP="00AA7B93">
      <w:pPr>
        <w:pStyle w:val="11"/>
        <w:ind w:firstLine="709"/>
        <w:jc w:val="both"/>
        <w:rPr>
          <w:sz w:val="24"/>
          <w:szCs w:val="24"/>
        </w:rPr>
      </w:pPr>
      <w:r w:rsidRPr="00AA7B93">
        <w:rPr>
          <w:rStyle w:val="ac"/>
          <w:rFonts w:eastAsiaTheme="majorEastAsia"/>
          <w:b/>
          <w:bCs/>
          <w:sz w:val="24"/>
          <w:szCs w:val="24"/>
        </w:rPr>
        <w:t xml:space="preserve">Постуральная гипотензия — </w:t>
      </w:r>
      <w:r w:rsidRPr="00AA7B93">
        <w:rPr>
          <w:rStyle w:val="ac"/>
          <w:rFonts w:eastAsiaTheme="majorEastAsia"/>
          <w:sz w:val="24"/>
          <w:szCs w:val="24"/>
        </w:rPr>
        <w:t xml:space="preserve">снижение САД на 20 мм рт. ст. и более и/или ДАД — </w:t>
      </w:r>
      <w:r w:rsidRPr="00AA7B93">
        <w:rPr>
          <w:rStyle w:val="ac"/>
          <w:rFonts w:eastAsiaTheme="majorEastAsia"/>
          <w:sz w:val="24"/>
          <w:szCs w:val="24"/>
        </w:rPr>
        <w:lastRenderedPageBreak/>
        <w:t>на 10 мм рт. ст. и более в первые 3 мин при переходе из горизонтального в вертикальное положение.</w:t>
      </w:r>
    </w:p>
    <w:p w14:paraId="4E017997" w14:textId="77777777" w:rsidR="00AA7B93" w:rsidRPr="00AA7B93" w:rsidRDefault="00AA7B93" w:rsidP="00AA7B93">
      <w:pPr>
        <w:pStyle w:val="11"/>
        <w:ind w:firstLine="709"/>
        <w:jc w:val="both"/>
        <w:rPr>
          <w:sz w:val="24"/>
          <w:szCs w:val="24"/>
        </w:rPr>
      </w:pPr>
      <w:r w:rsidRPr="00AA7B93">
        <w:rPr>
          <w:rStyle w:val="ac"/>
          <w:rFonts w:eastAsiaTheme="majorEastAsia"/>
          <w:b/>
          <w:bCs/>
          <w:sz w:val="24"/>
          <w:szCs w:val="24"/>
        </w:rPr>
        <w:t xml:space="preserve">Предиабет </w:t>
      </w:r>
      <w:r w:rsidRPr="00AA7B93">
        <w:rPr>
          <w:rStyle w:val="ac"/>
          <w:rFonts w:eastAsiaTheme="majorEastAsia"/>
          <w:sz w:val="24"/>
          <w:szCs w:val="24"/>
        </w:rPr>
        <w:t>– это нарушение углеводного обмена, при котором не достигаются критерии сахарного диабета, но превышены нормальные значения глюкозы крови (включает любое из нарушений: нарушенную гликемию натощак и нарушенную толерантность к глюкозе)</w:t>
      </w:r>
    </w:p>
    <w:p w14:paraId="29A266EE" w14:textId="21163093" w:rsidR="00AA7B93" w:rsidRPr="00AA7B93" w:rsidRDefault="00AA7B93" w:rsidP="00AA7B93">
      <w:pPr>
        <w:pStyle w:val="11"/>
        <w:ind w:firstLine="709"/>
        <w:jc w:val="both"/>
        <w:rPr>
          <w:sz w:val="24"/>
          <w:szCs w:val="24"/>
        </w:rPr>
      </w:pPr>
      <w:r w:rsidRPr="00AA7B93">
        <w:rPr>
          <w:rStyle w:val="ac"/>
          <w:rFonts w:eastAsiaTheme="majorEastAsia"/>
          <w:b/>
          <w:bCs/>
          <w:sz w:val="24"/>
          <w:szCs w:val="24"/>
        </w:rPr>
        <w:t xml:space="preserve">Псевдорезистентная АГ </w:t>
      </w:r>
      <w:r w:rsidRPr="00AA7B93">
        <w:rPr>
          <w:rStyle w:val="ac"/>
          <w:rFonts w:eastAsiaTheme="majorEastAsia"/>
          <w:sz w:val="24"/>
          <w:szCs w:val="24"/>
        </w:rPr>
        <w:t>— случаи резистентной АГ, в которых не могут быть исключены причины плохого контроля АД: эффект «белого халата», плохая приверженность к лечению, неправильно подобранная терапия, неправильное измерение</w:t>
      </w:r>
      <w:r w:rsidR="00484BB0">
        <w:rPr>
          <w:rStyle w:val="ac"/>
          <w:rFonts w:eastAsiaTheme="majorEastAsia"/>
          <w:sz w:val="24"/>
          <w:szCs w:val="24"/>
        </w:rPr>
        <w:t xml:space="preserve"> </w:t>
      </w:r>
      <w:r w:rsidRPr="00AA7B93">
        <w:rPr>
          <w:rStyle w:val="ac"/>
          <w:rFonts w:eastAsiaTheme="majorEastAsia"/>
          <w:sz w:val="24"/>
          <w:szCs w:val="24"/>
        </w:rPr>
        <w:t>АД, выраженная кальцификация артерий, регулярный прием препаратов, повышающих АД, факторы образа жизни, наличие синдрома обструктивного апноэ во время сна.</w:t>
      </w:r>
    </w:p>
    <w:p w14:paraId="56538BEE" w14:textId="77777777" w:rsidR="00AA7B93" w:rsidRPr="00AA7B93" w:rsidRDefault="00AA7B93" w:rsidP="00AA7B93">
      <w:pPr>
        <w:pStyle w:val="11"/>
        <w:ind w:firstLine="709"/>
        <w:jc w:val="both"/>
        <w:rPr>
          <w:sz w:val="24"/>
          <w:szCs w:val="24"/>
        </w:rPr>
      </w:pPr>
      <w:r w:rsidRPr="00AA7B93">
        <w:rPr>
          <w:rStyle w:val="ac"/>
          <w:rFonts w:eastAsiaTheme="majorEastAsia"/>
          <w:b/>
          <w:bCs/>
          <w:sz w:val="24"/>
          <w:szCs w:val="24"/>
        </w:rPr>
        <w:t xml:space="preserve">Пульсовое давление </w:t>
      </w:r>
      <w:r w:rsidRPr="00AA7B93">
        <w:rPr>
          <w:rStyle w:val="ac"/>
          <w:rFonts w:eastAsiaTheme="majorEastAsia"/>
          <w:sz w:val="24"/>
          <w:szCs w:val="24"/>
        </w:rPr>
        <w:t>— разница между САД и ДАД.</w:t>
      </w:r>
    </w:p>
    <w:p w14:paraId="5E2C10A3" w14:textId="77777777" w:rsidR="00AA7B93" w:rsidRPr="00AA7B93" w:rsidRDefault="00AA7B93" w:rsidP="00AA7B93">
      <w:pPr>
        <w:pStyle w:val="11"/>
        <w:ind w:firstLine="709"/>
        <w:jc w:val="both"/>
        <w:rPr>
          <w:sz w:val="24"/>
          <w:szCs w:val="24"/>
        </w:rPr>
      </w:pPr>
      <w:r w:rsidRPr="00AA7B93">
        <w:rPr>
          <w:rStyle w:val="ac"/>
          <w:rFonts w:eastAsiaTheme="majorEastAsia"/>
          <w:b/>
          <w:bCs/>
          <w:sz w:val="24"/>
          <w:szCs w:val="24"/>
        </w:rPr>
        <w:t xml:space="preserve">Рабочая группа по разработке/актуализации клинических рекомендаций </w:t>
      </w:r>
      <w:r w:rsidRPr="00AA7B93">
        <w:rPr>
          <w:rStyle w:val="ac"/>
          <w:rFonts w:eastAsiaTheme="majorEastAsia"/>
          <w:sz w:val="24"/>
          <w:szCs w:val="24"/>
        </w:rPr>
        <w:t>— коллектив специалистов, работающих совместно и согласованно в целях разработки/актуализации клинических рекомендаций и несущих общую ответственность за результаты данной работы.</w:t>
      </w:r>
    </w:p>
    <w:p w14:paraId="5B871BA0" w14:textId="77777777" w:rsidR="00AA7B93" w:rsidRPr="00AA7B93" w:rsidRDefault="00AA7B93" w:rsidP="00AA7B93">
      <w:pPr>
        <w:pStyle w:val="11"/>
        <w:ind w:firstLine="709"/>
        <w:jc w:val="both"/>
        <w:rPr>
          <w:sz w:val="24"/>
          <w:szCs w:val="24"/>
        </w:rPr>
      </w:pPr>
      <w:r w:rsidRPr="00AA7B93">
        <w:rPr>
          <w:rStyle w:val="ac"/>
          <w:rFonts w:eastAsiaTheme="majorEastAsia"/>
          <w:b/>
          <w:bCs/>
          <w:sz w:val="24"/>
          <w:szCs w:val="24"/>
        </w:rPr>
        <w:t xml:space="preserve">Резистентная АГ — </w:t>
      </w:r>
      <w:r w:rsidRPr="00AA7B93">
        <w:rPr>
          <w:rStyle w:val="ac"/>
          <w:rFonts w:eastAsiaTheme="majorEastAsia"/>
          <w:sz w:val="24"/>
          <w:szCs w:val="24"/>
        </w:rPr>
        <w:t>диагностируется в случаях, когда назначение трех АГП (включая диуретик) в оптимальных или максимально переносимых дозах не приводит к достижению целевого АД ниже 140 и/или 90 мм рт. ст. у приверженных к лечению пациентов. При этом отсутствие контроля АД подтверждено измерением АД вне медицинского учреждения (СМАД, ДМАД (в том числе активный мониторинг АД при помощи дистанционных технологий), а вторичные причины АГ исключены.</w:t>
      </w:r>
    </w:p>
    <w:p w14:paraId="693B9DDE" w14:textId="77777777" w:rsidR="00AA7B93" w:rsidRPr="00AA7B93" w:rsidRDefault="00AA7B93" w:rsidP="00AA7B93">
      <w:pPr>
        <w:pStyle w:val="11"/>
        <w:ind w:firstLine="709"/>
        <w:jc w:val="both"/>
        <w:rPr>
          <w:sz w:val="24"/>
          <w:szCs w:val="24"/>
        </w:rPr>
      </w:pPr>
      <w:r w:rsidRPr="00AA7B93">
        <w:rPr>
          <w:rStyle w:val="ac"/>
          <w:rFonts w:eastAsiaTheme="majorEastAsia"/>
          <w:b/>
          <w:bCs/>
          <w:sz w:val="24"/>
          <w:szCs w:val="24"/>
        </w:rPr>
        <w:t xml:space="preserve">Синдром </w:t>
      </w:r>
      <w:r w:rsidRPr="00AA7B93">
        <w:rPr>
          <w:rStyle w:val="ac"/>
          <w:rFonts w:eastAsiaTheme="majorEastAsia"/>
          <w:sz w:val="24"/>
          <w:szCs w:val="24"/>
        </w:rPr>
        <w:t>— устойчивая совокупность ряда симптомов с единым патогенезом [7].</w:t>
      </w:r>
    </w:p>
    <w:p w14:paraId="2F243833" w14:textId="499A849B" w:rsidR="00AA7B93" w:rsidRPr="00AA7B93" w:rsidRDefault="00AA7B93" w:rsidP="00AA7B93">
      <w:pPr>
        <w:pStyle w:val="11"/>
        <w:ind w:firstLine="709"/>
        <w:jc w:val="both"/>
        <w:rPr>
          <w:sz w:val="24"/>
          <w:szCs w:val="24"/>
        </w:rPr>
      </w:pPr>
      <w:r w:rsidRPr="00AA7B93">
        <w:rPr>
          <w:rStyle w:val="ac"/>
          <w:rFonts w:eastAsiaTheme="majorEastAsia"/>
          <w:b/>
          <w:bCs/>
          <w:sz w:val="24"/>
          <w:szCs w:val="24"/>
        </w:rPr>
        <w:t xml:space="preserve">Синдром старческой астении — </w:t>
      </w:r>
      <w:r w:rsidRPr="00AA7B93">
        <w:rPr>
          <w:rStyle w:val="ac"/>
          <w:rFonts w:eastAsiaTheme="majorEastAsia"/>
          <w:sz w:val="24"/>
          <w:szCs w:val="24"/>
        </w:rPr>
        <w:t>гериатрический</w:t>
      </w:r>
      <w:r w:rsidR="00F12D6F">
        <w:rPr>
          <w:rStyle w:val="ac"/>
          <w:rFonts w:eastAsiaTheme="majorEastAsia"/>
          <w:sz w:val="24"/>
          <w:szCs w:val="24"/>
        </w:rPr>
        <w:t xml:space="preserve"> </w:t>
      </w:r>
      <w:r w:rsidRPr="00AA7B93">
        <w:rPr>
          <w:rStyle w:val="ac"/>
          <w:rFonts w:eastAsiaTheme="majorEastAsia"/>
          <w:sz w:val="24"/>
          <w:szCs w:val="24"/>
        </w:rPr>
        <w:t>синдром, характеризующийся возраст- ассоциированным снижением физиологического резерва и функций многих систем организма, приводящий к повышенной уязвимости организма пожилого человека к воздействию эндо- и экзогенных факторов и высокому риску развития неблагоприятных исходов для здоровья, потери автономности и смерти [8].</w:t>
      </w:r>
    </w:p>
    <w:p w14:paraId="1B8CBB3F" w14:textId="77777777" w:rsidR="00AA7B93" w:rsidRPr="00AA7B93" w:rsidRDefault="00AA7B93" w:rsidP="00AA7B93">
      <w:pPr>
        <w:pStyle w:val="11"/>
        <w:ind w:firstLine="709"/>
        <w:jc w:val="both"/>
        <w:rPr>
          <w:sz w:val="24"/>
          <w:szCs w:val="24"/>
        </w:rPr>
      </w:pPr>
      <w:r w:rsidRPr="00AA7B93">
        <w:rPr>
          <w:rStyle w:val="ac"/>
          <w:rFonts w:eastAsiaTheme="majorEastAsia"/>
          <w:b/>
          <w:bCs/>
          <w:sz w:val="24"/>
          <w:szCs w:val="24"/>
        </w:rPr>
        <w:t xml:space="preserve">Состояние — </w:t>
      </w:r>
      <w:r w:rsidRPr="00AA7B93">
        <w:rPr>
          <w:rStyle w:val="ac"/>
          <w:rFonts w:eastAsiaTheme="majorEastAsia"/>
          <w:sz w:val="24"/>
          <w:szCs w:val="24"/>
        </w:rPr>
        <w:t>изменения организма, возникающие в связи с воздействием патогенных и (или) физиологических факторов и требующие оказания медицинской помощи [2].</w:t>
      </w:r>
    </w:p>
    <w:p w14:paraId="00F814A4" w14:textId="62B5C50F" w:rsidR="00AA7B93" w:rsidRPr="00AA7B93" w:rsidRDefault="003D51B3" w:rsidP="00AA7B93">
      <w:pPr>
        <w:pStyle w:val="11"/>
        <w:ind w:firstLine="709"/>
        <w:jc w:val="both"/>
        <w:rPr>
          <w:sz w:val="24"/>
          <w:szCs w:val="24"/>
        </w:rPr>
      </w:pPr>
      <w:r>
        <w:rPr>
          <w:rStyle w:val="ac"/>
          <w:rFonts w:eastAsiaTheme="majorEastAsia"/>
          <w:b/>
          <w:bCs/>
          <w:sz w:val="24"/>
          <w:szCs w:val="24"/>
        </w:rPr>
        <w:t>Уровень достоверности доказательств</w:t>
      </w:r>
      <w:r w:rsidR="00AA7B93" w:rsidRPr="00AA7B93">
        <w:rPr>
          <w:rStyle w:val="ac"/>
          <w:rFonts w:eastAsiaTheme="majorEastAsia"/>
          <w:b/>
          <w:bCs/>
          <w:sz w:val="24"/>
          <w:szCs w:val="24"/>
        </w:rPr>
        <w:t xml:space="preserve"> </w:t>
      </w:r>
      <w:r w:rsidR="00AA7B93" w:rsidRPr="00AA7B93">
        <w:rPr>
          <w:rStyle w:val="ac"/>
          <w:rFonts w:eastAsiaTheme="majorEastAsia"/>
          <w:sz w:val="24"/>
          <w:szCs w:val="24"/>
        </w:rPr>
        <w:t>— степень уверенности в том, что полученный эффект от применения медицинского вмешательства является истинным [9].</w:t>
      </w:r>
    </w:p>
    <w:p w14:paraId="483C8642" w14:textId="77777777" w:rsidR="00AA7B93" w:rsidRPr="00AA7B93" w:rsidRDefault="00AA7B93" w:rsidP="00AA7B93">
      <w:pPr>
        <w:pStyle w:val="11"/>
        <w:ind w:firstLine="709"/>
        <w:jc w:val="both"/>
        <w:rPr>
          <w:sz w:val="24"/>
          <w:szCs w:val="24"/>
        </w:rPr>
      </w:pPr>
      <w:r w:rsidRPr="00AA7B93">
        <w:rPr>
          <w:rStyle w:val="ac"/>
          <w:rFonts w:eastAsiaTheme="majorEastAsia"/>
          <w:b/>
          <w:bCs/>
          <w:sz w:val="24"/>
          <w:szCs w:val="24"/>
        </w:rPr>
        <w:t xml:space="preserve">Уровень убедительности рекомендаций </w:t>
      </w:r>
      <w:r w:rsidRPr="00AA7B93">
        <w:rPr>
          <w:rStyle w:val="ac"/>
          <w:rFonts w:eastAsiaTheme="majorEastAsia"/>
          <w:sz w:val="24"/>
          <w:szCs w:val="24"/>
        </w:rPr>
        <w:t xml:space="preserve">— степень уверенности в достоверности эффекта вмешательства и в том, что следование рекомендациям принесет больше пользы, </w:t>
      </w:r>
      <w:r w:rsidRPr="00AA7B93">
        <w:rPr>
          <w:rStyle w:val="ac"/>
          <w:rFonts w:eastAsiaTheme="majorEastAsia"/>
          <w:sz w:val="24"/>
          <w:szCs w:val="24"/>
        </w:rPr>
        <w:lastRenderedPageBreak/>
        <w:t>чем вреда в конкретной ситуации [9].</w:t>
      </w:r>
    </w:p>
    <w:p w14:paraId="54F77209" w14:textId="77777777" w:rsidR="00AA7B93" w:rsidRPr="00AA7B93" w:rsidRDefault="00AA7B93" w:rsidP="00AA7B93">
      <w:pPr>
        <w:pStyle w:val="11"/>
        <w:ind w:firstLine="709"/>
        <w:jc w:val="both"/>
        <w:rPr>
          <w:sz w:val="24"/>
          <w:szCs w:val="24"/>
        </w:rPr>
      </w:pPr>
      <w:r w:rsidRPr="00AA7B93">
        <w:rPr>
          <w:rStyle w:val="ac"/>
          <w:rFonts w:eastAsiaTheme="majorEastAsia"/>
          <w:b/>
          <w:bCs/>
          <w:sz w:val="24"/>
          <w:szCs w:val="24"/>
        </w:rPr>
        <w:t xml:space="preserve">Фиксированная комбинация лекарственных препаратов </w:t>
      </w:r>
      <w:r w:rsidRPr="00AA7B93">
        <w:rPr>
          <w:rStyle w:val="ac"/>
          <w:rFonts w:eastAsiaTheme="majorEastAsia"/>
          <w:sz w:val="24"/>
          <w:szCs w:val="24"/>
        </w:rPr>
        <w:t>— сочетание двух и более разных классов препаратов в одной таблетке.</w:t>
      </w:r>
    </w:p>
    <w:p w14:paraId="33DEA354" w14:textId="77777777" w:rsidR="00AA7B93" w:rsidRPr="00AA7B93" w:rsidRDefault="00AA7B93" w:rsidP="00AA7B93">
      <w:pPr>
        <w:pStyle w:val="11"/>
        <w:ind w:firstLine="709"/>
        <w:jc w:val="both"/>
        <w:rPr>
          <w:sz w:val="24"/>
          <w:szCs w:val="24"/>
        </w:rPr>
      </w:pPr>
      <w:r w:rsidRPr="00AA7B93">
        <w:rPr>
          <w:rStyle w:val="ac"/>
          <w:rFonts w:eastAsiaTheme="majorEastAsia"/>
          <w:b/>
          <w:bCs/>
          <w:sz w:val="24"/>
          <w:szCs w:val="24"/>
        </w:rPr>
        <w:t xml:space="preserve">Хроническая алкогольная интоксикация </w:t>
      </w:r>
      <w:r w:rsidRPr="00AA7B93">
        <w:rPr>
          <w:rStyle w:val="ac"/>
          <w:rFonts w:eastAsiaTheme="majorEastAsia"/>
          <w:sz w:val="24"/>
          <w:szCs w:val="24"/>
        </w:rPr>
        <w:t>— комплекс физиологических, поведенческих и когнитивных явлений, при которых употребление алкогольных напитков начинает занимать более важное место в системе ценностей человека, чем другие формы поведения, которые ранее были более важными для него.</w:t>
      </w:r>
    </w:p>
    <w:p w14:paraId="7F2CA21B" w14:textId="77777777" w:rsidR="00AA7B93" w:rsidRPr="00AA7B93" w:rsidRDefault="00AA7B93" w:rsidP="00AA7B93">
      <w:pPr>
        <w:pStyle w:val="11"/>
        <w:ind w:firstLine="709"/>
        <w:jc w:val="both"/>
        <w:rPr>
          <w:sz w:val="24"/>
          <w:szCs w:val="24"/>
        </w:rPr>
      </w:pPr>
      <w:r w:rsidRPr="00AA7B93">
        <w:rPr>
          <w:rStyle w:val="ac"/>
          <w:rFonts w:eastAsiaTheme="majorEastAsia"/>
          <w:b/>
          <w:bCs/>
          <w:sz w:val="24"/>
          <w:szCs w:val="24"/>
        </w:rPr>
        <w:t xml:space="preserve">Хроническая болезнь почек — </w:t>
      </w:r>
      <w:r w:rsidRPr="00AA7B93">
        <w:rPr>
          <w:rStyle w:val="ac"/>
          <w:rFonts w:eastAsiaTheme="majorEastAsia"/>
          <w:sz w:val="24"/>
          <w:szCs w:val="24"/>
        </w:rPr>
        <w:t>это персистирующее в течение трех месяцев или более поражение почек вследствие действия различных этиологических факторов, анатомической основой которого является процесс замещения нормальных анатомических структур фиброзом, приводящий к его дисфункции.</w:t>
      </w:r>
    </w:p>
    <w:p w14:paraId="6E53E8C8" w14:textId="75506C30" w:rsidR="00AA7B93" w:rsidRPr="008E7E6A" w:rsidRDefault="00AA7B93" w:rsidP="00AA7B93">
      <w:pPr>
        <w:pStyle w:val="11"/>
        <w:ind w:firstLine="709"/>
        <w:jc w:val="both"/>
        <w:rPr>
          <w:rStyle w:val="ac"/>
          <w:rFonts w:eastAsiaTheme="majorEastAsia"/>
          <w:sz w:val="24"/>
          <w:szCs w:val="24"/>
        </w:rPr>
      </w:pPr>
      <w:r w:rsidRPr="00AA7B93">
        <w:rPr>
          <w:rStyle w:val="ac"/>
          <w:rFonts w:eastAsiaTheme="majorEastAsia"/>
          <w:b/>
          <w:bCs/>
          <w:sz w:val="24"/>
          <w:szCs w:val="24"/>
        </w:rPr>
        <w:t xml:space="preserve">Целевой уровень АД </w:t>
      </w:r>
      <w:r w:rsidRPr="00AA7B93">
        <w:rPr>
          <w:rStyle w:val="ac"/>
          <w:rFonts w:eastAsiaTheme="majorEastAsia"/>
          <w:sz w:val="24"/>
          <w:szCs w:val="24"/>
        </w:rPr>
        <w:t>— уровень АД, достижение которого в процессе лечения позволяет добиться наиболее благоприятного соотношения польза (снижение сердечно-сосудистого (СС) риска) — риск (неблагоприятные эффекты).</w:t>
      </w:r>
    </w:p>
    <w:p w14:paraId="7F96AA6C" w14:textId="42C023C4" w:rsidR="004247EC" w:rsidRPr="004247EC" w:rsidRDefault="004247EC" w:rsidP="00AA7B93">
      <w:pPr>
        <w:pStyle w:val="11"/>
        <w:ind w:firstLine="709"/>
        <w:jc w:val="both"/>
        <w:rPr>
          <w:sz w:val="24"/>
          <w:szCs w:val="24"/>
        </w:rPr>
      </w:pPr>
      <w:r w:rsidRPr="004247EC">
        <w:rPr>
          <w:b/>
          <w:bCs/>
          <w:sz w:val="24"/>
          <w:szCs w:val="24"/>
        </w:rPr>
        <w:t>Pressure-natriuresis</w:t>
      </w:r>
      <w:r w:rsidRPr="004247EC">
        <w:rPr>
          <w:sz w:val="24"/>
          <w:szCs w:val="24"/>
        </w:rPr>
        <w:t xml:space="preserve"> (натриурез под давлением) — это физиологический механизм, при котором повышение артериального давления в почках приводит к увеличению выведения натрия и воды с мочой, что способствует снижению артериального давления. </w:t>
      </w:r>
    </w:p>
    <w:p w14:paraId="654F7E1B" w14:textId="77777777" w:rsidR="009B30C3" w:rsidRDefault="009B30C3" w:rsidP="0008732C">
      <w:pPr>
        <w:pStyle w:val="11"/>
        <w:tabs>
          <w:tab w:val="left" w:pos="929"/>
        </w:tabs>
        <w:ind w:firstLine="0"/>
        <w:jc w:val="center"/>
        <w:outlineLvl w:val="0"/>
        <w:rPr>
          <w:rStyle w:val="ac"/>
          <w:rFonts w:eastAsiaTheme="majorEastAsia"/>
          <w:b/>
          <w:bCs/>
          <w:sz w:val="28"/>
          <w:szCs w:val="28"/>
        </w:rPr>
      </w:pPr>
      <w:bookmarkStart w:id="6" w:name="bookmark2"/>
      <w:bookmarkStart w:id="7" w:name="_Toc202877427"/>
    </w:p>
    <w:p w14:paraId="3C068908" w14:textId="415E9A3A" w:rsidR="001B274E" w:rsidRPr="0048742D" w:rsidRDefault="0048742D" w:rsidP="0008732C">
      <w:pPr>
        <w:pStyle w:val="11"/>
        <w:tabs>
          <w:tab w:val="left" w:pos="929"/>
        </w:tabs>
        <w:ind w:firstLine="0"/>
        <w:jc w:val="center"/>
        <w:outlineLvl w:val="0"/>
        <w:rPr>
          <w:rStyle w:val="ac"/>
          <w:sz w:val="28"/>
          <w:szCs w:val="28"/>
        </w:rPr>
      </w:pPr>
      <w:r>
        <w:rPr>
          <w:rStyle w:val="ac"/>
          <w:rFonts w:eastAsiaTheme="majorEastAsia"/>
          <w:b/>
          <w:bCs/>
          <w:sz w:val="28"/>
          <w:szCs w:val="28"/>
        </w:rPr>
        <w:t>1.</w:t>
      </w:r>
      <w:r w:rsidR="001B274E" w:rsidRPr="0048742D">
        <w:rPr>
          <w:rStyle w:val="ac"/>
          <w:rFonts w:eastAsiaTheme="majorEastAsia"/>
          <w:b/>
          <w:bCs/>
          <w:sz w:val="28"/>
          <w:szCs w:val="28"/>
        </w:rPr>
        <w:t>Краткая информация</w:t>
      </w:r>
      <w:bookmarkEnd w:id="6"/>
      <w:bookmarkEnd w:id="7"/>
    </w:p>
    <w:p w14:paraId="61C3D6B1" w14:textId="77777777" w:rsidR="001B274E" w:rsidRPr="0048742D" w:rsidRDefault="0048742D" w:rsidP="0008732C">
      <w:pPr>
        <w:pStyle w:val="11"/>
        <w:tabs>
          <w:tab w:val="left" w:pos="709"/>
        </w:tabs>
        <w:ind w:firstLine="0"/>
        <w:jc w:val="both"/>
        <w:outlineLvl w:val="1"/>
        <w:rPr>
          <w:sz w:val="24"/>
          <w:szCs w:val="24"/>
        </w:rPr>
      </w:pPr>
      <w:bookmarkStart w:id="8" w:name="_Toc202877428"/>
      <w:bookmarkStart w:id="9" w:name="bookmark3"/>
      <w:r w:rsidRPr="0048742D">
        <w:rPr>
          <w:rStyle w:val="ac"/>
          <w:rFonts w:eastAsiaTheme="majorEastAsia"/>
          <w:b/>
          <w:bCs/>
          <w:sz w:val="24"/>
          <w:szCs w:val="24"/>
          <w:u w:val="single"/>
        </w:rPr>
        <w:t>1.1</w:t>
      </w:r>
      <w:r>
        <w:rPr>
          <w:rStyle w:val="ac"/>
          <w:rFonts w:eastAsiaTheme="majorEastAsia"/>
          <w:b/>
          <w:bCs/>
          <w:sz w:val="24"/>
          <w:szCs w:val="24"/>
          <w:u w:val="single"/>
        </w:rPr>
        <w:t xml:space="preserve"> </w:t>
      </w:r>
      <w:r w:rsidR="001B274E" w:rsidRPr="0048742D">
        <w:rPr>
          <w:rStyle w:val="ac"/>
          <w:rFonts w:eastAsiaTheme="majorEastAsia"/>
          <w:b/>
          <w:bCs/>
          <w:sz w:val="24"/>
          <w:szCs w:val="24"/>
          <w:u w:val="single"/>
        </w:rPr>
        <w:t>Определение</w:t>
      </w:r>
      <w:bookmarkEnd w:id="8"/>
      <w:r w:rsidR="001B274E" w:rsidRPr="0048742D">
        <w:rPr>
          <w:rStyle w:val="ac"/>
          <w:rFonts w:eastAsiaTheme="majorEastAsia"/>
          <w:b/>
          <w:bCs/>
          <w:sz w:val="24"/>
          <w:szCs w:val="24"/>
          <w:u w:val="single"/>
        </w:rPr>
        <w:t xml:space="preserve"> </w:t>
      </w:r>
      <w:bookmarkEnd w:id="9"/>
    </w:p>
    <w:p w14:paraId="31102C87" w14:textId="77777777" w:rsidR="001B274E" w:rsidRPr="0048742D" w:rsidRDefault="001B274E" w:rsidP="0048742D">
      <w:pPr>
        <w:pStyle w:val="11"/>
        <w:ind w:firstLine="709"/>
        <w:jc w:val="both"/>
        <w:rPr>
          <w:sz w:val="24"/>
          <w:szCs w:val="24"/>
        </w:rPr>
      </w:pPr>
      <w:r w:rsidRPr="0048742D">
        <w:rPr>
          <w:rStyle w:val="ac"/>
          <w:rFonts w:eastAsiaTheme="majorEastAsia"/>
          <w:b/>
          <w:bCs/>
          <w:sz w:val="24"/>
          <w:szCs w:val="24"/>
        </w:rPr>
        <w:t xml:space="preserve">Артериальная гипертензия (АГ) — </w:t>
      </w:r>
      <w:r w:rsidRPr="0048742D">
        <w:rPr>
          <w:rStyle w:val="ac"/>
          <w:rFonts w:eastAsiaTheme="majorEastAsia"/>
          <w:sz w:val="24"/>
          <w:szCs w:val="24"/>
        </w:rPr>
        <w:t>синдром повышения систолического АД (далее — САД) &gt;140 мм рт. ст. и/или диастолического АД (далее — ДАД) &gt;90 мм рт. ст.</w:t>
      </w:r>
    </w:p>
    <w:p w14:paraId="548903EB" w14:textId="77777777" w:rsidR="001B274E" w:rsidRPr="0048742D" w:rsidRDefault="001B274E" w:rsidP="0048742D">
      <w:pPr>
        <w:pStyle w:val="11"/>
        <w:ind w:firstLine="709"/>
        <w:jc w:val="both"/>
        <w:rPr>
          <w:sz w:val="24"/>
          <w:szCs w:val="24"/>
        </w:rPr>
      </w:pPr>
      <w:r w:rsidRPr="0048742D">
        <w:rPr>
          <w:rStyle w:val="ac"/>
          <w:rFonts w:eastAsiaTheme="majorEastAsia"/>
          <w:b/>
          <w:bCs/>
          <w:sz w:val="24"/>
          <w:szCs w:val="24"/>
        </w:rPr>
        <w:t xml:space="preserve">Гипертоническая болезнь (далее — ГБ) — </w:t>
      </w:r>
      <w:r w:rsidRPr="0048742D">
        <w:rPr>
          <w:rStyle w:val="ac"/>
          <w:rFonts w:eastAsiaTheme="majorEastAsia"/>
          <w:sz w:val="24"/>
          <w:szCs w:val="24"/>
        </w:rPr>
        <w:t xml:space="preserve">хронически протекающее заболевание, основным проявлением которого является повышение АД, не связанное с выявлением явных причин, приводящих к развитию вторичных форм АГ (симптоматические АГ). Термин «гипертоническая болезнь», предложенный Г. Ф. Лангом в 1948 г., соответствует терминам «эссенциальная гипертензия» и «артериальная гипертензия», используемым за рубежом. ГБ преобладает среди всех форм АГ, ее </w:t>
      </w:r>
      <w:r w:rsidR="00E764BB" w:rsidRPr="0048742D">
        <w:rPr>
          <w:rStyle w:val="ac"/>
          <w:rFonts w:eastAsiaTheme="majorEastAsia"/>
          <w:sz w:val="24"/>
          <w:szCs w:val="24"/>
        </w:rPr>
        <w:t>распространённость</w:t>
      </w:r>
      <w:r w:rsidRPr="0048742D">
        <w:rPr>
          <w:rStyle w:val="ac"/>
          <w:rFonts w:eastAsiaTheme="majorEastAsia"/>
          <w:sz w:val="24"/>
          <w:szCs w:val="24"/>
        </w:rPr>
        <w:t xml:space="preserve"> превышает 90%.</w:t>
      </w:r>
    </w:p>
    <w:p w14:paraId="27683626" w14:textId="77777777" w:rsidR="001B274E" w:rsidRPr="0048742D" w:rsidRDefault="001B274E" w:rsidP="0048742D">
      <w:pPr>
        <w:pStyle w:val="11"/>
        <w:ind w:firstLine="709"/>
        <w:jc w:val="both"/>
        <w:rPr>
          <w:sz w:val="24"/>
          <w:szCs w:val="24"/>
        </w:rPr>
      </w:pPr>
      <w:r w:rsidRPr="0048742D">
        <w:rPr>
          <w:rStyle w:val="ac"/>
          <w:rFonts w:eastAsiaTheme="majorEastAsia"/>
          <w:b/>
          <w:bCs/>
          <w:sz w:val="24"/>
          <w:szCs w:val="24"/>
        </w:rPr>
        <w:t xml:space="preserve">Вторичная (симптоматическая) АГ — </w:t>
      </w:r>
      <w:r w:rsidRPr="0048742D">
        <w:rPr>
          <w:rStyle w:val="ac"/>
          <w:rFonts w:eastAsiaTheme="majorEastAsia"/>
          <w:sz w:val="24"/>
          <w:szCs w:val="24"/>
        </w:rPr>
        <w:t>АГ, обусловленная известной причиной, которую в ряде случаев можно устранить с помощью соответствующего вмешательства.</w:t>
      </w:r>
    </w:p>
    <w:p w14:paraId="63F2193C" w14:textId="77777777" w:rsidR="001B274E" w:rsidRPr="0048742D" w:rsidRDefault="001B274E" w:rsidP="00655BA9">
      <w:pPr>
        <w:pStyle w:val="11"/>
        <w:ind w:firstLine="709"/>
        <w:jc w:val="both"/>
        <w:rPr>
          <w:sz w:val="24"/>
          <w:szCs w:val="24"/>
        </w:rPr>
      </w:pPr>
      <w:r w:rsidRPr="0048742D">
        <w:rPr>
          <w:rStyle w:val="ac"/>
          <w:rFonts w:eastAsiaTheme="majorEastAsia"/>
          <w:b/>
          <w:bCs/>
          <w:sz w:val="24"/>
          <w:szCs w:val="24"/>
        </w:rPr>
        <w:t xml:space="preserve">Гипертонический криз — </w:t>
      </w:r>
      <w:r w:rsidRPr="0048742D">
        <w:rPr>
          <w:rStyle w:val="ac"/>
          <w:rFonts w:eastAsiaTheme="majorEastAsia"/>
          <w:sz w:val="24"/>
          <w:szCs w:val="24"/>
        </w:rPr>
        <w:t>состояние, вызванное значительным повышением АД, ассоциирующееся с острым поражением органов-мишеней, нередко жизнеугрожающим, требующее немедленных квалифицированных действий.</w:t>
      </w:r>
    </w:p>
    <w:p w14:paraId="59BEECEF" w14:textId="77777777" w:rsidR="0048742D" w:rsidRPr="00E764BB" w:rsidRDefault="001B274E" w:rsidP="00424F51">
      <w:pPr>
        <w:pStyle w:val="11"/>
        <w:numPr>
          <w:ilvl w:val="1"/>
          <w:numId w:val="43"/>
        </w:numPr>
        <w:tabs>
          <w:tab w:val="left" w:pos="0"/>
        </w:tabs>
        <w:jc w:val="both"/>
        <w:outlineLvl w:val="1"/>
        <w:rPr>
          <w:rStyle w:val="ac"/>
          <w:sz w:val="24"/>
          <w:szCs w:val="24"/>
        </w:rPr>
      </w:pPr>
      <w:bookmarkStart w:id="10" w:name="_Toc202877429"/>
      <w:bookmarkStart w:id="11" w:name="bookmark4"/>
      <w:r w:rsidRPr="00E764BB">
        <w:rPr>
          <w:rStyle w:val="ac"/>
          <w:rFonts w:eastAsiaTheme="majorEastAsia"/>
          <w:b/>
          <w:bCs/>
          <w:sz w:val="24"/>
          <w:szCs w:val="24"/>
          <w:u w:val="single"/>
        </w:rPr>
        <w:t>Этиология и патогенез</w:t>
      </w:r>
      <w:bookmarkEnd w:id="10"/>
      <w:r w:rsidRPr="00E764BB">
        <w:rPr>
          <w:rStyle w:val="ac"/>
          <w:rFonts w:eastAsiaTheme="majorEastAsia"/>
          <w:b/>
          <w:bCs/>
          <w:sz w:val="24"/>
          <w:szCs w:val="24"/>
          <w:u w:val="single"/>
        </w:rPr>
        <w:t xml:space="preserve"> </w:t>
      </w:r>
      <w:bookmarkEnd w:id="11"/>
    </w:p>
    <w:p w14:paraId="0C947A5F" w14:textId="77777777" w:rsidR="001B274E" w:rsidRPr="00E764BB" w:rsidRDefault="001B274E" w:rsidP="00E764BB">
      <w:pPr>
        <w:pStyle w:val="11"/>
        <w:ind w:firstLine="0"/>
        <w:jc w:val="center"/>
        <w:rPr>
          <w:sz w:val="24"/>
          <w:szCs w:val="24"/>
        </w:rPr>
      </w:pPr>
      <w:r w:rsidRPr="00E764BB">
        <w:rPr>
          <w:rStyle w:val="ac"/>
          <w:rFonts w:eastAsiaTheme="majorEastAsia"/>
          <w:b/>
          <w:bCs/>
          <w:sz w:val="24"/>
          <w:szCs w:val="24"/>
        </w:rPr>
        <w:t>Предрасполагающие факторы</w:t>
      </w:r>
    </w:p>
    <w:p w14:paraId="3727576B" w14:textId="77777777" w:rsidR="001B274E" w:rsidRPr="00E764BB" w:rsidRDefault="001B274E" w:rsidP="00E764BB">
      <w:pPr>
        <w:pStyle w:val="11"/>
        <w:ind w:firstLine="709"/>
        <w:jc w:val="both"/>
        <w:rPr>
          <w:sz w:val="24"/>
          <w:szCs w:val="24"/>
        </w:rPr>
      </w:pPr>
      <w:r w:rsidRPr="00E764BB">
        <w:rPr>
          <w:rStyle w:val="ac"/>
          <w:rFonts w:eastAsiaTheme="majorEastAsia"/>
          <w:sz w:val="24"/>
          <w:szCs w:val="24"/>
        </w:rPr>
        <w:lastRenderedPageBreak/>
        <w:t xml:space="preserve">В основе развития первичной АГ лежит сложное взаимодействие между генетическими особенностями, факторами внешней среды и процессом старения. Этиология АГ </w:t>
      </w:r>
      <w:r w:rsidR="00E764BB" w:rsidRPr="00E764BB">
        <w:rPr>
          <w:rStyle w:val="ac"/>
          <w:rFonts w:eastAsiaTheme="majorEastAsia"/>
          <w:sz w:val="24"/>
          <w:szCs w:val="24"/>
        </w:rPr>
        <w:t>остаётся</w:t>
      </w:r>
      <w:r w:rsidRPr="00E764BB">
        <w:rPr>
          <w:rStyle w:val="ac"/>
          <w:rFonts w:eastAsiaTheme="majorEastAsia"/>
          <w:sz w:val="24"/>
          <w:szCs w:val="24"/>
        </w:rPr>
        <w:t xml:space="preserve"> не до конца выясненной, но выявлен ряд факторов, тесно и независимо связанных с повышением АД:</w:t>
      </w:r>
    </w:p>
    <w:p w14:paraId="7B517397" w14:textId="77777777" w:rsidR="001B274E" w:rsidRPr="00E764BB" w:rsidRDefault="001B274E">
      <w:pPr>
        <w:pStyle w:val="11"/>
        <w:numPr>
          <w:ilvl w:val="0"/>
          <w:numId w:val="1"/>
        </w:numPr>
        <w:tabs>
          <w:tab w:val="left" w:pos="1276"/>
        </w:tabs>
        <w:ind w:firstLine="709"/>
        <w:jc w:val="both"/>
        <w:rPr>
          <w:sz w:val="24"/>
          <w:szCs w:val="24"/>
        </w:rPr>
      </w:pPr>
      <w:r w:rsidRPr="00E764BB">
        <w:rPr>
          <w:rStyle w:val="ac"/>
          <w:rFonts w:eastAsiaTheme="majorEastAsia"/>
          <w:sz w:val="24"/>
          <w:szCs w:val="24"/>
        </w:rPr>
        <w:t>возраст — увеличение возраста ассоциировано с повышением частоты АГ и уровня</w:t>
      </w:r>
      <w:r w:rsidR="00E764BB">
        <w:rPr>
          <w:sz w:val="24"/>
          <w:szCs w:val="24"/>
        </w:rPr>
        <w:t xml:space="preserve"> </w:t>
      </w:r>
      <w:r w:rsidRPr="00E764BB">
        <w:rPr>
          <w:rStyle w:val="ac"/>
          <w:rFonts w:eastAsiaTheme="majorEastAsia"/>
          <w:sz w:val="24"/>
          <w:szCs w:val="24"/>
        </w:rPr>
        <w:t>АД (прежде всего систолического) [10];</w:t>
      </w:r>
    </w:p>
    <w:p w14:paraId="7ECC723F" w14:textId="77777777" w:rsidR="001B274E" w:rsidRPr="00E764BB" w:rsidRDefault="001B274E">
      <w:pPr>
        <w:pStyle w:val="11"/>
        <w:numPr>
          <w:ilvl w:val="0"/>
          <w:numId w:val="1"/>
        </w:numPr>
        <w:tabs>
          <w:tab w:val="left" w:pos="1276"/>
        </w:tabs>
        <w:ind w:firstLine="709"/>
        <w:jc w:val="both"/>
        <w:rPr>
          <w:sz w:val="24"/>
          <w:szCs w:val="24"/>
        </w:rPr>
      </w:pPr>
      <w:r w:rsidRPr="00E764BB">
        <w:rPr>
          <w:rStyle w:val="ac"/>
          <w:rFonts w:eastAsiaTheme="majorEastAsia"/>
          <w:sz w:val="24"/>
          <w:szCs w:val="24"/>
        </w:rPr>
        <w:t>избыточная масса тела и ожирение способствуют повышению АД;</w:t>
      </w:r>
    </w:p>
    <w:p w14:paraId="0447C79D" w14:textId="77777777" w:rsidR="001B274E" w:rsidRPr="00E764BB" w:rsidRDefault="001B274E">
      <w:pPr>
        <w:pStyle w:val="11"/>
        <w:numPr>
          <w:ilvl w:val="0"/>
          <w:numId w:val="1"/>
        </w:numPr>
        <w:tabs>
          <w:tab w:val="left" w:pos="1276"/>
        </w:tabs>
        <w:ind w:firstLine="709"/>
        <w:jc w:val="both"/>
        <w:rPr>
          <w:sz w:val="24"/>
          <w:szCs w:val="24"/>
        </w:rPr>
      </w:pPr>
      <w:r w:rsidRPr="00E764BB">
        <w:rPr>
          <w:rStyle w:val="ac"/>
          <w:rFonts w:eastAsiaTheme="majorEastAsia"/>
          <w:sz w:val="24"/>
          <w:szCs w:val="24"/>
        </w:rPr>
        <w:t>наследственная предрасположенность — повышение АД встречается</w:t>
      </w:r>
    </w:p>
    <w:p w14:paraId="50C174BA" w14:textId="77777777" w:rsidR="001B274E" w:rsidRPr="00E764BB" w:rsidRDefault="001B274E" w:rsidP="00655BA9">
      <w:pPr>
        <w:pStyle w:val="11"/>
        <w:ind w:firstLine="0"/>
        <w:jc w:val="both"/>
        <w:rPr>
          <w:sz w:val="24"/>
          <w:szCs w:val="24"/>
        </w:rPr>
      </w:pPr>
      <w:r w:rsidRPr="00E764BB">
        <w:rPr>
          <w:rStyle w:val="ac"/>
          <w:rFonts w:eastAsiaTheme="majorEastAsia"/>
          <w:sz w:val="24"/>
          <w:szCs w:val="24"/>
        </w:rPr>
        <w:t>приблизительно в 2 раза чаще среди лиц, у которых один или оба родителя имели АГ. Эпидемиологические исследования показали, что около 30% вариаций АД в различных популяциях обусловлены генетическими факторами [11]. За последние несколько лет были получены важные новые данные о генетических причинах развития АГ, при этом было</w:t>
      </w:r>
      <w:r w:rsidR="00655BA9">
        <w:rPr>
          <w:sz w:val="24"/>
          <w:szCs w:val="24"/>
        </w:rPr>
        <w:t xml:space="preserve"> </w:t>
      </w:r>
      <w:r w:rsidRPr="00E764BB">
        <w:rPr>
          <w:rStyle w:val="ac"/>
          <w:rFonts w:eastAsiaTheme="majorEastAsia"/>
          <w:sz w:val="24"/>
          <w:szCs w:val="24"/>
        </w:rPr>
        <w:t>идентифицировано более 1000 генетических факторов, а также, в некоторых случаях, биохимические и патофизиологические пути, через которые они действуют [12];</w:t>
      </w:r>
    </w:p>
    <w:p w14:paraId="28A7E13C" w14:textId="77777777" w:rsidR="001B274E" w:rsidRPr="00E764BB" w:rsidRDefault="001B274E">
      <w:pPr>
        <w:pStyle w:val="11"/>
        <w:numPr>
          <w:ilvl w:val="0"/>
          <w:numId w:val="1"/>
        </w:numPr>
        <w:tabs>
          <w:tab w:val="left" w:pos="1269"/>
        </w:tabs>
        <w:ind w:firstLine="709"/>
        <w:jc w:val="both"/>
        <w:rPr>
          <w:sz w:val="24"/>
          <w:szCs w:val="24"/>
        </w:rPr>
      </w:pPr>
      <w:r w:rsidRPr="00E764BB">
        <w:rPr>
          <w:rStyle w:val="ac"/>
          <w:rFonts w:eastAsiaTheme="majorEastAsia"/>
          <w:sz w:val="24"/>
          <w:szCs w:val="24"/>
        </w:rPr>
        <w:t>избыточное потребление натрия (&gt;5 г/день) [13];</w:t>
      </w:r>
    </w:p>
    <w:p w14:paraId="4B787038" w14:textId="77777777" w:rsidR="001B274E" w:rsidRPr="00E764BB" w:rsidRDefault="001B274E">
      <w:pPr>
        <w:pStyle w:val="11"/>
        <w:numPr>
          <w:ilvl w:val="0"/>
          <w:numId w:val="1"/>
        </w:numPr>
        <w:tabs>
          <w:tab w:val="left" w:pos="1269"/>
        </w:tabs>
        <w:ind w:firstLine="709"/>
        <w:jc w:val="both"/>
        <w:rPr>
          <w:sz w:val="24"/>
          <w:szCs w:val="24"/>
        </w:rPr>
      </w:pPr>
      <w:r w:rsidRPr="00E764BB">
        <w:rPr>
          <w:rStyle w:val="ac"/>
          <w:rFonts w:eastAsiaTheme="majorEastAsia"/>
          <w:sz w:val="24"/>
          <w:szCs w:val="24"/>
        </w:rPr>
        <w:t>злоупотребление алкоголем;</w:t>
      </w:r>
    </w:p>
    <w:p w14:paraId="667601BD" w14:textId="77777777" w:rsidR="001B274E" w:rsidRPr="00E764BB" w:rsidRDefault="001B274E">
      <w:pPr>
        <w:pStyle w:val="11"/>
        <w:numPr>
          <w:ilvl w:val="0"/>
          <w:numId w:val="1"/>
        </w:numPr>
        <w:tabs>
          <w:tab w:val="left" w:pos="1269"/>
        </w:tabs>
        <w:ind w:firstLine="709"/>
        <w:jc w:val="both"/>
        <w:rPr>
          <w:sz w:val="24"/>
          <w:szCs w:val="24"/>
        </w:rPr>
      </w:pPr>
      <w:r w:rsidRPr="00E764BB">
        <w:rPr>
          <w:rStyle w:val="ac"/>
          <w:rFonts w:eastAsiaTheme="majorEastAsia"/>
          <w:sz w:val="24"/>
          <w:szCs w:val="24"/>
        </w:rPr>
        <w:t>курение;</w:t>
      </w:r>
    </w:p>
    <w:p w14:paraId="582D90FE" w14:textId="77777777" w:rsidR="001B274E" w:rsidRPr="00E764BB" w:rsidRDefault="001B274E">
      <w:pPr>
        <w:pStyle w:val="11"/>
        <w:numPr>
          <w:ilvl w:val="0"/>
          <w:numId w:val="1"/>
        </w:numPr>
        <w:tabs>
          <w:tab w:val="left" w:pos="1269"/>
        </w:tabs>
        <w:ind w:firstLine="709"/>
        <w:jc w:val="both"/>
        <w:rPr>
          <w:sz w:val="24"/>
          <w:szCs w:val="24"/>
        </w:rPr>
      </w:pPr>
      <w:r w:rsidRPr="00E764BB">
        <w:rPr>
          <w:rStyle w:val="ac"/>
          <w:rFonts w:eastAsiaTheme="majorEastAsia"/>
          <w:sz w:val="24"/>
          <w:szCs w:val="24"/>
        </w:rPr>
        <w:t>гиподинамия;</w:t>
      </w:r>
    </w:p>
    <w:p w14:paraId="6720383D" w14:textId="77777777" w:rsidR="001B274E" w:rsidRPr="00655BA9" w:rsidRDefault="001B274E">
      <w:pPr>
        <w:pStyle w:val="11"/>
        <w:numPr>
          <w:ilvl w:val="0"/>
          <w:numId w:val="1"/>
        </w:numPr>
        <w:tabs>
          <w:tab w:val="left" w:pos="1269"/>
          <w:tab w:val="left" w:pos="4039"/>
        </w:tabs>
        <w:ind w:firstLine="709"/>
        <w:jc w:val="both"/>
        <w:rPr>
          <w:sz w:val="24"/>
          <w:szCs w:val="24"/>
        </w:rPr>
      </w:pPr>
      <w:r w:rsidRPr="00E764BB">
        <w:rPr>
          <w:rStyle w:val="ac"/>
          <w:rFonts w:eastAsiaTheme="majorEastAsia"/>
          <w:sz w:val="24"/>
          <w:szCs w:val="24"/>
        </w:rPr>
        <w:t>нарушения метаболизма</w:t>
      </w:r>
      <w:r w:rsidRPr="00E764BB">
        <w:rPr>
          <w:rStyle w:val="ac"/>
          <w:rFonts w:eastAsiaTheme="majorEastAsia"/>
          <w:sz w:val="24"/>
          <w:szCs w:val="24"/>
        </w:rPr>
        <w:tab/>
        <w:t>глюкозы и липидов также могут вносить свой вклад в</w:t>
      </w:r>
      <w:r w:rsidR="00655BA9">
        <w:rPr>
          <w:sz w:val="24"/>
          <w:szCs w:val="24"/>
        </w:rPr>
        <w:t xml:space="preserve"> </w:t>
      </w:r>
      <w:r w:rsidRPr="00655BA9">
        <w:rPr>
          <w:rStyle w:val="ac"/>
          <w:rFonts w:eastAsiaTheme="majorEastAsia"/>
          <w:sz w:val="24"/>
          <w:szCs w:val="24"/>
        </w:rPr>
        <w:t>развитие АГ (например, симпатостимулирующий эффект инсулина и благоприятный эффект симпатостимуляции на резистентность к инсулину) [12];</w:t>
      </w:r>
    </w:p>
    <w:p w14:paraId="5A1A5F70" w14:textId="77777777" w:rsidR="001B274E" w:rsidRPr="00E764BB" w:rsidRDefault="001B274E">
      <w:pPr>
        <w:pStyle w:val="11"/>
        <w:numPr>
          <w:ilvl w:val="0"/>
          <w:numId w:val="1"/>
        </w:numPr>
        <w:tabs>
          <w:tab w:val="left" w:pos="1269"/>
        </w:tabs>
        <w:ind w:firstLine="709"/>
        <w:jc w:val="both"/>
        <w:rPr>
          <w:sz w:val="24"/>
          <w:szCs w:val="24"/>
        </w:rPr>
      </w:pPr>
      <w:r w:rsidRPr="00E764BB">
        <w:rPr>
          <w:rStyle w:val="ac"/>
          <w:rFonts w:eastAsiaTheme="majorEastAsia"/>
          <w:sz w:val="24"/>
          <w:szCs w:val="24"/>
        </w:rPr>
        <w:t>новые экологические факторы (например, загрязнение воздуха и шум) [12];</w:t>
      </w:r>
    </w:p>
    <w:p w14:paraId="40CC3F61" w14:textId="77777777" w:rsidR="001B274E" w:rsidRPr="00655BA9" w:rsidRDefault="001B274E">
      <w:pPr>
        <w:pStyle w:val="11"/>
        <w:numPr>
          <w:ilvl w:val="0"/>
          <w:numId w:val="1"/>
        </w:numPr>
        <w:tabs>
          <w:tab w:val="left" w:pos="1269"/>
        </w:tabs>
        <w:ind w:firstLine="709"/>
        <w:jc w:val="both"/>
        <w:rPr>
          <w:sz w:val="24"/>
          <w:szCs w:val="24"/>
        </w:rPr>
      </w:pPr>
      <w:r w:rsidRPr="00E764BB">
        <w:rPr>
          <w:rStyle w:val="ac"/>
          <w:rFonts w:eastAsiaTheme="majorEastAsia"/>
          <w:sz w:val="24"/>
          <w:szCs w:val="24"/>
        </w:rPr>
        <w:t>сообщалось о прессогенных эффектах нарушений кишечной микробиоты</w:t>
      </w:r>
      <w:r w:rsidR="00655BA9">
        <w:rPr>
          <w:sz w:val="24"/>
          <w:szCs w:val="24"/>
        </w:rPr>
        <w:t xml:space="preserve"> </w:t>
      </w:r>
      <w:r w:rsidRPr="00655BA9">
        <w:rPr>
          <w:rStyle w:val="ac"/>
          <w:rFonts w:eastAsiaTheme="majorEastAsia"/>
          <w:sz w:val="24"/>
          <w:szCs w:val="24"/>
        </w:rPr>
        <w:t>(повышенная чувствительность к натрию, нарушение абсорбции и повышение экскреции короткоцепочечных жирных кислот, участие в иммунном воспалении) [12, 14, 15];</w:t>
      </w:r>
    </w:p>
    <w:p w14:paraId="76A83118" w14:textId="77777777" w:rsidR="001B274E" w:rsidRPr="00655BA9" w:rsidRDefault="001B274E">
      <w:pPr>
        <w:pStyle w:val="11"/>
        <w:numPr>
          <w:ilvl w:val="0"/>
          <w:numId w:val="1"/>
        </w:numPr>
        <w:tabs>
          <w:tab w:val="left" w:pos="1269"/>
        </w:tabs>
        <w:ind w:firstLine="709"/>
        <w:jc w:val="both"/>
        <w:rPr>
          <w:sz w:val="24"/>
          <w:szCs w:val="24"/>
        </w:rPr>
      </w:pPr>
      <w:r w:rsidRPr="00E764BB">
        <w:rPr>
          <w:rStyle w:val="ac"/>
          <w:rFonts w:eastAsiaTheme="majorEastAsia"/>
          <w:sz w:val="24"/>
          <w:szCs w:val="24"/>
        </w:rPr>
        <w:t>имеются обширные экспериментальные и клинические доказательства того, что</w:t>
      </w:r>
      <w:r w:rsidR="00655BA9">
        <w:rPr>
          <w:sz w:val="24"/>
          <w:szCs w:val="24"/>
        </w:rPr>
        <w:t xml:space="preserve"> </w:t>
      </w:r>
      <w:r w:rsidRPr="00655BA9">
        <w:rPr>
          <w:rStyle w:val="ac"/>
          <w:rFonts w:eastAsiaTheme="majorEastAsia"/>
          <w:sz w:val="24"/>
          <w:szCs w:val="24"/>
        </w:rPr>
        <w:t>гипертония связана с воспалением и активацией иммунных клеток, которые в значительной степени обусловлены окислительным стрессом; показано, что на образование перекисей влияют ангиотензин II, эндотелин-1, альдостерон и натрий; иммунное воспаление поддерживается генетической предрасположенностью, нейрогуморальной активацией, солечувствительностью и нарушениями кишечной микробиоты [12, 16].</w:t>
      </w:r>
    </w:p>
    <w:p w14:paraId="2D706326" w14:textId="77777777" w:rsidR="001B274E" w:rsidRPr="00E764BB" w:rsidRDefault="001B274E" w:rsidP="00E764BB">
      <w:pPr>
        <w:pStyle w:val="11"/>
        <w:ind w:firstLine="709"/>
        <w:jc w:val="both"/>
        <w:rPr>
          <w:sz w:val="24"/>
          <w:szCs w:val="24"/>
        </w:rPr>
      </w:pPr>
      <w:r w:rsidRPr="00E764BB">
        <w:rPr>
          <w:rStyle w:val="ac"/>
          <w:rFonts w:eastAsiaTheme="majorEastAsia"/>
          <w:sz w:val="24"/>
          <w:szCs w:val="24"/>
        </w:rPr>
        <w:t>Стойкое и длительное повышение АД обусловлено изменением соотношения трех гемодинамических показателей:</w:t>
      </w:r>
    </w:p>
    <w:p w14:paraId="4B988557" w14:textId="77777777" w:rsidR="001B274E" w:rsidRPr="00E764BB" w:rsidRDefault="001B274E">
      <w:pPr>
        <w:pStyle w:val="11"/>
        <w:numPr>
          <w:ilvl w:val="0"/>
          <w:numId w:val="1"/>
        </w:numPr>
        <w:tabs>
          <w:tab w:val="left" w:pos="1269"/>
        </w:tabs>
        <w:ind w:firstLine="709"/>
        <w:jc w:val="both"/>
        <w:rPr>
          <w:sz w:val="24"/>
          <w:szCs w:val="24"/>
        </w:rPr>
      </w:pPr>
      <w:r w:rsidRPr="00E764BB">
        <w:rPr>
          <w:rStyle w:val="ac"/>
          <w:rFonts w:eastAsiaTheme="majorEastAsia"/>
          <w:sz w:val="24"/>
          <w:szCs w:val="24"/>
        </w:rPr>
        <w:t>повышением общего периферического сосудистого сопротивления (ОПСС);</w:t>
      </w:r>
    </w:p>
    <w:p w14:paraId="354040F5" w14:textId="77777777" w:rsidR="001B274E" w:rsidRPr="00E764BB" w:rsidRDefault="001B274E">
      <w:pPr>
        <w:pStyle w:val="11"/>
        <w:numPr>
          <w:ilvl w:val="0"/>
          <w:numId w:val="1"/>
        </w:numPr>
        <w:tabs>
          <w:tab w:val="left" w:pos="1269"/>
        </w:tabs>
        <w:ind w:firstLine="709"/>
        <w:jc w:val="both"/>
        <w:rPr>
          <w:sz w:val="24"/>
          <w:szCs w:val="24"/>
        </w:rPr>
      </w:pPr>
      <w:r w:rsidRPr="00E764BB">
        <w:rPr>
          <w:rStyle w:val="ac"/>
          <w:rFonts w:eastAsiaTheme="majorEastAsia"/>
          <w:sz w:val="24"/>
          <w:szCs w:val="24"/>
        </w:rPr>
        <w:t xml:space="preserve">увеличением сердечного выброса (минутного </w:t>
      </w:r>
      <w:r w:rsidR="00655BA9" w:rsidRPr="00E764BB">
        <w:rPr>
          <w:rStyle w:val="ac"/>
          <w:rFonts w:eastAsiaTheme="majorEastAsia"/>
          <w:sz w:val="24"/>
          <w:szCs w:val="24"/>
        </w:rPr>
        <w:t>объёма</w:t>
      </w:r>
      <w:r w:rsidRPr="00E764BB">
        <w:rPr>
          <w:rStyle w:val="ac"/>
          <w:rFonts w:eastAsiaTheme="majorEastAsia"/>
          <w:sz w:val="24"/>
          <w:szCs w:val="24"/>
        </w:rPr>
        <w:t>);</w:t>
      </w:r>
    </w:p>
    <w:p w14:paraId="7D08D57C" w14:textId="77777777" w:rsidR="001B274E" w:rsidRPr="00E764BB" w:rsidRDefault="001B274E">
      <w:pPr>
        <w:pStyle w:val="11"/>
        <w:numPr>
          <w:ilvl w:val="0"/>
          <w:numId w:val="1"/>
        </w:numPr>
        <w:tabs>
          <w:tab w:val="left" w:pos="1269"/>
        </w:tabs>
        <w:ind w:firstLine="709"/>
        <w:jc w:val="both"/>
        <w:rPr>
          <w:sz w:val="24"/>
          <w:szCs w:val="24"/>
        </w:rPr>
      </w:pPr>
      <w:r w:rsidRPr="00E764BB">
        <w:rPr>
          <w:rStyle w:val="ac"/>
          <w:rFonts w:eastAsiaTheme="majorEastAsia"/>
          <w:sz w:val="24"/>
          <w:szCs w:val="24"/>
        </w:rPr>
        <w:lastRenderedPageBreak/>
        <w:t xml:space="preserve">увеличением </w:t>
      </w:r>
      <w:r w:rsidR="00237EB0" w:rsidRPr="00E764BB">
        <w:rPr>
          <w:rStyle w:val="ac"/>
          <w:rFonts w:eastAsiaTheme="majorEastAsia"/>
          <w:sz w:val="24"/>
          <w:szCs w:val="24"/>
        </w:rPr>
        <w:t>объёма</w:t>
      </w:r>
      <w:r w:rsidRPr="00E764BB">
        <w:rPr>
          <w:rStyle w:val="ac"/>
          <w:rFonts w:eastAsiaTheme="majorEastAsia"/>
          <w:sz w:val="24"/>
          <w:szCs w:val="24"/>
        </w:rPr>
        <w:t xml:space="preserve"> циркулирующей крови (ОЦК).</w:t>
      </w:r>
    </w:p>
    <w:p w14:paraId="56F2F81F" w14:textId="77777777" w:rsidR="001B274E" w:rsidRPr="00E764BB" w:rsidRDefault="001B274E" w:rsidP="00E764BB">
      <w:pPr>
        <w:pStyle w:val="11"/>
        <w:ind w:firstLine="709"/>
        <w:jc w:val="both"/>
        <w:rPr>
          <w:sz w:val="24"/>
          <w:szCs w:val="24"/>
        </w:rPr>
      </w:pPr>
      <w:r w:rsidRPr="00E764BB">
        <w:rPr>
          <w:rStyle w:val="ac"/>
          <w:rFonts w:eastAsiaTheme="majorEastAsia"/>
          <w:sz w:val="24"/>
          <w:szCs w:val="24"/>
        </w:rPr>
        <w:t>Наиболее важными патогенетическими звеньями формирования и прогрессирования АГ являются [17, 18, 19, 20]:</w:t>
      </w:r>
    </w:p>
    <w:p w14:paraId="4225A3B0" w14:textId="77777777" w:rsidR="001B274E" w:rsidRPr="00E764BB" w:rsidRDefault="001B274E">
      <w:pPr>
        <w:pStyle w:val="11"/>
        <w:numPr>
          <w:ilvl w:val="0"/>
          <w:numId w:val="1"/>
        </w:numPr>
        <w:tabs>
          <w:tab w:val="left" w:pos="1269"/>
        </w:tabs>
        <w:ind w:firstLine="709"/>
        <w:jc w:val="both"/>
        <w:rPr>
          <w:sz w:val="24"/>
          <w:szCs w:val="24"/>
        </w:rPr>
      </w:pPr>
      <w:r w:rsidRPr="00E764BB">
        <w:rPr>
          <w:rStyle w:val="ac"/>
          <w:rFonts w:eastAsiaTheme="majorEastAsia"/>
          <w:sz w:val="24"/>
          <w:szCs w:val="24"/>
        </w:rPr>
        <w:t>активация симпатоадреналовой системы (САС) (реализуется преимущественно</w:t>
      </w:r>
    </w:p>
    <w:p w14:paraId="39057C64" w14:textId="77777777" w:rsidR="001B274E" w:rsidRPr="00E764BB" w:rsidRDefault="001B274E" w:rsidP="00E764BB">
      <w:pPr>
        <w:pStyle w:val="11"/>
        <w:ind w:firstLine="709"/>
        <w:jc w:val="both"/>
        <w:rPr>
          <w:sz w:val="24"/>
          <w:szCs w:val="24"/>
        </w:rPr>
      </w:pPr>
      <w:r w:rsidRPr="00E764BB">
        <w:rPr>
          <w:rStyle w:val="ac"/>
          <w:rFonts w:eastAsiaTheme="majorEastAsia"/>
          <w:sz w:val="24"/>
          <w:szCs w:val="24"/>
        </w:rPr>
        <w:t>через альфа- и бета-адренорецепторы);</w:t>
      </w:r>
    </w:p>
    <w:p w14:paraId="2281DFEC" w14:textId="77777777" w:rsidR="001B274E" w:rsidRPr="00237EB0" w:rsidRDefault="001B274E">
      <w:pPr>
        <w:pStyle w:val="11"/>
        <w:numPr>
          <w:ilvl w:val="0"/>
          <w:numId w:val="1"/>
        </w:numPr>
        <w:tabs>
          <w:tab w:val="left" w:pos="1269"/>
        </w:tabs>
        <w:ind w:firstLine="709"/>
        <w:jc w:val="both"/>
        <w:rPr>
          <w:sz w:val="24"/>
          <w:szCs w:val="24"/>
        </w:rPr>
      </w:pPr>
      <w:r w:rsidRPr="00E764BB">
        <w:rPr>
          <w:rStyle w:val="ac"/>
          <w:rFonts w:eastAsiaTheme="majorEastAsia"/>
          <w:sz w:val="24"/>
          <w:szCs w:val="24"/>
        </w:rPr>
        <w:t>активация ренин-ангиотензин-альдостероновой системы (РААС); в т.ч. повышение</w:t>
      </w:r>
      <w:r w:rsidR="00237EB0">
        <w:rPr>
          <w:sz w:val="24"/>
          <w:szCs w:val="24"/>
        </w:rPr>
        <w:t xml:space="preserve"> </w:t>
      </w:r>
      <w:r w:rsidRPr="00237EB0">
        <w:rPr>
          <w:rStyle w:val="ac"/>
          <w:rFonts w:eastAsiaTheme="majorEastAsia"/>
          <w:sz w:val="24"/>
          <w:szCs w:val="24"/>
        </w:rPr>
        <w:t>продукции минералокортикоидов (альдостерона и др.), инициируемое, в частности, гиперактивацией почечной РААС;</w:t>
      </w:r>
    </w:p>
    <w:p w14:paraId="6B78212C" w14:textId="77777777" w:rsidR="001B274E" w:rsidRPr="00E764BB" w:rsidRDefault="001B274E">
      <w:pPr>
        <w:pStyle w:val="11"/>
        <w:numPr>
          <w:ilvl w:val="0"/>
          <w:numId w:val="1"/>
        </w:numPr>
        <w:tabs>
          <w:tab w:val="left" w:pos="1269"/>
        </w:tabs>
        <w:ind w:firstLine="709"/>
        <w:jc w:val="both"/>
        <w:rPr>
          <w:sz w:val="24"/>
          <w:szCs w:val="24"/>
        </w:rPr>
      </w:pPr>
      <w:r w:rsidRPr="00E764BB">
        <w:rPr>
          <w:rStyle w:val="ac"/>
          <w:rFonts w:eastAsiaTheme="majorEastAsia"/>
          <w:sz w:val="24"/>
          <w:szCs w:val="24"/>
        </w:rPr>
        <w:t xml:space="preserve">нарушение мембранного транспорта катионов </w:t>
      </w:r>
      <w:r w:rsidRPr="00E764BB">
        <w:rPr>
          <w:rStyle w:val="ac"/>
          <w:rFonts w:eastAsiaTheme="majorEastAsia"/>
          <w:smallCaps/>
          <w:sz w:val="24"/>
          <w:szCs w:val="24"/>
        </w:rPr>
        <w:t>(</w:t>
      </w:r>
      <w:r w:rsidRPr="00E764BB">
        <w:rPr>
          <w:rStyle w:val="ac"/>
          <w:rFonts w:eastAsiaTheme="majorEastAsia"/>
          <w:smallCaps/>
          <w:sz w:val="24"/>
          <w:szCs w:val="24"/>
          <w:lang w:val="en-US"/>
        </w:rPr>
        <w:t>Nh</w:t>
      </w:r>
      <w:r w:rsidRPr="00E764BB">
        <w:rPr>
          <w:rStyle w:val="ac"/>
          <w:rFonts w:eastAsiaTheme="majorEastAsia"/>
          <w:smallCaps/>
          <w:sz w:val="24"/>
          <w:szCs w:val="24"/>
          <w:vertAlign w:val="superscript"/>
        </w:rPr>
        <w:t>+</w:t>
      </w:r>
      <w:r w:rsidRPr="00E764BB">
        <w:rPr>
          <w:rStyle w:val="ac"/>
          <w:rFonts w:eastAsiaTheme="majorEastAsia"/>
          <w:smallCaps/>
          <w:sz w:val="24"/>
          <w:szCs w:val="24"/>
        </w:rPr>
        <w:t>,</w:t>
      </w:r>
      <w:r w:rsidRPr="00E764BB">
        <w:rPr>
          <w:rStyle w:val="ac"/>
          <w:rFonts w:eastAsiaTheme="majorEastAsia"/>
          <w:sz w:val="24"/>
          <w:szCs w:val="24"/>
        </w:rPr>
        <w:t xml:space="preserve"> Са</w:t>
      </w:r>
      <w:r w:rsidRPr="00E764BB">
        <w:rPr>
          <w:rStyle w:val="ac"/>
          <w:rFonts w:eastAsiaTheme="majorEastAsia"/>
          <w:sz w:val="24"/>
          <w:szCs w:val="24"/>
          <w:vertAlign w:val="superscript"/>
        </w:rPr>
        <w:t>2+</w:t>
      </w:r>
      <w:r w:rsidRPr="00E764BB">
        <w:rPr>
          <w:rStyle w:val="ac"/>
          <w:rFonts w:eastAsiaTheme="majorEastAsia"/>
          <w:sz w:val="24"/>
          <w:szCs w:val="24"/>
        </w:rPr>
        <w:t>, К</w:t>
      </w:r>
      <w:r w:rsidRPr="00E764BB">
        <w:rPr>
          <w:rStyle w:val="ac"/>
          <w:rFonts w:eastAsiaTheme="majorEastAsia"/>
          <w:sz w:val="24"/>
          <w:szCs w:val="24"/>
          <w:vertAlign w:val="superscript"/>
        </w:rPr>
        <w:t>+</w:t>
      </w:r>
      <w:r w:rsidRPr="00E764BB">
        <w:rPr>
          <w:rStyle w:val="ac"/>
          <w:rFonts w:eastAsiaTheme="majorEastAsia"/>
          <w:sz w:val="24"/>
          <w:szCs w:val="24"/>
        </w:rPr>
        <w:t>);</w:t>
      </w:r>
    </w:p>
    <w:p w14:paraId="7A9D76EA" w14:textId="77777777" w:rsidR="001B274E" w:rsidRPr="00E764BB" w:rsidRDefault="001B274E">
      <w:pPr>
        <w:pStyle w:val="11"/>
        <w:numPr>
          <w:ilvl w:val="0"/>
          <w:numId w:val="1"/>
        </w:numPr>
        <w:tabs>
          <w:tab w:val="left" w:pos="1269"/>
        </w:tabs>
        <w:ind w:firstLine="709"/>
        <w:jc w:val="both"/>
        <w:rPr>
          <w:sz w:val="24"/>
          <w:szCs w:val="24"/>
        </w:rPr>
      </w:pPr>
      <w:r w:rsidRPr="00E764BB">
        <w:rPr>
          <w:rStyle w:val="ac"/>
          <w:rFonts w:eastAsiaTheme="majorEastAsia"/>
          <w:sz w:val="24"/>
          <w:szCs w:val="24"/>
        </w:rPr>
        <w:t>увеличение реабсорбции натрия в почках;</w:t>
      </w:r>
    </w:p>
    <w:p w14:paraId="05E7D870" w14:textId="77777777" w:rsidR="001B274E" w:rsidRPr="00E764BB" w:rsidRDefault="001B274E">
      <w:pPr>
        <w:pStyle w:val="11"/>
        <w:numPr>
          <w:ilvl w:val="0"/>
          <w:numId w:val="1"/>
        </w:numPr>
        <w:tabs>
          <w:tab w:val="left" w:pos="1278"/>
        </w:tabs>
        <w:ind w:firstLine="709"/>
        <w:jc w:val="both"/>
        <w:rPr>
          <w:sz w:val="24"/>
          <w:szCs w:val="24"/>
        </w:rPr>
      </w:pPr>
      <w:r w:rsidRPr="00E764BB">
        <w:rPr>
          <w:rStyle w:val="ac"/>
          <w:rFonts w:eastAsiaTheme="majorEastAsia"/>
          <w:sz w:val="24"/>
          <w:szCs w:val="24"/>
        </w:rPr>
        <w:t>дисфункция эндотелия с преобладанием продукции вазоконстрикторных</w:t>
      </w:r>
    </w:p>
    <w:p w14:paraId="2A66E3AE" w14:textId="77777777" w:rsidR="001B274E" w:rsidRPr="00E764BB" w:rsidRDefault="001B274E" w:rsidP="00E764BB">
      <w:pPr>
        <w:pStyle w:val="11"/>
        <w:ind w:firstLine="709"/>
        <w:jc w:val="both"/>
        <w:rPr>
          <w:sz w:val="24"/>
          <w:szCs w:val="24"/>
        </w:rPr>
      </w:pPr>
      <w:r w:rsidRPr="00E764BB">
        <w:rPr>
          <w:rStyle w:val="ac"/>
          <w:rFonts w:eastAsiaTheme="majorEastAsia"/>
          <w:sz w:val="24"/>
          <w:szCs w:val="24"/>
        </w:rPr>
        <w:t>субстанций (тканевого ангиотензина-</w:t>
      </w:r>
      <w:r w:rsidRPr="00E764BB">
        <w:rPr>
          <w:rStyle w:val="ac"/>
          <w:rFonts w:eastAsiaTheme="majorEastAsia"/>
          <w:sz w:val="24"/>
          <w:szCs w:val="24"/>
          <w:lang w:val="en-US"/>
        </w:rPr>
        <w:t>II</w:t>
      </w:r>
      <w:r w:rsidRPr="00E764BB">
        <w:rPr>
          <w:rStyle w:val="ac"/>
          <w:rFonts w:eastAsiaTheme="majorEastAsia"/>
          <w:sz w:val="24"/>
          <w:szCs w:val="24"/>
        </w:rPr>
        <w:t xml:space="preserve">, эндотелина) и снижением выработки депрессорных соединений (брадикинина, </w:t>
      </w:r>
      <w:r w:rsidRPr="00E764BB">
        <w:rPr>
          <w:rStyle w:val="ac"/>
          <w:rFonts w:eastAsiaTheme="majorEastAsia"/>
          <w:smallCaps/>
          <w:sz w:val="24"/>
          <w:szCs w:val="24"/>
          <w:lang w:val="en-US"/>
        </w:rPr>
        <w:t>No</w:t>
      </w:r>
      <w:r w:rsidRPr="00E764BB">
        <w:rPr>
          <w:rStyle w:val="ac"/>
          <w:rFonts w:eastAsiaTheme="majorEastAsia"/>
          <w:smallCaps/>
          <w:sz w:val="24"/>
          <w:szCs w:val="24"/>
        </w:rPr>
        <w:t>,</w:t>
      </w:r>
      <w:r w:rsidRPr="00E764BB">
        <w:rPr>
          <w:rStyle w:val="ac"/>
          <w:rFonts w:eastAsiaTheme="majorEastAsia"/>
          <w:sz w:val="24"/>
          <w:szCs w:val="24"/>
        </w:rPr>
        <w:t xml:space="preserve"> простациклина и др.);</w:t>
      </w:r>
    </w:p>
    <w:p w14:paraId="48395D62" w14:textId="77777777" w:rsidR="001B274E" w:rsidRPr="00237EB0" w:rsidRDefault="001B274E">
      <w:pPr>
        <w:pStyle w:val="11"/>
        <w:numPr>
          <w:ilvl w:val="0"/>
          <w:numId w:val="1"/>
        </w:numPr>
        <w:tabs>
          <w:tab w:val="left" w:pos="1278"/>
        </w:tabs>
        <w:ind w:firstLine="709"/>
        <w:jc w:val="both"/>
        <w:rPr>
          <w:sz w:val="24"/>
          <w:szCs w:val="24"/>
        </w:rPr>
      </w:pPr>
      <w:r w:rsidRPr="00E764BB">
        <w:rPr>
          <w:rStyle w:val="ac"/>
          <w:rFonts w:eastAsiaTheme="majorEastAsia"/>
          <w:sz w:val="24"/>
          <w:szCs w:val="24"/>
        </w:rPr>
        <w:t>структурные изменения сосудистой стенки артерий мышечного (резистивного) и</w:t>
      </w:r>
      <w:r w:rsidR="00237EB0">
        <w:rPr>
          <w:sz w:val="24"/>
          <w:szCs w:val="24"/>
        </w:rPr>
        <w:t xml:space="preserve"> </w:t>
      </w:r>
      <w:r w:rsidRPr="00237EB0">
        <w:rPr>
          <w:rStyle w:val="ac"/>
          <w:rFonts w:eastAsiaTheme="majorEastAsia"/>
          <w:sz w:val="24"/>
          <w:szCs w:val="24"/>
        </w:rPr>
        <w:t>эластического типа, в том числе вследствие низкоинтенсивного неинфекционного воспаления;</w:t>
      </w:r>
    </w:p>
    <w:p w14:paraId="5BC043E7" w14:textId="77777777" w:rsidR="001B274E" w:rsidRPr="00E764BB" w:rsidRDefault="001B274E">
      <w:pPr>
        <w:pStyle w:val="11"/>
        <w:numPr>
          <w:ilvl w:val="0"/>
          <w:numId w:val="1"/>
        </w:numPr>
        <w:tabs>
          <w:tab w:val="left" w:pos="1278"/>
        </w:tabs>
        <w:ind w:firstLine="709"/>
        <w:jc w:val="both"/>
        <w:rPr>
          <w:sz w:val="24"/>
          <w:szCs w:val="24"/>
        </w:rPr>
      </w:pPr>
      <w:r w:rsidRPr="00E764BB">
        <w:rPr>
          <w:rStyle w:val="ac"/>
          <w:rFonts w:eastAsiaTheme="majorEastAsia"/>
          <w:sz w:val="24"/>
          <w:szCs w:val="24"/>
        </w:rPr>
        <w:t>нарушение микроциркуляции (снижение плотности капилляров);</w:t>
      </w:r>
    </w:p>
    <w:p w14:paraId="79F9E3CF" w14:textId="77777777" w:rsidR="001B274E" w:rsidRPr="00E764BB" w:rsidRDefault="001B274E">
      <w:pPr>
        <w:pStyle w:val="11"/>
        <w:numPr>
          <w:ilvl w:val="0"/>
          <w:numId w:val="1"/>
        </w:numPr>
        <w:tabs>
          <w:tab w:val="left" w:pos="1278"/>
        </w:tabs>
        <w:ind w:firstLine="709"/>
        <w:jc w:val="both"/>
        <w:rPr>
          <w:sz w:val="24"/>
          <w:szCs w:val="24"/>
        </w:rPr>
      </w:pPr>
      <w:r w:rsidRPr="00E764BB">
        <w:rPr>
          <w:rStyle w:val="ac"/>
          <w:rFonts w:eastAsiaTheme="majorEastAsia"/>
          <w:sz w:val="24"/>
          <w:szCs w:val="24"/>
        </w:rPr>
        <w:t>нарушение барорецепторного звена системы центральной регуляции уровня</w:t>
      </w:r>
      <w:r w:rsidR="000E259C">
        <w:rPr>
          <w:rStyle w:val="ac"/>
          <w:rFonts w:eastAsiaTheme="majorEastAsia"/>
          <w:sz w:val="24"/>
          <w:szCs w:val="24"/>
        </w:rPr>
        <w:t xml:space="preserve"> </w:t>
      </w:r>
      <w:r w:rsidRPr="00E764BB">
        <w:rPr>
          <w:rStyle w:val="ac"/>
          <w:rFonts w:eastAsiaTheme="majorEastAsia"/>
          <w:sz w:val="24"/>
          <w:szCs w:val="24"/>
        </w:rPr>
        <w:t>АД;</w:t>
      </w:r>
    </w:p>
    <w:p w14:paraId="02A575D0" w14:textId="77777777" w:rsidR="001B274E" w:rsidRPr="00E764BB" w:rsidRDefault="001B274E">
      <w:pPr>
        <w:pStyle w:val="11"/>
        <w:numPr>
          <w:ilvl w:val="0"/>
          <w:numId w:val="1"/>
        </w:numPr>
        <w:tabs>
          <w:tab w:val="left" w:pos="1278"/>
        </w:tabs>
        <w:ind w:firstLine="709"/>
        <w:jc w:val="both"/>
        <w:rPr>
          <w:sz w:val="24"/>
          <w:szCs w:val="24"/>
        </w:rPr>
      </w:pPr>
      <w:r w:rsidRPr="00E764BB">
        <w:rPr>
          <w:rStyle w:val="ac"/>
          <w:rFonts w:eastAsiaTheme="majorEastAsia"/>
          <w:sz w:val="24"/>
          <w:szCs w:val="24"/>
        </w:rPr>
        <w:t>повышение жесткости крупных сосудов;</w:t>
      </w:r>
    </w:p>
    <w:p w14:paraId="20A5588C" w14:textId="77777777" w:rsidR="00D43B3E" w:rsidRDefault="001B274E" w:rsidP="00D43B3E">
      <w:pPr>
        <w:pStyle w:val="11"/>
        <w:ind w:firstLine="709"/>
        <w:jc w:val="both"/>
        <w:rPr>
          <w:sz w:val="24"/>
          <w:szCs w:val="24"/>
        </w:rPr>
      </w:pPr>
      <w:r w:rsidRPr="00E764BB">
        <w:rPr>
          <w:rStyle w:val="ac"/>
          <w:rFonts w:eastAsiaTheme="majorEastAsia"/>
          <w:sz w:val="24"/>
          <w:szCs w:val="24"/>
        </w:rPr>
        <w:t>Механизмы регуляции АД и патофизиология АГ суммированы в приложении П23/</w:t>
      </w:r>
      <w:r w:rsidR="00FB33EA">
        <w:rPr>
          <w:rStyle w:val="ac"/>
          <w:rFonts w:eastAsiaTheme="majorEastAsia"/>
          <w:sz w:val="24"/>
          <w:szCs w:val="24"/>
        </w:rPr>
        <w:t>А2</w:t>
      </w:r>
      <w:r w:rsidRPr="00E764BB">
        <w:rPr>
          <w:rStyle w:val="ac"/>
          <w:rFonts w:eastAsiaTheme="majorEastAsia"/>
          <w:sz w:val="24"/>
          <w:szCs w:val="24"/>
        </w:rPr>
        <w:t>. Подтверждена и расширена мозаичная теория патогенеза первичной гипертензии как многофакторного фенотипа, сформулированная И. Пейджем [21] более 70 лет назад. К исходной теории современные исследования добавили не только новые механизмы, но и убедительные доказательства существования взаимного влияния различных систем регуляции АД. На практическом уровне это подразумевает, что диагностические попытки определить единственный механизм, ответственный за первичную гипертензию, часто могут быть не только методологически сложными, но и тщетными. Это также объясняет, почему повышенное АД можно снизить с помощью препаратов с разными механизмами действия, а также почему комбинация препаратов с разными механизмами снижает АД намного эффективнее, чем монотерапия.</w:t>
      </w:r>
      <w:bookmarkStart w:id="12" w:name="bookmark5"/>
    </w:p>
    <w:p w14:paraId="0242BE3E" w14:textId="77777777" w:rsidR="001B274E" w:rsidRPr="00D43B3E" w:rsidRDefault="00D43B3E" w:rsidP="0008732C">
      <w:pPr>
        <w:pStyle w:val="11"/>
        <w:ind w:firstLine="0"/>
        <w:jc w:val="both"/>
        <w:outlineLvl w:val="1"/>
        <w:rPr>
          <w:b/>
          <w:bCs/>
          <w:sz w:val="24"/>
          <w:szCs w:val="24"/>
          <w:u w:val="single"/>
        </w:rPr>
      </w:pPr>
      <w:bookmarkStart w:id="13" w:name="_Toc202877430"/>
      <w:bookmarkStart w:id="14" w:name="_Hlk206159045"/>
      <w:r w:rsidRPr="00D43B3E">
        <w:rPr>
          <w:b/>
          <w:bCs/>
          <w:sz w:val="24"/>
          <w:szCs w:val="24"/>
          <w:u w:val="single"/>
        </w:rPr>
        <w:t xml:space="preserve">1.3 </w:t>
      </w:r>
      <w:r w:rsidR="001B274E" w:rsidRPr="00D43B3E">
        <w:rPr>
          <w:rStyle w:val="ac"/>
          <w:rFonts w:eastAsiaTheme="majorEastAsia"/>
          <w:b/>
          <w:bCs/>
          <w:sz w:val="24"/>
          <w:szCs w:val="24"/>
          <w:u w:val="single"/>
        </w:rPr>
        <w:t>Эпидемиология</w:t>
      </w:r>
      <w:bookmarkEnd w:id="13"/>
      <w:r w:rsidR="001B274E" w:rsidRPr="00D43B3E">
        <w:rPr>
          <w:rStyle w:val="ac"/>
          <w:rFonts w:eastAsiaTheme="majorEastAsia"/>
          <w:b/>
          <w:bCs/>
          <w:sz w:val="24"/>
          <w:szCs w:val="24"/>
          <w:u w:val="single"/>
        </w:rPr>
        <w:t xml:space="preserve"> </w:t>
      </w:r>
      <w:bookmarkEnd w:id="12"/>
    </w:p>
    <w:bookmarkEnd w:id="14"/>
    <w:p w14:paraId="558910A9" w14:textId="2FFA210C" w:rsidR="001B274E" w:rsidRPr="00E764BB" w:rsidRDefault="00D43B3E" w:rsidP="00D43B3E">
      <w:pPr>
        <w:pStyle w:val="11"/>
        <w:tabs>
          <w:tab w:val="left" w:pos="9509"/>
        </w:tabs>
        <w:ind w:firstLine="709"/>
        <w:jc w:val="both"/>
        <w:rPr>
          <w:sz w:val="24"/>
          <w:szCs w:val="24"/>
        </w:rPr>
      </w:pPr>
      <w:r w:rsidRPr="00E764BB">
        <w:rPr>
          <w:rStyle w:val="ac"/>
          <w:rFonts w:eastAsiaTheme="majorEastAsia"/>
          <w:sz w:val="24"/>
          <w:szCs w:val="24"/>
        </w:rPr>
        <w:t>Распространённость</w:t>
      </w:r>
      <w:r w:rsidR="001B274E" w:rsidRPr="00E764BB">
        <w:rPr>
          <w:rStyle w:val="ac"/>
          <w:rFonts w:eastAsiaTheme="majorEastAsia"/>
          <w:sz w:val="24"/>
          <w:szCs w:val="24"/>
        </w:rPr>
        <w:t xml:space="preserve"> АГ среди взрослого населения составляет 30-45%</w:t>
      </w:r>
      <w:r>
        <w:rPr>
          <w:rStyle w:val="ac"/>
          <w:rFonts w:eastAsiaTheme="majorEastAsia"/>
          <w:sz w:val="24"/>
          <w:szCs w:val="24"/>
        </w:rPr>
        <w:t xml:space="preserve"> </w:t>
      </w:r>
      <w:r w:rsidR="001B274E" w:rsidRPr="00E764BB">
        <w:rPr>
          <w:rStyle w:val="ac"/>
          <w:rFonts w:eastAsiaTheme="majorEastAsia"/>
          <w:sz w:val="24"/>
          <w:szCs w:val="24"/>
        </w:rPr>
        <w:t>[22].</w:t>
      </w:r>
      <w:r>
        <w:rPr>
          <w:rFonts w:eastAsiaTheme="majorEastAsia"/>
          <w:sz w:val="24"/>
          <w:szCs w:val="24"/>
        </w:rPr>
        <w:t xml:space="preserve"> </w:t>
      </w:r>
      <w:r w:rsidRPr="00E764BB">
        <w:rPr>
          <w:rStyle w:val="ac"/>
          <w:rFonts w:eastAsiaTheme="majorEastAsia"/>
          <w:sz w:val="24"/>
          <w:szCs w:val="24"/>
        </w:rPr>
        <w:t>Распространённость</w:t>
      </w:r>
      <w:r w:rsidR="001B274E" w:rsidRPr="00E764BB">
        <w:rPr>
          <w:rStyle w:val="ac"/>
          <w:rFonts w:eastAsiaTheme="majorEastAsia"/>
          <w:sz w:val="24"/>
          <w:szCs w:val="24"/>
        </w:rPr>
        <w:t xml:space="preserve"> АГ не зависит от уровня дохода и одинакова в странах с низким, средним и высоким уровнями дохода [22]. В</w:t>
      </w:r>
      <w:r w:rsidR="00D6027A">
        <w:rPr>
          <w:rStyle w:val="ac"/>
          <w:rFonts w:eastAsiaTheme="majorEastAsia"/>
          <w:sz w:val="24"/>
          <w:szCs w:val="24"/>
        </w:rPr>
        <w:t xml:space="preserve"> </w:t>
      </w:r>
      <w:r w:rsidR="001B274E" w:rsidRPr="00E764BB">
        <w:rPr>
          <w:rStyle w:val="ac"/>
          <w:rFonts w:eastAsiaTheme="majorEastAsia"/>
          <w:sz w:val="24"/>
          <w:szCs w:val="24"/>
        </w:rPr>
        <w:t xml:space="preserve">популяции среди мужчин в возрасте 25-65 лет </w:t>
      </w:r>
      <w:r w:rsidR="007D06ED" w:rsidRPr="00E764BB">
        <w:rPr>
          <w:rStyle w:val="ac"/>
          <w:rFonts w:eastAsiaTheme="majorEastAsia"/>
          <w:sz w:val="24"/>
          <w:szCs w:val="24"/>
        </w:rPr>
        <w:lastRenderedPageBreak/>
        <w:t>распространённость</w:t>
      </w:r>
      <w:r w:rsidR="001B274E" w:rsidRPr="00E764BB">
        <w:rPr>
          <w:rStyle w:val="ac"/>
          <w:rFonts w:eastAsiaTheme="majorEastAsia"/>
          <w:sz w:val="24"/>
          <w:szCs w:val="24"/>
        </w:rPr>
        <w:t xml:space="preserve"> АГ несколько выше (в некоторых регионах она достигает 47%), тогда как среди женщин </w:t>
      </w:r>
      <w:r w:rsidR="007D06ED" w:rsidRPr="00E764BB">
        <w:rPr>
          <w:rStyle w:val="ac"/>
          <w:rFonts w:eastAsiaTheme="majorEastAsia"/>
          <w:sz w:val="24"/>
          <w:szCs w:val="24"/>
        </w:rPr>
        <w:t>распространённость</w:t>
      </w:r>
      <w:r w:rsidR="001B274E" w:rsidRPr="00E764BB">
        <w:rPr>
          <w:rStyle w:val="ac"/>
          <w:rFonts w:eastAsiaTheme="majorEastAsia"/>
          <w:sz w:val="24"/>
          <w:szCs w:val="24"/>
        </w:rPr>
        <w:t xml:space="preserve"> АГ — около 40% [23]. </w:t>
      </w:r>
      <w:r w:rsidR="007D06ED" w:rsidRPr="00E764BB">
        <w:rPr>
          <w:rStyle w:val="ac"/>
          <w:rFonts w:eastAsiaTheme="majorEastAsia"/>
          <w:sz w:val="24"/>
          <w:szCs w:val="24"/>
        </w:rPr>
        <w:t>Распространённость</w:t>
      </w:r>
      <w:r w:rsidR="001B274E" w:rsidRPr="00E764BB">
        <w:rPr>
          <w:rStyle w:val="ac"/>
          <w:rFonts w:eastAsiaTheme="majorEastAsia"/>
          <w:sz w:val="24"/>
          <w:szCs w:val="24"/>
        </w:rPr>
        <w:t xml:space="preserve"> АГ увеличивается с возрастом, достигая 60% и выше у лиц старше 60 лет [22]. Поскольку наблюдаемое увеличение продолжительности жизни сопровождается постарением населения и, соответственно, увеличением количества малоподвижных пациентов с избыточной массой тела, прогнозируется, что </w:t>
      </w:r>
      <w:r w:rsidR="007D06ED" w:rsidRPr="00E764BB">
        <w:rPr>
          <w:rStyle w:val="ac"/>
          <w:rFonts w:eastAsiaTheme="majorEastAsia"/>
          <w:sz w:val="24"/>
          <w:szCs w:val="24"/>
        </w:rPr>
        <w:t>распространённость</w:t>
      </w:r>
      <w:r w:rsidR="001B274E" w:rsidRPr="00E764BB">
        <w:rPr>
          <w:rStyle w:val="ac"/>
          <w:rFonts w:eastAsiaTheme="majorEastAsia"/>
          <w:sz w:val="24"/>
          <w:szCs w:val="24"/>
        </w:rPr>
        <w:t xml:space="preserve"> АГ будет расти во всем мире. Согласно прогнозу, к 2025 году число пациентов АГ увеличится на 15-20% и достигнет почти 1,5 миллиардов [24].</w:t>
      </w:r>
    </w:p>
    <w:p w14:paraId="06510FD2" w14:textId="77777777" w:rsidR="007D06ED" w:rsidRPr="007D06ED" w:rsidRDefault="001B274E" w:rsidP="007D06ED">
      <w:pPr>
        <w:pStyle w:val="11"/>
        <w:ind w:firstLine="600"/>
        <w:jc w:val="both"/>
        <w:rPr>
          <w:sz w:val="24"/>
          <w:szCs w:val="24"/>
        </w:rPr>
      </w:pPr>
      <w:r w:rsidRPr="00E764BB">
        <w:rPr>
          <w:rStyle w:val="ac"/>
          <w:rFonts w:eastAsiaTheme="majorEastAsia"/>
          <w:sz w:val="24"/>
          <w:szCs w:val="24"/>
        </w:rPr>
        <w:t xml:space="preserve">По данным крупного исследования «Артериальная гипертония: мировые тенденции 1990 - 2019 год, </w:t>
      </w:r>
      <w:r w:rsidRPr="00E764BB">
        <w:rPr>
          <w:rStyle w:val="ac"/>
          <w:rFonts w:eastAsiaTheme="majorEastAsia"/>
          <w:sz w:val="24"/>
          <w:szCs w:val="24"/>
          <w:lang w:val="en-US"/>
        </w:rPr>
        <w:t>NCD</w:t>
      </w:r>
      <w:r w:rsidRPr="00E764BB">
        <w:rPr>
          <w:rStyle w:val="ac"/>
          <w:rFonts w:eastAsiaTheme="majorEastAsia"/>
          <w:sz w:val="24"/>
          <w:szCs w:val="24"/>
        </w:rPr>
        <w:t xml:space="preserve"> </w:t>
      </w:r>
      <w:r w:rsidRPr="00E764BB">
        <w:rPr>
          <w:rStyle w:val="ac"/>
          <w:rFonts w:eastAsiaTheme="majorEastAsia"/>
          <w:sz w:val="24"/>
          <w:szCs w:val="24"/>
          <w:lang w:val="en-US"/>
        </w:rPr>
        <w:t>Risk</w:t>
      </w:r>
      <w:r w:rsidRPr="00E764BB">
        <w:rPr>
          <w:rStyle w:val="ac"/>
          <w:rFonts w:eastAsiaTheme="majorEastAsia"/>
          <w:sz w:val="24"/>
          <w:szCs w:val="24"/>
        </w:rPr>
        <w:t xml:space="preserve"> </w:t>
      </w:r>
      <w:r w:rsidRPr="00E764BB">
        <w:rPr>
          <w:rStyle w:val="ac"/>
          <w:rFonts w:eastAsiaTheme="majorEastAsia"/>
          <w:sz w:val="24"/>
          <w:szCs w:val="24"/>
          <w:lang w:val="en-US"/>
        </w:rPr>
        <w:t>Factor</w:t>
      </w:r>
      <w:r w:rsidRPr="00E764BB">
        <w:rPr>
          <w:rStyle w:val="ac"/>
          <w:rFonts w:eastAsiaTheme="majorEastAsia"/>
          <w:sz w:val="24"/>
          <w:szCs w:val="24"/>
        </w:rPr>
        <w:t xml:space="preserve"> </w:t>
      </w:r>
      <w:r w:rsidRPr="00E764BB">
        <w:rPr>
          <w:rStyle w:val="ac"/>
          <w:rFonts w:eastAsiaTheme="majorEastAsia"/>
          <w:sz w:val="24"/>
          <w:szCs w:val="24"/>
          <w:lang w:val="en-US"/>
        </w:rPr>
        <w:t>Collaboration</w:t>
      </w:r>
      <w:r w:rsidRPr="00E764BB">
        <w:rPr>
          <w:rStyle w:val="ac"/>
          <w:rFonts w:eastAsiaTheme="majorEastAsia"/>
          <w:sz w:val="24"/>
          <w:szCs w:val="24"/>
        </w:rPr>
        <w:t>», целью которого была оценка распространённости,</w:t>
      </w:r>
      <w:r w:rsidR="007D06ED" w:rsidRPr="007D06ED">
        <w:rPr>
          <w:rStyle w:val="ac"/>
          <w:rFonts w:eastAsiaTheme="majorEastAsia"/>
        </w:rPr>
        <w:t xml:space="preserve"> </w:t>
      </w:r>
      <w:r w:rsidR="007D06ED" w:rsidRPr="007D06ED">
        <w:rPr>
          <w:rStyle w:val="ac"/>
          <w:rFonts w:eastAsiaTheme="majorEastAsia"/>
          <w:sz w:val="24"/>
          <w:szCs w:val="24"/>
        </w:rPr>
        <w:t>частоты выявления АГ, а также прогресса в ее лечении и контроле с 1990 по 2019 год для 200 стран и территорий показано, что несмотря на стабильную глобальную распространённость АГ в мире, число людей в возрасте 30-79 лет с АГ увеличилось в 2 раза с 331 (95% ДИ 306-359) миллиона женщин и 317 (95% ДИ 292-344) миллионов мужчин в 1990 году до 626 (95% ДИ 584</w:t>
      </w:r>
      <w:r w:rsidR="007D06ED" w:rsidRPr="007D06ED">
        <w:rPr>
          <w:rStyle w:val="ac"/>
          <w:rFonts w:eastAsiaTheme="majorEastAsia"/>
          <w:sz w:val="24"/>
          <w:szCs w:val="24"/>
        </w:rPr>
        <w:softHyphen/>
        <w:t>668) миллионов женщин и 652 (95% ДИ 604-698) миллионов мужчин. Распространённость АГ в России в 2019 году у лиц 30-79 лет составила 41,2% (95% ДИ 33,3-49,3) у женщин и 47,3% (95% ДИ 38,2-56,3) у мужчин. При этом была выявлена более низкая частота осведомлённости о наличии заболевания у мужчин - 67% (95% ДИ 56,1-77,1) против 80,9% (95% ДИ 71,7-88,4) у женщин, а также лечении АГ - 42,6% (95% ДИ 30,6-54,8%) против 57% (95% ДИ 42,7-69,9) у женщин и достижении контроля АГ у мужчин -14,1% (95%ДИ 6,6-24,5) против 21,4% (95% ДИ 10,6-35,2) [25].</w:t>
      </w:r>
    </w:p>
    <w:p w14:paraId="6ED8AF65" w14:textId="77777777" w:rsidR="007D06ED" w:rsidRPr="007D06ED" w:rsidRDefault="007D06ED" w:rsidP="007D06ED">
      <w:pPr>
        <w:pStyle w:val="11"/>
        <w:ind w:firstLine="600"/>
        <w:jc w:val="both"/>
        <w:rPr>
          <w:sz w:val="24"/>
          <w:szCs w:val="24"/>
        </w:rPr>
      </w:pPr>
      <w:r w:rsidRPr="007D06ED">
        <w:rPr>
          <w:rStyle w:val="ac"/>
          <w:rFonts w:eastAsiaTheme="majorEastAsia"/>
          <w:sz w:val="24"/>
          <w:szCs w:val="24"/>
        </w:rPr>
        <w:t>АГ является ведущим фактором риска развития сердечно-сосудистых (СС) (инфаркт миокарда, инсульт, ишемическая болезнь сердца (ИБС), хроническая сердечная недостаточность), цереброваскулярных (ишемический или геморрагический инсульт, транзиторная ишемическая атака) и почечных (хроническая болезнь почек (ХБП)) заболеваний [26, 27].</w:t>
      </w:r>
    </w:p>
    <w:p w14:paraId="09CDBA2B" w14:textId="77777777" w:rsidR="007D06ED" w:rsidRPr="007D06ED" w:rsidRDefault="007D06ED" w:rsidP="007D06ED">
      <w:pPr>
        <w:pStyle w:val="11"/>
        <w:ind w:firstLine="600"/>
        <w:jc w:val="center"/>
        <w:rPr>
          <w:sz w:val="24"/>
          <w:szCs w:val="24"/>
        </w:rPr>
      </w:pPr>
      <w:r w:rsidRPr="007D06ED">
        <w:rPr>
          <w:rStyle w:val="ac"/>
          <w:rFonts w:eastAsiaTheme="majorEastAsia"/>
          <w:b/>
          <w:bCs/>
          <w:sz w:val="24"/>
          <w:szCs w:val="24"/>
        </w:rPr>
        <w:t>Взаимосвязь артериального давления с риском развития сердечно-сосудистых, цереброваскулярных и почечных осложнений</w:t>
      </w:r>
    </w:p>
    <w:p w14:paraId="346BBC7E" w14:textId="77777777" w:rsidR="007D06ED" w:rsidRPr="007D06ED" w:rsidRDefault="007D06ED" w:rsidP="007D06ED">
      <w:pPr>
        <w:pStyle w:val="11"/>
        <w:ind w:firstLine="600"/>
        <w:jc w:val="both"/>
        <w:rPr>
          <w:sz w:val="24"/>
          <w:szCs w:val="24"/>
        </w:rPr>
      </w:pPr>
      <w:r w:rsidRPr="007D06ED">
        <w:rPr>
          <w:rStyle w:val="ac"/>
          <w:rFonts w:eastAsiaTheme="majorEastAsia"/>
          <w:sz w:val="24"/>
          <w:szCs w:val="24"/>
        </w:rPr>
        <w:t xml:space="preserve">Повышенное АД является основным фактором развития преждевременной смерти и причиной почти 10 миллионов смертей и более чем 200 миллионов случаев инвалидности в мире [26, 27]. Уровень САД &gt;140 мм рт. ст. ассоциируется с повышением риска смертности и инвалидности в 70% случаев, при этом наибольшее число смертей в течение года, связанных с уровнем САД, возникают вследствие ИБС, ишемических и геморрагических инсультов [27]. Между уровнем АД и риском сердечно-сосудистых заболеваний (ССЗ) </w:t>
      </w:r>
      <w:r w:rsidRPr="007D06ED">
        <w:rPr>
          <w:rStyle w:val="ac"/>
          <w:rFonts w:eastAsiaTheme="majorEastAsia"/>
          <w:sz w:val="24"/>
          <w:szCs w:val="24"/>
        </w:rPr>
        <w:lastRenderedPageBreak/>
        <w:t>существует прямая связь. Эта связь начинается с относительно низких значений — 110-115 мм рт. ст. для САД и 70-75 мм рт. ст. для ДАД [27].</w:t>
      </w:r>
    </w:p>
    <w:p w14:paraId="242B0272" w14:textId="77777777" w:rsidR="00A82265" w:rsidRPr="007D06ED" w:rsidRDefault="007D06ED" w:rsidP="00A82265">
      <w:pPr>
        <w:pStyle w:val="11"/>
        <w:ind w:firstLine="0"/>
        <w:jc w:val="both"/>
        <w:rPr>
          <w:sz w:val="24"/>
          <w:szCs w:val="24"/>
        </w:rPr>
      </w:pPr>
      <w:r w:rsidRPr="007D06ED">
        <w:rPr>
          <w:rStyle w:val="ac"/>
          <w:rFonts w:eastAsiaTheme="majorEastAsia"/>
          <w:sz w:val="24"/>
          <w:szCs w:val="24"/>
        </w:rPr>
        <w:t xml:space="preserve">Повышенные уровни АД, измеренные в медицинском учреждении или вне его, имеют прямую и независимую связь с частотой развития большинства СС событий (геморрагического инсульта, ишемического инсульта, инфаркта миокарда, внезапной смерти, сердечной недостаточности и заболеваний периферических артерий), а также терминальной почечной недостаточности [28]. Все больше данных свидетельствуют о тесной связи АГ с увеличением частоты развития фибрилляции предсердий [29], а также когнитивной дисфункции и деменции. Повышение АД в среднем возрасте ассоциируется с развитием когнитивных нарушений и </w:t>
      </w:r>
      <w:r w:rsidR="00A82265" w:rsidRPr="007D06ED">
        <w:rPr>
          <w:rStyle w:val="ac"/>
          <w:rFonts w:eastAsiaTheme="majorEastAsia"/>
          <w:sz w:val="24"/>
          <w:szCs w:val="24"/>
        </w:rPr>
        <w:t>деменции в пожилом возрасте, а интенсивная терапия артериальной гипертензии с достижением целевых цифр АД уменьшает риски развития умеренных когнитивных нарушений и возможной деменции [30, 31].</w:t>
      </w:r>
    </w:p>
    <w:p w14:paraId="0664E5B1" w14:textId="77777777" w:rsidR="001B274E" w:rsidRDefault="007D06ED" w:rsidP="006B0ADE">
      <w:pPr>
        <w:pStyle w:val="11"/>
        <w:ind w:firstLine="600"/>
        <w:jc w:val="both"/>
        <w:rPr>
          <w:sz w:val="24"/>
          <w:szCs w:val="24"/>
        </w:rPr>
      </w:pPr>
      <w:r w:rsidRPr="007D06ED">
        <w:rPr>
          <w:rStyle w:val="ac"/>
          <w:rFonts w:eastAsiaTheme="majorEastAsia"/>
          <w:sz w:val="24"/>
          <w:szCs w:val="24"/>
        </w:rPr>
        <w:t xml:space="preserve">Прямая связь между повышенным уровнем АД и риском СС событий продемонстрирована для всех возрастных [32] и этнических групп [33]. У пациентов старше 50 лет САД является более сильным предиктором событий, чем ДАД [32, 34]. Высокое ДАД ассоциируется с увеличением риска СС событий и чаще является повышенным у более молодых (&lt;50 лет) пациентов. ДАД имеет тенденцию к понижению во второй половине жизни вследствие увеличения артериальной </w:t>
      </w:r>
      <w:r w:rsidR="00A82265" w:rsidRPr="007D06ED">
        <w:rPr>
          <w:rStyle w:val="ac"/>
          <w:rFonts w:eastAsiaTheme="majorEastAsia"/>
          <w:sz w:val="24"/>
          <w:szCs w:val="24"/>
        </w:rPr>
        <w:t>жёсткости</w:t>
      </w:r>
      <w:r w:rsidRPr="007D06ED">
        <w:rPr>
          <w:rStyle w:val="ac"/>
          <w:rFonts w:eastAsiaTheme="majorEastAsia"/>
          <w:sz w:val="24"/>
          <w:szCs w:val="24"/>
        </w:rPr>
        <w:t xml:space="preserve">, тогда как САД, как фактор риска, приобретает в этот период </w:t>
      </w:r>
      <w:r w:rsidR="00A82265" w:rsidRPr="007D06ED">
        <w:rPr>
          <w:rStyle w:val="ac"/>
          <w:rFonts w:eastAsiaTheme="majorEastAsia"/>
          <w:sz w:val="24"/>
          <w:szCs w:val="24"/>
        </w:rPr>
        <w:t>ещё</w:t>
      </w:r>
      <w:r w:rsidRPr="007D06ED">
        <w:rPr>
          <w:rStyle w:val="ac"/>
          <w:rFonts w:eastAsiaTheme="majorEastAsia"/>
          <w:sz w:val="24"/>
          <w:szCs w:val="24"/>
        </w:rPr>
        <w:t xml:space="preserve"> большее значение [26, 34]. У пациентов среднего возраста и пожилых повышение пульсового давления (ПД) (которое представляет собой разницу между САД и ДАД) оказывает дополнительное негативное влияние на прогноз [26, 34, 35].</w:t>
      </w:r>
    </w:p>
    <w:p w14:paraId="67CC6BAC" w14:textId="77777777" w:rsidR="006B0ADE" w:rsidRDefault="006B0ADE" w:rsidP="00424F51">
      <w:pPr>
        <w:pStyle w:val="11"/>
        <w:numPr>
          <w:ilvl w:val="1"/>
          <w:numId w:val="44"/>
        </w:numPr>
        <w:outlineLvl w:val="1"/>
        <w:rPr>
          <w:rStyle w:val="ac"/>
          <w:rFonts w:eastAsiaTheme="majorEastAsia"/>
        </w:rPr>
      </w:pPr>
      <w:bookmarkStart w:id="15" w:name="_Toc202877431"/>
      <w:r w:rsidRPr="006B0ADE">
        <w:rPr>
          <w:b/>
          <w:bCs/>
          <w:sz w:val="24"/>
          <w:szCs w:val="24"/>
          <w:u w:val="single"/>
        </w:rPr>
        <w:t>Кодирование по МКБ</w:t>
      </w:r>
      <w:r w:rsidRPr="006B0ADE">
        <w:rPr>
          <w:b/>
          <w:bCs/>
          <w:spacing w:val="-4"/>
          <w:sz w:val="24"/>
          <w:szCs w:val="24"/>
          <w:u w:val="single"/>
        </w:rPr>
        <w:t xml:space="preserve"> </w:t>
      </w:r>
      <w:r w:rsidRPr="006B0ADE">
        <w:rPr>
          <w:b/>
          <w:bCs/>
          <w:sz w:val="24"/>
          <w:szCs w:val="24"/>
          <w:u w:val="single"/>
        </w:rPr>
        <w:t>10</w:t>
      </w:r>
      <w:bookmarkEnd w:id="15"/>
    </w:p>
    <w:p w14:paraId="284BA46A" w14:textId="77777777" w:rsidR="006B0ADE" w:rsidRPr="006B0ADE" w:rsidRDefault="006B0ADE" w:rsidP="006B0ADE">
      <w:pPr>
        <w:pStyle w:val="11"/>
        <w:ind w:firstLine="709"/>
        <w:jc w:val="both"/>
        <w:rPr>
          <w:sz w:val="24"/>
          <w:szCs w:val="24"/>
        </w:rPr>
      </w:pPr>
      <w:r w:rsidRPr="006B0ADE">
        <w:rPr>
          <w:rStyle w:val="ac"/>
          <w:rFonts w:eastAsiaTheme="majorEastAsia"/>
          <w:sz w:val="24"/>
          <w:szCs w:val="24"/>
        </w:rPr>
        <w:t>Болезни, характеризующиеся повышенным кровяным давлением (</w:t>
      </w:r>
      <w:r w:rsidRPr="006B0ADE">
        <w:rPr>
          <w:rStyle w:val="ac"/>
          <w:rFonts w:eastAsiaTheme="majorEastAsia"/>
          <w:sz w:val="24"/>
          <w:szCs w:val="24"/>
          <w:lang w:val="en-US"/>
        </w:rPr>
        <w:t>I</w:t>
      </w:r>
      <w:r w:rsidRPr="006B0ADE">
        <w:rPr>
          <w:rStyle w:val="ac"/>
          <w:rFonts w:eastAsiaTheme="majorEastAsia"/>
          <w:sz w:val="24"/>
          <w:szCs w:val="24"/>
        </w:rPr>
        <w:t xml:space="preserve">10, </w:t>
      </w:r>
      <w:r w:rsidRPr="006B0ADE">
        <w:rPr>
          <w:rStyle w:val="ac"/>
          <w:rFonts w:eastAsiaTheme="majorEastAsia"/>
          <w:sz w:val="24"/>
          <w:szCs w:val="24"/>
          <w:lang w:val="en-US"/>
        </w:rPr>
        <w:t>I</w:t>
      </w:r>
      <w:r w:rsidRPr="006B0ADE">
        <w:rPr>
          <w:rStyle w:val="ac"/>
          <w:rFonts w:eastAsiaTheme="majorEastAsia"/>
          <w:sz w:val="24"/>
          <w:szCs w:val="24"/>
        </w:rPr>
        <w:t xml:space="preserve">11, </w:t>
      </w:r>
      <w:r w:rsidRPr="006B0ADE">
        <w:rPr>
          <w:rStyle w:val="ac"/>
          <w:rFonts w:eastAsiaTheme="majorEastAsia"/>
          <w:sz w:val="24"/>
          <w:szCs w:val="24"/>
          <w:lang w:val="en-US"/>
        </w:rPr>
        <w:t>I</w:t>
      </w:r>
      <w:r w:rsidRPr="006B0ADE">
        <w:rPr>
          <w:rStyle w:val="ac"/>
          <w:rFonts w:eastAsiaTheme="majorEastAsia"/>
          <w:sz w:val="24"/>
          <w:szCs w:val="24"/>
        </w:rPr>
        <w:t xml:space="preserve">12, </w:t>
      </w:r>
      <w:r w:rsidRPr="006B0ADE">
        <w:rPr>
          <w:rStyle w:val="ac"/>
          <w:rFonts w:eastAsiaTheme="majorEastAsia"/>
          <w:sz w:val="24"/>
          <w:szCs w:val="24"/>
          <w:lang w:val="en-US"/>
        </w:rPr>
        <w:t>I</w:t>
      </w:r>
      <w:r w:rsidRPr="006B0ADE">
        <w:rPr>
          <w:rStyle w:val="ac"/>
          <w:rFonts w:eastAsiaTheme="majorEastAsia"/>
          <w:sz w:val="24"/>
          <w:szCs w:val="24"/>
        </w:rPr>
        <w:t xml:space="preserve">13, </w:t>
      </w:r>
      <w:r w:rsidRPr="006B0ADE">
        <w:rPr>
          <w:rStyle w:val="ac"/>
          <w:rFonts w:eastAsiaTheme="majorEastAsia"/>
          <w:sz w:val="24"/>
          <w:szCs w:val="24"/>
          <w:lang w:val="en-US"/>
        </w:rPr>
        <w:t>I</w:t>
      </w:r>
      <w:r w:rsidRPr="006B0ADE">
        <w:rPr>
          <w:rStyle w:val="ac"/>
          <w:rFonts w:eastAsiaTheme="majorEastAsia"/>
          <w:sz w:val="24"/>
          <w:szCs w:val="24"/>
        </w:rPr>
        <w:t xml:space="preserve">15, </w:t>
      </w:r>
      <w:r w:rsidRPr="006B0ADE">
        <w:rPr>
          <w:rStyle w:val="ac"/>
          <w:rFonts w:eastAsiaTheme="majorEastAsia"/>
          <w:sz w:val="24"/>
          <w:szCs w:val="24"/>
          <w:lang w:val="en-US"/>
        </w:rPr>
        <w:t>I</w:t>
      </w:r>
      <w:r w:rsidRPr="006B0ADE">
        <w:rPr>
          <w:rStyle w:val="ac"/>
          <w:rFonts w:eastAsiaTheme="majorEastAsia"/>
          <w:sz w:val="24"/>
          <w:szCs w:val="24"/>
        </w:rPr>
        <w:t>95.2):</w:t>
      </w:r>
    </w:p>
    <w:p w14:paraId="78EF44CE" w14:textId="77777777" w:rsidR="006B0ADE" w:rsidRPr="006B0ADE" w:rsidRDefault="006B0ADE" w:rsidP="006B0ADE">
      <w:pPr>
        <w:pStyle w:val="11"/>
        <w:ind w:firstLine="708"/>
        <w:jc w:val="both"/>
        <w:rPr>
          <w:sz w:val="24"/>
          <w:szCs w:val="24"/>
        </w:rPr>
      </w:pPr>
      <w:r w:rsidRPr="006B0ADE">
        <w:rPr>
          <w:rStyle w:val="ac"/>
          <w:rFonts w:eastAsiaTheme="majorEastAsia"/>
          <w:sz w:val="24"/>
          <w:szCs w:val="24"/>
          <w:lang w:val="en-US"/>
        </w:rPr>
        <w:t>I</w:t>
      </w:r>
      <w:r w:rsidRPr="006B0ADE">
        <w:rPr>
          <w:rStyle w:val="ac"/>
          <w:rFonts w:eastAsiaTheme="majorEastAsia"/>
          <w:sz w:val="24"/>
          <w:szCs w:val="24"/>
        </w:rPr>
        <w:t>10 — Эссенциальная [первичная] гипертензия:</w:t>
      </w:r>
    </w:p>
    <w:p w14:paraId="0E2F8BEC" w14:textId="77777777" w:rsidR="006B0ADE" w:rsidRPr="006B0ADE" w:rsidRDefault="006B0ADE" w:rsidP="006B0ADE">
      <w:pPr>
        <w:pStyle w:val="11"/>
        <w:ind w:firstLine="0"/>
        <w:jc w:val="both"/>
        <w:rPr>
          <w:sz w:val="24"/>
          <w:szCs w:val="24"/>
        </w:rPr>
      </w:pPr>
      <w:r w:rsidRPr="006B0ADE">
        <w:rPr>
          <w:rStyle w:val="ac"/>
          <w:rFonts w:eastAsiaTheme="majorEastAsia"/>
          <w:sz w:val="24"/>
          <w:szCs w:val="24"/>
        </w:rPr>
        <w:t>Высокое кровяное давление;</w:t>
      </w:r>
    </w:p>
    <w:p w14:paraId="5117A497" w14:textId="77777777" w:rsidR="006B0ADE" w:rsidRPr="006B0ADE" w:rsidRDefault="006B0ADE" w:rsidP="006B0ADE">
      <w:pPr>
        <w:pStyle w:val="11"/>
        <w:ind w:firstLine="0"/>
        <w:jc w:val="both"/>
        <w:rPr>
          <w:sz w:val="24"/>
          <w:szCs w:val="24"/>
        </w:rPr>
      </w:pPr>
      <w:r w:rsidRPr="006B0ADE">
        <w:rPr>
          <w:rStyle w:val="ac"/>
          <w:rFonts w:eastAsiaTheme="majorEastAsia"/>
          <w:sz w:val="24"/>
          <w:szCs w:val="24"/>
        </w:rPr>
        <w:t>Гипертензия (артериальная) (доброкачественная) (эссенциальная) (злокачественная) (первичная) (системная).</w:t>
      </w:r>
    </w:p>
    <w:p w14:paraId="1312161E" w14:textId="29570374" w:rsidR="006B0ADE" w:rsidRPr="006B0ADE" w:rsidRDefault="006B0ADE" w:rsidP="006B0ADE">
      <w:pPr>
        <w:pStyle w:val="11"/>
        <w:tabs>
          <w:tab w:val="left" w:pos="709"/>
        </w:tabs>
        <w:ind w:firstLine="0"/>
        <w:jc w:val="both"/>
        <w:rPr>
          <w:sz w:val="24"/>
          <w:szCs w:val="24"/>
        </w:rPr>
      </w:pPr>
      <w:r>
        <w:rPr>
          <w:rStyle w:val="ac"/>
          <w:rFonts w:eastAsiaTheme="majorEastAsia"/>
          <w:sz w:val="24"/>
          <w:szCs w:val="24"/>
        </w:rPr>
        <w:tab/>
      </w:r>
      <w:r w:rsidRPr="006B0ADE">
        <w:rPr>
          <w:rStyle w:val="ac"/>
          <w:rFonts w:eastAsiaTheme="majorEastAsia"/>
          <w:sz w:val="24"/>
          <w:szCs w:val="24"/>
          <w:lang w:val="en-US"/>
        </w:rPr>
        <w:t>I</w:t>
      </w:r>
      <w:r w:rsidRPr="006B0ADE">
        <w:rPr>
          <w:rStyle w:val="ac"/>
          <w:rFonts w:eastAsiaTheme="majorEastAsia"/>
          <w:sz w:val="24"/>
          <w:szCs w:val="24"/>
        </w:rPr>
        <w:t>11— Гипертензивная болезнь сердца [гипертоническая болезнь сердца с</w:t>
      </w:r>
    </w:p>
    <w:p w14:paraId="37E72789" w14:textId="77777777" w:rsidR="006B0ADE" w:rsidRPr="006B0ADE" w:rsidRDefault="006B0ADE" w:rsidP="006B0ADE">
      <w:pPr>
        <w:pStyle w:val="11"/>
        <w:ind w:firstLine="0"/>
        <w:jc w:val="both"/>
        <w:rPr>
          <w:sz w:val="24"/>
          <w:szCs w:val="24"/>
        </w:rPr>
      </w:pPr>
      <w:r w:rsidRPr="006B0ADE">
        <w:rPr>
          <w:rStyle w:val="ac"/>
          <w:rFonts w:eastAsiaTheme="majorEastAsia"/>
          <w:sz w:val="24"/>
          <w:szCs w:val="24"/>
        </w:rPr>
        <w:t>преимущественным поражением сердца];</w:t>
      </w:r>
    </w:p>
    <w:p w14:paraId="39E473CF" w14:textId="1DF740BB" w:rsidR="006B0ADE" w:rsidRPr="006B0ADE" w:rsidRDefault="006B0ADE" w:rsidP="006B0ADE">
      <w:pPr>
        <w:pStyle w:val="11"/>
        <w:ind w:firstLine="708"/>
        <w:jc w:val="both"/>
        <w:rPr>
          <w:sz w:val="24"/>
          <w:szCs w:val="24"/>
        </w:rPr>
      </w:pPr>
      <w:r w:rsidRPr="006B0ADE">
        <w:rPr>
          <w:rStyle w:val="ac"/>
          <w:rFonts w:eastAsiaTheme="majorEastAsia"/>
          <w:sz w:val="24"/>
          <w:szCs w:val="24"/>
          <w:lang w:val="en-US"/>
        </w:rPr>
        <w:t>I</w:t>
      </w:r>
      <w:r w:rsidRPr="006B0ADE">
        <w:rPr>
          <w:rStyle w:val="ac"/>
          <w:rFonts w:eastAsiaTheme="majorEastAsia"/>
          <w:sz w:val="24"/>
          <w:szCs w:val="24"/>
        </w:rPr>
        <w:t>11.0—Гипертензивная [гипертоническая] болезнь с преимущественным поражением сердца с (застойной) сердечной недостаточностью:</w:t>
      </w:r>
    </w:p>
    <w:p w14:paraId="0C3B9927" w14:textId="77777777" w:rsidR="006B0ADE" w:rsidRPr="006B0ADE" w:rsidRDefault="006B0ADE" w:rsidP="006B0ADE">
      <w:pPr>
        <w:pStyle w:val="11"/>
        <w:ind w:firstLine="0"/>
        <w:jc w:val="both"/>
        <w:rPr>
          <w:sz w:val="24"/>
          <w:szCs w:val="24"/>
        </w:rPr>
      </w:pPr>
      <w:r w:rsidRPr="006B0ADE">
        <w:rPr>
          <w:rStyle w:val="ac"/>
          <w:rFonts w:eastAsiaTheme="majorEastAsia"/>
          <w:sz w:val="24"/>
          <w:szCs w:val="24"/>
        </w:rPr>
        <w:t>Гипертензивная [гипертоническая] сердечная недостаточность.</w:t>
      </w:r>
    </w:p>
    <w:p w14:paraId="656F358C" w14:textId="317B09E5" w:rsidR="006B0ADE" w:rsidRPr="006B0ADE" w:rsidRDefault="006B0ADE" w:rsidP="006B0ADE">
      <w:pPr>
        <w:pStyle w:val="11"/>
        <w:ind w:firstLine="708"/>
        <w:jc w:val="both"/>
        <w:rPr>
          <w:sz w:val="24"/>
          <w:szCs w:val="24"/>
        </w:rPr>
      </w:pPr>
      <w:r w:rsidRPr="006B0ADE">
        <w:rPr>
          <w:rStyle w:val="ac"/>
          <w:rFonts w:eastAsiaTheme="majorEastAsia"/>
          <w:sz w:val="24"/>
          <w:szCs w:val="24"/>
          <w:lang w:val="en-US"/>
        </w:rPr>
        <w:t>I</w:t>
      </w:r>
      <w:r w:rsidRPr="006B0ADE">
        <w:rPr>
          <w:rStyle w:val="ac"/>
          <w:rFonts w:eastAsiaTheme="majorEastAsia"/>
          <w:sz w:val="24"/>
          <w:szCs w:val="24"/>
        </w:rPr>
        <w:t>11.9—Гипертензивная [гипертоническая] болезнь с преимущественным поражением сердца без (застойной) сердечной недостаточности:</w:t>
      </w:r>
    </w:p>
    <w:p w14:paraId="76662787" w14:textId="77777777" w:rsidR="006B0ADE" w:rsidRPr="006B0ADE" w:rsidRDefault="006B0ADE" w:rsidP="006B0ADE">
      <w:pPr>
        <w:pStyle w:val="11"/>
        <w:ind w:firstLine="0"/>
        <w:jc w:val="both"/>
        <w:rPr>
          <w:sz w:val="24"/>
          <w:szCs w:val="24"/>
        </w:rPr>
      </w:pPr>
      <w:r w:rsidRPr="006B0ADE">
        <w:rPr>
          <w:rStyle w:val="ac"/>
          <w:rFonts w:eastAsiaTheme="majorEastAsia"/>
          <w:sz w:val="24"/>
          <w:szCs w:val="24"/>
        </w:rPr>
        <w:lastRenderedPageBreak/>
        <w:t>Гипертензивная болезнь сердца без дополнительных уточнений (БДУ).</w:t>
      </w:r>
    </w:p>
    <w:p w14:paraId="480766EB" w14:textId="77777777" w:rsidR="006B0ADE" w:rsidRDefault="006B0ADE" w:rsidP="006B0ADE">
      <w:pPr>
        <w:pStyle w:val="11"/>
        <w:ind w:firstLine="708"/>
        <w:jc w:val="both"/>
        <w:rPr>
          <w:rStyle w:val="ac"/>
          <w:rFonts w:eastAsiaTheme="majorEastAsia"/>
          <w:sz w:val="24"/>
          <w:szCs w:val="24"/>
        </w:rPr>
      </w:pPr>
      <w:r w:rsidRPr="006B0ADE">
        <w:rPr>
          <w:rStyle w:val="ac"/>
          <w:rFonts w:eastAsiaTheme="majorEastAsia"/>
          <w:sz w:val="24"/>
          <w:szCs w:val="24"/>
          <w:lang w:val="en-US"/>
        </w:rPr>
        <w:t>I</w:t>
      </w:r>
      <w:r w:rsidRPr="006B0ADE">
        <w:rPr>
          <w:rStyle w:val="ac"/>
          <w:rFonts w:eastAsiaTheme="majorEastAsia"/>
          <w:sz w:val="24"/>
          <w:szCs w:val="24"/>
        </w:rPr>
        <w:t xml:space="preserve">12 — Гипертензивная [гипертоническая] болезнь с преимущественным поражением почек: </w:t>
      </w:r>
    </w:p>
    <w:p w14:paraId="5F042F65" w14:textId="77777777" w:rsidR="006B0ADE" w:rsidRPr="006B0ADE" w:rsidRDefault="006B0ADE" w:rsidP="006B0ADE">
      <w:pPr>
        <w:pStyle w:val="11"/>
        <w:ind w:firstLine="708"/>
        <w:jc w:val="both"/>
        <w:rPr>
          <w:sz w:val="24"/>
          <w:szCs w:val="24"/>
        </w:rPr>
      </w:pPr>
      <w:r w:rsidRPr="006B0ADE">
        <w:rPr>
          <w:rStyle w:val="ac"/>
          <w:rFonts w:eastAsiaTheme="majorEastAsia"/>
          <w:sz w:val="24"/>
          <w:szCs w:val="24"/>
        </w:rPr>
        <w:t>Артериосклероз почек</w:t>
      </w:r>
    </w:p>
    <w:p w14:paraId="3E9B105B" w14:textId="77777777" w:rsidR="006B0ADE" w:rsidRPr="006B0ADE" w:rsidRDefault="006B0ADE" w:rsidP="006B0ADE">
      <w:pPr>
        <w:pStyle w:val="11"/>
        <w:ind w:firstLine="708"/>
        <w:jc w:val="both"/>
        <w:rPr>
          <w:sz w:val="24"/>
          <w:szCs w:val="24"/>
        </w:rPr>
      </w:pPr>
      <w:r w:rsidRPr="006B0ADE">
        <w:rPr>
          <w:rStyle w:val="ac"/>
          <w:rFonts w:eastAsiaTheme="majorEastAsia"/>
          <w:sz w:val="24"/>
          <w:szCs w:val="24"/>
        </w:rPr>
        <w:t>Артериосклеротический нефрит (хронический) (интерстициальный);</w:t>
      </w:r>
    </w:p>
    <w:p w14:paraId="5DCF44A7" w14:textId="77777777" w:rsidR="006B0ADE" w:rsidRPr="006B0ADE" w:rsidRDefault="006B0ADE" w:rsidP="006B0ADE">
      <w:pPr>
        <w:pStyle w:val="11"/>
        <w:ind w:firstLine="708"/>
        <w:jc w:val="both"/>
        <w:rPr>
          <w:sz w:val="24"/>
          <w:szCs w:val="24"/>
        </w:rPr>
      </w:pPr>
      <w:r w:rsidRPr="006B0ADE">
        <w:rPr>
          <w:rStyle w:val="ac"/>
          <w:rFonts w:eastAsiaTheme="majorEastAsia"/>
          <w:sz w:val="24"/>
          <w:szCs w:val="24"/>
        </w:rPr>
        <w:t>Гипертензивная нефропатия;</w:t>
      </w:r>
    </w:p>
    <w:p w14:paraId="7389B373" w14:textId="77777777" w:rsidR="006B0ADE" w:rsidRPr="006B0ADE" w:rsidRDefault="006B0ADE" w:rsidP="006B0ADE">
      <w:pPr>
        <w:pStyle w:val="11"/>
        <w:ind w:firstLine="708"/>
        <w:jc w:val="both"/>
        <w:rPr>
          <w:sz w:val="24"/>
          <w:szCs w:val="24"/>
        </w:rPr>
      </w:pPr>
      <w:r w:rsidRPr="006B0ADE">
        <w:rPr>
          <w:rStyle w:val="ac"/>
          <w:rFonts w:eastAsiaTheme="majorEastAsia"/>
          <w:sz w:val="24"/>
          <w:szCs w:val="24"/>
        </w:rPr>
        <w:t>Нефросклероз.</w:t>
      </w:r>
    </w:p>
    <w:p w14:paraId="04B63B7E" w14:textId="77777777" w:rsidR="006B0ADE" w:rsidRPr="006B0ADE" w:rsidRDefault="006B0ADE" w:rsidP="006B0ADE">
      <w:pPr>
        <w:pStyle w:val="11"/>
        <w:ind w:firstLine="708"/>
        <w:jc w:val="both"/>
        <w:rPr>
          <w:sz w:val="24"/>
          <w:szCs w:val="24"/>
        </w:rPr>
      </w:pPr>
      <w:r w:rsidRPr="006B0ADE">
        <w:rPr>
          <w:rStyle w:val="ac"/>
          <w:rFonts w:eastAsiaTheme="majorEastAsia"/>
          <w:sz w:val="24"/>
          <w:szCs w:val="24"/>
          <w:lang w:val="en-US"/>
        </w:rPr>
        <w:t>I</w:t>
      </w:r>
      <w:r w:rsidRPr="006B0ADE">
        <w:rPr>
          <w:rStyle w:val="ac"/>
          <w:rFonts w:eastAsiaTheme="majorEastAsia"/>
          <w:sz w:val="24"/>
          <w:szCs w:val="24"/>
        </w:rPr>
        <w:t>12.0 — Гипертензивная [гипертоническая] болезнь с преимущественным поражением почек с почечной недостаточностью:</w:t>
      </w:r>
    </w:p>
    <w:p w14:paraId="5E14F5DD" w14:textId="77777777" w:rsidR="006B0ADE" w:rsidRPr="006B0ADE" w:rsidRDefault="006B0ADE" w:rsidP="006B0ADE">
      <w:pPr>
        <w:pStyle w:val="11"/>
        <w:ind w:firstLine="708"/>
        <w:jc w:val="both"/>
        <w:rPr>
          <w:sz w:val="24"/>
          <w:szCs w:val="24"/>
        </w:rPr>
      </w:pPr>
      <w:r w:rsidRPr="006B0ADE">
        <w:rPr>
          <w:rStyle w:val="ac"/>
          <w:rFonts w:eastAsiaTheme="majorEastAsia"/>
          <w:sz w:val="24"/>
          <w:szCs w:val="24"/>
        </w:rPr>
        <w:t>Гипертоническая почечная недостаточность.</w:t>
      </w:r>
    </w:p>
    <w:p w14:paraId="6528F5C0" w14:textId="77777777" w:rsidR="006B0ADE" w:rsidRPr="006B0ADE" w:rsidRDefault="006B0ADE" w:rsidP="006B0ADE">
      <w:pPr>
        <w:pStyle w:val="11"/>
        <w:ind w:firstLine="708"/>
        <w:jc w:val="both"/>
        <w:rPr>
          <w:sz w:val="24"/>
          <w:szCs w:val="24"/>
        </w:rPr>
      </w:pPr>
      <w:r w:rsidRPr="006B0ADE">
        <w:rPr>
          <w:rStyle w:val="ac"/>
          <w:rFonts w:eastAsiaTheme="majorEastAsia"/>
          <w:sz w:val="24"/>
          <w:szCs w:val="24"/>
          <w:lang w:val="en-US"/>
        </w:rPr>
        <w:t>I</w:t>
      </w:r>
      <w:r w:rsidRPr="006B0ADE">
        <w:rPr>
          <w:rStyle w:val="ac"/>
          <w:rFonts w:eastAsiaTheme="majorEastAsia"/>
          <w:sz w:val="24"/>
          <w:szCs w:val="24"/>
        </w:rPr>
        <w:t>12.9 — Гипертензивная [гипертоническая] болезнь с преимущественным поражением почек без почечной недостаточности:</w:t>
      </w:r>
    </w:p>
    <w:p w14:paraId="6F68B81D" w14:textId="77777777" w:rsidR="006B0ADE" w:rsidRPr="006B0ADE" w:rsidRDefault="006B0ADE" w:rsidP="006B0ADE">
      <w:pPr>
        <w:pStyle w:val="11"/>
        <w:ind w:firstLine="708"/>
        <w:jc w:val="both"/>
        <w:rPr>
          <w:sz w:val="24"/>
          <w:szCs w:val="24"/>
        </w:rPr>
      </w:pPr>
      <w:r w:rsidRPr="006B0ADE">
        <w:rPr>
          <w:rStyle w:val="ac"/>
          <w:rFonts w:eastAsiaTheme="majorEastAsia"/>
          <w:sz w:val="24"/>
          <w:szCs w:val="24"/>
        </w:rPr>
        <w:t>Почечная форма гипертонической болезни БДУ.</w:t>
      </w:r>
    </w:p>
    <w:p w14:paraId="1F6C29EC" w14:textId="77777777" w:rsidR="006B0ADE" w:rsidRPr="006B0ADE" w:rsidRDefault="006B0ADE" w:rsidP="006B0ADE">
      <w:pPr>
        <w:pStyle w:val="11"/>
        <w:ind w:firstLine="708"/>
        <w:jc w:val="both"/>
        <w:rPr>
          <w:sz w:val="24"/>
          <w:szCs w:val="24"/>
        </w:rPr>
      </w:pPr>
      <w:r w:rsidRPr="006B0ADE">
        <w:rPr>
          <w:rStyle w:val="ac"/>
          <w:rFonts w:eastAsiaTheme="majorEastAsia"/>
          <w:sz w:val="24"/>
          <w:szCs w:val="24"/>
          <w:lang w:val="en-US"/>
        </w:rPr>
        <w:t>I</w:t>
      </w:r>
      <w:r w:rsidRPr="006B0ADE">
        <w:rPr>
          <w:rStyle w:val="ac"/>
          <w:rFonts w:eastAsiaTheme="majorEastAsia"/>
          <w:sz w:val="24"/>
          <w:szCs w:val="24"/>
        </w:rPr>
        <w:t>13 — Гипертензивная [гипертоническая] болезнь с преимущественным поражением сердца и почек.</w:t>
      </w:r>
    </w:p>
    <w:p w14:paraId="1391001B" w14:textId="77777777" w:rsidR="006B0ADE" w:rsidRPr="006B0ADE" w:rsidRDefault="006B0ADE" w:rsidP="006B0ADE">
      <w:pPr>
        <w:pStyle w:val="11"/>
        <w:ind w:firstLine="708"/>
        <w:jc w:val="both"/>
        <w:rPr>
          <w:sz w:val="24"/>
          <w:szCs w:val="24"/>
        </w:rPr>
      </w:pPr>
      <w:r w:rsidRPr="006B0ADE">
        <w:rPr>
          <w:rStyle w:val="ac"/>
          <w:rFonts w:eastAsiaTheme="majorEastAsia"/>
          <w:sz w:val="24"/>
          <w:szCs w:val="24"/>
          <w:lang w:val="en-US"/>
        </w:rPr>
        <w:t>I</w:t>
      </w:r>
      <w:r w:rsidRPr="006B0ADE">
        <w:rPr>
          <w:rStyle w:val="ac"/>
          <w:rFonts w:eastAsiaTheme="majorEastAsia"/>
          <w:sz w:val="24"/>
          <w:szCs w:val="24"/>
        </w:rPr>
        <w:t>13.0 — Гипертензивная [гипертоническая] болезнь с преимущественным поражением сердца и почек с (застойной) сердечной недостаточностью.</w:t>
      </w:r>
    </w:p>
    <w:p w14:paraId="3CBDB638" w14:textId="77777777" w:rsidR="006B0ADE" w:rsidRPr="006B0ADE" w:rsidRDefault="006B0ADE" w:rsidP="006B0ADE">
      <w:pPr>
        <w:pStyle w:val="11"/>
        <w:ind w:firstLine="708"/>
        <w:jc w:val="both"/>
        <w:rPr>
          <w:sz w:val="24"/>
          <w:szCs w:val="24"/>
        </w:rPr>
      </w:pPr>
      <w:r w:rsidRPr="006B0ADE">
        <w:rPr>
          <w:rStyle w:val="ac"/>
          <w:rFonts w:eastAsiaTheme="majorEastAsia"/>
          <w:sz w:val="24"/>
          <w:szCs w:val="24"/>
          <w:lang w:val="en-US"/>
        </w:rPr>
        <w:t>I</w:t>
      </w:r>
      <w:r w:rsidRPr="006B0ADE">
        <w:rPr>
          <w:rStyle w:val="ac"/>
          <w:rFonts w:eastAsiaTheme="majorEastAsia"/>
          <w:sz w:val="24"/>
          <w:szCs w:val="24"/>
        </w:rPr>
        <w:t>13.1 — Гипертензивная [гипертоническая] болезнь с преимущественным поражением почек с почечной недостаточностью.</w:t>
      </w:r>
    </w:p>
    <w:p w14:paraId="550454D7" w14:textId="77777777" w:rsidR="006B0ADE" w:rsidRPr="006B0ADE" w:rsidRDefault="006B0ADE" w:rsidP="006B0ADE">
      <w:pPr>
        <w:pStyle w:val="11"/>
        <w:ind w:firstLine="708"/>
        <w:jc w:val="both"/>
        <w:rPr>
          <w:sz w:val="24"/>
          <w:szCs w:val="24"/>
        </w:rPr>
      </w:pPr>
      <w:r w:rsidRPr="006B0ADE">
        <w:rPr>
          <w:rStyle w:val="ac"/>
          <w:rFonts w:eastAsiaTheme="majorEastAsia"/>
          <w:sz w:val="24"/>
          <w:szCs w:val="24"/>
          <w:lang w:val="en-US"/>
        </w:rPr>
        <w:t>I</w:t>
      </w:r>
      <w:r w:rsidRPr="006B0ADE">
        <w:rPr>
          <w:rStyle w:val="ac"/>
          <w:rFonts w:eastAsiaTheme="majorEastAsia"/>
          <w:sz w:val="24"/>
          <w:szCs w:val="24"/>
        </w:rPr>
        <w:t>13.2 — Гипертензивная [гипертоническая] болезнь с преимущественным поражением сердца и почек с (застойной) сердечной недостаточностью и почечной недостаточностью.</w:t>
      </w:r>
    </w:p>
    <w:p w14:paraId="2237956C" w14:textId="77777777" w:rsidR="006B0ADE" w:rsidRPr="006B0ADE" w:rsidRDefault="006B0ADE" w:rsidP="006B0ADE">
      <w:pPr>
        <w:pStyle w:val="11"/>
        <w:ind w:firstLine="708"/>
        <w:jc w:val="both"/>
        <w:rPr>
          <w:sz w:val="24"/>
          <w:szCs w:val="24"/>
        </w:rPr>
      </w:pPr>
      <w:r w:rsidRPr="006B0ADE">
        <w:rPr>
          <w:rStyle w:val="ac"/>
          <w:rFonts w:eastAsiaTheme="majorEastAsia"/>
          <w:sz w:val="24"/>
          <w:szCs w:val="24"/>
          <w:lang w:val="en-US"/>
        </w:rPr>
        <w:t>I</w:t>
      </w:r>
      <w:r w:rsidRPr="006B0ADE">
        <w:rPr>
          <w:rStyle w:val="ac"/>
          <w:rFonts w:eastAsiaTheme="majorEastAsia"/>
          <w:sz w:val="24"/>
          <w:szCs w:val="24"/>
        </w:rPr>
        <w:t>13.9 — Гипертензивная [гипертоническая] болезнь с преимущественным поражением сердца и почек неуточненная.</w:t>
      </w:r>
    </w:p>
    <w:p w14:paraId="496C177E" w14:textId="77777777" w:rsidR="006B0ADE" w:rsidRPr="006B0ADE" w:rsidRDefault="006B0ADE" w:rsidP="006B0ADE">
      <w:pPr>
        <w:pStyle w:val="11"/>
        <w:ind w:firstLine="708"/>
        <w:jc w:val="both"/>
        <w:rPr>
          <w:sz w:val="24"/>
          <w:szCs w:val="24"/>
        </w:rPr>
      </w:pPr>
      <w:r w:rsidRPr="006B0ADE">
        <w:rPr>
          <w:rStyle w:val="ac"/>
          <w:rFonts w:eastAsiaTheme="majorEastAsia"/>
          <w:sz w:val="24"/>
          <w:szCs w:val="24"/>
          <w:lang w:val="en-US"/>
        </w:rPr>
        <w:t>I</w:t>
      </w:r>
      <w:r w:rsidRPr="006B0ADE">
        <w:rPr>
          <w:rStyle w:val="ac"/>
          <w:rFonts w:eastAsiaTheme="majorEastAsia"/>
          <w:sz w:val="24"/>
          <w:szCs w:val="24"/>
        </w:rPr>
        <w:t>15 — Вторичная гипертензия.</w:t>
      </w:r>
    </w:p>
    <w:p w14:paraId="52CE0CA5" w14:textId="77777777" w:rsidR="006B0ADE" w:rsidRPr="006B0ADE" w:rsidRDefault="006B0ADE" w:rsidP="006B0ADE">
      <w:pPr>
        <w:pStyle w:val="11"/>
        <w:ind w:firstLine="708"/>
        <w:jc w:val="both"/>
        <w:rPr>
          <w:sz w:val="24"/>
          <w:szCs w:val="24"/>
        </w:rPr>
      </w:pPr>
      <w:r w:rsidRPr="006B0ADE">
        <w:rPr>
          <w:rStyle w:val="ac"/>
          <w:rFonts w:eastAsiaTheme="majorEastAsia"/>
          <w:sz w:val="24"/>
          <w:szCs w:val="24"/>
          <w:lang w:val="en-US"/>
        </w:rPr>
        <w:t>I</w:t>
      </w:r>
      <w:r w:rsidRPr="006B0ADE">
        <w:rPr>
          <w:rStyle w:val="ac"/>
          <w:rFonts w:eastAsiaTheme="majorEastAsia"/>
          <w:sz w:val="24"/>
          <w:szCs w:val="24"/>
        </w:rPr>
        <w:t>15.0 — Реноваскулярная гипертензия.</w:t>
      </w:r>
    </w:p>
    <w:p w14:paraId="45C807E8" w14:textId="77777777" w:rsidR="006B0ADE" w:rsidRPr="006B0ADE" w:rsidRDefault="006B0ADE" w:rsidP="006B0ADE">
      <w:pPr>
        <w:pStyle w:val="11"/>
        <w:tabs>
          <w:tab w:val="left" w:pos="709"/>
        </w:tabs>
        <w:ind w:firstLine="0"/>
        <w:jc w:val="both"/>
        <w:rPr>
          <w:sz w:val="24"/>
          <w:szCs w:val="24"/>
        </w:rPr>
      </w:pPr>
      <w:r>
        <w:rPr>
          <w:rStyle w:val="ac"/>
          <w:rFonts w:eastAsiaTheme="majorEastAsia"/>
          <w:sz w:val="24"/>
          <w:szCs w:val="24"/>
        </w:rPr>
        <w:tab/>
      </w:r>
      <w:r w:rsidRPr="006B0ADE">
        <w:rPr>
          <w:rStyle w:val="ac"/>
          <w:rFonts w:eastAsiaTheme="majorEastAsia"/>
          <w:sz w:val="24"/>
          <w:szCs w:val="24"/>
          <w:lang w:val="en-US"/>
        </w:rPr>
        <w:t>I</w:t>
      </w:r>
      <w:r w:rsidRPr="006B0ADE">
        <w:rPr>
          <w:rStyle w:val="ac"/>
          <w:rFonts w:eastAsiaTheme="majorEastAsia"/>
          <w:sz w:val="24"/>
          <w:szCs w:val="24"/>
        </w:rPr>
        <w:t>15.</w:t>
      </w:r>
      <w:r>
        <w:rPr>
          <w:rStyle w:val="ac"/>
          <w:rFonts w:eastAsiaTheme="majorEastAsia"/>
          <w:sz w:val="24"/>
          <w:szCs w:val="24"/>
        </w:rPr>
        <w:t>1</w:t>
      </w:r>
      <w:r w:rsidRPr="006B0ADE">
        <w:rPr>
          <w:rStyle w:val="ac"/>
          <w:rFonts w:eastAsiaTheme="majorEastAsia"/>
          <w:sz w:val="24"/>
          <w:szCs w:val="24"/>
        </w:rPr>
        <w:t xml:space="preserve"> — Гипертензия вторичная по отношению к другим поражениям почек.</w:t>
      </w:r>
    </w:p>
    <w:p w14:paraId="25E433B0" w14:textId="77777777" w:rsidR="006B0ADE" w:rsidRPr="006B0ADE" w:rsidRDefault="006B0ADE" w:rsidP="006B0ADE">
      <w:pPr>
        <w:pStyle w:val="11"/>
        <w:tabs>
          <w:tab w:val="left" w:pos="709"/>
        </w:tabs>
        <w:ind w:firstLine="0"/>
        <w:jc w:val="both"/>
        <w:rPr>
          <w:sz w:val="24"/>
          <w:szCs w:val="24"/>
        </w:rPr>
      </w:pPr>
      <w:r>
        <w:rPr>
          <w:rStyle w:val="ac"/>
          <w:rFonts w:eastAsiaTheme="majorEastAsia"/>
          <w:sz w:val="24"/>
          <w:szCs w:val="24"/>
        </w:rPr>
        <w:tab/>
      </w:r>
      <w:r w:rsidRPr="006B0ADE">
        <w:rPr>
          <w:rStyle w:val="ac"/>
          <w:rFonts w:eastAsiaTheme="majorEastAsia"/>
          <w:sz w:val="24"/>
          <w:szCs w:val="24"/>
          <w:lang w:val="en-US"/>
        </w:rPr>
        <w:t>I</w:t>
      </w:r>
      <w:r w:rsidRPr="006B0ADE">
        <w:rPr>
          <w:rStyle w:val="ac"/>
          <w:rFonts w:eastAsiaTheme="majorEastAsia"/>
          <w:sz w:val="24"/>
          <w:szCs w:val="24"/>
        </w:rPr>
        <w:t>15.</w:t>
      </w:r>
      <w:r>
        <w:rPr>
          <w:rStyle w:val="ac"/>
          <w:rFonts w:eastAsiaTheme="majorEastAsia"/>
          <w:sz w:val="24"/>
          <w:szCs w:val="24"/>
        </w:rPr>
        <w:t>2</w:t>
      </w:r>
      <w:r w:rsidRPr="006B0ADE">
        <w:rPr>
          <w:rStyle w:val="ac"/>
          <w:rFonts w:eastAsiaTheme="majorEastAsia"/>
          <w:sz w:val="24"/>
          <w:szCs w:val="24"/>
        </w:rPr>
        <w:t>— Гипертензия вторичная по отношению к эндокринным нарушениям.</w:t>
      </w:r>
    </w:p>
    <w:p w14:paraId="3E9FA9B3" w14:textId="77777777" w:rsidR="006B0ADE" w:rsidRPr="006B0ADE" w:rsidRDefault="006B0ADE" w:rsidP="006B0ADE">
      <w:pPr>
        <w:pStyle w:val="11"/>
        <w:tabs>
          <w:tab w:val="left" w:pos="709"/>
        </w:tabs>
        <w:ind w:firstLine="0"/>
        <w:jc w:val="both"/>
        <w:rPr>
          <w:sz w:val="24"/>
          <w:szCs w:val="24"/>
        </w:rPr>
      </w:pPr>
      <w:r>
        <w:rPr>
          <w:rStyle w:val="ac"/>
          <w:rFonts w:eastAsiaTheme="majorEastAsia"/>
          <w:sz w:val="24"/>
          <w:szCs w:val="24"/>
        </w:rPr>
        <w:tab/>
      </w:r>
      <w:r w:rsidRPr="006B0ADE">
        <w:rPr>
          <w:rStyle w:val="ac"/>
          <w:rFonts w:eastAsiaTheme="majorEastAsia"/>
          <w:sz w:val="24"/>
          <w:szCs w:val="24"/>
          <w:lang w:val="en-US"/>
        </w:rPr>
        <w:t>I</w:t>
      </w:r>
      <w:r w:rsidRPr="006B0ADE">
        <w:rPr>
          <w:rStyle w:val="ac"/>
          <w:rFonts w:eastAsiaTheme="majorEastAsia"/>
          <w:sz w:val="24"/>
          <w:szCs w:val="24"/>
        </w:rPr>
        <w:t>15.</w:t>
      </w:r>
      <w:r>
        <w:rPr>
          <w:rStyle w:val="ac"/>
          <w:rFonts w:eastAsiaTheme="majorEastAsia"/>
          <w:sz w:val="24"/>
          <w:szCs w:val="24"/>
        </w:rPr>
        <w:t>8</w:t>
      </w:r>
      <w:r w:rsidRPr="006B0ADE">
        <w:rPr>
          <w:rStyle w:val="ac"/>
          <w:rFonts w:eastAsiaTheme="majorEastAsia"/>
          <w:sz w:val="24"/>
          <w:szCs w:val="24"/>
        </w:rPr>
        <w:t>— Другая вторичная гипертензия.</w:t>
      </w:r>
    </w:p>
    <w:p w14:paraId="0E3E0BCD" w14:textId="77777777" w:rsidR="006B0ADE" w:rsidRPr="006B0ADE" w:rsidRDefault="006B0ADE" w:rsidP="006B0ADE">
      <w:pPr>
        <w:pStyle w:val="11"/>
        <w:tabs>
          <w:tab w:val="left" w:pos="709"/>
        </w:tabs>
        <w:ind w:firstLine="0"/>
        <w:jc w:val="both"/>
        <w:rPr>
          <w:sz w:val="24"/>
          <w:szCs w:val="24"/>
        </w:rPr>
      </w:pPr>
      <w:r>
        <w:rPr>
          <w:rStyle w:val="ac"/>
          <w:rFonts w:eastAsiaTheme="majorEastAsia"/>
          <w:sz w:val="24"/>
          <w:szCs w:val="24"/>
        </w:rPr>
        <w:tab/>
      </w:r>
      <w:r w:rsidRPr="006B0ADE">
        <w:rPr>
          <w:rStyle w:val="ac"/>
          <w:rFonts w:eastAsiaTheme="majorEastAsia"/>
          <w:sz w:val="24"/>
          <w:szCs w:val="24"/>
          <w:lang w:val="en-US"/>
        </w:rPr>
        <w:t>I</w:t>
      </w:r>
      <w:r w:rsidRPr="006B0ADE">
        <w:rPr>
          <w:rStyle w:val="ac"/>
          <w:rFonts w:eastAsiaTheme="majorEastAsia"/>
          <w:sz w:val="24"/>
          <w:szCs w:val="24"/>
        </w:rPr>
        <w:t>15.</w:t>
      </w:r>
      <w:r>
        <w:rPr>
          <w:rStyle w:val="ac"/>
          <w:rFonts w:eastAsiaTheme="majorEastAsia"/>
          <w:sz w:val="24"/>
          <w:szCs w:val="24"/>
        </w:rPr>
        <w:t>9</w:t>
      </w:r>
      <w:r w:rsidRPr="006B0ADE">
        <w:rPr>
          <w:rStyle w:val="ac"/>
          <w:rFonts w:eastAsiaTheme="majorEastAsia"/>
          <w:sz w:val="24"/>
          <w:szCs w:val="24"/>
        </w:rPr>
        <w:t>— Вторичная гипертензия неуточненная.</w:t>
      </w:r>
    </w:p>
    <w:p w14:paraId="7D576DCB" w14:textId="77777777" w:rsidR="006B0ADE" w:rsidRPr="006B0ADE" w:rsidRDefault="006B0ADE" w:rsidP="00A4226D">
      <w:pPr>
        <w:pStyle w:val="11"/>
        <w:tabs>
          <w:tab w:val="left" w:pos="709"/>
        </w:tabs>
        <w:ind w:firstLine="0"/>
        <w:jc w:val="both"/>
        <w:rPr>
          <w:sz w:val="24"/>
          <w:szCs w:val="24"/>
        </w:rPr>
      </w:pPr>
      <w:r>
        <w:rPr>
          <w:rStyle w:val="ac"/>
          <w:rFonts w:eastAsiaTheme="majorEastAsia"/>
          <w:sz w:val="24"/>
          <w:szCs w:val="24"/>
        </w:rPr>
        <w:tab/>
      </w:r>
      <w:r w:rsidRPr="006B0ADE">
        <w:rPr>
          <w:rStyle w:val="ac"/>
          <w:rFonts w:eastAsiaTheme="majorEastAsia"/>
          <w:sz w:val="24"/>
          <w:szCs w:val="24"/>
          <w:lang w:val="en-US"/>
        </w:rPr>
        <w:t>I</w:t>
      </w:r>
      <w:r>
        <w:rPr>
          <w:rStyle w:val="ac"/>
          <w:rFonts w:eastAsiaTheme="majorEastAsia"/>
          <w:sz w:val="24"/>
          <w:szCs w:val="24"/>
        </w:rPr>
        <w:t>9</w:t>
      </w:r>
      <w:r w:rsidRPr="006B0ADE">
        <w:rPr>
          <w:rStyle w:val="ac"/>
          <w:rFonts w:eastAsiaTheme="majorEastAsia"/>
          <w:sz w:val="24"/>
          <w:szCs w:val="24"/>
        </w:rPr>
        <w:t>5.</w:t>
      </w:r>
      <w:r>
        <w:rPr>
          <w:rStyle w:val="ac"/>
          <w:rFonts w:eastAsiaTheme="majorEastAsia"/>
          <w:sz w:val="24"/>
          <w:szCs w:val="24"/>
        </w:rPr>
        <w:t>2</w:t>
      </w:r>
      <w:r w:rsidRPr="006B0ADE">
        <w:rPr>
          <w:rStyle w:val="ac"/>
          <w:rFonts w:eastAsiaTheme="majorEastAsia"/>
          <w:sz w:val="24"/>
          <w:szCs w:val="24"/>
        </w:rPr>
        <w:t>— Гипотензия, вызванная лекарственными средствами</w:t>
      </w:r>
    </w:p>
    <w:p w14:paraId="1E1BF90A" w14:textId="77777777" w:rsidR="00A4226D" w:rsidRPr="00A4226D" w:rsidRDefault="00A4226D" w:rsidP="0008732C">
      <w:pPr>
        <w:pStyle w:val="11"/>
        <w:ind w:firstLine="0"/>
        <w:jc w:val="both"/>
        <w:outlineLvl w:val="1"/>
        <w:rPr>
          <w:sz w:val="24"/>
          <w:szCs w:val="24"/>
        </w:rPr>
      </w:pPr>
      <w:bookmarkStart w:id="16" w:name="_Toc202877432"/>
      <w:bookmarkStart w:id="17" w:name="bookmark7"/>
      <w:r w:rsidRPr="00A4226D">
        <w:rPr>
          <w:rStyle w:val="ac"/>
          <w:rFonts w:eastAsiaTheme="majorEastAsia"/>
          <w:b/>
          <w:bCs/>
          <w:sz w:val="24"/>
          <w:szCs w:val="24"/>
          <w:u w:val="single"/>
        </w:rPr>
        <w:t>1.5 Классификация</w:t>
      </w:r>
      <w:bookmarkEnd w:id="16"/>
      <w:r w:rsidRPr="00A4226D">
        <w:rPr>
          <w:rStyle w:val="ac"/>
          <w:rFonts w:eastAsiaTheme="majorEastAsia"/>
          <w:b/>
          <w:bCs/>
          <w:sz w:val="24"/>
          <w:szCs w:val="24"/>
          <w:u w:val="single"/>
        </w:rPr>
        <w:t xml:space="preserve"> </w:t>
      </w:r>
      <w:bookmarkEnd w:id="17"/>
    </w:p>
    <w:p w14:paraId="322DA483" w14:textId="77777777" w:rsidR="00A4226D" w:rsidRPr="003B37B6" w:rsidRDefault="00A4226D" w:rsidP="00A4226D">
      <w:pPr>
        <w:pStyle w:val="11"/>
        <w:ind w:firstLine="580"/>
        <w:jc w:val="both"/>
        <w:rPr>
          <w:sz w:val="24"/>
          <w:szCs w:val="24"/>
        </w:rPr>
      </w:pPr>
      <w:r w:rsidRPr="00A4226D">
        <w:rPr>
          <w:rStyle w:val="ac"/>
          <w:rFonts w:eastAsiaTheme="majorEastAsia"/>
          <w:sz w:val="24"/>
          <w:szCs w:val="24"/>
        </w:rPr>
        <w:t xml:space="preserve">АГ классифицируют по степени, которая определяется уровнем АД у нелеченных пациентов; стадии, которая определяется наличием сахарного диабета (СД), поражения органов- мишеней (ПОМ) и ассоциированных клинических состояний (АКС); категории </w:t>
      </w:r>
      <w:r w:rsidRPr="00A4226D">
        <w:rPr>
          <w:rStyle w:val="ac"/>
          <w:rFonts w:eastAsiaTheme="majorEastAsia"/>
          <w:sz w:val="24"/>
          <w:szCs w:val="24"/>
        </w:rPr>
        <w:lastRenderedPageBreak/>
        <w:t xml:space="preserve">риска развития сердечно-сосудистых осложнений, которая учитывает уровень АД, </w:t>
      </w:r>
      <w:r w:rsidRPr="003B37B6">
        <w:rPr>
          <w:rStyle w:val="ac"/>
          <w:rFonts w:eastAsiaTheme="majorEastAsia"/>
          <w:sz w:val="24"/>
          <w:szCs w:val="24"/>
        </w:rPr>
        <w:t>сопутствующие факторы риска (ФР), наличие СД, ПОМ, АКС.</w:t>
      </w:r>
    </w:p>
    <w:p w14:paraId="1C0D120E" w14:textId="72074609" w:rsidR="00A4226D" w:rsidRPr="003B37B6" w:rsidRDefault="00A4226D" w:rsidP="00A4226D">
      <w:pPr>
        <w:pStyle w:val="11"/>
        <w:ind w:firstLine="580"/>
        <w:jc w:val="both"/>
        <w:rPr>
          <w:sz w:val="24"/>
          <w:szCs w:val="24"/>
        </w:rPr>
      </w:pPr>
      <w:r w:rsidRPr="003B37B6">
        <w:rPr>
          <w:rStyle w:val="ac"/>
          <w:rFonts w:eastAsiaTheme="majorEastAsia"/>
          <w:sz w:val="24"/>
          <w:szCs w:val="24"/>
        </w:rPr>
        <w:t>Классификация уровней АД у лиц старше 18 лет представлена в таблице П2 Приложени</w:t>
      </w:r>
      <w:r w:rsidR="004745EE" w:rsidRPr="003B37B6">
        <w:rPr>
          <w:rStyle w:val="ac"/>
          <w:rFonts w:eastAsiaTheme="majorEastAsia"/>
          <w:sz w:val="24"/>
          <w:szCs w:val="24"/>
        </w:rPr>
        <w:t>я</w:t>
      </w:r>
      <w:r w:rsidRPr="003B37B6">
        <w:rPr>
          <w:rStyle w:val="ac"/>
          <w:rFonts w:eastAsiaTheme="majorEastAsia"/>
          <w:sz w:val="24"/>
          <w:szCs w:val="24"/>
        </w:rPr>
        <w:t xml:space="preserve"> </w:t>
      </w:r>
      <w:r w:rsidR="00FB33EA" w:rsidRPr="003B37B6">
        <w:rPr>
          <w:rStyle w:val="ac"/>
          <w:rFonts w:eastAsiaTheme="majorEastAsia"/>
          <w:sz w:val="24"/>
          <w:szCs w:val="24"/>
        </w:rPr>
        <w:t>А2</w:t>
      </w:r>
      <w:r w:rsidR="004745EE" w:rsidRPr="003B37B6">
        <w:rPr>
          <w:rStyle w:val="ac"/>
          <w:rFonts w:eastAsiaTheme="majorEastAsia"/>
          <w:sz w:val="24"/>
          <w:szCs w:val="24"/>
        </w:rPr>
        <w:t xml:space="preserve"> к настоящим Клиническим рекомендациям</w:t>
      </w:r>
      <w:r w:rsidRPr="003B37B6">
        <w:rPr>
          <w:rStyle w:val="ac"/>
          <w:rFonts w:eastAsiaTheme="majorEastAsia"/>
          <w:sz w:val="24"/>
          <w:szCs w:val="24"/>
        </w:rPr>
        <w:t>. Категорию АД определяют по результатам его трёхкратного измерения в положении пациента сидя. Используют средние значения САД и ДАД, определённых при двух последних измерениях. Изолированная систолическая гипертензия классифицируется на степени 1, 2 или 3 в зависимости от значения САД, изолированная диастолическая - в зависимости от значений ДАД. Если значения САД и ДАД попадают в разные категории, то степень АГ оценивается по более высокой категории.</w:t>
      </w:r>
    </w:p>
    <w:p w14:paraId="3C7A5C1B" w14:textId="0A8993F7" w:rsidR="00A4226D" w:rsidRPr="00A4226D" w:rsidRDefault="00A4226D" w:rsidP="00A4226D">
      <w:pPr>
        <w:pStyle w:val="11"/>
        <w:ind w:firstLine="580"/>
        <w:jc w:val="both"/>
        <w:rPr>
          <w:sz w:val="24"/>
          <w:szCs w:val="24"/>
        </w:rPr>
      </w:pPr>
      <w:r w:rsidRPr="003B37B6">
        <w:rPr>
          <w:rStyle w:val="ac"/>
          <w:rFonts w:eastAsiaTheme="majorEastAsia"/>
          <w:sz w:val="24"/>
          <w:szCs w:val="24"/>
        </w:rPr>
        <w:t>Выделение 3 стадий АГ (</w:t>
      </w:r>
      <w:r w:rsidR="00012079" w:rsidRPr="003B37B6">
        <w:rPr>
          <w:rStyle w:val="ac"/>
          <w:rFonts w:eastAsiaTheme="majorEastAsia"/>
          <w:sz w:val="24"/>
          <w:szCs w:val="24"/>
        </w:rPr>
        <w:t>т</w:t>
      </w:r>
      <w:r w:rsidRPr="003B37B6">
        <w:rPr>
          <w:rStyle w:val="ac"/>
          <w:rFonts w:eastAsiaTheme="majorEastAsia"/>
          <w:sz w:val="24"/>
          <w:szCs w:val="24"/>
        </w:rPr>
        <w:t>аблица П15 Приложени</w:t>
      </w:r>
      <w:r w:rsidR="004745EE" w:rsidRPr="003B37B6">
        <w:rPr>
          <w:rStyle w:val="ac"/>
          <w:rFonts w:eastAsiaTheme="majorEastAsia"/>
          <w:sz w:val="24"/>
          <w:szCs w:val="24"/>
        </w:rPr>
        <w:t>я</w:t>
      </w:r>
      <w:r w:rsidRPr="003B37B6">
        <w:rPr>
          <w:rStyle w:val="ac"/>
          <w:rFonts w:eastAsiaTheme="majorEastAsia"/>
          <w:sz w:val="24"/>
          <w:szCs w:val="24"/>
        </w:rPr>
        <w:t xml:space="preserve"> </w:t>
      </w:r>
      <w:r w:rsidR="00FB33EA" w:rsidRPr="003B37B6">
        <w:rPr>
          <w:rStyle w:val="ac"/>
          <w:rFonts w:eastAsiaTheme="majorEastAsia"/>
          <w:sz w:val="24"/>
          <w:szCs w:val="24"/>
        </w:rPr>
        <w:t>А2</w:t>
      </w:r>
      <w:r w:rsidR="00012079" w:rsidRPr="003B37B6">
        <w:rPr>
          <w:rStyle w:val="ac"/>
          <w:rFonts w:eastAsiaTheme="majorEastAsia"/>
          <w:sz w:val="24"/>
          <w:szCs w:val="24"/>
        </w:rPr>
        <w:t xml:space="preserve"> к настоящим Клиническим рекомендациям</w:t>
      </w:r>
      <w:r w:rsidRPr="003B37B6">
        <w:rPr>
          <w:rStyle w:val="ac"/>
          <w:rFonts w:eastAsiaTheme="majorEastAsia"/>
          <w:sz w:val="24"/>
          <w:szCs w:val="24"/>
        </w:rPr>
        <w:t>) основано на наличии поражения органов-мишеней (ПОМ), ассоциированных клинических состояний, сахарного диабета и хронической болезни почек. Стадия АГ не зависит от уровня АД.</w:t>
      </w:r>
    </w:p>
    <w:p w14:paraId="3D2C5A6A" w14:textId="77777777" w:rsidR="00A4226D" w:rsidRPr="00A4226D" w:rsidRDefault="00A4226D" w:rsidP="00A4226D">
      <w:pPr>
        <w:pStyle w:val="11"/>
        <w:ind w:firstLine="580"/>
        <w:rPr>
          <w:sz w:val="24"/>
          <w:szCs w:val="24"/>
        </w:rPr>
      </w:pPr>
      <w:r w:rsidRPr="00A4226D">
        <w:rPr>
          <w:rStyle w:val="ac"/>
          <w:rFonts w:eastAsiaTheme="majorEastAsia"/>
          <w:sz w:val="24"/>
          <w:szCs w:val="24"/>
        </w:rPr>
        <w:t>Выделяются 3 стадии гипертонической болезни.</w:t>
      </w:r>
    </w:p>
    <w:p w14:paraId="69956FD8" w14:textId="77777777" w:rsidR="00A4226D" w:rsidRPr="00A4226D" w:rsidRDefault="00A4226D" w:rsidP="00A4226D">
      <w:pPr>
        <w:pStyle w:val="11"/>
        <w:ind w:firstLine="580"/>
        <w:rPr>
          <w:sz w:val="24"/>
          <w:szCs w:val="24"/>
        </w:rPr>
      </w:pPr>
      <w:r w:rsidRPr="00A4226D">
        <w:rPr>
          <w:rStyle w:val="ac"/>
          <w:rFonts w:eastAsiaTheme="majorEastAsia"/>
          <w:b/>
          <w:bCs/>
          <w:sz w:val="24"/>
          <w:szCs w:val="24"/>
        </w:rPr>
        <w:t xml:space="preserve">Стадия I — </w:t>
      </w:r>
      <w:r w:rsidRPr="00A4226D">
        <w:rPr>
          <w:rStyle w:val="ac"/>
          <w:rFonts w:eastAsiaTheme="majorEastAsia"/>
          <w:sz w:val="24"/>
          <w:szCs w:val="24"/>
        </w:rPr>
        <w:t>отсутствие ПОМ и АКС, возможное наличие факторов риска</w:t>
      </w:r>
    </w:p>
    <w:p w14:paraId="24F09B6B" w14:textId="77777777" w:rsidR="00A4226D" w:rsidRPr="00A4226D" w:rsidRDefault="00A4226D" w:rsidP="00A4226D">
      <w:pPr>
        <w:pStyle w:val="11"/>
        <w:ind w:firstLine="640"/>
        <w:jc w:val="both"/>
        <w:rPr>
          <w:sz w:val="24"/>
          <w:szCs w:val="24"/>
        </w:rPr>
      </w:pPr>
      <w:r w:rsidRPr="00A4226D">
        <w:rPr>
          <w:rStyle w:val="ac"/>
          <w:rFonts w:eastAsiaTheme="majorEastAsia"/>
          <w:sz w:val="24"/>
          <w:szCs w:val="24"/>
        </w:rPr>
        <w:t>Факторы СС риска у пациентов с АГ:</w:t>
      </w:r>
    </w:p>
    <w:p w14:paraId="3D872B91" w14:textId="71449BB4" w:rsidR="00A4226D" w:rsidRPr="00A4226D" w:rsidRDefault="00A4226D">
      <w:pPr>
        <w:pStyle w:val="11"/>
        <w:numPr>
          <w:ilvl w:val="0"/>
          <w:numId w:val="2"/>
        </w:numPr>
        <w:tabs>
          <w:tab w:val="left" w:pos="1276"/>
        </w:tabs>
        <w:ind w:firstLine="580"/>
        <w:jc w:val="both"/>
        <w:rPr>
          <w:sz w:val="24"/>
          <w:szCs w:val="24"/>
        </w:rPr>
      </w:pPr>
      <w:r w:rsidRPr="00A4226D">
        <w:rPr>
          <w:rStyle w:val="ac"/>
          <w:rFonts w:eastAsiaTheme="majorEastAsia"/>
          <w:sz w:val="24"/>
          <w:szCs w:val="24"/>
        </w:rPr>
        <w:t>Пол (</w:t>
      </w:r>
      <w:proofErr w:type="gramStart"/>
      <w:r w:rsidR="00B164E9" w:rsidRPr="00A4226D">
        <w:rPr>
          <w:rStyle w:val="ac"/>
          <w:rFonts w:eastAsiaTheme="majorEastAsia"/>
          <w:sz w:val="24"/>
          <w:szCs w:val="24"/>
        </w:rPr>
        <w:t>мужчины</w:t>
      </w:r>
      <w:r w:rsidR="00B164E9">
        <w:rPr>
          <w:rStyle w:val="ac"/>
          <w:rFonts w:eastAsiaTheme="majorEastAsia"/>
          <w:sz w:val="24"/>
          <w:szCs w:val="24"/>
          <w:lang w:val="en-US"/>
        </w:rPr>
        <w:t xml:space="preserve"> </w:t>
      </w:r>
      <w:r w:rsidR="00B164E9" w:rsidRPr="00A4226D">
        <w:rPr>
          <w:rStyle w:val="ac"/>
          <w:rFonts w:eastAsiaTheme="majorEastAsia"/>
          <w:sz w:val="24"/>
          <w:szCs w:val="24"/>
        </w:rPr>
        <w:t>&gt;</w:t>
      </w:r>
      <w:proofErr w:type="gramEnd"/>
      <w:r w:rsidRPr="00A4226D">
        <w:rPr>
          <w:rStyle w:val="ac"/>
          <w:rFonts w:eastAsiaTheme="majorEastAsia"/>
          <w:sz w:val="24"/>
          <w:szCs w:val="24"/>
        </w:rPr>
        <w:t xml:space="preserve"> женщин);</w:t>
      </w:r>
    </w:p>
    <w:p w14:paraId="059F2F66" w14:textId="77777777" w:rsidR="00A4226D" w:rsidRPr="00A4226D" w:rsidRDefault="00A4226D" w:rsidP="00A4226D">
      <w:pPr>
        <w:pStyle w:val="11"/>
        <w:tabs>
          <w:tab w:val="left" w:pos="1276"/>
        </w:tabs>
        <w:ind w:firstLine="567"/>
        <w:jc w:val="both"/>
        <w:rPr>
          <w:sz w:val="24"/>
          <w:szCs w:val="24"/>
        </w:rPr>
      </w:pPr>
      <w:r w:rsidRPr="00A4226D">
        <w:rPr>
          <w:rStyle w:val="ac"/>
          <w:rFonts w:eastAsiaTheme="majorEastAsia"/>
          <w:sz w:val="24"/>
          <w:szCs w:val="24"/>
        </w:rPr>
        <w:t>—</w:t>
      </w:r>
      <w:r>
        <w:rPr>
          <w:rStyle w:val="ac"/>
          <w:rFonts w:eastAsiaTheme="majorEastAsia"/>
          <w:sz w:val="24"/>
          <w:szCs w:val="24"/>
        </w:rPr>
        <w:tab/>
      </w:r>
      <w:r w:rsidRPr="00A4226D">
        <w:rPr>
          <w:rStyle w:val="ac"/>
          <w:rFonts w:eastAsiaTheme="majorEastAsia"/>
          <w:sz w:val="24"/>
          <w:szCs w:val="24"/>
        </w:rPr>
        <w:t>Возраст &gt;55 лет у мужчин, &gt;65 лет у женщин;</w:t>
      </w:r>
    </w:p>
    <w:p w14:paraId="46EA07BD" w14:textId="77777777" w:rsidR="00A4226D" w:rsidRPr="00A4226D" w:rsidRDefault="00A4226D">
      <w:pPr>
        <w:pStyle w:val="11"/>
        <w:numPr>
          <w:ilvl w:val="0"/>
          <w:numId w:val="2"/>
        </w:numPr>
        <w:tabs>
          <w:tab w:val="left" w:pos="1267"/>
        </w:tabs>
        <w:ind w:firstLine="580"/>
        <w:jc w:val="both"/>
        <w:rPr>
          <w:sz w:val="24"/>
          <w:szCs w:val="24"/>
        </w:rPr>
      </w:pPr>
      <w:r w:rsidRPr="00A4226D">
        <w:rPr>
          <w:rStyle w:val="ac"/>
          <w:rFonts w:eastAsiaTheme="majorEastAsia"/>
          <w:sz w:val="24"/>
          <w:szCs w:val="24"/>
        </w:rPr>
        <w:t>Курение (в настоящем или прошлом; курение в прошлом следует рассматривать как фактор риска при отказе от курения в течение последнего года);</w:t>
      </w:r>
    </w:p>
    <w:p w14:paraId="1B37B388" w14:textId="77777777" w:rsidR="00A4226D" w:rsidRPr="00A4226D" w:rsidRDefault="00A4226D" w:rsidP="00A4226D">
      <w:pPr>
        <w:pStyle w:val="11"/>
        <w:tabs>
          <w:tab w:val="left" w:pos="1276"/>
        </w:tabs>
        <w:ind w:firstLine="580"/>
        <w:jc w:val="both"/>
        <w:rPr>
          <w:sz w:val="24"/>
          <w:szCs w:val="24"/>
        </w:rPr>
      </w:pPr>
      <w:r w:rsidRPr="00A4226D">
        <w:rPr>
          <w:rStyle w:val="ac"/>
          <w:rFonts w:eastAsia="Arial"/>
          <w:sz w:val="24"/>
          <w:szCs w:val="24"/>
        </w:rPr>
        <w:t>—</w:t>
      </w:r>
      <w:r>
        <w:rPr>
          <w:rStyle w:val="ac"/>
          <w:rFonts w:eastAsia="Arial"/>
          <w:sz w:val="24"/>
          <w:szCs w:val="24"/>
        </w:rPr>
        <w:tab/>
      </w:r>
      <w:r w:rsidRPr="00A4226D">
        <w:rPr>
          <w:rStyle w:val="ac"/>
          <w:rFonts w:eastAsiaTheme="majorEastAsia"/>
          <w:sz w:val="24"/>
          <w:szCs w:val="24"/>
        </w:rPr>
        <w:t>Дислипидемия (принимается во внимание каждый из представленных показателей липидного обмена): общий ХС &gt;4,9 ммоль/л и/или ХС ЛНП &gt;3,0 ммоль/л и/или ХС ЛВП у мужчин — &lt;1,0 ммоль/л (40 мг/дл), у женщин — &lt;1,2 ммоль/л (46 мг/дл) и/или триглицериды &gt;1,7 ммоль/л;</w:t>
      </w:r>
    </w:p>
    <w:p w14:paraId="42EF2207" w14:textId="77777777" w:rsidR="00A4226D" w:rsidRPr="00A4226D" w:rsidRDefault="00A4226D" w:rsidP="00A4226D">
      <w:pPr>
        <w:pStyle w:val="11"/>
        <w:tabs>
          <w:tab w:val="left" w:pos="1276"/>
        </w:tabs>
        <w:ind w:firstLine="580"/>
        <w:jc w:val="both"/>
        <w:rPr>
          <w:sz w:val="24"/>
          <w:szCs w:val="24"/>
        </w:rPr>
      </w:pPr>
      <w:r w:rsidRPr="00A4226D">
        <w:rPr>
          <w:rStyle w:val="ac"/>
          <w:rFonts w:eastAsiaTheme="majorEastAsia"/>
          <w:sz w:val="24"/>
          <w:szCs w:val="24"/>
        </w:rPr>
        <w:t>—</w:t>
      </w:r>
      <w:r w:rsidRPr="00A4226D">
        <w:rPr>
          <w:rStyle w:val="ac"/>
          <w:rFonts w:eastAsiaTheme="majorEastAsia"/>
          <w:sz w:val="24"/>
          <w:szCs w:val="24"/>
        </w:rPr>
        <w:tab/>
        <w:t>Мочевая кислота (&gt;360 мкмоль/л);</w:t>
      </w:r>
    </w:p>
    <w:p w14:paraId="6AF9342B" w14:textId="77777777" w:rsidR="00A4226D" w:rsidRPr="00A4226D" w:rsidRDefault="00A4226D" w:rsidP="00A4226D">
      <w:pPr>
        <w:pStyle w:val="11"/>
        <w:tabs>
          <w:tab w:val="left" w:pos="1276"/>
        </w:tabs>
        <w:ind w:firstLine="580"/>
        <w:rPr>
          <w:sz w:val="24"/>
          <w:szCs w:val="24"/>
        </w:rPr>
      </w:pPr>
      <w:r w:rsidRPr="00A4226D">
        <w:rPr>
          <w:rStyle w:val="ac"/>
          <w:rFonts w:eastAsiaTheme="majorEastAsia"/>
          <w:sz w:val="24"/>
          <w:szCs w:val="24"/>
        </w:rPr>
        <w:t>—</w:t>
      </w:r>
      <w:r>
        <w:rPr>
          <w:rStyle w:val="ac"/>
          <w:rFonts w:eastAsiaTheme="majorEastAsia"/>
          <w:sz w:val="24"/>
          <w:szCs w:val="24"/>
        </w:rPr>
        <w:tab/>
      </w:r>
      <w:r w:rsidRPr="00A4226D">
        <w:rPr>
          <w:rStyle w:val="ac"/>
          <w:rFonts w:eastAsiaTheme="majorEastAsia"/>
          <w:sz w:val="24"/>
          <w:szCs w:val="24"/>
        </w:rPr>
        <w:t>Нарушение гликемии натощак: глюкоза плазмы натощак 5,6-6,9 ммоль/л;</w:t>
      </w:r>
    </w:p>
    <w:p w14:paraId="7553365A" w14:textId="77777777" w:rsidR="00A4226D" w:rsidRPr="00A4226D" w:rsidRDefault="00A4226D" w:rsidP="00A4226D">
      <w:pPr>
        <w:pStyle w:val="11"/>
        <w:tabs>
          <w:tab w:val="left" w:pos="1254"/>
        </w:tabs>
        <w:ind w:firstLine="580"/>
        <w:rPr>
          <w:sz w:val="24"/>
          <w:szCs w:val="24"/>
        </w:rPr>
      </w:pPr>
      <w:r w:rsidRPr="00A4226D">
        <w:rPr>
          <w:rStyle w:val="ac"/>
          <w:rFonts w:eastAsiaTheme="majorEastAsia"/>
          <w:sz w:val="24"/>
          <w:szCs w:val="24"/>
        </w:rPr>
        <w:t>—</w:t>
      </w:r>
      <w:r w:rsidRPr="00A4226D">
        <w:rPr>
          <w:rStyle w:val="ac"/>
          <w:rFonts w:eastAsiaTheme="majorEastAsia"/>
          <w:sz w:val="24"/>
          <w:szCs w:val="24"/>
        </w:rPr>
        <w:tab/>
        <w:t>Нарушение толерантности к глюкозе;</w:t>
      </w:r>
    </w:p>
    <w:p w14:paraId="145907B8" w14:textId="77777777" w:rsidR="00A4226D" w:rsidRPr="00A4226D" w:rsidRDefault="00A4226D" w:rsidP="00A4226D">
      <w:pPr>
        <w:pStyle w:val="11"/>
        <w:tabs>
          <w:tab w:val="left" w:pos="1276"/>
        </w:tabs>
        <w:ind w:firstLine="580"/>
        <w:rPr>
          <w:sz w:val="24"/>
          <w:szCs w:val="24"/>
        </w:rPr>
      </w:pPr>
      <w:r w:rsidRPr="00A4226D">
        <w:rPr>
          <w:rStyle w:val="ac"/>
          <w:rFonts w:eastAsiaTheme="majorEastAsia"/>
          <w:sz w:val="24"/>
          <w:szCs w:val="24"/>
        </w:rPr>
        <w:t>—</w:t>
      </w:r>
      <w:r>
        <w:rPr>
          <w:rStyle w:val="ac"/>
          <w:rFonts w:eastAsiaTheme="majorEastAsia"/>
          <w:sz w:val="24"/>
          <w:szCs w:val="24"/>
        </w:rPr>
        <w:tab/>
      </w:r>
      <w:r w:rsidRPr="00A4226D">
        <w:rPr>
          <w:rStyle w:val="ac"/>
          <w:rFonts w:eastAsiaTheme="majorEastAsia"/>
          <w:sz w:val="24"/>
          <w:szCs w:val="24"/>
        </w:rPr>
        <w:t>Избыточная масса тела (ИМТ 25-29,9 кг/м</w:t>
      </w:r>
      <w:r w:rsidRPr="00A4226D">
        <w:rPr>
          <w:rStyle w:val="ac"/>
          <w:rFonts w:eastAsiaTheme="majorEastAsia"/>
          <w:sz w:val="24"/>
          <w:szCs w:val="24"/>
          <w:vertAlign w:val="superscript"/>
        </w:rPr>
        <w:t>2</w:t>
      </w:r>
      <w:r w:rsidRPr="00A4226D">
        <w:rPr>
          <w:rStyle w:val="ac"/>
          <w:rFonts w:eastAsiaTheme="majorEastAsia"/>
          <w:sz w:val="24"/>
          <w:szCs w:val="24"/>
        </w:rPr>
        <w:t>) или ожирение (ИМТ&gt; 30 кг/м</w:t>
      </w:r>
      <w:r w:rsidRPr="00A4226D">
        <w:rPr>
          <w:rStyle w:val="ac"/>
          <w:rFonts w:eastAsiaTheme="majorEastAsia"/>
          <w:sz w:val="24"/>
          <w:szCs w:val="24"/>
          <w:vertAlign w:val="superscript"/>
        </w:rPr>
        <w:t>2</w:t>
      </w:r>
      <w:r w:rsidRPr="00A4226D">
        <w:rPr>
          <w:rStyle w:val="ac"/>
          <w:rFonts w:eastAsiaTheme="majorEastAsia"/>
          <w:sz w:val="24"/>
          <w:szCs w:val="24"/>
        </w:rPr>
        <w:t>);</w:t>
      </w:r>
    </w:p>
    <w:p w14:paraId="3689DC69" w14:textId="77777777" w:rsidR="00A4226D" w:rsidRPr="00A4226D" w:rsidRDefault="00A4226D" w:rsidP="00A4226D">
      <w:pPr>
        <w:pStyle w:val="11"/>
        <w:tabs>
          <w:tab w:val="left" w:pos="1276"/>
        </w:tabs>
        <w:ind w:firstLine="580"/>
        <w:jc w:val="both"/>
        <w:rPr>
          <w:sz w:val="24"/>
          <w:szCs w:val="24"/>
        </w:rPr>
      </w:pPr>
      <w:r w:rsidRPr="00A4226D">
        <w:rPr>
          <w:rStyle w:val="ac"/>
          <w:rFonts w:eastAsia="Arial"/>
          <w:sz w:val="24"/>
          <w:szCs w:val="24"/>
        </w:rPr>
        <w:t>—</w:t>
      </w:r>
      <w:r>
        <w:rPr>
          <w:rStyle w:val="ac"/>
          <w:rFonts w:eastAsia="Arial"/>
          <w:sz w:val="24"/>
          <w:szCs w:val="24"/>
        </w:rPr>
        <w:tab/>
      </w:r>
      <w:r w:rsidRPr="00A4226D">
        <w:rPr>
          <w:rStyle w:val="ac"/>
          <w:rFonts w:eastAsiaTheme="majorEastAsia"/>
          <w:sz w:val="24"/>
          <w:szCs w:val="24"/>
        </w:rPr>
        <w:t>Наличие абдоминального ожирения (окружность талии &gt;94 см у мужчин и &gt;80 см у женщин)</w:t>
      </w:r>
    </w:p>
    <w:p w14:paraId="61D97552" w14:textId="77777777" w:rsidR="00A4226D" w:rsidRPr="00A4226D" w:rsidRDefault="00A4226D" w:rsidP="00A4226D">
      <w:pPr>
        <w:pStyle w:val="11"/>
        <w:tabs>
          <w:tab w:val="left" w:pos="1254"/>
        </w:tabs>
        <w:ind w:firstLine="580"/>
        <w:jc w:val="both"/>
        <w:rPr>
          <w:sz w:val="24"/>
          <w:szCs w:val="24"/>
        </w:rPr>
      </w:pPr>
      <w:r w:rsidRPr="00A4226D">
        <w:rPr>
          <w:rStyle w:val="ac"/>
          <w:rFonts w:eastAsia="Arial"/>
          <w:sz w:val="24"/>
          <w:szCs w:val="24"/>
        </w:rPr>
        <w:t>—</w:t>
      </w:r>
      <w:r w:rsidRPr="00A4226D">
        <w:rPr>
          <w:rStyle w:val="ac"/>
          <w:rFonts w:eastAsia="Arial"/>
          <w:sz w:val="24"/>
          <w:szCs w:val="24"/>
        </w:rPr>
        <w:tab/>
      </w:r>
      <w:r w:rsidRPr="00A4226D">
        <w:rPr>
          <w:rStyle w:val="ac"/>
          <w:rFonts w:eastAsiaTheme="majorEastAsia"/>
          <w:sz w:val="24"/>
          <w:szCs w:val="24"/>
        </w:rPr>
        <w:t>Семейный анамнез развития ССЗ в молодом возрасте (&lt;55 лет для мужчин и &lt;65 лет</w:t>
      </w:r>
      <w:r>
        <w:rPr>
          <w:sz w:val="24"/>
          <w:szCs w:val="24"/>
        </w:rPr>
        <w:t xml:space="preserve"> </w:t>
      </w:r>
      <w:r w:rsidRPr="00A4226D">
        <w:rPr>
          <w:rStyle w:val="ac"/>
          <w:rFonts w:eastAsiaTheme="majorEastAsia"/>
          <w:sz w:val="24"/>
          <w:szCs w:val="24"/>
        </w:rPr>
        <w:t>для женщин);</w:t>
      </w:r>
    </w:p>
    <w:p w14:paraId="6E76A813" w14:textId="77777777" w:rsidR="00A4226D" w:rsidRPr="00A4226D" w:rsidRDefault="00A4226D">
      <w:pPr>
        <w:pStyle w:val="11"/>
        <w:numPr>
          <w:ilvl w:val="0"/>
          <w:numId w:val="3"/>
        </w:numPr>
        <w:tabs>
          <w:tab w:val="left" w:pos="1254"/>
        </w:tabs>
        <w:ind w:firstLine="580"/>
        <w:rPr>
          <w:sz w:val="24"/>
          <w:szCs w:val="24"/>
        </w:rPr>
      </w:pPr>
      <w:r w:rsidRPr="00A4226D">
        <w:rPr>
          <w:rStyle w:val="ac"/>
          <w:rFonts w:eastAsiaTheme="majorEastAsia"/>
          <w:sz w:val="24"/>
          <w:szCs w:val="24"/>
        </w:rPr>
        <w:t>Развитие АГ в молодом возрасте у родителей или в семье;</w:t>
      </w:r>
    </w:p>
    <w:p w14:paraId="591AC036" w14:textId="77777777" w:rsidR="00A4226D" w:rsidRPr="00A4226D" w:rsidRDefault="00A4226D">
      <w:pPr>
        <w:pStyle w:val="11"/>
        <w:numPr>
          <w:ilvl w:val="0"/>
          <w:numId w:val="3"/>
        </w:numPr>
        <w:tabs>
          <w:tab w:val="left" w:pos="1254"/>
        </w:tabs>
        <w:ind w:firstLine="580"/>
        <w:rPr>
          <w:sz w:val="24"/>
          <w:szCs w:val="24"/>
        </w:rPr>
      </w:pPr>
      <w:r w:rsidRPr="00A4226D">
        <w:rPr>
          <w:rStyle w:val="ac"/>
          <w:rFonts w:eastAsiaTheme="majorEastAsia"/>
          <w:sz w:val="24"/>
          <w:szCs w:val="24"/>
        </w:rPr>
        <w:t>Ранняя менопауза;</w:t>
      </w:r>
    </w:p>
    <w:p w14:paraId="724CB340" w14:textId="77777777" w:rsidR="00A4226D" w:rsidRPr="00A4226D" w:rsidRDefault="00A4226D">
      <w:pPr>
        <w:pStyle w:val="11"/>
        <w:numPr>
          <w:ilvl w:val="0"/>
          <w:numId w:val="3"/>
        </w:numPr>
        <w:tabs>
          <w:tab w:val="left" w:pos="1254"/>
        </w:tabs>
        <w:ind w:firstLine="580"/>
        <w:rPr>
          <w:sz w:val="24"/>
          <w:szCs w:val="24"/>
        </w:rPr>
      </w:pPr>
      <w:r w:rsidRPr="00A4226D">
        <w:rPr>
          <w:rStyle w:val="ac"/>
          <w:rFonts w:eastAsiaTheme="majorEastAsia"/>
          <w:sz w:val="24"/>
          <w:szCs w:val="24"/>
        </w:rPr>
        <w:lastRenderedPageBreak/>
        <w:t>Малоподвижный образ жизни;</w:t>
      </w:r>
    </w:p>
    <w:p w14:paraId="0385A413" w14:textId="77777777" w:rsidR="00A4226D" w:rsidRPr="00A4226D" w:rsidRDefault="00A4226D">
      <w:pPr>
        <w:pStyle w:val="11"/>
        <w:numPr>
          <w:ilvl w:val="0"/>
          <w:numId w:val="3"/>
        </w:numPr>
        <w:tabs>
          <w:tab w:val="left" w:pos="1254"/>
          <w:tab w:val="right" w:pos="7036"/>
        </w:tabs>
        <w:ind w:firstLine="580"/>
        <w:rPr>
          <w:sz w:val="24"/>
          <w:szCs w:val="24"/>
        </w:rPr>
      </w:pPr>
      <w:r w:rsidRPr="00A4226D">
        <w:rPr>
          <w:rStyle w:val="ac"/>
          <w:rFonts w:eastAsiaTheme="majorEastAsia"/>
          <w:sz w:val="24"/>
          <w:szCs w:val="24"/>
        </w:rPr>
        <w:t>Психологические и социально-экономические</w:t>
      </w:r>
      <w:r w:rsidRPr="00A4226D">
        <w:rPr>
          <w:rStyle w:val="ac"/>
          <w:rFonts w:eastAsiaTheme="majorEastAsia"/>
          <w:sz w:val="24"/>
          <w:szCs w:val="24"/>
        </w:rPr>
        <w:tab/>
        <w:t>факторы;</w:t>
      </w:r>
    </w:p>
    <w:p w14:paraId="38F43043" w14:textId="77777777" w:rsidR="00A4226D" w:rsidRPr="00A4226D" w:rsidRDefault="00A4226D" w:rsidP="00A4226D">
      <w:pPr>
        <w:pStyle w:val="11"/>
        <w:tabs>
          <w:tab w:val="left" w:pos="567"/>
          <w:tab w:val="left" w:pos="1276"/>
        </w:tabs>
        <w:ind w:firstLine="620"/>
        <w:jc w:val="both"/>
        <w:rPr>
          <w:sz w:val="24"/>
          <w:szCs w:val="24"/>
        </w:rPr>
      </w:pPr>
      <w:r w:rsidRPr="00A4226D">
        <w:rPr>
          <w:rStyle w:val="ac"/>
          <w:rFonts w:eastAsiaTheme="majorEastAsia"/>
          <w:sz w:val="24"/>
          <w:szCs w:val="24"/>
        </w:rPr>
        <w:t>—</w:t>
      </w:r>
      <w:r>
        <w:rPr>
          <w:rStyle w:val="ac"/>
          <w:rFonts w:eastAsiaTheme="majorEastAsia"/>
          <w:sz w:val="24"/>
          <w:szCs w:val="24"/>
        </w:rPr>
        <w:tab/>
      </w:r>
      <w:r w:rsidRPr="00A4226D">
        <w:rPr>
          <w:rStyle w:val="ac"/>
          <w:rFonts w:eastAsiaTheme="majorEastAsia"/>
          <w:sz w:val="24"/>
          <w:szCs w:val="24"/>
        </w:rPr>
        <w:t>Частота сердечных сокращений в покое &gt;80 ударов в минуту.</w:t>
      </w:r>
    </w:p>
    <w:p w14:paraId="0AEC5F7F" w14:textId="77777777" w:rsidR="00A4226D" w:rsidRPr="000452B0" w:rsidRDefault="00A4226D" w:rsidP="00A4226D">
      <w:pPr>
        <w:pStyle w:val="11"/>
        <w:ind w:firstLine="620"/>
        <w:jc w:val="both"/>
        <w:rPr>
          <w:sz w:val="24"/>
          <w:szCs w:val="24"/>
        </w:rPr>
      </w:pPr>
      <w:r w:rsidRPr="000452B0">
        <w:rPr>
          <w:rStyle w:val="ac"/>
          <w:rFonts w:eastAsiaTheme="majorEastAsia"/>
          <w:sz w:val="24"/>
          <w:szCs w:val="24"/>
        </w:rPr>
        <w:t xml:space="preserve">В настоящее время изучается воздействие новых факторов на риск развития и прогрессирования АГ. Среди них малый вес при рождении, липопротеид (а), неблагоприятные исходы беременностей (рецидивирующие выкидыши, преждевременные роды, гипертонические расстройства беременных, гестационный диабет), старческая астения, миграция, неблагоприятные факторы окружающей среды (загрязнение атмосферы, шум). Кроме того, в числе факторов, влияющих на СС риск при АГ предлагается рассматривать ряд сопутствующих заболеваний и клинических состояний: резистентную АГ, нарушения сна, включая СОАС, ХОБЛ, подагру, хронические воспалительные заболевания, неалкогольную жировую болезнь печени, хронические инфекции, включая длительно текущий </w:t>
      </w:r>
      <w:r w:rsidRPr="000452B0">
        <w:rPr>
          <w:rStyle w:val="ac"/>
          <w:rFonts w:eastAsiaTheme="majorEastAsia"/>
          <w:sz w:val="24"/>
          <w:szCs w:val="24"/>
          <w:lang w:val="en-US"/>
        </w:rPr>
        <w:t>COVID</w:t>
      </w:r>
      <w:r w:rsidRPr="000452B0">
        <w:rPr>
          <w:rStyle w:val="ac"/>
          <w:rFonts w:eastAsiaTheme="majorEastAsia"/>
          <w:sz w:val="24"/>
          <w:szCs w:val="24"/>
        </w:rPr>
        <w:t>-19, мигрени, депрессивные синдромы и эректильную дисфункцию [12].</w:t>
      </w:r>
    </w:p>
    <w:p w14:paraId="291846DB" w14:textId="77777777" w:rsidR="00A4226D" w:rsidRPr="00A4226D" w:rsidRDefault="00A4226D" w:rsidP="00523C0E">
      <w:pPr>
        <w:pStyle w:val="11"/>
        <w:ind w:firstLine="709"/>
        <w:jc w:val="both"/>
        <w:rPr>
          <w:sz w:val="24"/>
          <w:szCs w:val="24"/>
        </w:rPr>
      </w:pPr>
      <w:r w:rsidRPr="00A4226D">
        <w:rPr>
          <w:rStyle w:val="ac"/>
          <w:rFonts w:eastAsiaTheme="majorEastAsia"/>
          <w:b/>
          <w:bCs/>
          <w:sz w:val="24"/>
          <w:szCs w:val="24"/>
        </w:rPr>
        <w:t xml:space="preserve">Стадия II </w:t>
      </w:r>
      <w:r w:rsidRPr="00A4226D">
        <w:rPr>
          <w:rStyle w:val="ac"/>
          <w:rFonts w:eastAsiaTheme="majorEastAsia"/>
          <w:sz w:val="24"/>
          <w:szCs w:val="24"/>
        </w:rPr>
        <w:t>подразумевает наличие бессимптомного поражения органов-мишеней, связанного с АГ и/или ХБП, и/или СД без поражения органов-мишеней и предполагает отсутствие АКС.</w:t>
      </w:r>
    </w:p>
    <w:p w14:paraId="2363107C" w14:textId="77777777" w:rsidR="00A4226D" w:rsidRPr="00A4226D" w:rsidRDefault="00A4226D" w:rsidP="00523C0E">
      <w:pPr>
        <w:pStyle w:val="11"/>
        <w:ind w:firstLine="709"/>
        <w:jc w:val="both"/>
        <w:rPr>
          <w:sz w:val="24"/>
          <w:szCs w:val="24"/>
        </w:rPr>
      </w:pPr>
      <w:r w:rsidRPr="00A4226D">
        <w:rPr>
          <w:rStyle w:val="ac"/>
          <w:rFonts w:eastAsiaTheme="majorEastAsia"/>
          <w:sz w:val="24"/>
          <w:szCs w:val="24"/>
        </w:rPr>
        <w:t>Бессимптомное ПОМ:</w:t>
      </w:r>
    </w:p>
    <w:p w14:paraId="2A7C1F1E" w14:textId="77777777" w:rsidR="00A4226D" w:rsidRPr="00A4226D" w:rsidRDefault="00A4226D">
      <w:pPr>
        <w:pStyle w:val="11"/>
        <w:numPr>
          <w:ilvl w:val="0"/>
          <w:numId w:val="4"/>
        </w:numPr>
        <w:tabs>
          <w:tab w:val="left" w:pos="1287"/>
        </w:tabs>
        <w:ind w:firstLine="709"/>
        <w:jc w:val="both"/>
        <w:rPr>
          <w:sz w:val="24"/>
          <w:szCs w:val="24"/>
        </w:rPr>
      </w:pPr>
      <w:r w:rsidRPr="00A4226D">
        <w:rPr>
          <w:rStyle w:val="ac"/>
          <w:rFonts w:eastAsiaTheme="majorEastAsia"/>
          <w:sz w:val="24"/>
          <w:szCs w:val="24"/>
        </w:rPr>
        <w:t>Артериальная жесткость:</w:t>
      </w:r>
    </w:p>
    <w:p w14:paraId="76C292F8" w14:textId="77777777" w:rsidR="00A4226D" w:rsidRPr="00A4226D" w:rsidRDefault="00A4226D">
      <w:pPr>
        <w:pStyle w:val="11"/>
        <w:numPr>
          <w:ilvl w:val="0"/>
          <w:numId w:val="4"/>
        </w:numPr>
        <w:tabs>
          <w:tab w:val="left" w:pos="1287"/>
        </w:tabs>
        <w:ind w:firstLine="709"/>
        <w:jc w:val="both"/>
        <w:rPr>
          <w:sz w:val="24"/>
          <w:szCs w:val="24"/>
        </w:rPr>
      </w:pPr>
      <w:r w:rsidRPr="00A4226D">
        <w:rPr>
          <w:rStyle w:val="ac"/>
          <w:rFonts w:eastAsiaTheme="majorEastAsia"/>
          <w:sz w:val="24"/>
          <w:szCs w:val="24"/>
        </w:rPr>
        <w:t>Пульсовое давление (ПД) (у пожилых пациентов) &gt;60 мм рт. ст. при отсутствии</w:t>
      </w:r>
    </w:p>
    <w:p w14:paraId="218D2277" w14:textId="77777777" w:rsidR="00A4226D" w:rsidRPr="00A4226D" w:rsidRDefault="00A4226D" w:rsidP="00523C0E">
      <w:pPr>
        <w:pStyle w:val="11"/>
        <w:ind w:firstLine="709"/>
        <w:jc w:val="both"/>
        <w:rPr>
          <w:sz w:val="24"/>
          <w:szCs w:val="24"/>
        </w:rPr>
      </w:pPr>
      <w:r w:rsidRPr="00A4226D">
        <w:rPr>
          <w:rStyle w:val="ac"/>
          <w:rFonts w:eastAsiaTheme="majorEastAsia"/>
          <w:sz w:val="24"/>
          <w:szCs w:val="24"/>
        </w:rPr>
        <w:t>недостаточности клапанов аорты</w:t>
      </w:r>
    </w:p>
    <w:p w14:paraId="3E6FF823" w14:textId="77777777" w:rsidR="00A4226D" w:rsidRPr="00A4226D" w:rsidRDefault="00A4226D">
      <w:pPr>
        <w:pStyle w:val="11"/>
        <w:numPr>
          <w:ilvl w:val="0"/>
          <w:numId w:val="4"/>
        </w:numPr>
        <w:tabs>
          <w:tab w:val="left" w:pos="1307"/>
        </w:tabs>
        <w:ind w:firstLine="709"/>
        <w:jc w:val="both"/>
        <w:rPr>
          <w:sz w:val="24"/>
          <w:szCs w:val="24"/>
        </w:rPr>
      </w:pPr>
      <w:r w:rsidRPr="00A4226D">
        <w:rPr>
          <w:rStyle w:val="ac"/>
          <w:rFonts w:eastAsiaTheme="majorEastAsia"/>
          <w:sz w:val="24"/>
          <w:szCs w:val="24"/>
        </w:rPr>
        <w:t>Каротидно-феморальная СПВ &gt;10 м/с</w:t>
      </w:r>
    </w:p>
    <w:p w14:paraId="688F2670" w14:textId="77777777" w:rsidR="00A4226D" w:rsidRPr="00A4226D" w:rsidRDefault="00A4226D">
      <w:pPr>
        <w:pStyle w:val="11"/>
        <w:numPr>
          <w:ilvl w:val="0"/>
          <w:numId w:val="4"/>
        </w:numPr>
        <w:tabs>
          <w:tab w:val="left" w:pos="1307"/>
        </w:tabs>
        <w:ind w:firstLine="709"/>
        <w:jc w:val="both"/>
        <w:rPr>
          <w:sz w:val="24"/>
          <w:szCs w:val="24"/>
        </w:rPr>
      </w:pPr>
      <w:r w:rsidRPr="00A4226D">
        <w:rPr>
          <w:rStyle w:val="ac"/>
          <w:rFonts w:eastAsiaTheme="majorEastAsia"/>
          <w:sz w:val="24"/>
          <w:szCs w:val="24"/>
        </w:rPr>
        <w:t>Электрокардиографические (ЭКГ) признаки ГЛЖ на (индекс Соколова-Лайона</w:t>
      </w:r>
    </w:p>
    <w:p w14:paraId="56C27AB7" w14:textId="77777777" w:rsidR="00A4226D" w:rsidRPr="00A4226D" w:rsidRDefault="00A4226D" w:rsidP="00523C0E">
      <w:pPr>
        <w:pStyle w:val="11"/>
        <w:ind w:firstLine="0"/>
        <w:jc w:val="both"/>
        <w:rPr>
          <w:sz w:val="24"/>
          <w:szCs w:val="24"/>
        </w:rPr>
      </w:pPr>
      <w:r w:rsidRPr="00A4226D">
        <w:rPr>
          <w:rStyle w:val="ac"/>
          <w:rFonts w:eastAsiaTheme="majorEastAsia"/>
          <w:sz w:val="24"/>
          <w:szCs w:val="24"/>
        </w:rPr>
        <w:t>(</w:t>
      </w:r>
      <w:r w:rsidRPr="00A4226D">
        <w:rPr>
          <w:rStyle w:val="ac"/>
          <w:rFonts w:eastAsiaTheme="majorEastAsia"/>
          <w:sz w:val="24"/>
          <w:szCs w:val="24"/>
          <w:lang w:val="en-US"/>
        </w:rPr>
        <w:t>SV</w:t>
      </w:r>
      <w:r w:rsidRPr="00A4226D">
        <w:rPr>
          <w:rStyle w:val="ac"/>
          <w:rFonts w:eastAsiaTheme="majorEastAsia"/>
          <w:sz w:val="24"/>
          <w:szCs w:val="24"/>
        </w:rPr>
        <w:t>1+</w:t>
      </w:r>
      <w:r w:rsidRPr="00A4226D">
        <w:rPr>
          <w:rStyle w:val="ac"/>
          <w:rFonts w:eastAsiaTheme="majorEastAsia"/>
          <w:sz w:val="24"/>
          <w:szCs w:val="24"/>
          <w:lang w:val="en-US"/>
        </w:rPr>
        <w:t>RV</w:t>
      </w:r>
      <w:r w:rsidRPr="00A4226D">
        <w:rPr>
          <w:rStyle w:val="ac"/>
          <w:rFonts w:eastAsiaTheme="majorEastAsia"/>
          <w:sz w:val="24"/>
          <w:szCs w:val="24"/>
        </w:rPr>
        <w:t>5-</w:t>
      </w:r>
      <w:proofErr w:type="gramStart"/>
      <w:r w:rsidRPr="00A4226D">
        <w:rPr>
          <w:rStyle w:val="ac"/>
          <w:rFonts w:eastAsiaTheme="majorEastAsia"/>
          <w:sz w:val="24"/>
          <w:szCs w:val="24"/>
        </w:rPr>
        <w:t>6 &gt;</w:t>
      </w:r>
      <w:proofErr w:type="gramEnd"/>
      <w:r w:rsidRPr="00A4226D">
        <w:rPr>
          <w:rStyle w:val="ac"/>
          <w:rFonts w:eastAsiaTheme="majorEastAsia"/>
          <w:sz w:val="24"/>
          <w:szCs w:val="24"/>
        </w:rPr>
        <w:t xml:space="preserve"> 35 мм), или амплитуда зубца </w:t>
      </w:r>
      <w:r w:rsidRPr="00A4226D">
        <w:rPr>
          <w:rStyle w:val="ac"/>
          <w:rFonts w:eastAsiaTheme="majorEastAsia"/>
          <w:sz w:val="24"/>
          <w:szCs w:val="24"/>
          <w:lang w:val="en-US"/>
        </w:rPr>
        <w:t>R</w:t>
      </w:r>
      <w:r w:rsidRPr="00A4226D">
        <w:rPr>
          <w:rStyle w:val="ac"/>
          <w:rFonts w:eastAsiaTheme="majorEastAsia"/>
          <w:sz w:val="24"/>
          <w:szCs w:val="24"/>
        </w:rPr>
        <w:t xml:space="preserve"> в отведении </w:t>
      </w:r>
      <w:r w:rsidRPr="00A4226D">
        <w:rPr>
          <w:rStyle w:val="ac"/>
          <w:rFonts w:eastAsiaTheme="majorEastAsia"/>
          <w:sz w:val="24"/>
          <w:szCs w:val="24"/>
          <w:lang w:val="en-US"/>
        </w:rPr>
        <w:t>aVL</w:t>
      </w:r>
      <w:r w:rsidRPr="00A4226D">
        <w:rPr>
          <w:rStyle w:val="ac"/>
          <w:rFonts w:eastAsiaTheme="majorEastAsia"/>
          <w:sz w:val="24"/>
          <w:szCs w:val="24"/>
        </w:rPr>
        <w:t xml:space="preserve"> &gt;11 мм, корнельское произведение &gt;2440 мм </w:t>
      </w:r>
      <w:r w:rsidRPr="00A4226D">
        <w:rPr>
          <w:rStyle w:val="ac"/>
          <w:rFonts w:eastAsiaTheme="majorEastAsia"/>
          <w:sz w:val="24"/>
          <w:szCs w:val="24"/>
          <w:lang w:val="en-US"/>
        </w:rPr>
        <w:t>x</w:t>
      </w:r>
      <w:r w:rsidRPr="00A4226D">
        <w:rPr>
          <w:rStyle w:val="ac"/>
          <w:rFonts w:eastAsiaTheme="majorEastAsia"/>
          <w:sz w:val="24"/>
          <w:szCs w:val="24"/>
        </w:rPr>
        <w:t xml:space="preserve"> мс или корнельский вольтажный индекс </w:t>
      </w:r>
      <w:r w:rsidRPr="00A4226D">
        <w:rPr>
          <w:rStyle w:val="ac"/>
          <w:rFonts w:eastAsiaTheme="majorEastAsia"/>
          <w:smallCaps/>
          <w:sz w:val="24"/>
          <w:szCs w:val="24"/>
        </w:rPr>
        <w:t>(</w:t>
      </w:r>
      <w:r w:rsidRPr="00A4226D">
        <w:rPr>
          <w:rStyle w:val="ac"/>
          <w:rFonts w:eastAsiaTheme="majorEastAsia"/>
          <w:smallCaps/>
          <w:sz w:val="24"/>
          <w:szCs w:val="24"/>
          <w:lang w:val="en-US"/>
        </w:rPr>
        <w:t>Sv</w:t>
      </w:r>
      <w:r w:rsidRPr="00A4226D">
        <w:rPr>
          <w:rStyle w:val="ac"/>
          <w:rFonts w:eastAsiaTheme="majorEastAsia"/>
          <w:smallCaps/>
          <w:sz w:val="24"/>
          <w:szCs w:val="24"/>
        </w:rPr>
        <w:t>3</w:t>
      </w:r>
      <w:r w:rsidRPr="00A4226D">
        <w:rPr>
          <w:rStyle w:val="ac"/>
          <w:rFonts w:eastAsiaTheme="majorEastAsia"/>
          <w:sz w:val="24"/>
          <w:szCs w:val="24"/>
        </w:rPr>
        <w:t xml:space="preserve"> + </w:t>
      </w:r>
      <w:r w:rsidRPr="00A4226D">
        <w:rPr>
          <w:rStyle w:val="ac"/>
          <w:rFonts w:eastAsiaTheme="majorEastAsia"/>
          <w:sz w:val="24"/>
          <w:szCs w:val="24"/>
          <w:lang w:val="en-US"/>
        </w:rPr>
        <w:t>RaVL</w:t>
      </w:r>
      <w:r w:rsidRPr="00A4226D">
        <w:rPr>
          <w:rStyle w:val="ac"/>
          <w:rFonts w:eastAsiaTheme="majorEastAsia"/>
          <w:sz w:val="24"/>
          <w:szCs w:val="24"/>
        </w:rPr>
        <w:t xml:space="preserve"> ) &gt;28 мм для мужчин и &gt;20 мм для женщин);</w:t>
      </w:r>
    </w:p>
    <w:p w14:paraId="7DEAAB1F" w14:textId="77777777" w:rsidR="00A4226D" w:rsidRPr="00523C0E" w:rsidRDefault="00A4226D">
      <w:pPr>
        <w:pStyle w:val="11"/>
        <w:numPr>
          <w:ilvl w:val="0"/>
          <w:numId w:val="4"/>
        </w:numPr>
        <w:tabs>
          <w:tab w:val="left" w:pos="1307"/>
        </w:tabs>
        <w:ind w:firstLine="709"/>
        <w:jc w:val="both"/>
        <w:rPr>
          <w:sz w:val="24"/>
          <w:szCs w:val="24"/>
        </w:rPr>
      </w:pPr>
      <w:r w:rsidRPr="00A4226D">
        <w:rPr>
          <w:rStyle w:val="ac"/>
          <w:rFonts w:eastAsiaTheme="majorEastAsia"/>
          <w:sz w:val="24"/>
          <w:szCs w:val="24"/>
        </w:rPr>
        <w:t>Эхокардиографические признаки ГЛЖ (индекс массы миокарда ЛЖ (масса ЛЖ,</w:t>
      </w:r>
      <w:r w:rsidR="00523C0E">
        <w:rPr>
          <w:sz w:val="24"/>
          <w:szCs w:val="24"/>
        </w:rPr>
        <w:t xml:space="preserve"> </w:t>
      </w:r>
      <w:r w:rsidRPr="00523C0E">
        <w:rPr>
          <w:rStyle w:val="ac"/>
          <w:rFonts w:eastAsiaTheme="majorEastAsia"/>
          <w:sz w:val="24"/>
          <w:szCs w:val="24"/>
        </w:rPr>
        <w:t xml:space="preserve">г/рост, м) формула </w:t>
      </w:r>
      <w:r w:rsidRPr="00523C0E">
        <w:rPr>
          <w:rStyle w:val="ac"/>
          <w:rFonts w:eastAsiaTheme="majorEastAsia"/>
          <w:sz w:val="24"/>
          <w:szCs w:val="24"/>
          <w:lang w:val="en-US"/>
        </w:rPr>
        <w:t>ASE</w:t>
      </w:r>
      <w:r w:rsidRPr="00523C0E">
        <w:rPr>
          <w:rStyle w:val="ac"/>
          <w:rFonts w:eastAsiaTheme="majorEastAsia"/>
          <w:sz w:val="24"/>
          <w:szCs w:val="24"/>
        </w:rPr>
        <w:t xml:space="preserve"> для пациентов с избыточной массой тела и ожирением: для мужчин &gt;50 г/м</w:t>
      </w:r>
      <w:r w:rsidRPr="00523C0E">
        <w:rPr>
          <w:rStyle w:val="ac"/>
          <w:rFonts w:eastAsiaTheme="majorEastAsia"/>
          <w:sz w:val="24"/>
          <w:szCs w:val="24"/>
          <w:vertAlign w:val="superscript"/>
        </w:rPr>
        <w:t>2,7</w:t>
      </w:r>
      <w:r w:rsidRPr="00523C0E">
        <w:rPr>
          <w:rStyle w:val="ac"/>
          <w:rFonts w:eastAsiaTheme="majorEastAsia"/>
          <w:sz w:val="24"/>
          <w:szCs w:val="24"/>
        </w:rPr>
        <w:t>, для женщин &gt;47 г/м</w:t>
      </w:r>
      <w:r w:rsidRPr="00523C0E">
        <w:rPr>
          <w:rStyle w:val="ac"/>
          <w:rFonts w:eastAsiaTheme="majorEastAsia"/>
          <w:sz w:val="24"/>
          <w:szCs w:val="24"/>
          <w:vertAlign w:val="superscript"/>
        </w:rPr>
        <w:t>2,7</w:t>
      </w:r>
      <w:r w:rsidRPr="00523C0E">
        <w:rPr>
          <w:rStyle w:val="ac"/>
          <w:rFonts w:eastAsiaTheme="majorEastAsia"/>
          <w:sz w:val="24"/>
          <w:szCs w:val="24"/>
        </w:rPr>
        <w:t>; индексация на площадь поверхности тела (масса ЛЖ/рост, м</w:t>
      </w:r>
      <w:r w:rsidRPr="00523C0E">
        <w:rPr>
          <w:rStyle w:val="ac"/>
          <w:rFonts w:eastAsiaTheme="majorEastAsia"/>
          <w:sz w:val="24"/>
          <w:szCs w:val="24"/>
          <w:vertAlign w:val="superscript"/>
        </w:rPr>
        <w:t>2</w:t>
      </w:r>
      <w:r w:rsidRPr="00523C0E">
        <w:rPr>
          <w:rStyle w:val="ac"/>
          <w:rFonts w:eastAsiaTheme="majorEastAsia"/>
          <w:sz w:val="24"/>
          <w:szCs w:val="24"/>
        </w:rPr>
        <w:t>) для пациентов с нормальной массой тела: &gt;115 г/м</w:t>
      </w:r>
      <w:r w:rsidRPr="00523C0E">
        <w:rPr>
          <w:rStyle w:val="ac"/>
          <w:rFonts w:eastAsiaTheme="majorEastAsia"/>
          <w:sz w:val="24"/>
          <w:szCs w:val="24"/>
          <w:vertAlign w:val="superscript"/>
        </w:rPr>
        <w:t>2</w:t>
      </w:r>
      <w:r w:rsidRPr="00523C0E">
        <w:rPr>
          <w:rStyle w:val="ac"/>
          <w:rFonts w:eastAsiaTheme="majorEastAsia"/>
          <w:sz w:val="24"/>
          <w:szCs w:val="24"/>
        </w:rPr>
        <w:t>(мужчины) и &gt; 95 г/м</w:t>
      </w:r>
      <w:r w:rsidRPr="00523C0E">
        <w:rPr>
          <w:rStyle w:val="ac"/>
          <w:rFonts w:eastAsiaTheme="majorEastAsia"/>
          <w:sz w:val="24"/>
          <w:szCs w:val="24"/>
          <w:vertAlign w:val="superscript"/>
        </w:rPr>
        <w:t>2</w:t>
      </w:r>
      <w:r w:rsidRPr="00523C0E">
        <w:rPr>
          <w:rStyle w:val="ac"/>
          <w:rFonts w:eastAsiaTheme="majorEastAsia"/>
          <w:sz w:val="24"/>
          <w:szCs w:val="24"/>
        </w:rPr>
        <w:t xml:space="preserve"> (женщины);</w:t>
      </w:r>
    </w:p>
    <w:p w14:paraId="2EB3D300" w14:textId="77777777" w:rsidR="00A4226D" w:rsidRPr="00346410" w:rsidRDefault="00A4226D">
      <w:pPr>
        <w:pStyle w:val="11"/>
        <w:numPr>
          <w:ilvl w:val="0"/>
          <w:numId w:val="4"/>
        </w:numPr>
        <w:tabs>
          <w:tab w:val="left" w:pos="1307"/>
        </w:tabs>
        <w:ind w:firstLine="709"/>
        <w:jc w:val="both"/>
        <w:rPr>
          <w:sz w:val="24"/>
          <w:szCs w:val="24"/>
        </w:rPr>
      </w:pPr>
      <w:r w:rsidRPr="00A4226D">
        <w:rPr>
          <w:rStyle w:val="ac"/>
          <w:rFonts w:eastAsiaTheme="majorEastAsia"/>
          <w:sz w:val="24"/>
          <w:szCs w:val="24"/>
        </w:rPr>
        <w:t>Альбуминурия 30-300 мг/24 ч или отношения альбумин-креатинин 30-300 мг/г или</w:t>
      </w:r>
      <w:r w:rsidR="00346410">
        <w:rPr>
          <w:sz w:val="24"/>
          <w:szCs w:val="24"/>
        </w:rPr>
        <w:t xml:space="preserve"> </w:t>
      </w:r>
      <w:r w:rsidRPr="00346410">
        <w:rPr>
          <w:rStyle w:val="ac"/>
          <w:rFonts w:eastAsiaTheme="majorEastAsia"/>
          <w:sz w:val="24"/>
          <w:szCs w:val="24"/>
        </w:rPr>
        <w:t>3,4-34 мг/ммоль (предпочтительно в утренней порции мочи) либо протеинурия по данным оценки тест-полоской;</w:t>
      </w:r>
    </w:p>
    <w:p w14:paraId="43B281E3" w14:textId="77777777" w:rsidR="00A4226D" w:rsidRPr="00A4226D" w:rsidRDefault="00A4226D">
      <w:pPr>
        <w:pStyle w:val="11"/>
        <w:numPr>
          <w:ilvl w:val="0"/>
          <w:numId w:val="5"/>
        </w:numPr>
        <w:tabs>
          <w:tab w:val="left" w:pos="1307"/>
        </w:tabs>
        <w:ind w:firstLine="709"/>
        <w:jc w:val="both"/>
        <w:rPr>
          <w:sz w:val="24"/>
          <w:szCs w:val="24"/>
        </w:rPr>
      </w:pPr>
      <w:r w:rsidRPr="00A4226D">
        <w:rPr>
          <w:rStyle w:val="ac"/>
          <w:rFonts w:eastAsiaTheme="majorEastAsia"/>
          <w:sz w:val="24"/>
          <w:szCs w:val="24"/>
        </w:rPr>
        <w:t>ХБП С3 стадии с СКФ &gt;30-59 мл/мин/1,73 м</w:t>
      </w:r>
      <w:r w:rsidRPr="00A4226D">
        <w:rPr>
          <w:rStyle w:val="ac"/>
          <w:rFonts w:eastAsiaTheme="majorEastAsia"/>
          <w:sz w:val="24"/>
          <w:szCs w:val="24"/>
          <w:vertAlign w:val="superscript"/>
        </w:rPr>
        <w:t>2</w:t>
      </w:r>
      <w:r w:rsidRPr="00A4226D">
        <w:rPr>
          <w:rStyle w:val="ac"/>
          <w:rFonts w:eastAsiaTheme="majorEastAsia"/>
          <w:sz w:val="24"/>
          <w:szCs w:val="24"/>
        </w:rPr>
        <w:t>;</w:t>
      </w:r>
    </w:p>
    <w:p w14:paraId="322DC7F8" w14:textId="77777777" w:rsidR="00A4226D" w:rsidRPr="00A4226D" w:rsidRDefault="00A4226D">
      <w:pPr>
        <w:pStyle w:val="11"/>
        <w:numPr>
          <w:ilvl w:val="0"/>
          <w:numId w:val="5"/>
        </w:numPr>
        <w:tabs>
          <w:tab w:val="left" w:pos="1307"/>
        </w:tabs>
        <w:ind w:firstLine="709"/>
        <w:jc w:val="both"/>
        <w:rPr>
          <w:sz w:val="24"/>
          <w:szCs w:val="24"/>
        </w:rPr>
      </w:pPr>
      <w:r w:rsidRPr="00A4226D">
        <w:rPr>
          <w:rStyle w:val="ac"/>
          <w:rFonts w:eastAsiaTheme="majorEastAsia"/>
          <w:sz w:val="24"/>
          <w:szCs w:val="24"/>
        </w:rPr>
        <w:lastRenderedPageBreak/>
        <w:t>Лодыжечно-плечевой индекс &lt;0,9;</w:t>
      </w:r>
    </w:p>
    <w:p w14:paraId="215D3B27" w14:textId="77777777" w:rsidR="00A4226D" w:rsidRPr="00346410" w:rsidRDefault="00A4226D">
      <w:pPr>
        <w:pStyle w:val="11"/>
        <w:numPr>
          <w:ilvl w:val="0"/>
          <w:numId w:val="5"/>
        </w:numPr>
        <w:tabs>
          <w:tab w:val="left" w:pos="1285"/>
        </w:tabs>
        <w:ind w:firstLine="709"/>
        <w:jc w:val="both"/>
        <w:rPr>
          <w:sz w:val="24"/>
          <w:szCs w:val="24"/>
        </w:rPr>
      </w:pPr>
      <w:r w:rsidRPr="00A4226D">
        <w:rPr>
          <w:rStyle w:val="ac"/>
          <w:rFonts w:eastAsiaTheme="majorEastAsia"/>
          <w:sz w:val="24"/>
          <w:szCs w:val="24"/>
        </w:rPr>
        <w:t>Выраженная ретинопатия: наличие кровоизлияний, экссудатов или отека соска</w:t>
      </w:r>
      <w:r w:rsidR="00346410">
        <w:rPr>
          <w:sz w:val="24"/>
          <w:szCs w:val="24"/>
        </w:rPr>
        <w:t xml:space="preserve"> </w:t>
      </w:r>
      <w:r w:rsidRPr="00346410">
        <w:rPr>
          <w:rStyle w:val="ac"/>
          <w:rFonts w:eastAsiaTheme="majorEastAsia"/>
          <w:sz w:val="24"/>
          <w:szCs w:val="24"/>
        </w:rPr>
        <w:t>зрительного нерва.</w:t>
      </w:r>
    </w:p>
    <w:p w14:paraId="10B31AA4" w14:textId="77777777" w:rsidR="00A4226D" w:rsidRPr="00A4226D" w:rsidRDefault="00A4226D" w:rsidP="00346410">
      <w:pPr>
        <w:pStyle w:val="11"/>
        <w:ind w:firstLine="709"/>
        <w:jc w:val="both"/>
        <w:rPr>
          <w:sz w:val="24"/>
          <w:szCs w:val="24"/>
        </w:rPr>
      </w:pPr>
      <w:r w:rsidRPr="00A4226D">
        <w:rPr>
          <w:rStyle w:val="ac"/>
          <w:rFonts w:eastAsiaTheme="majorEastAsia"/>
          <w:b/>
          <w:bCs/>
          <w:sz w:val="24"/>
          <w:szCs w:val="24"/>
        </w:rPr>
        <w:t xml:space="preserve">Стадия </w:t>
      </w:r>
      <w:r w:rsidRPr="00A4226D">
        <w:rPr>
          <w:rStyle w:val="ac"/>
          <w:rFonts w:eastAsiaTheme="majorEastAsia"/>
          <w:b/>
          <w:bCs/>
          <w:sz w:val="24"/>
          <w:szCs w:val="24"/>
          <w:lang w:val="en-US"/>
        </w:rPr>
        <w:t>III</w:t>
      </w:r>
      <w:r w:rsidRPr="00A4226D">
        <w:rPr>
          <w:rStyle w:val="ac"/>
          <w:rFonts w:eastAsiaTheme="majorEastAsia"/>
          <w:b/>
          <w:bCs/>
          <w:sz w:val="24"/>
          <w:szCs w:val="24"/>
        </w:rPr>
        <w:t xml:space="preserve"> </w:t>
      </w:r>
      <w:r w:rsidRPr="00A4226D">
        <w:rPr>
          <w:rStyle w:val="ac"/>
          <w:rFonts w:eastAsiaTheme="majorEastAsia"/>
          <w:sz w:val="24"/>
          <w:szCs w:val="24"/>
        </w:rPr>
        <w:t>определяется наличием АКС, в том числе ХБП, и/или СД с поражением органов- мишеней.</w:t>
      </w:r>
      <w:r w:rsidR="00346410">
        <w:rPr>
          <w:sz w:val="24"/>
          <w:szCs w:val="24"/>
        </w:rPr>
        <w:t xml:space="preserve"> </w:t>
      </w:r>
      <w:r w:rsidRPr="00A4226D">
        <w:rPr>
          <w:rStyle w:val="ac"/>
          <w:rFonts w:eastAsiaTheme="majorEastAsia"/>
          <w:sz w:val="24"/>
          <w:szCs w:val="24"/>
        </w:rPr>
        <w:t>К ассоциированным клиническим состояниям относятся:</w:t>
      </w:r>
    </w:p>
    <w:p w14:paraId="4211C664" w14:textId="77777777" w:rsidR="00A4226D" w:rsidRPr="00346410" w:rsidRDefault="00A4226D">
      <w:pPr>
        <w:pStyle w:val="11"/>
        <w:numPr>
          <w:ilvl w:val="0"/>
          <w:numId w:val="5"/>
        </w:numPr>
        <w:tabs>
          <w:tab w:val="left" w:pos="1285"/>
          <w:tab w:val="left" w:pos="5347"/>
        </w:tabs>
        <w:ind w:firstLine="709"/>
        <w:jc w:val="both"/>
        <w:rPr>
          <w:sz w:val="24"/>
          <w:szCs w:val="24"/>
        </w:rPr>
      </w:pPr>
      <w:r w:rsidRPr="00A4226D">
        <w:rPr>
          <w:rStyle w:val="ac"/>
          <w:rFonts w:eastAsiaTheme="majorEastAsia"/>
          <w:sz w:val="24"/>
          <w:szCs w:val="24"/>
        </w:rPr>
        <w:t>Цереброваскулярные заболевания:</w:t>
      </w:r>
      <w:r w:rsidRPr="00A4226D">
        <w:rPr>
          <w:rStyle w:val="ac"/>
          <w:rFonts w:eastAsiaTheme="majorEastAsia"/>
          <w:sz w:val="24"/>
          <w:szCs w:val="24"/>
        </w:rPr>
        <w:tab/>
        <w:t>ишемический инсульт, геморрагический</w:t>
      </w:r>
      <w:r w:rsidR="00346410">
        <w:rPr>
          <w:sz w:val="24"/>
          <w:szCs w:val="24"/>
        </w:rPr>
        <w:t xml:space="preserve"> </w:t>
      </w:r>
      <w:r w:rsidRPr="00346410">
        <w:rPr>
          <w:rStyle w:val="ac"/>
          <w:rFonts w:eastAsiaTheme="majorEastAsia"/>
          <w:sz w:val="24"/>
          <w:szCs w:val="24"/>
        </w:rPr>
        <w:t>инсульт, ТИА</w:t>
      </w:r>
    </w:p>
    <w:p w14:paraId="3EF4C8BD" w14:textId="77777777" w:rsidR="00A4226D" w:rsidRPr="00346410" w:rsidRDefault="00A4226D">
      <w:pPr>
        <w:pStyle w:val="11"/>
        <w:numPr>
          <w:ilvl w:val="0"/>
          <w:numId w:val="5"/>
        </w:numPr>
        <w:tabs>
          <w:tab w:val="left" w:pos="1285"/>
        </w:tabs>
        <w:ind w:firstLine="709"/>
        <w:jc w:val="both"/>
        <w:rPr>
          <w:sz w:val="24"/>
          <w:szCs w:val="24"/>
        </w:rPr>
      </w:pPr>
      <w:r w:rsidRPr="00A4226D">
        <w:rPr>
          <w:rStyle w:val="ac"/>
          <w:rFonts w:eastAsiaTheme="majorEastAsia"/>
          <w:sz w:val="24"/>
          <w:szCs w:val="24"/>
        </w:rPr>
        <w:t>ИБС: инфаркт миокарда, стенокардия, реваскуляризация миокарда (методом</w:t>
      </w:r>
      <w:r w:rsidR="00346410">
        <w:rPr>
          <w:sz w:val="24"/>
          <w:szCs w:val="24"/>
        </w:rPr>
        <w:t xml:space="preserve"> </w:t>
      </w:r>
      <w:r w:rsidRPr="00346410">
        <w:rPr>
          <w:rStyle w:val="ac"/>
          <w:rFonts w:eastAsiaTheme="majorEastAsia"/>
          <w:sz w:val="24"/>
          <w:szCs w:val="24"/>
        </w:rPr>
        <w:t>чрескожного коронарного вмешательства или аортокоронарного шунтирования)</w:t>
      </w:r>
    </w:p>
    <w:p w14:paraId="4FC5CF67" w14:textId="77777777" w:rsidR="00A4226D" w:rsidRPr="00A4226D" w:rsidRDefault="00A4226D">
      <w:pPr>
        <w:pStyle w:val="11"/>
        <w:numPr>
          <w:ilvl w:val="0"/>
          <w:numId w:val="5"/>
        </w:numPr>
        <w:tabs>
          <w:tab w:val="left" w:pos="1285"/>
        </w:tabs>
        <w:ind w:firstLine="709"/>
        <w:jc w:val="both"/>
        <w:rPr>
          <w:sz w:val="24"/>
          <w:szCs w:val="24"/>
        </w:rPr>
      </w:pPr>
      <w:r w:rsidRPr="00A4226D">
        <w:rPr>
          <w:rStyle w:val="ac"/>
          <w:rFonts w:eastAsiaTheme="majorEastAsia"/>
          <w:sz w:val="24"/>
          <w:szCs w:val="24"/>
        </w:rPr>
        <w:t>Наличие атероматозных бляшек при визуализации (стеноз ≥50%)</w:t>
      </w:r>
    </w:p>
    <w:p w14:paraId="72B28CF7" w14:textId="77777777" w:rsidR="00A4226D" w:rsidRPr="00A4226D" w:rsidRDefault="00A4226D">
      <w:pPr>
        <w:pStyle w:val="11"/>
        <w:numPr>
          <w:ilvl w:val="0"/>
          <w:numId w:val="5"/>
        </w:numPr>
        <w:tabs>
          <w:tab w:val="left" w:pos="1285"/>
          <w:tab w:val="center" w:pos="5678"/>
          <w:tab w:val="center" w:pos="6051"/>
          <w:tab w:val="right" w:pos="7790"/>
        </w:tabs>
        <w:ind w:firstLine="709"/>
        <w:jc w:val="both"/>
        <w:rPr>
          <w:sz w:val="24"/>
          <w:szCs w:val="24"/>
        </w:rPr>
      </w:pPr>
      <w:r w:rsidRPr="00A4226D">
        <w:rPr>
          <w:rStyle w:val="ac"/>
          <w:rFonts w:eastAsiaTheme="majorEastAsia"/>
          <w:sz w:val="24"/>
          <w:szCs w:val="24"/>
        </w:rPr>
        <w:t>Сердечная недостаточность, в том числе</w:t>
      </w:r>
      <w:r w:rsidRPr="00A4226D">
        <w:rPr>
          <w:rStyle w:val="ac"/>
          <w:rFonts w:eastAsiaTheme="majorEastAsia"/>
          <w:sz w:val="24"/>
          <w:szCs w:val="24"/>
        </w:rPr>
        <w:tab/>
        <w:t>СН</w:t>
      </w:r>
      <w:r w:rsidRPr="00A4226D">
        <w:rPr>
          <w:rStyle w:val="ac"/>
          <w:rFonts w:eastAsiaTheme="majorEastAsia"/>
          <w:sz w:val="24"/>
          <w:szCs w:val="24"/>
        </w:rPr>
        <w:tab/>
        <w:t>с</w:t>
      </w:r>
      <w:r w:rsidR="00346410">
        <w:rPr>
          <w:rStyle w:val="ac"/>
          <w:rFonts w:eastAsiaTheme="majorEastAsia"/>
          <w:sz w:val="24"/>
          <w:szCs w:val="24"/>
        </w:rPr>
        <w:t xml:space="preserve"> </w:t>
      </w:r>
      <w:r w:rsidRPr="00A4226D">
        <w:rPr>
          <w:rStyle w:val="ac"/>
          <w:rFonts w:eastAsiaTheme="majorEastAsia"/>
          <w:sz w:val="24"/>
          <w:szCs w:val="24"/>
        </w:rPr>
        <w:tab/>
      </w:r>
      <w:r w:rsidR="00346410" w:rsidRPr="00A4226D">
        <w:rPr>
          <w:rStyle w:val="ac"/>
          <w:rFonts w:eastAsiaTheme="majorEastAsia"/>
          <w:sz w:val="24"/>
          <w:szCs w:val="24"/>
        </w:rPr>
        <w:t>сохранённой</w:t>
      </w:r>
      <w:r w:rsidRPr="00A4226D">
        <w:rPr>
          <w:rStyle w:val="ac"/>
          <w:rFonts w:eastAsiaTheme="majorEastAsia"/>
          <w:sz w:val="24"/>
          <w:szCs w:val="24"/>
        </w:rPr>
        <w:t xml:space="preserve"> ФВ</w:t>
      </w:r>
    </w:p>
    <w:p w14:paraId="46D6C4CF" w14:textId="77777777" w:rsidR="00A4226D" w:rsidRPr="00A4226D" w:rsidRDefault="00A4226D">
      <w:pPr>
        <w:pStyle w:val="11"/>
        <w:numPr>
          <w:ilvl w:val="0"/>
          <w:numId w:val="5"/>
        </w:numPr>
        <w:tabs>
          <w:tab w:val="left" w:pos="1285"/>
        </w:tabs>
        <w:ind w:firstLine="709"/>
        <w:jc w:val="both"/>
        <w:rPr>
          <w:sz w:val="24"/>
          <w:szCs w:val="24"/>
        </w:rPr>
      </w:pPr>
      <w:r w:rsidRPr="00A4226D">
        <w:rPr>
          <w:rStyle w:val="ac"/>
          <w:rFonts w:eastAsiaTheme="majorEastAsia"/>
          <w:sz w:val="24"/>
          <w:szCs w:val="24"/>
        </w:rPr>
        <w:t>Заболевание периферических артерий</w:t>
      </w:r>
    </w:p>
    <w:p w14:paraId="38491463" w14:textId="77777777" w:rsidR="00A4226D" w:rsidRPr="00A4226D" w:rsidRDefault="00A4226D">
      <w:pPr>
        <w:pStyle w:val="11"/>
        <w:numPr>
          <w:ilvl w:val="0"/>
          <w:numId w:val="5"/>
        </w:numPr>
        <w:tabs>
          <w:tab w:val="left" w:pos="1285"/>
        </w:tabs>
        <w:ind w:firstLine="709"/>
        <w:jc w:val="both"/>
        <w:rPr>
          <w:sz w:val="24"/>
          <w:szCs w:val="24"/>
        </w:rPr>
      </w:pPr>
      <w:r w:rsidRPr="00A4226D">
        <w:rPr>
          <w:rStyle w:val="ac"/>
          <w:rFonts w:eastAsiaTheme="majorEastAsia"/>
          <w:sz w:val="24"/>
          <w:szCs w:val="24"/>
        </w:rPr>
        <w:t>Фибрилляция предсердий</w:t>
      </w:r>
    </w:p>
    <w:p w14:paraId="669FF5FA" w14:textId="77777777" w:rsidR="00A4226D" w:rsidRPr="00A4226D" w:rsidRDefault="00346410">
      <w:pPr>
        <w:pStyle w:val="11"/>
        <w:numPr>
          <w:ilvl w:val="0"/>
          <w:numId w:val="5"/>
        </w:numPr>
        <w:tabs>
          <w:tab w:val="left" w:pos="1285"/>
        </w:tabs>
        <w:ind w:firstLine="709"/>
        <w:jc w:val="both"/>
        <w:rPr>
          <w:sz w:val="24"/>
          <w:szCs w:val="24"/>
        </w:rPr>
      </w:pPr>
      <w:r w:rsidRPr="00A4226D">
        <w:rPr>
          <w:rStyle w:val="ac"/>
          <w:rFonts w:eastAsiaTheme="majorEastAsia"/>
          <w:sz w:val="24"/>
          <w:szCs w:val="24"/>
        </w:rPr>
        <w:t>Тяжёлая</w:t>
      </w:r>
      <w:r w:rsidR="00A4226D" w:rsidRPr="00A4226D">
        <w:rPr>
          <w:rStyle w:val="ac"/>
          <w:rFonts w:eastAsiaTheme="majorEastAsia"/>
          <w:sz w:val="24"/>
          <w:szCs w:val="24"/>
        </w:rPr>
        <w:t xml:space="preserve"> ХБП с СКФ &lt;30 мл/мин/1,73 м2(ППТ)</w:t>
      </w:r>
    </w:p>
    <w:p w14:paraId="21AC53C2" w14:textId="77777777" w:rsidR="00A4226D" w:rsidRPr="00A4226D" w:rsidRDefault="00A4226D" w:rsidP="00523C0E">
      <w:pPr>
        <w:pStyle w:val="11"/>
        <w:ind w:firstLine="709"/>
        <w:jc w:val="both"/>
        <w:rPr>
          <w:sz w:val="24"/>
          <w:szCs w:val="24"/>
        </w:rPr>
      </w:pPr>
      <w:r w:rsidRPr="00A4226D">
        <w:rPr>
          <w:rStyle w:val="ac"/>
          <w:rFonts w:eastAsiaTheme="majorEastAsia"/>
          <w:sz w:val="24"/>
          <w:szCs w:val="24"/>
        </w:rPr>
        <w:t xml:space="preserve">СД (рассматривается как дополнительное состояние, усугубляющее риск) [31]: глюкоза плазмы натощак ≥7,0 ммоль/л при двух последовательных измерениях и/или </w:t>
      </w:r>
      <w:r w:rsidRPr="00A4226D">
        <w:rPr>
          <w:rStyle w:val="ac"/>
          <w:rFonts w:eastAsiaTheme="majorEastAsia"/>
          <w:sz w:val="24"/>
          <w:szCs w:val="24"/>
          <w:lang w:val="en-US"/>
        </w:rPr>
        <w:t>HbA</w:t>
      </w:r>
      <w:r w:rsidRPr="00A4226D">
        <w:rPr>
          <w:rStyle w:val="ac"/>
          <w:rFonts w:eastAsiaTheme="majorEastAsia"/>
          <w:sz w:val="24"/>
          <w:szCs w:val="24"/>
        </w:rPr>
        <w:t>1</w:t>
      </w:r>
      <w:r w:rsidRPr="00A4226D">
        <w:rPr>
          <w:rStyle w:val="ac"/>
          <w:rFonts w:eastAsiaTheme="majorEastAsia"/>
          <w:sz w:val="24"/>
          <w:szCs w:val="24"/>
          <w:lang w:val="en-US"/>
        </w:rPr>
        <w:t>c</w:t>
      </w:r>
      <w:r w:rsidRPr="00A4226D">
        <w:rPr>
          <w:rStyle w:val="ac"/>
          <w:rFonts w:eastAsiaTheme="majorEastAsia"/>
          <w:sz w:val="24"/>
          <w:szCs w:val="24"/>
        </w:rPr>
        <w:t xml:space="preserve"> ≥6,5%, и/или глюкоза плазмы после нагрузки или при случайном определении ≥11,1 ммоль/л.</w:t>
      </w:r>
    </w:p>
    <w:p w14:paraId="6B160E71" w14:textId="77777777" w:rsidR="00A4226D" w:rsidRPr="00A4226D" w:rsidRDefault="00A4226D" w:rsidP="00523C0E">
      <w:pPr>
        <w:pStyle w:val="11"/>
        <w:ind w:firstLine="709"/>
        <w:jc w:val="both"/>
        <w:rPr>
          <w:sz w:val="24"/>
          <w:szCs w:val="24"/>
        </w:rPr>
      </w:pPr>
      <w:r w:rsidRPr="00A4226D">
        <w:rPr>
          <w:rStyle w:val="ac"/>
          <w:rFonts w:eastAsiaTheme="majorEastAsia"/>
          <w:sz w:val="24"/>
          <w:szCs w:val="24"/>
        </w:rPr>
        <w:t>Стадии АГ имеют уточняющий характер по поражениям органов-мишеней и сопутствующей патологии.</w:t>
      </w:r>
    </w:p>
    <w:p w14:paraId="48350481" w14:textId="13F692B1" w:rsidR="00A4226D" w:rsidRPr="00A4226D" w:rsidRDefault="00A4226D" w:rsidP="001D706F">
      <w:pPr>
        <w:pStyle w:val="11"/>
        <w:ind w:firstLine="709"/>
        <w:jc w:val="both"/>
        <w:rPr>
          <w:sz w:val="24"/>
          <w:szCs w:val="24"/>
        </w:rPr>
      </w:pPr>
      <w:r w:rsidRPr="00A4226D">
        <w:rPr>
          <w:rStyle w:val="ac"/>
          <w:rFonts w:eastAsiaTheme="majorEastAsia"/>
          <w:sz w:val="24"/>
          <w:szCs w:val="24"/>
        </w:rPr>
        <w:t xml:space="preserve">На основании уровня АД, наличия ФР, ПОМ, АКС, СД выделяют 5 категорий риска СС осложнений: низкий (риск 1), умеренный (риск 2), высокий (риск 3), очень высокий (риск 4) и экстремальный (риск 5) . Наиболее значимым является определение категории риска у пациентов с гипертонической болезнью </w:t>
      </w:r>
      <w:r w:rsidRPr="00A4226D">
        <w:rPr>
          <w:rStyle w:val="ac"/>
          <w:rFonts w:eastAsiaTheme="majorEastAsia"/>
          <w:sz w:val="24"/>
          <w:szCs w:val="24"/>
          <w:lang w:val="en-US"/>
        </w:rPr>
        <w:t>I</w:t>
      </w:r>
      <w:r w:rsidRPr="001D706F">
        <w:rPr>
          <w:rStyle w:val="ac"/>
          <w:rFonts w:eastAsiaTheme="majorEastAsia"/>
          <w:sz w:val="24"/>
          <w:szCs w:val="24"/>
        </w:rPr>
        <w:t xml:space="preserve"> </w:t>
      </w:r>
      <w:r w:rsidRPr="00A4226D">
        <w:rPr>
          <w:rStyle w:val="ac"/>
          <w:rFonts w:eastAsiaTheme="majorEastAsia"/>
          <w:sz w:val="24"/>
          <w:szCs w:val="24"/>
        </w:rPr>
        <w:t xml:space="preserve">и </w:t>
      </w:r>
      <w:r w:rsidRPr="00A4226D">
        <w:rPr>
          <w:rStyle w:val="ac"/>
          <w:rFonts w:eastAsiaTheme="majorEastAsia"/>
          <w:sz w:val="24"/>
          <w:szCs w:val="24"/>
          <w:lang w:val="en-US"/>
        </w:rPr>
        <w:t>II</w:t>
      </w:r>
      <w:r w:rsidRPr="001D706F">
        <w:rPr>
          <w:rStyle w:val="ac"/>
          <w:rFonts w:eastAsiaTheme="majorEastAsia"/>
          <w:sz w:val="24"/>
          <w:szCs w:val="24"/>
        </w:rPr>
        <w:t xml:space="preserve"> </w:t>
      </w:r>
      <w:r w:rsidRPr="00A4226D">
        <w:rPr>
          <w:rStyle w:val="ac"/>
          <w:rFonts w:eastAsiaTheme="majorEastAsia"/>
          <w:sz w:val="24"/>
          <w:szCs w:val="24"/>
        </w:rPr>
        <w:t>стадий.</w:t>
      </w:r>
    </w:p>
    <w:p w14:paraId="34FAA1A8" w14:textId="77777777" w:rsidR="001D706F" w:rsidRPr="001D706F" w:rsidRDefault="001D706F" w:rsidP="0008732C">
      <w:pPr>
        <w:pStyle w:val="11"/>
        <w:ind w:firstLine="0"/>
        <w:jc w:val="both"/>
        <w:outlineLvl w:val="1"/>
        <w:rPr>
          <w:sz w:val="24"/>
          <w:szCs w:val="24"/>
        </w:rPr>
      </w:pPr>
      <w:bookmarkStart w:id="18" w:name="_Toc202877433"/>
      <w:bookmarkStart w:id="19" w:name="bookmark8"/>
      <w:r w:rsidRPr="001D706F">
        <w:rPr>
          <w:rStyle w:val="ac"/>
          <w:rFonts w:eastAsiaTheme="majorEastAsia"/>
          <w:b/>
          <w:bCs/>
          <w:sz w:val="24"/>
          <w:szCs w:val="24"/>
          <w:u w:val="single"/>
        </w:rPr>
        <w:t>1.6 Клиническая картина</w:t>
      </w:r>
      <w:bookmarkEnd w:id="18"/>
      <w:r w:rsidRPr="001D706F">
        <w:rPr>
          <w:rStyle w:val="ac"/>
          <w:rFonts w:eastAsiaTheme="majorEastAsia"/>
          <w:b/>
          <w:bCs/>
          <w:sz w:val="24"/>
          <w:szCs w:val="24"/>
          <w:u w:val="single"/>
        </w:rPr>
        <w:t xml:space="preserve"> </w:t>
      </w:r>
      <w:bookmarkEnd w:id="19"/>
    </w:p>
    <w:p w14:paraId="0E1866E0" w14:textId="77777777" w:rsidR="001D706F" w:rsidRPr="001D706F" w:rsidRDefault="001D706F" w:rsidP="001D706F">
      <w:pPr>
        <w:pStyle w:val="11"/>
        <w:ind w:firstLine="600"/>
        <w:jc w:val="both"/>
        <w:rPr>
          <w:sz w:val="24"/>
          <w:szCs w:val="24"/>
        </w:rPr>
      </w:pPr>
      <w:r w:rsidRPr="001D706F">
        <w:rPr>
          <w:rStyle w:val="ac"/>
          <w:rFonts w:eastAsiaTheme="majorEastAsia"/>
          <w:sz w:val="24"/>
          <w:szCs w:val="24"/>
        </w:rPr>
        <w:t>В большинстве случаев АД повышается бессимптомно, и АГ обнаруживают лишь в ходе объективного исследования пациента. В тех случаях, когда жалобы есть, они неспецифичны (головная боль, головокружение, сердцебиение и т.д.). При симптоматической гипертонии жалобы обусловлены основным заболеванием:</w:t>
      </w:r>
    </w:p>
    <w:p w14:paraId="592F65BB" w14:textId="77777777" w:rsidR="001D706F" w:rsidRPr="001D706F" w:rsidRDefault="001D706F">
      <w:pPr>
        <w:pStyle w:val="11"/>
        <w:numPr>
          <w:ilvl w:val="0"/>
          <w:numId w:val="6"/>
        </w:numPr>
        <w:tabs>
          <w:tab w:val="left" w:pos="1276"/>
        </w:tabs>
        <w:ind w:firstLine="600"/>
        <w:jc w:val="both"/>
        <w:rPr>
          <w:sz w:val="24"/>
          <w:szCs w:val="24"/>
        </w:rPr>
      </w:pPr>
      <w:r w:rsidRPr="001D706F">
        <w:rPr>
          <w:rStyle w:val="ac"/>
          <w:rFonts w:eastAsiaTheme="majorEastAsia"/>
          <w:sz w:val="24"/>
          <w:szCs w:val="24"/>
        </w:rPr>
        <w:t>Синдром обструктивного апноэ во сне: храп, головная боль по утрам, сонливость в</w:t>
      </w:r>
      <w:r>
        <w:rPr>
          <w:sz w:val="24"/>
          <w:szCs w:val="24"/>
        </w:rPr>
        <w:t xml:space="preserve"> </w:t>
      </w:r>
      <w:r w:rsidRPr="001D706F">
        <w:rPr>
          <w:rStyle w:val="ac"/>
          <w:rFonts w:eastAsiaTheme="majorEastAsia"/>
          <w:sz w:val="24"/>
          <w:szCs w:val="24"/>
        </w:rPr>
        <w:t>дневное время, нарушение памяти, внимания, неполноценный ночной сон;</w:t>
      </w:r>
    </w:p>
    <w:p w14:paraId="0A5EA648" w14:textId="77777777" w:rsidR="001D706F" w:rsidRPr="001D706F" w:rsidRDefault="001D706F">
      <w:pPr>
        <w:pStyle w:val="11"/>
        <w:numPr>
          <w:ilvl w:val="0"/>
          <w:numId w:val="6"/>
        </w:numPr>
        <w:tabs>
          <w:tab w:val="left" w:pos="1285"/>
        </w:tabs>
        <w:ind w:firstLine="600"/>
        <w:jc w:val="both"/>
        <w:rPr>
          <w:sz w:val="24"/>
          <w:szCs w:val="24"/>
        </w:rPr>
      </w:pPr>
      <w:r w:rsidRPr="001D706F">
        <w:rPr>
          <w:rStyle w:val="ac"/>
          <w:rFonts w:eastAsiaTheme="majorEastAsia"/>
          <w:sz w:val="24"/>
          <w:szCs w:val="24"/>
        </w:rPr>
        <w:t>Первичный гиперальдостеронизм: мышечная слабость, полиурия, полидипсия,</w:t>
      </w:r>
    </w:p>
    <w:p w14:paraId="6C1DC87C" w14:textId="77777777" w:rsidR="001D706F" w:rsidRPr="001D706F" w:rsidRDefault="001D706F" w:rsidP="001D706F">
      <w:pPr>
        <w:pStyle w:val="11"/>
        <w:ind w:firstLine="0"/>
        <w:rPr>
          <w:sz w:val="24"/>
          <w:szCs w:val="24"/>
        </w:rPr>
      </w:pPr>
      <w:r w:rsidRPr="001D706F">
        <w:rPr>
          <w:rStyle w:val="ac"/>
          <w:rFonts w:eastAsiaTheme="majorEastAsia"/>
          <w:sz w:val="24"/>
          <w:szCs w:val="24"/>
        </w:rPr>
        <w:t>запоры;</w:t>
      </w:r>
    </w:p>
    <w:p w14:paraId="4DA11CF4" w14:textId="77777777" w:rsidR="001D706F" w:rsidRPr="001D706F" w:rsidRDefault="001D706F">
      <w:pPr>
        <w:pStyle w:val="11"/>
        <w:numPr>
          <w:ilvl w:val="0"/>
          <w:numId w:val="6"/>
        </w:numPr>
        <w:tabs>
          <w:tab w:val="left" w:pos="1262"/>
        </w:tabs>
        <w:ind w:firstLine="580"/>
        <w:rPr>
          <w:sz w:val="24"/>
          <w:szCs w:val="24"/>
        </w:rPr>
      </w:pPr>
      <w:r w:rsidRPr="001D706F">
        <w:rPr>
          <w:rStyle w:val="ac"/>
          <w:rFonts w:eastAsiaTheme="majorEastAsia"/>
          <w:sz w:val="24"/>
          <w:szCs w:val="24"/>
        </w:rPr>
        <w:t>Феохромоцитома: пароксизмальная АГ, головная боль, профузная потливость,</w:t>
      </w:r>
    </w:p>
    <w:p w14:paraId="38E0A9A9" w14:textId="77777777" w:rsidR="001D706F" w:rsidRPr="001D706F" w:rsidRDefault="001D706F" w:rsidP="001D706F">
      <w:pPr>
        <w:pStyle w:val="11"/>
        <w:ind w:firstLine="0"/>
        <w:rPr>
          <w:sz w:val="24"/>
          <w:szCs w:val="24"/>
        </w:rPr>
      </w:pPr>
      <w:r w:rsidRPr="001D706F">
        <w:rPr>
          <w:rStyle w:val="ac"/>
          <w:rFonts w:eastAsiaTheme="majorEastAsia"/>
          <w:sz w:val="24"/>
          <w:szCs w:val="24"/>
        </w:rPr>
        <w:t>сердцебиение, лабильное АД, ортостатическая гипотония;</w:t>
      </w:r>
    </w:p>
    <w:p w14:paraId="1DD99D40" w14:textId="77777777" w:rsidR="001D706F" w:rsidRPr="001D706F" w:rsidRDefault="001D706F">
      <w:pPr>
        <w:pStyle w:val="11"/>
        <w:numPr>
          <w:ilvl w:val="0"/>
          <w:numId w:val="6"/>
        </w:numPr>
        <w:tabs>
          <w:tab w:val="left" w:pos="1262"/>
        </w:tabs>
        <w:ind w:firstLine="580"/>
        <w:rPr>
          <w:sz w:val="24"/>
          <w:szCs w:val="24"/>
        </w:rPr>
      </w:pPr>
      <w:r w:rsidRPr="001D706F">
        <w:rPr>
          <w:rStyle w:val="ac"/>
          <w:rFonts w:eastAsiaTheme="majorEastAsia"/>
          <w:sz w:val="24"/>
          <w:szCs w:val="24"/>
        </w:rPr>
        <w:lastRenderedPageBreak/>
        <w:t>Гиперкортицизм: лунообразное лицо, плетора, жировой горбик, гирсутизм,</w:t>
      </w:r>
    </w:p>
    <w:p w14:paraId="40726675" w14:textId="77777777" w:rsidR="001D706F" w:rsidRPr="001D706F" w:rsidRDefault="001D706F" w:rsidP="001D706F">
      <w:pPr>
        <w:pStyle w:val="11"/>
        <w:ind w:firstLine="0"/>
        <w:rPr>
          <w:sz w:val="24"/>
          <w:szCs w:val="24"/>
        </w:rPr>
      </w:pPr>
      <w:r w:rsidRPr="001D706F">
        <w:rPr>
          <w:rStyle w:val="ac"/>
          <w:rFonts w:eastAsiaTheme="majorEastAsia"/>
          <w:sz w:val="24"/>
          <w:szCs w:val="24"/>
        </w:rPr>
        <w:t>центральное ожирение, атрофия кожи, багровые стрии, синяки, нарушения углеводного обмена;</w:t>
      </w:r>
    </w:p>
    <w:p w14:paraId="7FD177E8" w14:textId="77777777" w:rsidR="001D706F" w:rsidRPr="001D706F" w:rsidRDefault="001D706F">
      <w:pPr>
        <w:pStyle w:val="11"/>
        <w:numPr>
          <w:ilvl w:val="0"/>
          <w:numId w:val="6"/>
        </w:numPr>
        <w:tabs>
          <w:tab w:val="left" w:pos="1262"/>
        </w:tabs>
        <w:ind w:firstLine="580"/>
        <w:rPr>
          <w:sz w:val="24"/>
          <w:szCs w:val="24"/>
        </w:rPr>
      </w:pPr>
      <w:r w:rsidRPr="001D706F">
        <w:rPr>
          <w:rStyle w:val="ac"/>
          <w:rFonts w:eastAsiaTheme="majorEastAsia"/>
          <w:sz w:val="24"/>
          <w:szCs w:val="24"/>
        </w:rPr>
        <w:t>Заболевания щитовидной железы: симптомы тиреотоксикоза или гипотиреоза;</w:t>
      </w:r>
    </w:p>
    <w:p w14:paraId="21F20495" w14:textId="77777777" w:rsidR="001D706F" w:rsidRPr="001D706F" w:rsidRDefault="001D706F">
      <w:pPr>
        <w:pStyle w:val="11"/>
        <w:numPr>
          <w:ilvl w:val="0"/>
          <w:numId w:val="6"/>
        </w:numPr>
        <w:tabs>
          <w:tab w:val="left" w:pos="1262"/>
        </w:tabs>
        <w:ind w:firstLine="580"/>
        <w:rPr>
          <w:sz w:val="24"/>
          <w:szCs w:val="24"/>
        </w:rPr>
      </w:pPr>
      <w:r w:rsidRPr="001D706F">
        <w:rPr>
          <w:rStyle w:val="ac"/>
          <w:rFonts w:eastAsiaTheme="majorEastAsia"/>
          <w:sz w:val="24"/>
          <w:szCs w:val="24"/>
        </w:rPr>
        <w:t>Коарктация аорты: головная боль, холодные конечности, боль в ногах при</w:t>
      </w:r>
    </w:p>
    <w:p w14:paraId="5CA68100" w14:textId="77777777" w:rsidR="001D706F" w:rsidRPr="001D706F" w:rsidRDefault="001D706F" w:rsidP="001D706F">
      <w:pPr>
        <w:pStyle w:val="11"/>
        <w:tabs>
          <w:tab w:val="left" w:pos="929"/>
        </w:tabs>
        <w:ind w:left="580" w:firstLine="0"/>
        <w:jc w:val="both"/>
        <w:rPr>
          <w:rStyle w:val="ac"/>
          <w:rFonts w:eastAsiaTheme="majorEastAsia"/>
          <w:sz w:val="24"/>
          <w:szCs w:val="24"/>
        </w:rPr>
      </w:pPr>
      <w:bookmarkStart w:id="20" w:name="bookmark9"/>
      <w:r w:rsidRPr="001D706F">
        <w:rPr>
          <w:rStyle w:val="ac"/>
          <w:rFonts w:eastAsiaTheme="majorEastAsia"/>
          <w:sz w:val="24"/>
          <w:szCs w:val="24"/>
        </w:rPr>
        <w:t>физических нагрузках, носовые кровотечения.</w:t>
      </w:r>
      <w:bookmarkEnd w:id="20"/>
    </w:p>
    <w:p w14:paraId="0B732D42" w14:textId="77777777" w:rsidR="000F327C" w:rsidRDefault="000F327C" w:rsidP="006B0ADE">
      <w:pPr>
        <w:pStyle w:val="11"/>
        <w:ind w:firstLine="0"/>
        <w:jc w:val="center"/>
        <w:rPr>
          <w:b/>
          <w:bCs/>
          <w:sz w:val="24"/>
          <w:szCs w:val="24"/>
          <w:u w:val="single"/>
        </w:rPr>
      </w:pPr>
    </w:p>
    <w:p w14:paraId="5C9BF9BE" w14:textId="77777777" w:rsidR="000F327C" w:rsidRDefault="000F327C" w:rsidP="0008732C">
      <w:pPr>
        <w:pStyle w:val="11"/>
        <w:tabs>
          <w:tab w:val="left" w:pos="1125"/>
        </w:tabs>
        <w:ind w:left="600" w:firstLine="0"/>
        <w:jc w:val="center"/>
        <w:outlineLvl w:val="0"/>
        <w:rPr>
          <w:b/>
          <w:bCs/>
          <w:sz w:val="28"/>
          <w:szCs w:val="28"/>
        </w:rPr>
      </w:pPr>
      <w:bookmarkStart w:id="21" w:name="_Toc202877434"/>
      <w:r w:rsidRPr="000F327C">
        <w:rPr>
          <w:b/>
          <w:bCs/>
          <w:sz w:val="28"/>
          <w:szCs w:val="28"/>
        </w:rPr>
        <w:t>2.</w:t>
      </w:r>
      <w:r>
        <w:rPr>
          <w:b/>
          <w:bCs/>
          <w:sz w:val="28"/>
          <w:szCs w:val="28"/>
        </w:rPr>
        <w:t xml:space="preserve"> </w:t>
      </w:r>
      <w:r w:rsidRPr="000F327C">
        <w:rPr>
          <w:b/>
          <w:bCs/>
          <w:sz w:val="28"/>
          <w:szCs w:val="28"/>
        </w:rPr>
        <w:t>Диагностика</w:t>
      </w:r>
      <w:bookmarkStart w:id="22" w:name="bookmark10"/>
      <w:bookmarkEnd w:id="21"/>
    </w:p>
    <w:p w14:paraId="66C8D3C6" w14:textId="77777777" w:rsidR="000F327C" w:rsidRDefault="000F327C" w:rsidP="0008732C">
      <w:pPr>
        <w:pStyle w:val="11"/>
        <w:ind w:firstLine="0"/>
        <w:jc w:val="both"/>
        <w:outlineLvl w:val="1"/>
        <w:rPr>
          <w:rStyle w:val="ac"/>
          <w:rFonts w:eastAsiaTheme="majorEastAsia"/>
        </w:rPr>
      </w:pPr>
      <w:bookmarkStart w:id="23" w:name="_Toc202877435"/>
      <w:r w:rsidRPr="000F327C">
        <w:rPr>
          <w:b/>
          <w:bCs/>
          <w:sz w:val="24"/>
          <w:szCs w:val="24"/>
          <w:u w:val="single"/>
        </w:rPr>
        <w:t>2.1 Жалобы и анамнез</w:t>
      </w:r>
      <w:bookmarkEnd w:id="23"/>
      <w:r w:rsidRPr="000F327C">
        <w:rPr>
          <w:rStyle w:val="ac"/>
          <w:rFonts w:eastAsiaTheme="majorEastAsia"/>
        </w:rPr>
        <w:t xml:space="preserve"> </w:t>
      </w:r>
    </w:p>
    <w:p w14:paraId="41714665" w14:textId="77777777" w:rsidR="000F327C" w:rsidRPr="000F327C" w:rsidRDefault="000F327C" w:rsidP="000F327C">
      <w:pPr>
        <w:pStyle w:val="11"/>
        <w:ind w:firstLine="600"/>
        <w:jc w:val="both"/>
        <w:rPr>
          <w:sz w:val="24"/>
          <w:szCs w:val="24"/>
        </w:rPr>
      </w:pPr>
      <w:r w:rsidRPr="000F327C">
        <w:rPr>
          <w:rStyle w:val="ac"/>
          <w:rFonts w:eastAsiaTheme="majorEastAsia"/>
          <w:sz w:val="24"/>
          <w:szCs w:val="24"/>
        </w:rPr>
        <w:t>Многие пациенты с повышенным АД могут не иметь никаких жалоб. Симптомы (головные боли, одышка, боль в груди, кровотечение из носа, субъективное головокружение, отеки, расстройство зрения, ощущение жара, потливость, приливы), встречающиеся при АГ неспецифичны и могут наблюдаться при других заболеваниях.</w:t>
      </w:r>
    </w:p>
    <w:p w14:paraId="31A66703" w14:textId="77777777" w:rsidR="000F327C" w:rsidRPr="000F327C" w:rsidRDefault="000F327C" w:rsidP="000F327C">
      <w:pPr>
        <w:pStyle w:val="11"/>
        <w:ind w:firstLine="600"/>
        <w:jc w:val="both"/>
        <w:rPr>
          <w:sz w:val="24"/>
          <w:szCs w:val="24"/>
        </w:rPr>
      </w:pPr>
      <w:r w:rsidRPr="000F327C">
        <w:rPr>
          <w:rStyle w:val="ac"/>
          <w:rFonts w:eastAsiaTheme="majorEastAsia"/>
          <w:sz w:val="24"/>
          <w:szCs w:val="24"/>
        </w:rPr>
        <w:t>При наличии перечисленных симптомов у любого пациента необходимо в процессе его обследования учитывать возможность диагностированной АГ.</w:t>
      </w:r>
    </w:p>
    <w:p w14:paraId="57CA9B28" w14:textId="77777777" w:rsidR="000F327C" w:rsidRPr="000F327C" w:rsidRDefault="000F327C" w:rsidP="000F327C">
      <w:pPr>
        <w:pStyle w:val="11"/>
        <w:tabs>
          <w:tab w:val="left" w:pos="1314"/>
        </w:tabs>
        <w:ind w:firstLine="600"/>
        <w:jc w:val="both"/>
        <w:rPr>
          <w:sz w:val="24"/>
          <w:szCs w:val="24"/>
        </w:rPr>
      </w:pPr>
      <w:r w:rsidRPr="000F327C">
        <w:rPr>
          <w:rStyle w:val="ac"/>
          <w:rFonts w:eastAsia="Arial"/>
          <w:sz w:val="24"/>
          <w:szCs w:val="24"/>
        </w:rPr>
        <w:t>•</w:t>
      </w:r>
      <w:r w:rsidRPr="000F327C">
        <w:rPr>
          <w:rStyle w:val="ac"/>
          <w:rFonts w:eastAsia="Arial"/>
          <w:sz w:val="24"/>
          <w:szCs w:val="24"/>
        </w:rPr>
        <w:tab/>
      </w:r>
      <w:r w:rsidRPr="000F327C">
        <w:rPr>
          <w:rStyle w:val="ac"/>
          <w:rFonts w:eastAsiaTheme="majorEastAsia"/>
          <w:sz w:val="24"/>
          <w:szCs w:val="24"/>
        </w:rPr>
        <w:t>Рекомендуется собирать у пациентов полный медицинский и семейный анамнез для</w:t>
      </w:r>
      <w:r>
        <w:rPr>
          <w:sz w:val="24"/>
          <w:szCs w:val="24"/>
        </w:rPr>
        <w:t xml:space="preserve"> </w:t>
      </w:r>
      <w:r w:rsidRPr="000F327C">
        <w:rPr>
          <w:rStyle w:val="ac"/>
          <w:rFonts w:eastAsiaTheme="majorEastAsia"/>
          <w:sz w:val="24"/>
          <w:szCs w:val="24"/>
        </w:rPr>
        <w:t>оценки семейной предрасположенности к АГ и ССЗ [70, 71].</w:t>
      </w:r>
    </w:p>
    <w:p w14:paraId="12AF28CC" w14:textId="60358AB9" w:rsidR="000F327C" w:rsidRPr="000F327C" w:rsidRDefault="00866591" w:rsidP="000F327C">
      <w:pPr>
        <w:pStyle w:val="11"/>
        <w:ind w:firstLine="0"/>
        <w:jc w:val="both"/>
        <w:rPr>
          <w:sz w:val="24"/>
          <w:szCs w:val="24"/>
        </w:rPr>
      </w:pPr>
      <w:r>
        <w:rPr>
          <w:rStyle w:val="ac"/>
          <w:rFonts w:eastAsiaTheme="majorEastAsia"/>
          <w:b/>
          <w:bCs/>
          <w:sz w:val="24"/>
          <w:szCs w:val="24"/>
        </w:rPr>
        <w:t>Уровень убедительности рекомендаций</w:t>
      </w:r>
      <w:r w:rsidRPr="000F327C">
        <w:rPr>
          <w:rStyle w:val="ac"/>
          <w:rFonts w:eastAsiaTheme="majorEastAsia"/>
          <w:b/>
          <w:bCs/>
          <w:sz w:val="24"/>
          <w:szCs w:val="24"/>
        </w:rPr>
        <w:t xml:space="preserve"> </w:t>
      </w:r>
      <w:r w:rsidR="000F327C" w:rsidRPr="000F327C">
        <w:rPr>
          <w:rStyle w:val="ac"/>
          <w:rFonts w:eastAsiaTheme="majorEastAsia"/>
          <w:b/>
          <w:bCs/>
          <w:sz w:val="24"/>
          <w:szCs w:val="24"/>
        </w:rPr>
        <w:t xml:space="preserve">С </w:t>
      </w:r>
      <w:r>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0F327C">
        <w:rPr>
          <w:rStyle w:val="ac"/>
          <w:rFonts w:eastAsiaTheme="majorEastAsia"/>
          <w:b/>
          <w:bCs/>
          <w:sz w:val="24"/>
          <w:szCs w:val="24"/>
        </w:rPr>
        <w:t xml:space="preserve"> </w:t>
      </w:r>
      <w:r w:rsidR="000F327C" w:rsidRPr="000F327C">
        <w:rPr>
          <w:rStyle w:val="ac"/>
          <w:rFonts w:eastAsiaTheme="majorEastAsia"/>
          <w:b/>
          <w:bCs/>
          <w:sz w:val="24"/>
          <w:szCs w:val="24"/>
        </w:rPr>
        <w:t>4)</w:t>
      </w:r>
      <w:r>
        <w:rPr>
          <w:rStyle w:val="ac"/>
          <w:rFonts w:eastAsiaTheme="majorEastAsia"/>
          <w:b/>
          <w:bCs/>
          <w:sz w:val="24"/>
          <w:szCs w:val="24"/>
        </w:rPr>
        <w:t>;</w:t>
      </w:r>
      <w:r w:rsidRPr="00866591">
        <w:rPr>
          <w:rStyle w:val="ac"/>
          <w:rFonts w:eastAsiaTheme="majorEastAsia"/>
          <w:b/>
          <w:bCs/>
          <w:sz w:val="24"/>
          <w:szCs w:val="24"/>
        </w:rPr>
        <w:t xml:space="preserve"> </w:t>
      </w:r>
      <w:r w:rsidRPr="000F327C">
        <w:rPr>
          <w:rStyle w:val="ac"/>
          <w:rFonts w:eastAsiaTheme="majorEastAsia"/>
          <w:b/>
          <w:bCs/>
          <w:sz w:val="24"/>
          <w:szCs w:val="24"/>
        </w:rPr>
        <w:t>ЕОК/ЕОАГ нет</w:t>
      </w:r>
    </w:p>
    <w:p w14:paraId="64BCD6B9" w14:textId="3CFFFF87" w:rsidR="000F327C" w:rsidRPr="003B37B6" w:rsidRDefault="000F327C" w:rsidP="000F327C">
      <w:pPr>
        <w:pStyle w:val="11"/>
        <w:tabs>
          <w:tab w:val="left" w:pos="1125"/>
        </w:tabs>
        <w:jc w:val="both"/>
        <w:rPr>
          <w:rStyle w:val="ac"/>
          <w:rFonts w:eastAsiaTheme="majorEastAsia"/>
          <w:i/>
          <w:iCs/>
          <w:sz w:val="24"/>
          <w:szCs w:val="24"/>
        </w:rPr>
      </w:pPr>
      <w:r w:rsidRPr="003B37B6">
        <w:rPr>
          <w:rStyle w:val="ac"/>
          <w:rFonts w:eastAsiaTheme="majorEastAsia"/>
          <w:b/>
          <w:bCs/>
          <w:sz w:val="24"/>
          <w:szCs w:val="24"/>
        </w:rPr>
        <w:t xml:space="preserve">Комментарии. </w:t>
      </w:r>
      <w:r w:rsidRPr="003B37B6">
        <w:rPr>
          <w:rStyle w:val="ac"/>
          <w:rFonts w:eastAsiaTheme="majorEastAsia"/>
          <w:i/>
          <w:iCs/>
          <w:sz w:val="24"/>
          <w:szCs w:val="24"/>
        </w:rPr>
        <w:t>Сбор анамнеза включает сбор сведений о наличии ФР, субклинических симптомов ПОМ, наличии в анамнезе ССЗ, ЦВБ, ХБП и вторичных форм АГ, образе жизни, предшествующем опыте лечения АГ (таблица П3 Приложени</w:t>
      </w:r>
      <w:r w:rsidR="005B6EB1" w:rsidRPr="003B37B6">
        <w:rPr>
          <w:rStyle w:val="ac"/>
          <w:rFonts w:eastAsiaTheme="majorEastAsia"/>
          <w:i/>
          <w:iCs/>
          <w:sz w:val="24"/>
          <w:szCs w:val="24"/>
        </w:rPr>
        <w:t>я</w:t>
      </w:r>
      <w:r w:rsidRPr="003B37B6">
        <w:rPr>
          <w:rStyle w:val="ac"/>
          <w:rFonts w:eastAsiaTheme="majorEastAsia"/>
          <w:i/>
          <w:iCs/>
          <w:sz w:val="24"/>
          <w:szCs w:val="24"/>
        </w:rPr>
        <w:t xml:space="preserve"> </w:t>
      </w:r>
      <w:r w:rsidR="00FB33EA" w:rsidRPr="003B37B6">
        <w:rPr>
          <w:rStyle w:val="ac"/>
          <w:rFonts w:eastAsiaTheme="majorEastAsia"/>
          <w:i/>
          <w:iCs/>
          <w:sz w:val="24"/>
          <w:szCs w:val="24"/>
        </w:rPr>
        <w:t>А2</w:t>
      </w:r>
      <w:r w:rsidR="005B6EB1" w:rsidRPr="003B37B6">
        <w:rPr>
          <w:rStyle w:val="ac"/>
          <w:rFonts w:eastAsiaTheme="majorEastAsia"/>
          <w:i/>
          <w:iCs/>
          <w:sz w:val="24"/>
          <w:szCs w:val="24"/>
        </w:rPr>
        <w:t xml:space="preserve"> к настоящим Клиническим рекомендациям</w:t>
      </w:r>
      <w:r w:rsidRPr="003B37B6">
        <w:rPr>
          <w:rStyle w:val="ac"/>
          <w:rFonts w:eastAsiaTheme="majorEastAsia"/>
          <w:i/>
          <w:iCs/>
          <w:sz w:val="24"/>
          <w:szCs w:val="24"/>
        </w:rPr>
        <w:t>).</w:t>
      </w:r>
    </w:p>
    <w:p w14:paraId="3B867563" w14:textId="77777777" w:rsidR="00E7569C" w:rsidRPr="003B37B6" w:rsidRDefault="00E7569C" w:rsidP="0008732C">
      <w:pPr>
        <w:pStyle w:val="11"/>
        <w:tabs>
          <w:tab w:val="left" w:pos="1111"/>
        </w:tabs>
        <w:spacing w:after="140" w:line="240" w:lineRule="auto"/>
        <w:ind w:firstLine="0"/>
        <w:jc w:val="both"/>
        <w:outlineLvl w:val="1"/>
        <w:rPr>
          <w:sz w:val="24"/>
          <w:szCs w:val="24"/>
        </w:rPr>
      </w:pPr>
      <w:bookmarkStart w:id="24" w:name="_Toc202877436"/>
      <w:r w:rsidRPr="003B37B6">
        <w:rPr>
          <w:rStyle w:val="ac"/>
          <w:rFonts w:eastAsiaTheme="majorEastAsia"/>
          <w:b/>
          <w:bCs/>
          <w:sz w:val="24"/>
          <w:szCs w:val="24"/>
          <w:u w:val="single"/>
        </w:rPr>
        <w:t>2.2 Физикальное обследование</w:t>
      </w:r>
      <w:bookmarkEnd w:id="24"/>
    </w:p>
    <w:p w14:paraId="30522C4F" w14:textId="77777777" w:rsidR="00E7569C" w:rsidRPr="003B37B6" w:rsidRDefault="00E7569C">
      <w:pPr>
        <w:pStyle w:val="11"/>
        <w:numPr>
          <w:ilvl w:val="0"/>
          <w:numId w:val="12"/>
        </w:numPr>
        <w:tabs>
          <w:tab w:val="left" w:pos="1334"/>
        </w:tabs>
        <w:ind w:firstLine="600"/>
        <w:jc w:val="both"/>
        <w:rPr>
          <w:sz w:val="24"/>
          <w:szCs w:val="24"/>
        </w:rPr>
      </w:pPr>
      <w:r w:rsidRPr="003B37B6">
        <w:rPr>
          <w:rStyle w:val="ac"/>
          <w:rFonts w:eastAsiaTheme="majorEastAsia"/>
          <w:sz w:val="24"/>
          <w:szCs w:val="24"/>
        </w:rPr>
        <w:t>Всем пациентам с АГ рекомендуется определение антропометрических данных для</w:t>
      </w:r>
      <w:r w:rsidRPr="003B37B6">
        <w:rPr>
          <w:sz w:val="24"/>
          <w:szCs w:val="24"/>
        </w:rPr>
        <w:t xml:space="preserve"> </w:t>
      </w:r>
      <w:r w:rsidRPr="003B37B6">
        <w:rPr>
          <w:rStyle w:val="ac"/>
          <w:rFonts w:eastAsiaTheme="majorEastAsia"/>
          <w:sz w:val="24"/>
          <w:szCs w:val="24"/>
        </w:rPr>
        <w:t>выявления избыточной массы тела/ожирения, оценка неврологического статуса и когнитивных функций, исследование глазного дна для выявления гипертонической ретинопатии, пальпация и аускультация сердца и сонных артерий, пальпация и аускультация периферических артерий для выявления патологических шумов, сравнение АД между руками хотя бы однократно [27].</w:t>
      </w:r>
    </w:p>
    <w:p w14:paraId="5B7AA844" w14:textId="777D6C14" w:rsidR="00E7569C" w:rsidRPr="003B37B6" w:rsidRDefault="00E7569C" w:rsidP="00E7569C">
      <w:pPr>
        <w:pStyle w:val="11"/>
        <w:ind w:firstLine="600"/>
        <w:jc w:val="both"/>
        <w:rPr>
          <w:sz w:val="24"/>
          <w:szCs w:val="24"/>
        </w:rPr>
      </w:pPr>
      <w:r w:rsidRPr="003B37B6">
        <w:rPr>
          <w:rStyle w:val="ac"/>
          <w:rFonts w:eastAsiaTheme="majorEastAsia"/>
          <w:b/>
          <w:bCs/>
          <w:sz w:val="24"/>
          <w:szCs w:val="24"/>
        </w:rPr>
        <w:t xml:space="preserve"> </w:t>
      </w:r>
      <w:r w:rsidR="00D65AC6" w:rsidRPr="003B37B6">
        <w:rPr>
          <w:rStyle w:val="ac"/>
          <w:rFonts w:eastAsiaTheme="majorEastAsia"/>
          <w:b/>
          <w:bCs/>
          <w:sz w:val="24"/>
          <w:szCs w:val="24"/>
        </w:rPr>
        <w:t>У</w:t>
      </w:r>
      <w:r w:rsidR="00616D44" w:rsidRPr="003B37B6">
        <w:rPr>
          <w:rStyle w:val="ac"/>
          <w:rFonts w:eastAsiaTheme="majorEastAsia"/>
          <w:b/>
          <w:bCs/>
          <w:sz w:val="24"/>
          <w:szCs w:val="24"/>
        </w:rPr>
        <w:t xml:space="preserve">ровень убедительности рекомендаций </w:t>
      </w:r>
      <w:r w:rsidRPr="003B37B6">
        <w:rPr>
          <w:rStyle w:val="ac"/>
          <w:rFonts w:eastAsiaTheme="majorEastAsia"/>
          <w:b/>
          <w:bCs/>
          <w:sz w:val="24"/>
          <w:szCs w:val="24"/>
          <w:lang w:val="en-US"/>
        </w:rPr>
        <w:t>C</w:t>
      </w:r>
      <w:r w:rsidR="00616D44"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w:t>
      </w:r>
      <w:r w:rsidR="00D65AC6" w:rsidRPr="003B37B6">
        <w:rPr>
          <w:rStyle w:val="ac"/>
          <w:rFonts w:eastAsiaTheme="majorEastAsia"/>
          <w:b/>
          <w:bCs/>
          <w:sz w:val="24"/>
          <w:szCs w:val="24"/>
        </w:rPr>
        <w:t xml:space="preserve">- </w:t>
      </w:r>
      <w:r w:rsidRPr="003B37B6">
        <w:rPr>
          <w:rStyle w:val="ac"/>
          <w:rFonts w:eastAsiaTheme="majorEastAsia"/>
          <w:b/>
          <w:bCs/>
          <w:sz w:val="24"/>
          <w:szCs w:val="24"/>
        </w:rPr>
        <w:t>5)</w:t>
      </w:r>
      <w:r w:rsidR="00616D44" w:rsidRPr="003B37B6">
        <w:rPr>
          <w:rStyle w:val="ac"/>
          <w:rFonts w:eastAsiaTheme="majorEastAsia"/>
          <w:b/>
          <w:bCs/>
          <w:sz w:val="24"/>
          <w:szCs w:val="24"/>
        </w:rPr>
        <w:t>; ЕОК/ЕОАГ нет</w:t>
      </w:r>
      <w:r w:rsidR="008520E0" w:rsidRPr="003B37B6">
        <w:rPr>
          <w:rStyle w:val="ac"/>
          <w:rFonts w:eastAsiaTheme="majorEastAsia"/>
          <w:b/>
          <w:bCs/>
          <w:sz w:val="24"/>
          <w:szCs w:val="24"/>
        </w:rPr>
        <w:t>.</w:t>
      </w:r>
    </w:p>
    <w:p w14:paraId="0B96232E" w14:textId="530F1BEF" w:rsidR="00E7569C" w:rsidRPr="00E7569C" w:rsidRDefault="00E7569C" w:rsidP="00E7569C">
      <w:pPr>
        <w:pStyle w:val="11"/>
        <w:ind w:firstLine="600"/>
        <w:jc w:val="both"/>
        <w:rPr>
          <w:sz w:val="24"/>
          <w:szCs w:val="24"/>
        </w:rPr>
      </w:pPr>
      <w:r w:rsidRPr="003B37B6">
        <w:rPr>
          <w:rStyle w:val="ac"/>
          <w:rFonts w:eastAsiaTheme="majorEastAsia"/>
          <w:b/>
          <w:bCs/>
          <w:sz w:val="24"/>
          <w:szCs w:val="24"/>
        </w:rPr>
        <w:t xml:space="preserve">Комментарии. </w:t>
      </w:r>
      <w:r w:rsidRPr="003B37B6">
        <w:rPr>
          <w:rStyle w:val="ac"/>
          <w:rFonts w:eastAsiaTheme="majorEastAsia"/>
          <w:i/>
          <w:iCs/>
          <w:sz w:val="24"/>
          <w:szCs w:val="24"/>
        </w:rPr>
        <w:t>Объективное исследование пациента с АГ направлено на выявление ФР, признаков вторичных форм АГ и ПОМ. В таблице П6 Приложени</w:t>
      </w:r>
      <w:r w:rsidR="008520E0" w:rsidRPr="003B37B6">
        <w:rPr>
          <w:rStyle w:val="ac"/>
          <w:rFonts w:eastAsiaTheme="majorEastAsia"/>
          <w:i/>
          <w:iCs/>
          <w:sz w:val="24"/>
          <w:szCs w:val="24"/>
        </w:rPr>
        <w:t>я</w:t>
      </w:r>
      <w:r w:rsidRPr="003B37B6">
        <w:rPr>
          <w:rStyle w:val="ac"/>
          <w:rFonts w:eastAsiaTheme="majorEastAsia"/>
          <w:i/>
          <w:iCs/>
          <w:sz w:val="24"/>
          <w:szCs w:val="24"/>
        </w:rPr>
        <w:t xml:space="preserve"> </w:t>
      </w:r>
      <w:r w:rsidR="00FB33EA" w:rsidRPr="003B37B6">
        <w:rPr>
          <w:rStyle w:val="ac"/>
          <w:rFonts w:eastAsiaTheme="majorEastAsia"/>
          <w:i/>
          <w:iCs/>
          <w:sz w:val="24"/>
          <w:szCs w:val="24"/>
        </w:rPr>
        <w:t>А2</w:t>
      </w:r>
      <w:r w:rsidRPr="003B37B6">
        <w:rPr>
          <w:rStyle w:val="ac"/>
          <w:rFonts w:eastAsiaTheme="majorEastAsia"/>
          <w:i/>
          <w:iCs/>
          <w:sz w:val="24"/>
          <w:szCs w:val="24"/>
        </w:rPr>
        <w:t xml:space="preserve"> </w:t>
      </w:r>
      <w:r w:rsidR="008520E0" w:rsidRPr="003B37B6">
        <w:rPr>
          <w:rStyle w:val="ac"/>
          <w:rFonts w:eastAsiaTheme="majorEastAsia"/>
          <w:i/>
          <w:iCs/>
          <w:sz w:val="24"/>
          <w:szCs w:val="24"/>
        </w:rPr>
        <w:t xml:space="preserve">к настоящим Клиническим рекомендациям </w:t>
      </w:r>
      <w:r w:rsidRPr="003B37B6">
        <w:rPr>
          <w:rStyle w:val="ac"/>
          <w:rFonts w:eastAsiaTheme="majorEastAsia"/>
          <w:i/>
          <w:iCs/>
          <w:sz w:val="24"/>
          <w:szCs w:val="24"/>
        </w:rPr>
        <w:t>суммированы основные положения</w:t>
      </w:r>
      <w:r w:rsidRPr="00E7569C">
        <w:rPr>
          <w:rStyle w:val="ac"/>
          <w:rFonts w:eastAsiaTheme="majorEastAsia"/>
          <w:i/>
          <w:iCs/>
          <w:sz w:val="24"/>
          <w:szCs w:val="24"/>
        </w:rPr>
        <w:t xml:space="preserve"> и требования к </w:t>
      </w:r>
      <w:r w:rsidRPr="00E7569C">
        <w:rPr>
          <w:rStyle w:val="ac"/>
          <w:rFonts w:eastAsiaTheme="majorEastAsia"/>
          <w:i/>
          <w:iCs/>
          <w:sz w:val="24"/>
          <w:szCs w:val="24"/>
        </w:rPr>
        <w:lastRenderedPageBreak/>
        <w:t>клиническому обследованию пациента.</w:t>
      </w:r>
    </w:p>
    <w:p w14:paraId="19D05376" w14:textId="77777777" w:rsidR="00E7569C" w:rsidRPr="00E7569C" w:rsidRDefault="00E7569C">
      <w:pPr>
        <w:pStyle w:val="11"/>
        <w:numPr>
          <w:ilvl w:val="0"/>
          <w:numId w:val="12"/>
        </w:numPr>
        <w:tabs>
          <w:tab w:val="left" w:pos="1334"/>
        </w:tabs>
        <w:ind w:firstLine="600"/>
        <w:jc w:val="both"/>
        <w:rPr>
          <w:sz w:val="24"/>
          <w:szCs w:val="24"/>
        </w:rPr>
      </w:pPr>
      <w:r w:rsidRPr="00E7569C">
        <w:rPr>
          <w:rStyle w:val="ac"/>
          <w:rFonts w:eastAsiaTheme="majorEastAsia"/>
          <w:sz w:val="24"/>
          <w:szCs w:val="24"/>
        </w:rPr>
        <w:t>Всем пациентам с АГ рекомендуется пальпировать пульс в покое для измерения его</w:t>
      </w:r>
      <w:r>
        <w:rPr>
          <w:sz w:val="24"/>
          <w:szCs w:val="24"/>
        </w:rPr>
        <w:t xml:space="preserve"> </w:t>
      </w:r>
      <w:r w:rsidRPr="00E7569C">
        <w:rPr>
          <w:rStyle w:val="ac"/>
          <w:rFonts w:eastAsiaTheme="majorEastAsia"/>
          <w:sz w:val="24"/>
          <w:szCs w:val="24"/>
        </w:rPr>
        <w:t>частоты и ритмичности с целью выявления аритмий [27, 28, 72].</w:t>
      </w:r>
    </w:p>
    <w:p w14:paraId="681E8EBC" w14:textId="0C9F927E" w:rsidR="00E7569C" w:rsidRDefault="00D65AC6" w:rsidP="00470725">
      <w:pPr>
        <w:pStyle w:val="11"/>
        <w:ind w:firstLine="600"/>
        <w:jc w:val="both"/>
        <w:rPr>
          <w:rStyle w:val="ac"/>
          <w:rFonts w:eastAsiaTheme="majorEastAsia"/>
          <w:b/>
          <w:bCs/>
          <w:sz w:val="24"/>
          <w:szCs w:val="24"/>
        </w:rPr>
      </w:pPr>
      <w:r>
        <w:rPr>
          <w:rStyle w:val="ac"/>
          <w:rFonts w:eastAsiaTheme="majorEastAsia"/>
          <w:b/>
          <w:bCs/>
          <w:sz w:val="24"/>
          <w:szCs w:val="24"/>
        </w:rPr>
        <w:t>Уровень убедительности рекомендаций</w:t>
      </w:r>
      <w:r w:rsidRPr="00E7569C">
        <w:rPr>
          <w:rStyle w:val="ac"/>
          <w:rFonts w:eastAsiaTheme="majorEastAsia"/>
          <w:b/>
          <w:bCs/>
          <w:sz w:val="24"/>
          <w:szCs w:val="24"/>
        </w:rPr>
        <w:t xml:space="preserve"> В, </w:t>
      </w:r>
      <w:r>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Pr>
          <w:rStyle w:val="ac"/>
          <w:rFonts w:eastAsiaTheme="majorEastAsia"/>
          <w:b/>
          <w:bCs/>
          <w:sz w:val="24"/>
          <w:szCs w:val="24"/>
        </w:rPr>
        <w:t xml:space="preserve"> -</w:t>
      </w:r>
      <w:r w:rsidRPr="00E7569C">
        <w:rPr>
          <w:rStyle w:val="ac"/>
          <w:rFonts w:eastAsiaTheme="majorEastAsia"/>
          <w:b/>
          <w:bCs/>
          <w:sz w:val="24"/>
          <w:szCs w:val="24"/>
        </w:rPr>
        <w:t xml:space="preserve"> </w:t>
      </w:r>
      <w:r w:rsidR="00E7569C" w:rsidRPr="00E7569C">
        <w:rPr>
          <w:rStyle w:val="ac"/>
          <w:rFonts w:eastAsiaTheme="majorEastAsia"/>
          <w:b/>
          <w:bCs/>
          <w:sz w:val="24"/>
          <w:szCs w:val="24"/>
        </w:rPr>
        <w:t>2</w:t>
      </w:r>
      <w:r w:rsidR="00470725" w:rsidRPr="00E7569C">
        <w:rPr>
          <w:rStyle w:val="ac"/>
          <w:rFonts w:eastAsiaTheme="majorEastAsia"/>
          <w:b/>
          <w:bCs/>
          <w:sz w:val="24"/>
          <w:szCs w:val="24"/>
        </w:rPr>
        <w:t>)</w:t>
      </w:r>
      <w:r w:rsidR="00470725" w:rsidRPr="00D65AC6">
        <w:rPr>
          <w:rStyle w:val="ac"/>
          <w:rFonts w:eastAsiaTheme="majorEastAsia"/>
          <w:b/>
          <w:bCs/>
          <w:sz w:val="24"/>
          <w:szCs w:val="24"/>
        </w:rPr>
        <w:t>; ЕОК</w:t>
      </w:r>
      <w:r w:rsidRPr="00E7569C">
        <w:rPr>
          <w:rStyle w:val="ac"/>
          <w:rFonts w:eastAsiaTheme="majorEastAsia"/>
          <w:b/>
          <w:bCs/>
          <w:sz w:val="24"/>
          <w:szCs w:val="24"/>
        </w:rPr>
        <w:t>/ЕОАГ IС</w:t>
      </w:r>
      <w:r w:rsidR="00761DC4">
        <w:rPr>
          <w:rStyle w:val="ac"/>
          <w:rFonts w:eastAsiaTheme="majorEastAsia"/>
          <w:b/>
          <w:bCs/>
          <w:sz w:val="24"/>
          <w:szCs w:val="24"/>
        </w:rPr>
        <w:t>.</w:t>
      </w:r>
    </w:p>
    <w:p w14:paraId="710DD273" w14:textId="1229BBE8" w:rsidR="00470725" w:rsidRPr="00470725" w:rsidRDefault="00470725" w:rsidP="00470725">
      <w:pPr>
        <w:pStyle w:val="11"/>
        <w:ind w:firstLine="600"/>
        <w:jc w:val="both"/>
        <w:rPr>
          <w:rStyle w:val="ac"/>
          <w:rFonts w:eastAsiaTheme="majorEastAsia"/>
          <w:b/>
          <w:bCs/>
          <w:i/>
          <w:iCs/>
          <w:sz w:val="24"/>
          <w:szCs w:val="24"/>
        </w:rPr>
      </w:pPr>
      <w:r w:rsidRPr="00470725">
        <w:rPr>
          <w:rStyle w:val="ac"/>
          <w:rFonts w:eastAsiaTheme="majorEastAsia"/>
          <w:b/>
          <w:bCs/>
          <w:sz w:val="24"/>
          <w:szCs w:val="24"/>
        </w:rPr>
        <w:t xml:space="preserve">Комментарии. </w:t>
      </w:r>
      <w:r w:rsidRPr="00470725">
        <w:rPr>
          <w:i/>
          <w:iCs/>
          <w:sz w:val="24"/>
          <w:szCs w:val="24"/>
        </w:rPr>
        <w:t xml:space="preserve">Рекомендация основана на клиническом опыте и данных наблюдательных исследований, которые указывают, что регулярная пальпация пульса у пациентов с </w:t>
      </w:r>
      <w:r w:rsidR="00761DC4" w:rsidRPr="003B37B6">
        <w:rPr>
          <w:i/>
          <w:iCs/>
          <w:sz w:val="24"/>
          <w:szCs w:val="24"/>
        </w:rPr>
        <w:t>АГ</w:t>
      </w:r>
      <w:r w:rsidR="00761DC4">
        <w:rPr>
          <w:i/>
          <w:iCs/>
          <w:sz w:val="24"/>
          <w:szCs w:val="24"/>
        </w:rPr>
        <w:t xml:space="preserve"> </w:t>
      </w:r>
      <w:r w:rsidR="00761DC4" w:rsidRPr="00470725">
        <w:rPr>
          <w:i/>
          <w:iCs/>
          <w:sz w:val="24"/>
          <w:szCs w:val="24"/>
        </w:rPr>
        <w:t>позволяет</w:t>
      </w:r>
      <w:r w:rsidRPr="00470725">
        <w:rPr>
          <w:i/>
          <w:iCs/>
          <w:sz w:val="24"/>
          <w:szCs w:val="24"/>
        </w:rPr>
        <w:t xml:space="preserve"> своевременно выявлять нарушения ритма, в частности фибрилляцию предсердий, что имеет важное значение для профилактики инсультов и других осложнений.</w:t>
      </w:r>
    </w:p>
    <w:p w14:paraId="7756BD53" w14:textId="77777777" w:rsidR="00F71673" w:rsidRPr="00F71673" w:rsidRDefault="00F71673" w:rsidP="00424F51">
      <w:pPr>
        <w:pStyle w:val="11"/>
        <w:numPr>
          <w:ilvl w:val="1"/>
          <w:numId w:val="45"/>
        </w:numPr>
        <w:tabs>
          <w:tab w:val="left" w:pos="1058"/>
        </w:tabs>
        <w:jc w:val="both"/>
        <w:outlineLvl w:val="1"/>
        <w:rPr>
          <w:sz w:val="24"/>
          <w:szCs w:val="24"/>
        </w:rPr>
      </w:pPr>
      <w:bookmarkStart w:id="25" w:name="_Toc202877437"/>
      <w:r w:rsidRPr="00F71673">
        <w:rPr>
          <w:rStyle w:val="ac"/>
          <w:rFonts w:eastAsiaTheme="majorEastAsia"/>
          <w:b/>
          <w:bCs/>
          <w:sz w:val="24"/>
          <w:szCs w:val="24"/>
          <w:u w:val="single"/>
        </w:rPr>
        <w:t>Лабораторная диагностика</w:t>
      </w:r>
      <w:bookmarkEnd w:id="25"/>
    </w:p>
    <w:p w14:paraId="55AA2318" w14:textId="77777777" w:rsidR="00F71673" w:rsidRPr="00F71673" w:rsidRDefault="00F71673" w:rsidP="00F71673">
      <w:pPr>
        <w:pStyle w:val="11"/>
        <w:ind w:firstLine="600"/>
        <w:jc w:val="both"/>
        <w:rPr>
          <w:sz w:val="24"/>
          <w:szCs w:val="24"/>
        </w:rPr>
      </w:pPr>
      <w:r w:rsidRPr="00F71673">
        <w:rPr>
          <w:rStyle w:val="ac"/>
          <w:rFonts w:eastAsiaTheme="majorEastAsia"/>
          <w:sz w:val="24"/>
          <w:szCs w:val="24"/>
        </w:rPr>
        <w:t>Для установления диагноза АГ лабораторная диагностика не требуется, однако, она необходима с целью исключения вторичных форм АГ, выявления ПОМ, оценки СС риска, и сопутствующей патологии, влияющей на эффективность лечения и качество жизни пациента.</w:t>
      </w:r>
    </w:p>
    <w:p w14:paraId="7B1138FD" w14:textId="77777777" w:rsidR="00F71673" w:rsidRPr="00F71673" w:rsidRDefault="00F71673">
      <w:pPr>
        <w:pStyle w:val="11"/>
        <w:numPr>
          <w:ilvl w:val="0"/>
          <w:numId w:val="13"/>
        </w:numPr>
        <w:tabs>
          <w:tab w:val="left" w:pos="1334"/>
        </w:tabs>
        <w:ind w:firstLine="600"/>
        <w:jc w:val="both"/>
        <w:rPr>
          <w:sz w:val="24"/>
          <w:szCs w:val="24"/>
        </w:rPr>
      </w:pPr>
      <w:r w:rsidRPr="00F71673">
        <w:rPr>
          <w:rStyle w:val="ac"/>
          <w:rFonts w:eastAsiaTheme="majorEastAsia"/>
          <w:sz w:val="24"/>
          <w:szCs w:val="24"/>
        </w:rPr>
        <w:t>Всем пациентам с АГ с целью исключения вторичной гипертензии рекомендуется</w:t>
      </w:r>
      <w:r>
        <w:rPr>
          <w:sz w:val="24"/>
          <w:szCs w:val="24"/>
        </w:rPr>
        <w:t xml:space="preserve"> </w:t>
      </w:r>
      <w:r w:rsidRPr="00F71673">
        <w:rPr>
          <w:rStyle w:val="ac"/>
          <w:rFonts w:eastAsiaTheme="majorEastAsia"/>
          <w:sz w:val="24"/>
          <w:szCs w:val="24"/>
        </w:rPr>
        <w:t>проведение общего (клинического) анализа крови (исследование уровня общего гемоглобина в крови, оценка гематокрита, исследование уровня лейкоцитов и тромбоцитов в крови) [27].</w:t>
      </w:r>
    </w:p>
    <w:p w14:paraId="5EC449FA" w14:textId="6BC21384" w:rsidR="00F71673" w:rsidRDefault="00860648" w:rsidP="00F71673">
      <w:pPr>
        <w:pStyle w:val="11"/>
        <w:ind w:firstLine="660"/>
        <w:jc w:val="both"/>
        <w:rPr>
          <w:rStyle w:val="ac"/>
          <w:rFonts w:eastAsiaTheme="majorEastAsia"/>
          <w:b/>
          <w:bCs/>
          <w:sz w:val="24"/>
          <w:szCs w:val="24"/>
        </w:rPr>
      </w:pPr>
      <w:r w:rsidRPr="00F71673">
        <w:rPr>
          <w:rStyle w:val="ac"/>
          <w:rFonts w:eastAsiaTheme="majorEastAsia"/>
          <w:b/>
          <w:bCs/>
          <w:sz w:val="24"/>
          <w:szCs w:val="24"/>
        </w:rPr>
        <w:t xml:space="preserve"> </w:t>
      </w:r>
      <w:r>
        <w:rPr>
          <w:rStyle w:val="ac"/>
          <w:rFonts w:eastAsiaTheme="majorEastAsia"/>
          <w:b/>
          <w:bCs/>
          <w:sz w:val="24"/>
          <w:szCs w:val="24"/>
        </w:rPr>
        <w:t>Уровень убедительности рекомендаций</w:t>
      </w:r>
      <w:r w:rsidR="00F71673" w:rsidRPr="00F71673">
        <w:rPr>
          <w:rStyle w:val="ac"/>
          <w:rFonts w:eastAsiaTheme="majorEastAsia"/>
          <w:b/>
          <w:bCs/>
          <w:sz w:val="24"/>
          <w:szCs w:val="24"/>
        </w:rPr>
        <w:t xml:space="preserve"> </w:t>
      </w:r>
      <w:r w:rsidR="00F71673" w:rsidRPr="00F71673">
        <w:rPr>
          <w:rStyle w:val="ac"/>
          <w:rFonts w:eastAsiaTheme="majorEastAsia"/>
          <w:b/>
          <w:bCs/>
          <w:sz w:val="24"/>
          <w:szCs w:val="24"/>
          <w:lang w:val="en-US"/>
        </w:rPr>
        <w:t>C</w:t>
      </w:r>
      <w:r w:rsidR="00F71673" w:rsidRPr="00F71673">
        <w:rPr>
          <w:rStyle w:val="ac"/>
          <w:rFonts w:eastAsiaTheme="majorEastAsia"/>
          <w:b/>
          <w:bCs/>
          <w:sz w:val="24"/>
          <w:szCs w:val="24"/>
        </w:rPr>
        <w:t xml:space="preserve">, </w:t>
      </w:r>
      <w:r>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F71673">
        <w:rPr>
          <w:rStyle w:val="ac"/>
          <w:rFonts w:eastAsiaTheme="majorEastAsia"/>
          <w:b/>
          <w:bCs/>
          <w:sz w:val="24"/>
          <w:szCs w:val="24"/>
        </w:rPr>
        <w:t xml:space="preserve"> </w:t>
      </w:r>
      <w:r w:rsidR="00F71673" w:rsidRPr="00F71673">
        <w:rPr>
          <w:rStyle w:val="ac"/>
          <w:rFonts w:eastAsiaTheme="majorEastAsia"/>
          <w:b/>
          <w:bCs/>
          <w:sz w:val="24"/>
          <w:szCs w:val="24"/>
        </w:rPr>
        <w:t>5)</w:t>
      </w:r>
      <w:r>
        <w:rPr>
          <w:rStyle w:val="ac"/>
          <w:rFonts w:eastAsiaTheme="majorEastAsia"/>
          <w:b/>
          <w:bCs/>
          <w:sz w:val="24"/>
          <w:szCs w:val="24"/>
        </w:rPr>
        <w:t>;</w:t>
      </w:r>
      <w:r w:rsidRPr="00860648">
        <w:rPr>
          <w:rStyle w:val="ac"/>
          <w:rFonts w:eastAsiaTheme="majorEastAsia"/>
          <w:b/>
          <w:bCs/>
          <w:sz w:val="24"/>
          <w:szCs w:val="24"/>
        </w:rPr>
        <w:t xml:space="preserve"> </w:t>
      </w:r>
      <w:r w:rsidRPr="00F71673">
        <w:rPr>
          <w:rStyle w:val="ac"/>
          <w:rFonts w:eastAsiaTheme="majorEastAsia"/>
          <w:b/>
          <w:bCs/>
          <w:sz w:val="24"/>
          <w:szCs w:val="24"/>
        </w:rPr>
        <w:t>ЕОК/ЕОАГ нет</w:t>
      </w:r>
      <w:r w:rsidR="00B538A2">
        <w:rPr>
          <w:rStyle w:val="ac"/>
          <w:rFonts w:eastAsiaTheme="majorEastAsia"/>
          <w:b/>
          <w:bCs/>
          <w:sz w:val="24"/>
          <w:szCs w:val="24"/>
        </w:rPr>
        <w:t>.</w:t>
      </w:r>
    </w:p>
    <w:p w14:paraId="3FBDF05F" w14:textId="20EDC6D0" w:rsidR="0042368D" w:rsidRPr="0042368D" w:rsidRDefault="0042368D" w:rsidP="00F71673">
      <w:pPr>
        <w:pStyle w:val="11"/>
        <w:ind w:firstLine="660"/>
        <w:jc w:val="both"/>
        <w:rPr>
          <w:i/>
          <w:iCs/>
          <w:sz w:val="24"/>
          <w:szCs w:val="24"/>
        </w:rPr>
      </w:pPr>
      <w:r w:rsidRPr="0042368D">
        <w:rPr>
          <w:rStyle w:val="ac"/>
          <w:rFonts w:eastAsiaTheme="majorEastAsia"/>
          <w:b/>
          <w:bCs/>
          <w:sz w:val="24"/>
          <w:szCs w:val="24"/>
        </w:rPr>
        <w:t>Комментарии.</w:t>
      </w:r>
      <w:r>
        <w:rPr>
          <w:rStyle w:val="ac"/>
          <w:rFonts w:eastAsiaTheme="majorEastAsia"/>
          <w:b/>
          <w:bCs/>
          <w:sz w:val="24"/>
          <w:szCs w:val="24"/>
        </w:rPr>
        <w:t xml:space="preserve"> </w:t>
      </w:r>
      <w:r w:rsidRPr="0042368D">
        <w:rPr>
          <w:i/>
          <w:iCs/>
          <w:sz w:val="24"/>
          <w:szCs w:val="24"/>
        </w:rPr>
        <w:t>Общий (клинический) анализ крови у пациентов с артериальной гипертензией позволяет выявить косвенные признаки вторичных форм гипертензии, таких как хронические заболевания почек, эндокринные нарушения, системные воспалительные или онкогематологические процессы. Определение гемоглобина и гематокрита помогает исключить полицитемию, лейкоцитарная формула — воспалительные или инфекционные заболевания, тромбоциты — нарушения гемостаза.</w:t>
      </w:r>
    </w:p>
    <w:p w14:paraId="42404D2A" w14:textId="1607D649" w:rsidR="00F71673" w:rsidRPr="00B538A2" w:rsidRDefault="00F71673" w:rsidP="00B538A2">
      <w:pPr>
        <w:pStyle w:val="11"/>
        <w:numPr>
          <w:ilvl w:val="0"/>
          <w:numId w:val="13"/>
        </w:numPr>
        <w:tabs>
          <w:tab w:val="left" w:pos="1334"/>
        </w:tabs>
        <w:ind w:firstLine="709"/>
        <w:jc w:val="both"/>
        <w:rPr>
          <w:sz w:val="24"/>
          <w:szCs w:val="24"/>
        </w:rPr>
      </w:pPr>
      <w:r w:rsidRPr="00B538A2">
        <w:rPr>
          <w:rStyle w:val="ac"/>
          <w:rFonts w:eastAsiaTheme="majorEastAsia"/>
          <w:sz w:val="24"/>
          <w:szCs w:val="24"/>
        </w:rPr>
        <w:t>Для выявления предиабета, СД и оценки сердечно-сосудистого риска всем</w:t>
      </w:r>
      <w:r w:rsidR="00B538A2">
        <w:rPr>
          <w:rStyle w:val="ac"/>
          <w:rFonts w:eastAsiaTheme="majorEastAsia"/>
          <w:sz w:val="24"/>
          <w:szCs w:val="24"/>
        </w:rPr>
        <w:t xml:space="preserve"> </w:t>
      </w:r>
      <w:r w:rsidRPr="00B538A2">
        <w:rPr>
          <w:rStyle w:val="ac"/>
          <w:rFonts w:eastAsiaTheme="majorEastAsia"/>
          <w:sz w:val="24"/>
          <w:szCs w:val="24"/>
        </w:rPr>
        <w:t>пациентам с АГ рекомендуется исследование уровня глюкозы в крови [73, 74, 75, 76, 77, 78].</w:t>
      </w:r>
    </w:p>
    <w:p w14:paraId="37DD1375" w14:textId="0F739A67" w:rsidR="00F71673" w:rsidRPr="00F71673" w:rsidRDefault="00F71673" w:rsidP="00F71673">
      <w:pPr>
        <w:pStyle w:val="11"/>
        <w:ind w:firstLine="600"/>
        <w:jc w:val="both"/>
        <w:rPr>
          <w:sz w:val="24"/>
          <w:szCs w:val="24"/>
        </w:rPr>
      </w:pPr>
      <w:r w:rsidRPr="00F71673">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Pr="00F71673">
        <w:rPr>
          <w:rStyle w:val="ac"/>
          <w:rFonts w:eastAsiaTheme="majorEastAsia"/>
          <w:b/>
          <w:bCs/>
          <w:sz w:val="24"/>
          <w:szCs w:val="24"/>
        </w:rPr>
        <w:t xml:space="preserve"> А, </w:t>
      </w:r>
      <w:r w:rsidR="003D51B3" w:rsidRPr="00F71673">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F71673">
        <w:rPr>
          <w:rStyle w:val="ac"/>
          <w:rFonts w:eastAsiaTheme="majorEastAsia"/>
          <w:b/>
          <w:bCs/>
          <w:sz w:val="24"/>
          <w:szCs w:val="24"/>
        </w:rPr>
        <w:t xml:space="preserve"> 2)</w:t>
      </w:r>
      <w:r w:rsidR="003D51B3">
        <w:rPr>
          <w:rStyle w:val="ac"/>
          <w:rFonts w:eastAsiaTheme="majorEastAsia"/>
          <w:b/>
          <w:bCs/>
          <w:sz w:val="24"/>
          <w:szCs w:val="24"/>
        </w:rPr>
        <w:t>;</w:t>
      </w:r>
      <w:r w:rsidR="003D51B3" w:rsidRPr="003D51B3">
        <w:rPr>
          <w:rStyle w:val="ac"/>
          <w:rFonts w:eastAsiaTheme="majorEastAsia"/>
          <w:b/>
          <w:bCs/>
          <w:sz w:val="24"/>
          <w:szCs w:val="24"/>
        </w:rPr>
        <w:t xml:space="preserve"> </w:t>
      </w:r>
      <w:r w:rsidR="003D51B3" w:rsidRPr="00F71673">
        <w:rPr>
          <w:rStyle w:val="ac"/>
          <w:rFonts w:eastAsiaTheme="majorEastAsia"/>
          <w:b/>
          <w:bCs/>
          <w:sz w:val="24"/>
          <w:szCs w:val="24"/>
        </w:rPr>
        <w:t>ЕОК/ЕОАГ нет</w:t>
      </w:r>
      <w:r w:rsidR="00B538A2">
        <w:rPr>
          <w:rStyle w:val="ac"/>
          <w:rFonts w:eastAsiaTheme="majorEastAsia"/>
          <w:b/>
          <w:bCs/>
          <w:sz w:val="24"/>
          <w:szCs w:val="24"/>
        </w:rPr>
        <w:t>.</w:t>
      </w:r>
    </w:p>
    <w:p w14:paraId="3740491E" w14:textId="77777777" w:rsidR="00F71673" w:rsidRPr="00F71673" w:rsidRDefault="00F71673" w:rsidP="00F71673">
      <w:pPr>
        <w:pStyle w:val="11"/>
        <w:ind w:firstLine="0"/>
        <w:jc w:val="both"/>
        <w:rPr>
          <w:sz w:val="24"/>
          <w:szCs w:val="24"/>
        </w:rPr>
      </w:pPr>
      <w:r w:rsidRPr="00F71673">
        <w:rPr>
          <w:rStyle w:val="ac"/>
          <w:rFonts w:eastAsiaTheme="majorEastAsia"/>
          <w:b/>
          <w:bCs/>
          <w:sz w:val="24"/>
          <w:szCs w:val="24"/>
        </w:rPr>
        <w:t xml:space="preserve">Комментарии. </w:t>
      </w:r>
      <w:r w:rsidRPr="00F71673">
        <w:rPr>
          <w:rStyle w:val="ac"/>
          <w:rFonts w:eastAsiaTheme="majorEastAsia"/>
          <w:i/>
          <w:iCs/>
          <w:sz w:val="24"/>
          <w:szCs w:val="24"/>
        </w:rPr>
        <w:t xml:space="preserve">При значениях глюкозы ≥ 6,1 ммоль/Л следует повторно определить ее уровень во всех случаях, кроме несомненной гипергликемии с острой метаболической декомпенсацией или очевидными симптомами. В качестве теста, подтверждающего гипергликемию, может быть определение гликированного гемоглобина (НвА1с). Диагноз </w:t>
      </w:r>
      <w:r w:rsidRPr="00F71673">
        <w:rPr>
          <w:rStyle w:val="ac"/>
          <w:rFonts w:eastAsiaTheme="majorEastAsia"/>
          <w:i/>
          <w:iCs/>
          <w:sz w:val="24"/>
          <w:szCs w:val="24"/>
        </w:rPr>
        <w:lastRenderedPageBreak/>
        <w:t xml:space="preserve">СД устанавливают на основании двух цифр, находящихся в диабетическом диапазоне: дважды </w:t>
      </w:r>
      <w:r w:rsidR="0092588B" w:rsidRPr="00F71673">
        <w:rPr>
          <w:rStyle w:val="ac"/>
          <w:rFonts w:eastAsiaTheme="majorEastAsia"/>
          <w:i/>
          <w:iCs/>
          <w:sz w:val="24"/>
          <w:szCs w:val="24"/>
        </w:rPr>
        <w:t>определённый</w:t>
      </w:r>
      <w:r w:rsidRPr="00F71673">
        <w:rPr>
          <w:rStyle w:val="ac"/>
          <w:rFonts w:eastAsiaTheme="majorEastAsia"/>
          <w:i/>
          <w:iCs/>
          <w:sz w:val="24"/>
          <w:szCs w:val="24"/>
        </w:rPr>
        <w:t xml:space="preserve"> </w:t>
      </w:r>
      <w:r w:rsidRPr="00F71673">
        <w:rPr>
          <w:rStyle w:val="ac"/>
          <w:rFonts w:eastAsiaTheme="majorEastAsia"/>
          <w:i/>
          <w:iCs/>
          <w:sz w:val="24"/>
          <w:szCs w:val="24"/>
          <w:lang w:val="en-US"/>
        </w:rPr>
        <w:t>HbA</w:t>
      </w:r>
      <w:r w:rsidRPr="00F71673">
        <w:rPr>
          <w:rStyle w:val="ac"/>
          <w:rFonts w:eastAsiaTheme="majorEastAsia"/>
          <w:i/>
          <w:iCs/>
          <w:sz w:val="24"/>
          <w:szCs w:val="24"/>
        </w:rPr>
        <w:t>1</w:t>
      </w:r>
      <w:r w:rsidRPr="00F71673">
        <w:rPr>
          <w:rStyle w:val="ac"/>
          <w:rFonts w:eastAsiaTheme="majorEastAsia"/>
          <w:i/>
          <w:iCs/>
          <w:sz w:val="24"/>
          <w:szCs w:val="24"/>
          <w:lang w:val="en-US"/>
        </w:rPr>
        <w:t>c</w:t>
      </w:r>
      <w:r w:rsidRPr="00F71673">
        <w:rPr>
          <w:rStyle w:val="ac"/>
          <w:rFonts w:eastAsiaTheme="majorEastAsia"/>
          <w:i/>
          <w:iCs/>
          <w:sz w:val="24"/>
          <w:szCs w:val="24"/>
        </w:rPr>
        <w:t xml:space="preserve"> или однократное определение </w:t>
      </w:r>
      <w:r w:rsidRPr="00F71673">
        <w:rPr>
          <w:rStyle w:val="ac"/>
          <w:rFonts w:eastAsiaTheme="majorEastAsia"/>
          <w:i/>
          <w:iCs/>
          <w:sz w:val="24"/>
          <w:szCs w:val="24"/>
          <w:lang w:val="en-US"/>
        </w:rPr>
        <w:t>HbA</w:t>
      </w:r>
      <w:r w:rsidRPr="00F71673">
        <w:rPr>
          <w:rStyle w:val="ac"/>
          <w:rFonts w:eastAsiaTheme="majorEastAsia"/>
          <w:i/>
          <w:iCs/>
          <w:sz w:val="24"/>
          <w:szCs w:val="24"/>
        </w:rPr>
        <w:t>1</w:t>
      </w:r>
      <w:r w:rsidRPr="00F71673">
        <w:rPr>
          <w:rStyle w:val="ac"/>
          <w:rFonts w:eastAsiaTheme="majorEastAsia"/>
          <w:i/>
          <w:iCs/>
          <w:sz w:val="24"/>
          <w:szCs w:val="24"/>
          <w:lang w:val="en-US"/>
        </w:rPr>
        <w:t>c</w:t>
      </w:r>
      <w:r w:rsidRPr="00F71673">
        <w:rPr>
          <w:rStyle w:val="ac"/>
          <w:rFonts w:eastAsiaTheme="majorEastAsia"/>
          <w:i/>
          <w:iCs/>
          <w:sz w:val="24"/>
          <w:szCs w:val="24"/>
        </w:rPr>
        <w:t xml:space="preserve"> и однократное определение уровня глюкозы крови. Значения перечисленных параметров оценки гликемии выше нормальных, но ниже диабетических, указывают на наличие предиабета. Пероральный </w:t>
      </w:r>
      <w:r w:rsidR="00D437E8" w:rsidRPr="00F71673">
        <w:rPr>
          <w:rStyle w:val="ac"/>
          <w:rFonts w:eastAsiaTheme="majorEastAsia"/>
          <w:i/>
          <w:iCs/>
          <w:sz w:val="24"/>
          <w:szCs w:val="24"/>
        </w:rPr>
        <w:t>глюкозотолерантный тест</w:t>
      </w:r>
      <w:r w:rsidRPr="00F71673">
        <w:rPr>
          <w:rStyle w:val="ac"/>
          <w:rFonts w:eastAsiaTheme="majorEastAsia"/>
          <w:i/>
          <w:iCs/>
          <w:sz w:val="24"/>
          <w:szCs w:val="24"/>
        </w:rPr>
        <w:t xml:space="preserve"> (ПГТТ) проводится в сомнительных случаях для уточнения диагноза СД, а также для выявления предиабета. Гликированный гемоглобин (НвА1с) может быть использован для диагностики СД и предиабета, если метод его определения сертифицирован в соответствии с </w:t>
      </w:r>
      <w:r w:rsidRPr="00F71673">
        <w:rPr>
          <w:rStyle w:val="ac"/>
          <w:rFonts w:eastAsiaTheme="majorEastAsia"/>
          <w:i/>
          <w:iCs/>
          <w:sz w:val="24"/>
          <w:szCs w:val="24"/>
          <w:lang w:val="en-US"/>
        </w:rPr>
        <w:t>National</w:t>
      </w:r>
      <w:r w:rsidRPr="00F71673">
        <w:rPr>
          <w:rStyle w:val="ac"/>
          <w:rFonts w:eastAsiaTheme="majorEastAsia"/>
          <w:i/>
          <w:iCs/>
          <w:sz w:val="24"/>
          <w:szCs w:val="24"/>
        </w:rPr>
        <w:t xml:space="preserve"> </w:t>
      </w:r>
      <w:r w:rsidRPr="00F71673">
        <w:rPr>
          <w:rStyle w:val="ac"/>
          <w:rFonts w:eastAsiaTheme="majorEastAsia"/>
          <w:i/>
          <w:iCs/>
          <w:sz w:val="24"/>
          <w:szCs w:val="24"/>
          <w:lang w:val="en-US"/>
        </w:rPr>
        <w:t>Glycohemoglobin</w:t>
      </w:r>
      <w:r w:rsidRPr="00F71673">
        <w:rPr>
          <w:rStyle w:val="ac"/>
          <w:rFonts w:eastAsiaTheme="majorEastAsia"/>
          <w:i/>
          <w:iCs/>
          <w:sz w:val="24"/>
          <w:szCs w:val="24"/>
        </w:rPr>
        <w:t xml:space="preserve"> </w:t>
      </w:r>
      <w:r w:rsidRPr="00F71673">
        <w:rPr>
          <w:rStyle w:val="ac"/>
          <w:rFonts w:eastAsiaTheme="majorEastAsia"/>
          <w:i/>
          <w:iCs/>
          <w:sz w:val="24"/>
          <w:szCs w:val="24"/>
          <w:lang w:val="en-US"/>
        </w:rPr>
        <w:t>Standartization</w:t>
      </w:r>
      <w:r w:rsidRPr="00F71673">
        <w:rPr>
          <w:rStyle w:val="ac"/>
          <w:rFonts w:eastAsiaTheme="majorEastAsia"/>
          <w:i/>
          <w:iCs/>
          <w:sz w:val="24"/>
          <w:szCs w:val="24"/>
        </w:rPr>
        <w:t xml:space="preserve"> </w:t>
      </w:r>
      <w:r w:rsidRPr="00F71673">
        <w:rPr>
          <w:rStyle w:val="ac"/>
          <w:rFonts w:eastAsiaTheme="majorEastAsia"/>
          <w:i/>
          <w:iCs/>
          <w:sz w:val="24"/>
          <w:szCs w:val="24"/>
          <w:lang w:val="en-US"/>
        </w:rPr>
        <w:t>Program</w:t>
      </w:r>
      <w:r w:rsidRPr="00F71673">
        <w:rPr>
          <w:rStyle w:val="ac"/>
          <w:rFonts w:eastAsiaTheme="majorEastAsia"/>
          <w:i/>
          <w:iCs/>
          <w:sz w:val="24"/>
          <w:szCs w:val="24"/>
        </w:rPr>
        <w:t xml:space="preserve"> (</w:t>
      </w:r>
      <w:r w:rsidRPr="00F71673">
        <w:rPr>
          <w:rStyle w:val="ac"/>
          <w:rFonts w:eastAsiaTheme="majorEastAsia"/>
          <w:i/>
          <w:iCs/>
          <w:sz w:val="24"/>
          <w:szCs w:val="24"/>
          <w:lang w:val="en-US"/>
        </w:rPr>
        <w:t>NGSP</w:t>
      </w:r>
      <w:r w:rsidRPr="00F71673">
        <w:rPr>
          <w:rStyle w:val="ac"/>
          <w:rFonts w:eastAsiaTheme="majorEastAsia"/>
          <w:i/>
          <w:iCs/>
          <w:sz w:val="24"/>
          <w:szCs w:val="24"/>
        </w:rPr>
        <w:t xml:space="preserve">), или </w:t>
      </w:r>
      <w:r w:rsidRPr="00F71673">
        <w:rPr>
          <w:rStyle w:val="ac"/>
          <w:rFonts w:eastAsiaTheme="majorEastAsia"/>
          <w:i/>
          <w:iCs/>
          <w:sz w:val="24"/>
          <w:szCs w:val="24"/>
          <w:lang w:val="en-US"/>
        </w:rPr>
        <w:t>International</w:t>
      </w:r>
      <w:r w:rsidRPr="00F71673">
        <w:rPr>
          <w:rStyle w:val="ac"/>
          <w:rFonts w:eastAsiaTheme="majorEastAsia"/>
          <w:i/>
          <w:iCs/>
          <w:sz w:val="24"/>
          <w:szCs w:val="24"/>
        </w:rPr>
        <w:t xml:space="preserve"> </w:t>
      </w:r>
      <w:r w:rsidRPr="00F71673">
        <w:rPr>
          <w:rStyle w:val="ac"/>
          <w:rFonts w:eastAsiaTheme="majorEastAsia"/>
          <w:i/>
          <w:iCs/>
          <w:sz w:val="24"/>
          <w:szCs w:val="24"/>
          <w:lang w:val="en-US"/>
        </w:rPr>
        <w:t>Federation</w:t>
      </w:r>
      <w:r w:rsidRPr="00F71673">
        <w:rPr>
          <w:rStyle w:val="ac"/>
          <w:rFonts w:eastAsiaTheme="majorEastAsia"/>
          <w:i/>
          <w:iCs/>
          <w:sz w:val="24"/>
          <w:szCs w:val="24"/>
        </w:rPr>
        <w:t xml:space="preserve"> </w:t>
      </w:r>
      <w:r w:rsidRPr="00F71673">
        <w:rPr>
          <w:rStyle w:val="ac"/>
          <w:rFonts w:eastAsiaTheme="majorEastAsia"/>
          <w:i/>
          <w:iCs/>
          <w:sz w:val="24"/>
          <w:szCs w:val="24"/>
          <w:lang w:val="en-US"/>
        </w:rPr>
        <w:t>of</w:t>
      </w:r>
      <w:r w:rsidRPr="00F71673">
        <w:rPr>
          <w:rStyle w:val="ac"/>
          <w:rFonts w:eastAsiaTheme="majorEastAsia"/>
          <w:i/>
          <w:iCs/>
          <w:sz w:val="24"/>
          <w:szCs w:val="24"/>
        </w:rPr>
        <w:t xml:space="preserve"> </w:t>
      </w:r>
      <w:r w:rsidRPr="00F71673">
        <w:rPr>
          <w:rStyle w:val="ac"/>
          <w:rFonts w:eastAsiaTheme="majorEastAsia"/>
          <w:i/>
          <w:iCs/>
          <w:sz w:val="24"/>
          <w:szCs w:val="24"/>
          <w:lang w:val="en-US"/>
        </w:rPr>
        <w:t>Clinical</w:t>
      </w:r>
      <w:r w:rsidRPr="00F71673">
        <w:rPr>
          <w:rStyle w:val="ac"/>
          <w:rFonts w:eastAsiaTheme="majorEastAsia"/>
          <w:i/>
          <w:iCs/>
          <w:sz w:val="24"/>
          <w:szCs w:val="24"/>
        </w:rPr>
        <w:t xml:space="preserve"> </w:t>
      </w:r>
      <w:r w:rsidRPr="00F71673">
        <w:rPr>
          <w:rStyle w:val="ac"/>
          <w:rFonts w:eastAsiaTheme="majorEastAsia"/>
          <w:i/>
          <w:iCs/>
          <w:sz w:val="24"/>
          <w:szCs w:val="24"/>
          <w:lang w:val="en-US"/>
        </w:rPr>
        <w:t>Chemists</w:t>
      </w:r>
      <w:r w:rsidRPr="00F71673">
        <w:rPr>
          <w:rStyle w:val="ac"/>
          <w:rFonts w:eastAsiaTheme="majorEastAsia"/>
          <w:i/>
          <w:iCs/>
          <w:sz w:val="24"/>
          <w:szCs w:val="24"/>
        </w:rPr>
        <w:t xml:space="preserve"> (</w:t>
      </w:r>
      <w:r w:rsidRPr="00F71673">
        <w:rPr>
          <w:rStyle w:val="ac"/>
          <w:rFonts w:eastAsiaTheme="majorEastAsia"/>
          <w:i/>
          <w:iCs/>
          <w:sz w:val="24"/>
          <w:szCs w:val="24"/>
          <w:lang w:val="en-US"/>
        </w:rPr>
        <w:t>IFCC</w:t>
      </w:r>
      <w:r w:rsidRPr="00F71673">
        <w:rPr>
          <w:rStyle w:val="ac"/>
          <w:rFonts w:eastAsiaTheme="majorEastAsia"/>
          <w:i/>
          <w:iCs/>
          <w:sz w:val="24"/>
          <w:szCs w:val="24"/>
        </w:rPr>
        <w:t xml:space="preserve">) и стандартизованного в соответствии с референсными значениями, принятыми в </w:t>
      </w:r>
      <w:r w:rsidRPr="00F71673">
        <w:rPr>
          <w:rStyle w:val="ac"/>
          <w:rFonts w:eastAsiaTheme="majorEastAsia"/>
          <w:i/>
          <w:iCs/>
          <w:sz w:val="24"/>
          <w:szCs w:val="24"/>
          <w:lang w:val="en-US"/>
        </w:rPr>
        <w:t>Diabetes</w:t>
      </w:r>
      <w:r w:rsidRPr="00F71673">
        <w:rPr>
          <w:rStyle w:val="ac"/>
          <w:rFonts w:eastAsiaTheme="majorEastAsia"/>
          <w:i/>
          <w:iCs/>
          <w:sz w:val="24"/>
          <w:szCs w:val="24"/>
        </w:rPr>
        <w:t xml:space="preserve"> </w:t>
      </w:r>
      <w:r w:rsidRPr="00F71673">
        <w:rPr>
          <w:rStyle w:val="ac"/>
          <w:rFonts w:eastAsiaTheme="majorEastAsia"/>
          <w:i/>
          <w:iCs/>
          <w:sz w:val="24"/>
          <w:szCs w:val="24"/>
          <w:lang w:val="en-US"/>
        </w:rPr>
        <w:t>Control</w:t>
      </w:r>
      <w:r w:rsidRPr="00F71673">
        <w:rPr>
          <w:rStyle w:val="ac"/>
          <w:rFonts w:eastAsiaTheme="majorEastAsia"/>
          <w:i/>
          <w:iCs/>
          <w:sz w:val="24"/>
          <w:szCs w:val="24"/>
        </w:rPr>
        <w:t xml:space="preserve"> </w:t>
      </w:r>
      <w:r w:rsidRPr="00F71673">
        <w:rPr>
          <w:rStyle w:val="ac"/>
          <w:rFonts w:eastAsiaTheme="majorEastAsia"/>
          <w:i/>
          <w:iCs/>
          <w:sz w:val="24"/>
          <w:szCs w:val="24"/>
          <w:lang w:val="en-US"/>
        </w:rPr>
        <w:t>and</w:t>
      </w:r>
      <w:r w:rsidRPr="00F71673">
        <w:rPr>
          <w:rStyle w:val="ac"/>
          <w:rFonts w:eastAsiaTheme="majorEastAsia"/>
          <w:i/>
          <w:iCs/>
          <w:sz w:val="24"/>
          <w:szCs w:val="24"/>
        </w:rPr>
        <w:t xml:space="preserve"> </w:t>
      </w:r>
      <w:r w:rsidRPr="00F71673">
        <w:rPr>
          <w:rStyle w:val="ac"/>
          <w:rFonts w:eastAsiaTheme="majorEastAsia"/>
          <w:i/>
          <w:iCs/>
          <w:sz w:val="24"/>
          <w:szCs w:val="24"/>
          <w:lang w:val="en-US"/>
        </w:rPr>
        <w:t>Complications</w:t>
      </w:r>
      <w:r w:rsidRPr="00F71673">
        <w:rPr>
          <w:rStyle w:val="ac"/>
          <w:rFonts w:eastAsiaTheme="majorEastAsia"/>
          <w:i/>
          <w:iCs/>
          <w:sz w:val="24"/>
          <w:szCs w:val="24"/>
        </w:rPr>
        <w:t xml:space="preserve"> </w:t>
      </w:r>
      <w:r w:rsidRPr="00F71673">
        <w:rPr>
          <w:rStyle w:val="ac"/>
          <w:rFonts w:eastAsiaTheme="majorEastAsia"/>
          <w:i/>
          <w:iCs/>
          <w:sz w:val="24"/>
          <w:szCs w:val="24"/>
          <w:lang w:val="en-US"/>
        </w:rPr>
        <w:t>Trial</w:t>
      </w:r>
      <w:r w:rsidRPr="00F71673">
        <w:rPr>
          <w:rStyle w:val="ac"/>
          <w:rFonts w:eastAsiaTheme="majorEastAsia"/>
          <w:i/>
          <w:iCs/>
          <w:sz w:val="24"/>
          <w:szCs w:val="24"/>
        </w:rPr>
        <w:t xml:space="preserve"> (</w:t>
      </w:r>
      <w:r w:rsidRPr="00F71673">
        <w:rPr>
          <w:rStyle w:val="ac"/>
          <w:rFonts w:eastAsiaTheme="majorEastAsia"/>
          <w:i/>
          <w:iCs/>
          <w:sz w:val="24"/>
          <w:szCs w:val="24"/>
          <w:lang w:val="en-US"/>
        </w:rPr>
        <w:t>DCCT</w:t>
      </w:r>
      <w:r w:rsidRPr="00F71673">
        <w:rPr>
          <w:rStyle w:val="ac"/>
          <w:rFonts w:eastAsiaTheme="majorEastAsia"/>
          <w:i/>
          <w:iCs/>
          <w:sz w:val="24"/>
          <w:szCs w:val="24"/>
        </w:rPr>
        <w:t>). При наличии СД рекомендуется стратификация пациента в категорию высокого или очень высокого сердечно-сосудистого риска.</w:t>
      </w:r>
    </w:p>
    <w:p w14:paraId="3841E708" w14:textId="031F79FC" w:rsidR="00F71673" w:rsidRPr="00F71673" w:rsidRDefault="00F71673">
      <w:pPr>
        <w:pStyle w:val="11"/>
        <w:numPr>
          <w:ilvl w:val="0"/>
          <w:numId w:val="13"/>
        </w:numPr>
        <w:tabs>
          <w:tab w:val="left" w:pos="1349"/>
        </w:tabs>
        <w:ind w:firstLine="620"/>
        <w:jc w:val="both"/>
        <w:rPr>
          <w:sz w:val="24"/>
          <w:szCs w:val="24"/>
        </w:rPr>
      </w:pPr>
      <w:r w:rsidRPr="00F71673">
        <w:rPr>
          <w:rStyle w:val="ac"/>
          <w:rFonts w:eastAsiaTheme="majorEastAsia"/>
          <w:sz w:val="24"/>
          <w:szCs w:val="24"/>
        </w:rPr>
        <w:t xml:space="preserve">Всем пациентам с АГ для выявления нарушения функции почки оценки </w:t>
      </w:r>
      <w:r w:rsidR="009811C6" w:rsidRPr="00F71673">
        <w:rPr>
          <w:rStyle w:val="ac"/>
          <w:rFonts w:eastAsiaTheme="majorEastAsia"/>
          <w:sz w:val="24"/>
          <w:szCs w:val="24"/>
        </w:rPr>
        <w:t>сердечно-сосудистого</w:t>
      </w:r>
      <w:r w:rsidRPr="00F71673">
        <w:rPr>
          <w:rStyle w:val="ac"/>
          <w:rFonts w:eastAsiaTheme="majorEastAsia"/>
          <w:sz w:val="24"/>
          <w:szCs w:val="24"/>
        </w:rPr>
        <w:t xml:space="preserve"> риска рекомендуются исследование уровня креатинина в сыворотке крови и расчет скорости клубочковой фильтрации (СКФ) в мл/мин/1,73м</w:t>
      </w:r>
      <w:r w:rsidRPr="00F71673">
        <w:rPr>
          <w:rStyle w:val="ac"/>
          <w:rFonts w:eastAsiaTheme="majorEastAsia"/>
          <w:sz w:val="24"/>
          <w:szCs w:val="24"/>
          <w:vertAlign w:val="superscript"/>
        </w:rPr>
        <w:t>2</w:t>
      </w:r>
      <w:r w:rsidRPr="00F71673">
        <w:rPr>
          <w:rStyle w:val="ac"/>
          <w:rFonts w:eastAsiaTheme="majorEastAsia"/>
          <w:sz w:val="24"/>
          <w:szCs w:val="24"/>
        </w:rPr>
        <w:t xml:space="preserve"> по формуле </w:t>
      </w:r>
      <w:r w:rsidRPr="00F71673">
        <w:rPr>
          <w:rStyle w:val="ac"/>
          <w:rFonts w:eastAsiaTheme="majorEastAsia"/>
          <w:sz w:val="24"/>
          <w:szCs w:val="24"/>
          <w:lang w:val="en-US"/>
        </w:rPr>
        <w:t>Chronic</w:t>
      </w:r>
      <w:r w:rsidRPr="00F71673">
        <w:rPr>
          <w:rStyle w:val="ac"/>
          <w:rFonts w:eastAsiaTheme="majorEastAsia"/>
          <w:sz w:val="24"/>
          <w:szCs w:val="24"/>
        </w:rPr>
        <w:t xml:space="preserve"> </w:t>
      </w:r>
      <w:r w:rsidRPr="00F71673">
        <w:rPr>
          <w:rStyle w:val="ac"/>
          <w:rFonts w:eastAsiaTheme="majorEastAsia"/>
          <w:sz w:val="24"/>
          <w:szCs w:val="24"/>
          <w:lang w:val="en-US"/>
        </w:rPr>
        <w:t>Kidney</w:t>
      </w:r>
      <w:r w:rsidRPr="00F71673">
        <w:rPr>
          <w:rStyle w:val="ac"/>
          <w:rFonts w:eastAsiaTheme="majorEastAsia"/>
          <w:sz w:val="24"/>
          <w:szCs w:val="24"/>
        </w:rPr>
        <w:t xml:space="preserve"> </w:t>
      </w:r>
      <w:r w:rsidRPr="00F71673">
        <w:rPr>
          <w:rStyle w:val="ac"/>
          <w:rFonts w:eastAsiaTheme="majorEastAsia"/>
          <w:sz w:val="24"/>
          <w:szCs w:val="24"/>
          <w:lang w:val="en-US"/>
        </w:rPr>
        <w:t>Disease</w:t>
      </w:r>
      <w:r w:rsidRPr="00F71673">
        <w:rPr>
          <w:rStyle w:val="ac"/>
          <w:rFonts w:eastAsiaTheme="majorEastAsia"/>
          <w:sz w:val="24"/>
          <w:szCs w:val="24"/>
        </w:rPr>
        <w:t xml:space="preserve"> </w:t>
      </w:r>
      <w:r w:rsidRPr="00F71673">
        <w:rPr>
          <w:rStyle w:val="ac"/>
          <w:rFonts w:eastAsiaTheme="majorEastAsia"/>
          <w:sz w:val="24"/>
          <w:szCs w:val="24"/>
          <w:lang w:val="en-US"/>
        </w:rPr>
        <w:t>Epidemiology</w:t>
      </w:r>
      <w:r w:rsidRPr="00F71673">
        <w:rPr>
          <w:rStyle w:val="ac"/>
          <w:rFonts w:eastAsiaTheme="majorEastAsia"/>
          <w:sz w:val="24"/>
          <w:szCs w:val="24"/>
        </w:rPr>
        <w:t xml:space="preserve"> (</w:t>
      </w:r>
      <w:r w:rsidRPr="00F71673">
        <w:rPr>
          <w:rStyle w:val="ac"/>
          <w:rFonts w:eastAsiaTheme="majorEastAsia"/>
          <w:sz w:val="24"/>
          <w:szCs w:val="24"/>
          <w:lang w:val="en-US"/>
        </w:rPr>
        <w:t>CKD</w:t>
      </w:r>
      <w:r w:rsidRPr="00F71673">
        <w:rPr>
          <w:rStyle w:val="ac"/>
          <w:rFonts w:eastAsiaTheme="majorEastAsia"/>
          <w:sz w:val="24"/>
          <w:szCs w:val="24"/>
        </w:rPr>
        <w:t>-</w:t>
      </w:r>
      <w:r w:rsidRPr="00F71673">
        <w:rPr>
          <w:rStyle w:val="ac"/>
          <w:rFonts w:eastAsiaTheme="majorEastAsia"/>
          <w:sz w:val="24"/>
          <w:szCs w:val="24"/>
          <w:lang w:val="en-US"/>
        </w:rPr>
        <w:t>EPI</w:t>
      </w:r>
      <w:r w:rsidRPr="00F71673">
        <w:rPr>
          <w:rStyle w:val="ac"/>
          <w:rFonts w:eastAsiaTheme="majorEastAsia"/>
          <w:sz w:val="24"/>
          <w:szCs w:val="24"/>
        </w:rPr>
        <w:t xml:space="preserve">) [79] в специальных </w:t>
      </w:r>
      <w:proofErr w:type="gramStart"/>
      <w:r w:rsidRPr="00F71673">
        <w:rPr>
          <w:rStyle w:val="ac"/>
          <w:rFonts w:eastAsiaTheme="majorEastAsia"/>
          <w:sz w:val="24"/>
          <w:szCs w:val="24"/>
        </w:rPr>
        <w:t>калькуляторах  [</w:t>
      </w:r>
      <w:proofErr w:type="gramEnd"/>
      <w:r w:rsidRPr="00F71673">
        <w:rPr>
          <w:rStyle w:val="ac"/>
          <w:rFonts w:eastAsiaTheme="majorEastAsia"/>
          <w:sz w:val="24"/>
          <w:szCs w:val="24"/>
        </w:rPr>
        <w:t>27, 79].</w:t>
      </w:r>
    </w:p>
    <w:p w14:paraId="5348DD4B" w14:textId="32E5AA42" w:rsidR="00F71673" w:rsidRPr="00F71673" w:rsidRDefault="003D51B3" w:rsidP="00F71673">
      <w:pPr>
        <w:pStyle w:val="11"/>
        <w:ind w:firstLine="620"/>
        <w:jc w:val="both"/>
        <w:rPr>
          <w:sz w:val="24"/>
          <w:szCs w:val="24"/>
        </w:rPr>
      </w:pPr>
      <w:r>
        <w:rPr>
          <w:rStyle w:val="ac"/>
          <w:rFonts w:eastAsiaTheme="majorEastAsia"/>
          <w:b/>
          <w:bCs/>
          <w:sz w:val="24"/>
          <w:szCs w:val="24"/>
        </w:rPr>
        <w:t xml:space="preserve">Уровень убедительности рекомендаций </w:t>
      </w:r>
      <w:r w:rsidR="00F71673" w:rsidRPr="00F71673">
        <w:rPr>
          <w:rStyle w:val="ac"/>
          <w:rFonts w:eastAsiaTheme="majorEastAsia"/>
          <w:b/>
          <w:bCs/>
          <w:sz w:val="24"/>
          <w:szCs w:val="24"/>
          <w:lang w:val="en-US"/>
        </w:rPr>
        <w:t>B</w:t>
      </w:r>
      <w:r w:rsidR="00F71673" w:rsidRPr="00F71673">
        <w:rPr>
          <w:rStyle w:val="ac"/>
          <w:rFonts w:eastAsiaTheme="majorEastAsia"/>
          <w:b/>
          <w:bCs/>
          <w:sz w:val="24"/>
          <w:szCs w:val="24"/>
        </w:rPr>
        <w:t xml:space="preserve">, </w:t>
      </w:r>
      <w:r w:rsidRPr="00F71673">
        <w:rPr>
          <w:rStyle w:val="ac"/>
          <w:rFonts w:eastAsiaTheme="majorEastAsia"/>
          <w:b/>
          <w:bCs/>
          <w:sz w:val="24"/>
          <w:szCs w:val="24"/>
        </w:rPr>
        <w:t>(</w:t>
      </w:r>
      <w:r>
        <w:rPr>
          <w:rStyle w:val="ac"/>
          <w:rFonts w:eastAsiaTheme="majorEastAsia"/>
          <w:b/>
          <w:bCs/>
          <w:sz w:val="24"/>
          <w:szCs w:val="24"/>
        </w:rPr>
        <w:t>Уровень достоверности доказательств</w:t>
      </w:r>
      <w:r w:rsidR="00F71673" w:rsidRPr="00F71673">
        <w:rPr>
          <w:rStyle w:val="ac"/>
          <w:rFonts w:eastAsiaTheme="majorEastAsia"/>
          <w:b/>
          <w:bCs/>
          <w:sz w:val="24"/>
          <w:szCs w:val="24"/>
        </w:rPr>
        <w:t xml:space="preserve"> 2)</w:t>
      </w:r>
      <w:r>
        <w:rPr>
          <w:rStyle w:val="ac"/>
          <w:rFonts w:eastAsiaTheme="majorEastAsia"/>
          <w:b/>
          <w:bCs/>
          <w:sz w:val="24"/>
          <w:szCs w:val="24"/>
        </w:rPr>
        <w:t>;</w:t>
      </w:r>
      <w:r w:rsidR="00BB79E9">
        <w:rPr>
          <w:rStyle w:val="ac"/>
          <w:rFonts w:eastAsiaTheme="majorEastAsia"/>
          <w:b/>
          <w:bCs/>
          <w:sz w:val="24"/>
          <w:szCs w:val="24"/>
        </w:rPr>
        <w:t xml:space="preserve"> </w:t>
      </w:r>
      <w:r w:rsidRPr="00F71673">
        <w:rPr>
          <w:rStyle w:val="ac"/>
          <w:rFonts w:eastAsiaTheme="majorEastAsia"/>
          <w:b/>
          <w:bCs/>
          <w:sz w:val="24"/>
          <w:szCs w:val="24"/>
        </w:rPr>
        <w:t>ЕОК/ЕОАГ IВ</w:t>
      </w:r>
      <w:r w:rsidR="00B538A2">
        <w:rPr>
          <w:rStyle w:val="ac"/>
          <w:rFonts w:eastAsiaTheme="majorEastAsia"/>
          <w:b/>
          <w:bCs/>
          <w:sz w:val="24"/>
          <w:szCs w:val="24"/>
        </w:rPr>
        <w:t>.</w:t>
      </w:r>
    </w:p>
    <w:p w14:paraId="2D5E79B6" w14:textId="77777777" w:rsidR="00F71673" w:rsidRPr="00F71673" w:rsidRDefault="00F71673" w:rsidP="00F71673">
      <w:pPr>
        <w:pStyle w:val="11"/>
        <w:ind w:firstLine="620"/>
        <w:jc w:val="both"/>
        <w:rPr>
          <w:sz w:val="24"/>
          <w:szCs w:val="24"/>
        </w:rPr>
      </w:pPr>
      <w:r w:rsidRPr="00F71673">
        <w:rPr>
          <w:rStyle w:val="ac"/>
          <w:rFonts w:eastAsiaTheme="majorEastAsia"/>
          <w:b/>
          <w:bCs/>
          <w:sz w:val="24"/>
          <w:szCs w:val="24"/>
        </w:rPr>
        <w:t xml:space="preserve">Комментарии. </w:t>
      </w:r>
      <w:r w:rsidRPr="00F71673">
        <w:rPr>
          <w:rStyle w:val="ac"/>
          <w:rFonts w:eastAsiaTheme="majorEastAsia"/>
          <w:i/>
          <w:iCs/>
          <w:sz w:val="24"/>
          <w:szCs w:val="24"/>
        </w:rPr>
        <w:t>Выполняется у всех пациентов с АГ для выявления ХБП в связи с тем, что снижение СКФ &lt;60 мл/мин/1,73м</w:t>
      </w:r>
      <w:r w:rsidRPr="00F71673">
        <w:rPr>
          <w:rStyle w:val="ac"/>
          <w:rFonts w:eastAsiaTheme="majorEastAsia"/>
          <w:i/>
          <w:iCs/>
          <w:sz w:val="24"/>
          <w:szCs w:val="24"/>
          <w:vertAlign w:val="superscript"/>
        </w:rPr>
        <w:t>2</w:t>
      </w:r>
      <w:r w:rsidRPr="00F71673">
        <w:rPr>
          <w:rStyle w:val="ac"/>
          <w:rFonts w:eastAsiaTheme="majorEastAsia"/>
          <w:i/>
          <w:iCs/>
          <w:sz w:val="24"/>
          <w:szCs w:val="24"/>
        </w:rPr>
        <w:t xml:space="preserve"> является значимым прогностическим фактором при АГ</w:t>
      </w:r>
      <w:r w:rsidRPr="00F71673">
        <w:rPr>
          <w:rStyle w:val="ac"/>
          <w:rFonts w:eastAsiaTheme="majorEastAsia"/>
          <w:sz w:val="24"/>
          <w:szCs w:val="24"/>
        </w:rPr>
        <w:t xml:space="preserve"> [80] </w:t>
      </w:r>
      <w:r w:rsidRPr="00F71673">
        <w:rPr>
          <w:rStyle w:val="ac"/>
          <w:rFonts w:eastAsiaTheme="majorEastAsia"/>
          <w:i/>
          <w:iCs/>
          <w:sz w:val="24"/>
          <w:szCs w:val="24"/>
        </w:rPr>
        <w:t>и в связи с наличием доказанной связи между даже незначительным снижением СКФ и повышением сердечно-сосудистой смертности</w:t>
      </w:r>
      <w:r w:rsidRPr="00F71673">
        <w:rPr>
          <w:rStyle w:val="ac"/>
          <w:rFonts w:eastAsiaTheme="majorEastAsia"/>
          <w:sz w:val="24"/>
          <w:szCs w:val="24"/>
        </w:rPr>
        <w:t xml:space="preserve"> [81, 82]</w:t>
      </w:r>
      <w:r w:rsidRPr="00F71673">
        <w:rPr>
          <w:rStyle w:val="ac"/>
          <w:rFonts w:eastAsiaTheme="majorEastAsia"/>
          <w:i/>
          <w:iCs/>
          <w:sz w:val="24"/>
          <w:szCs w:val="24"/>
        </w:rPr>
        <w:t xml:space="preserve">. Формула </w:t>
      </w:r>
      <w:r w:rsidRPr="00F71673">
        <w:rPr>
          <w:rStyle w:val="ac"/>
          <w:rFonts w:eastAsiaTheme="majorEastAsia"/>
          <w:i/>
          <w:iCs/>
          <w:sz w:val="24"/>
          <w:szCs w:val="24"/>
          <w:lang w:val="en-US"/>
        </w:rPr>
        <w:t>CKD</w:t>
      </w:r>
      <w:r w:rsidRPr="00F71673">
        <w:rPr>
          <w:rStyle w:val="ac"/>
          <w:rFonts w:eastAsiaTheme="majorEastAsia"/>
          <w:i/>
          <w:iCs/>
          <w:sz w:val="24"/>
          <w:szCs w:val="24"/>
        </w:rPr>
        <w:t>-</w:t>
      </w:r>
      <w:r w:rsidRPr="00F71673">
        <w:rPr>
          <w:rStyle w:val="ac"/>
          <w:rFonts w:eastAsiaTheme="majorEastAsia"/>
          <w:i/>
          <w:iCs/>
          <w:sz w:val="24"/>
          <w:szCs w:val="24"/>
          <w:lang w:val="en-US"/>
        </w:rPr>
        <w:t>EPI</w:t>
      </w:r>
      <w:r w:rsidRPr="00F71673">
        <w:rPr>
          <w:rStyle w:val="ac"/>
          <w:rFonts w:eastAsiaTheme="majorEastAsia"/>
          <w:i/>
          <w:iCs/>
          <w:sz w:val="24"/>
          <w:szCs w:val="24"/>
        </w:rPr>
        <w:t xml:space="preserve"> включает те же 4 переменные, что и формула </w:t>
      </w:r>
      <w:r w:rsidRPr="00F71673">
        <w:rPr>
          <w:rStyle w:val="ac"/>
          <w:rFonts w:eastAsiaTheme="majorEastAsia"/>
          <w:i/>
          <w:iCs/>
          <w:sz w:val="24"/>
          <w:szCs w:val="24"/>
          <w:lang w:val="en-US"/>
        </w:rPr>
        <w:t>MDRD</w:t>
      </w:r>
      <w:r w:rsidRPr="00F71673">
        <w:rPr>
          <w:rStyle w:val="ac"/>
          <w:rFonts w:eastAsiaTheme="majorEastAsia"/>
          <w:i/>
          <w:iCs/>
          <w:sz w:val="24"/>
          <w:szCs w:val="24"/>
        </w:rPr>
        <w:t xml:space="preserve">. Формула </w:t>
      </w:r>
      <w:r w:rsidRPr="00F71673">
        <w:rPr>
          <w:rStyle w:val="ac"/>
          <w:rFonts w:eastAsiaTheme="majorEastAsia"/>
          <w:i/>
          <w:iCs/>
          <w:sz w:val="24"/>
          <w:szCs w:val="24"/>
          <w:lang w:val="en-US"/>
        </w:rPr>
        <w:t>CKD</w:t>
      </w:r>
      <w:r w:rsidRPr="00F71673">
        <w:rPr>
          <w:rStyle w:val="ac"/>
          <w:rFonts w:eastAsiaTheme="majorEastAsia"/>
          <w:i/>
          <w:iCs/>
          <w:sz w:val="24"/>
          <w:szCs w:val="24"/>
        </w:rPr>
        <w:t>-</w:t>
      </w:r>
      <w:r w:rsidRPr="00F71673">
        <w:rPr>
          <w:rStyle w:val="ac"/>
          <w:rFonts w:eastAsiaTheme="majorEastAsia"/>
          <w:i/>
          <w:iCs/>
          <w:sz w:val="24"/>
          <w:szCs w:val="24"/>
          <w:lang w:val="en-US"/>
        </w:rPr>
        <w:t>EPI</w:t>
      </w:r>
      <w:r w:rsidRPr="00F71673">
        <w:rPr>
          <w:rStyle w:val="ac"/>
          <w:rFonts w:eastAsiaTheme="majorEastAsia"/>
          <w:i/>
          <w:iCs/>
          <w:sz w:val="24"/>
          <w:szCs w:val="24"/>
        </w:rPr>
        <w:t xml:space="preserve"> дает меньше погрешностей, чем формула </w:t>
      </w:r>
      <w:r w:rsidRPr="00F71673">
        <w:rPr>
          <w:rStyle w:val="ac"/>
          <w:rFonts w:eastAsiaTheme="majorEastAsia"/>
          <w:i/>
          <w:iCs/>
          <w:sz w:val="24"/>
          <w:szCs w:val="24"/>
          <w:lang w:val="en-US"/>
        </w:rPr>
        <w:t>MDRD</w:t>
      </w:r>
      <w:r w:rsidRPr="00F71673">
        <w:rPr>
          <w:rStyle w:val="ac"/>
          <w:rFonts w:eastAsiaTheme="majorEastAsia"/>
          <w:i/>
          <w:iCs/>
          <w:sz w:val="24"/>
          <w:szCs w:val="24"/>
        </w:rPr>
        <w:t>, особенно при СКФ≥60 мл/мин/1,73 м</w:t>
      </w:r>
      <w:r w:rsidRPr="00F71673">
        <w:rPr>
          <w:rStyle w:val="ac"/>
          <w:rFonts w:eastAsiaTheme="majorEastAsia"/>
          <w:i/>
          <w:iCs/>
          <w:sz w:val="24"/>
          <w:szCs w:val="24"/>
          <w:vertAlign w:val="superscript"/>
        </w:rPr>
        <w:t>2</w:t>
      </w:r>
      <w:r w:rsidRPr="00F71673">
        <w:rPr>
          <w:rStyle w:val="ac"/>
          <w:rFonts w:eastAsiaTheme="majorEastAsia"/>
          <w:i/>
          <w:iCs/>
          <w:sz w:val="24"/>
          <w:szCs w:val="24"/>
        </w:rPr>
        <w:t>, и характеризуется несколько меньшим разбросом данных и бόльшей точностью</w:t>
      </w:r>
      <w:r w:rsidRPr="00F71673">
        <w:rPr>
          <w:rStyle w:val="ac"/>
          <w:rFonts w:eastAsiaTheme="majorEastAsia"/>
          <w:sz w:val="24"/>
          <w:szCs w:val="24"/>
        </w:rPr>
        <w:t xml:space="preserve"> [79]</w:t>
      </w:r>
      <w:r w:rsidRPr="00F71673">
        <w:rPr>
          <w:rStyle w:val="ac"/>
          <w:rFonts w:eastAsiaTheme="majorEastAsia"/>
          <w:i/>
          <w:iCs/>
          <w:sz w:val="24"/>
          <w:szCs w:val="24"/>
        </w:rPr>
        <w:t xml:space="preserve">. Значительная часть (но не все) исследований в Северной Америке, Европе показали, что формула </w:t>
      </w:r>
      <w:r w:rsidRPr="00F71673">
        <w:rPr>
          <w:rStyle w:val="ac"/>
          <w:rFonts w:eastAsiaTheme="majorEastAsia"/>
          <w:i/>
          <w:iCs/>
          <w:sz w:val="24"/>
          <w:szCs w:val="24"/>
          <w:lang w:val="en-US"/>
        </w:rPr>
        <w:t>CKD</w:t>
      </w:r>
      <w:r w:rsidRPr="00F71673">
        <w:rPr>
          <w:rStyle w:val="ac"/>
          <w:rFonts w:eastAsiaTheme="majorEastAsia"/>
          <w:i/>
          <w:iCs/>
          <w:sz w:val="24"/>
          <w:szCs w:val="24"/>
        </w:rPr>
        <w:t>-</w:t>
      </w:r>
      <w:r w:rsidRPr="00F71673">
        <w:rPr>
          <w:rStyle w:val="ac"/>
          <w:rFonts w:eastAsiaTheme="majorEastAsia"/>
          <w:i/>
          <w:iCs/>
          <w:sz w:val="24"/>
          <w:szCs w:val="24"/>
          <w:lang w:val="en-US"/>
        </w:rPr>
        <w:t>EPI</w:t>
      </w:r>
      <w:r w:rsidRPr="00F71673">
        <w:rPr>
          <w:rStyle w:val="ac"/>
          <w:rFonts w:eastAsiaTheme="majorEastAsia"/>
          <w:i/>
          <w:iCs/>
          <w:sz w:val="24"/>
          <w:szCs w:val="24"/>
        </w:rPr>
        <w:t xml:space="preserve"> </w:t>
      </w:r>
      <w:r w:rsidR="009811C6" w:rsidRPr="00F71673">
        <w:rPr>
          <w:rStyle w:val="ac"/>
          <w:rFonts w:eastAsiaTheme="majorEastAsia"/>
          <w:i/>
          <w:iCs/>
          <w:sz w:val="24"/>
          <w:szCs w:val="24"/>
        </w:rPr>
        <w:t>даёт</w:t>
      </w:r>
      <w:r w:rsidRPr="00F71673">
        <w:rPr>
          <w:rStyle w:val="ac"/>
          <w:rFonts w:eastAsiaTheme="majorEastAsia"/>
          <w:i/>
          <w:iCs/>
          <w:sz w:val="24"/>
          <w:szCs w:val="24"/>
        </w:rPr>
        <w:t xml:space="preserve"> более точные результаты, чем формула </w:t>
      </w:r>
      <w:r w:rsidRPr="00F71673">
        <w:rPr>
          <w:rStyle w:val="ac"/>
          <w:rFonts w:eastAsiaTheme="majorEastAsia"/>
          <w:i/>
          <w:iCs/>
          <w:sz w:val="24"/>
          <w:szCs w:val="24"/>
          <w:lang w:val="en-US"/>
        </w:rPr>
        <w:t>MDRD</w:t>
      </w:r>
      <w:r w:rsidRPr="00F71673">
        <w:rPr>
          <w:rStyle w:val="ac"/>
          <w:rFonts w:eastAsiaTheme="majorEastAsia"/>
          <w:i/>
          <w:iCs/>
          <w:sz w:val="24"/>
          <w:szCs w:val="24"/>
        </w:rPr>
        <w:t>, особенно при высокой СКФ</w:t>
      </w:r>
      <w:r w:rsidRPr="00F71673">
        <w:rPr>
          <w:rStyle w:val="ac"/>
          <w:rFonts w:eastAsiaTheme="majorEastAsia"/>
          <w:sz w:val="24"/>
          <w:szCs w:val="24"/>
        </w:rPr>
        <w:t xml:space="preserve"> [83]</w:t>
      </w:r>
      <w:r w:rsidRPr="00F71673">
        <w:rPr>
          <w:rStyle w:val="ac"/>
          <w:rFonts w:eastAsiaTheme="majorEastAsia"/>
          <w:i/>
          <w:iCs/>
          <w:sz w:val="24"/>
          <w:szCs w:val="24"/>
        </w:rPr>
        <w:t xml:space="preserve">. Меньшая погрешность формулы </w:t>
      </w:r>
      <w:r w:rsidRPr="00F71673">
        <w:rPr>
          <w:rStyle w:val="ac"/>
          <w:rFonts w:eastAsiaTheme="majorEastAsia"/>
          <w:i/>
          <w:iCs/>
          <w:sz w:val="24"/>
          <w:szCs w:val="24"/>
          <w:lang w:val="en-US"/>
        </w:rPr>
        <w:t>CKD</w:t>
      </w:r>
      <w:r w:rsidRPr="00F71673">
        <w:rPr>
          <w:rStyle w:val="ac"/>
          <w:rFonts w:eastAsiaTheme="majorEastAsia"/>
          <w:i/>
          <w:iCs/>
          <w:sz w:val="24"/>
          <w:szCs w:val="24"/>
        </w:rPr>
        <w:t>-</w:t>
      </w:r>
      <w:r w:rsidRPr="00F71673">
        <w:rPr>
          <w:rStyle w:val="ac"/>
          <w:rFonts w:eastAsiaTheme="majorEastAsia"/>
          <w:i/>
          <w:iCs/>
          <w:sz w:val="24"/>
          <w:szCs w:val="24"/>
          <w:lang w:val="en-US"/>
        </w:rPr>
        <w:t>EPI</w:t>
      </w:r>
      <w:r w:rsidRPr="00F71673">
        <w:rPr>
          <w:rStyle w:val="ac"/>
          <w:rFonts w:eastAsiaTheme="majorEastAsia"/>
          <w:i/>
          <w:iCs/>
          <w:sz w:val="24"/>
          <w:szCs w:val="24"/>
        </w:rPr>
        <w:t xml:space="preserve"> по сравнению с формулой </w:t>
      </w:r>
      <w:r w:rsidRPr="00F71673">
        <w:rPr>
          <w:rStyle w:val="ac"/>
          <w:rFonts w:eastAsiaTheme="majorEastAsia"/>
          <w:i/>
          <w:iCs/>
          <w:sz w:val="24"/>
          <w:szCs w:val="24"/>
          <w:lang w:val="en-US"/>
        </w:rPr>
        <w:t>MDRD</w:t>
      </w:r>
      <w:r w:rsidRPr="00F71673">
        <w:rPr>
          <w:rStyle w:val="ac"/>
          <w:rFonts w:eastAsiaTheme="majorEastAsia"/>
          <w:i/>
          <w:iCs/>
          <w:sz w:val="24"/>
          <w:szCs w:val="24"/>
        </w:rPr>
        <w:t xml:space="preserve"> отражает более высокую рСКФ в большей части возрастного диапазона и значений креатинина, особенно у лиц молодого возраста, женщин и представителей европеоидной расы</w:t>
      </w:r>
      <w:r w:rsidRPr="00F71673">
        <w:rPr>
          <w:rStyle w:val="ac"/>
          <w:rFonts w:eastAsiaTheme="majorEastAsia"/>
          <w:sz w:val="24"/>
          <w:szCs w:val="24"/>
        </w:rPr>
        <w:t xml:space="preserve"> [84]</w:t>
      </w:r>
      <w:r w:rsidRPr="00F71673">
        <w:rPr>
          <w:rStyle w:val="ac"/>
          <w:rFonts w:eastAsiaTheme="majorEastAsia"/>
          <w:i/>
          <w:iCs/>
          <w:sz w:val="24"/>
          <w:szCs w:val="24"/>
        </w:rPr>
        <w:t>.</w:t>
      </w:r>
    </w:p>
    <w:p w14:paraId="1C701170" w14:textId="77777777" w:rsidR="00F71673" w:rsidRPr="00F71673" w:rsidRDefault="00F71673">
      <w:pPr>
        <w:pStyle w:val="11"/>
        <w:numPr>
          <w:ilvl w:val="0"/>
          <w:numId w:val="13"/>
        </w:numPr>
        <w:tabs>
          <w:tab w:val="left" w:pos="1276"/>
        </w:tabs>
        <w:ind w:firstLine="620"/>
        <w:jc w:val="both"/>
        <w:rPr>
          <w:sz w:val="24"/>
          <w:szCs w:val="24"/>
        </w:rPr>
      </w:pPr>
      <w:r w:rsidRPr="00F71673">
        <w:rPr>
          <w:rStyle w:val="ac"/>
          <w:rFonts w:eastAsiaTheme="majorEastAsia"/>
          <w:sz w:val="24"/>
          <w:szCs w:val="24"/>
        </w:rPr>
        <w:t xml:space="preserve">Всем пациентам с АГ для выявления заболеваний почек и оценки СС риска рекомендуется проводить общий (клинический) анализ мочи с микроскопическим исследованием осадка мочи, определением альбумина в моче или определением альбумина в моче и исследованием креатинина в моче с </w:t>
      </w:r>
      <w:r w:rsidR="009811C6" w:rsidRPr="00F71673">
        <w:rPr>
          <w:rStyle w:val="ac"/>
          <w:rFonts w:eastAsiaTheme="majorEastAsia"/>
          <w:sz w:val="24"/>
          <w:szCs w:val="24"/>
        </w:rPr>
        <w:t>расчётом</w:t>
      </w:r>
      <w:r w:rsidRPr="00F71673">
        <w:rPr>
          <w:rStyle w:val="ac"/>
          <w:rFonts w:eastAsiaTheme="majorEastAsia"/>
          <w:sz w:val="24"/>
          <w:szCs w:val="24"/>
        </w:rPr>
        <w:t xml:space="preserve"> отношения альбумин/креатинин </w:t>
      </w:r>
      <w:r w:rsidRPr="00F71673">
        <w:rPr>
          <w:rStyle w:val="ac"/>
          <w:rFonts w:eastAsiaTheme="majorEastAsia"/>
          <w:sz w:val="24"/>
          <w:szCs w:val="24"/>
        </w:rPr>
        <w:lastRenderedPageBreak/>
        <w:t>(оптимально) [84, 85].</w:t>
      </w:r>
    </w:p>
    <w:p w14:paraId="1259B2C2" w14:textId="2FC1830A" w:rsidR="00F71673" w:rsidRPr="00F71673" w:rsidRDefault="00F71673" w:rsidP="00F71673">
      <w:pPr>
        <w:pStyle w:val="11"/>
        <w:ind w:firstLine="620"/>
        <w:jc w:val="both"/>
        <w:rPr>
          <w:sz w:val="24"/>
          <w:szCs w:val="24"/>
        </w:rPr>
      </w:pPr>
      <w:r w:rsidRPr="00F71673">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BB79E9">
        <w:rPr>
          <w:rStyle w:val="ac"/>
          <w:rFonts w:eastAsiaTheme="majorEastAsia"/>
          <w:b/>
          <w:bCs/>
          <w:sz w:val="24"/>
          <w:szCs w:val="24"/>
        </w:rPr>
        <w:t xml:space="preserve"> </w:t>
      </w:r>
      <w:r w:rsidRPr="00F71673">
        <w:rPr>
          <w:rStyle w:val="ac"/>
          <w:rFonts w:eastAsiaTheme="majorEastAsia"/>
          <w:b/>
          <w:bCs/>
          <w:sz w:val="24"/>
          <w:szCs w:val="24"/>
        </w:rPr>
        <w:t xml:space="preserve">В, </w:t>
      </w:r>
      <w:r w:rsidR="00BB79E9" w:rsidRPr="00F71673">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F71673">
        <w:rPr>
          <w:rStyle w:val="ac"/>
          <w:rFonts w:eastAsiaTheme="majorEastAsia"/>
          <w:b/>
          <w:bCs/>
          <w:sz w:val="24"/>
          <w:szCs w:val="24"/>
        </w:rPr>
        <w:t xml:space="preserve"> 2</w:t>
      </w:r>
      <w:r w:rsidR="00BB79E9" w:rsidRPr="00F71673">
        <w:rPr>
          <w:rStyle w:val="ac"/>
          <w:rFonts w:eastAsiaTheme="majorEastAsia"/>
          <w:b/>
          <w:bCs/>
          <w:sz w:val="24"/>
          <w:szCs w:val="24"/>
        </w:rPr>
        <w:t>)</w:t>
      </w:r>
      <w:r w:rsidR="00BB79E9" w:rsidRPr="00BB79E9">
        <w:rPr>
          <w:rStyle w:val="ac"/>
          <w:rFonts w:eastAsiaTheme="majorEastAsia"/>
          <w:b/>
          <w:bCs/>
          <w:sz w:val="24"/>
          <w:szCs w:val="24"/>
        </w:rPr>
        <w:t>;</w:t>
      </w:r>
      <w:r w:rsidR="00BB79E9">
        <w:rPr>
          <w:rStyle w:val="ac"/>
          <w:rFonts w:eastAsiaTheme="majorEastAsia"/>
          <w:b/>
          <w:bCs/>
          <w:sz w:val="24"/>
          <w:szCs w:val="24"/>
        </w:rPr>
        <w:t xml:space="preserve"> </w:t>
      </w:r>
      <w:r w:rsidR="00BB79E9" w:rsidRPr="00F71673">
        <w:rPr>
          <w:rStyle w:val="ac"/>
          <w:rFonts w:eastAsiaTheme="majorEastAsia"/>
          <w:b/>
          <w:bCs/>
          <w:sz w:val="24"/>
          <w:szCs w:val="24"/>
        </w:rPr>
        <w:t>ЕОК/ЕОАГ IВ</w:t>
      </w:r>
      <w:r w:rsidR="00B538A2">
        <w:rPr>
          <w:rStyle w:val="ac"/>
          <w:rFonts w:eastAsiaTheme="majorEastAsia"/>
          <w:b/>
          <w:bCs/>
          <w:sz w:val="24"/>
          <w:szCs w:val="24"/>
        </w:rPr>
        <w:t>.</w:t>
      </w:r>
    </w:p>
    <w:p w14:paraId="162B7161" w14:textId="77777777" w:rsidR="009811C6" w:rsidRPr="00F71673" w:rsidRDefault="00F71673" w:rsidP="009811C6">
      <w:pPr>
        <w:pStyle w:val="11"/>
        <w:ind w:firstLine="620"/>
        <w:jc w:val="both"/>
        <w:rPr>
          <w:sz w:val="24"/>
          <w:szCs w:val="24"/>
        </w:rPr>
      </w:pPr>
      <w:r w:rsidRPr="00F71673">
        <w:rPr>
          <w:rStyle w:val="ac"/>
          <w:rFonts w:eastAsiaTheme="majorEastAsia"/>
          <w:b/>
          <w:bCs/>
          <w:sz w:val="24"/>
          <w:szCs w:val="24"/>
        </w:rPr>
        <w:t xml:space="preserve">Комментарии. </w:t>
      </w:r>
      <w:r w:rsidRPr="00F71673">
        <w:rPr>
          <w:rStyle w:val="ac"/>
          <w:rFonts w:eastAsiaTheme="majorEastAsia"/>
          <w:i/>
          <w:iCs/>
          <w:sz w:val="24"/>
          <w:szCs w:val="24"/>
        </w:rPr>
        <w:t>Выполняется у всех пациентов с АГ в связи с тем, что повреждение почек является значимым прогностическим фактором при АГ, наличием доказанной связи</w:t>
      </w:r>
      <w:r w:rsidR="009811C6" w:rsidRPr="009811C6">
        <w:rPr>
          <w:rStyle w:val="ac"/>
          <w:rFonts w:eastAsiaTheme="majorEastAsia"/>
          <w:i/>
          <w:iCs/>
          <w:sz w:val="24"/>
          <w:szCs w:val="24"/>
        </w:rPr>
        <w:t xml:space="preserve"> </w:t>
      </w:r>
      <w:r w:rsidR="009811C6" w:rsidRPr="00F71673">
        <w:rPr>
          <w:rStyle w:val="ac"/>
          <w:rFonts w:eastAsiaTheme="majorEastAsia"/>
          <w:i/>
          <w:iCs/>
          <w:sz w:val="24"/>
          <w:szCs w:val="24"/>
        </w:rPr>
        <w:t>между</w:t>
      </w:r>
      <w:r w:rsidR="009811C6">
        <w:rPr>
          <w:sz w:val="24"/>
          <w:szCs w:val="24"/>
        </w:rPr>
        <w:t xml:space="preserve"> </w:t>
      </w:r>
      <w:r w:rsidR="009811C6" w:rsidRPr="00F71673">
        <w:rPr>
          <w:rStyle w:val="ac"/>
          <w:rFonts w:eastAsiaTheme="majorEastAsia"/>
          <w:i/>
          <w:iCs/>
          <w:sz w:val="24"/>
          <w:szCs w:val="24"/>
        </w:rPr>
        <w:t>выявлением альбуминурии и повышением сердечно-сосудистой смертности</w:t>
      </w:r>
      <w:r w:rsidR="009811C6" w:rsidRPr="00F71673">
        <w:rPr>
          <w:rStyle w:val="ac"/>
          <w:rFonts w:eastAsiaTheme="majorEastAsia"/>
          <w:sz w:val="24"/>
          <w:szCs w:val="24"/>
        </w:rPr>
        <w:t xml:space="preserve"> [80, 81, 84, 86]</w:t>
      </w:r>
      <w:r w:rsidR="009811C6" w:rsidRPr="00F71673">
        <w:rPr>
          <w:rStyle w:val="ac"/>
          <w:rFonts w:eastAsiaTheme="majorEastAsia"/>
          <w:i/>
          <w:iCs/>
          <w:sz w:val="24"/>
          <w:szCs w:val="24"/>
        </w:rPr>
        <w:t>. Суточная экскреция альбумина с мочой ≥30 мг/сут ассоциирована с повышенным риском осложнений ХБП</w:t>
      </w:r>
      <w:r w:rsidR="009811C6" w:rsidRPr="00F71673">
        <w:rPr>
          <w:rStyle w:val="ac"/>
          <w:rFonts w:eastAsiaTheme="majorEastAsia"/>
          <w:sz w:val="24"/>
          <w:szCs w:val="24"/>
        </w:rPr>
        <w:t xml:space="preserve"> [84]</w:t>
      </w:r>
      <w:r w:rsidR="009811C6" w:rsidRPr="00F71673">
        <w:rPr>
          <w:rStyle w:val="ac"/>
          <w:rFonts w:eastAsiaTheme="majorEastAsia"/>
          <w:i/>
          <w:iCs/>
          <w:sz w:val="24"/>
          <w:szCs w:val="24"/>
        </w:rPr>
        <w:t>. В мета-анализе Консорциума по прогнозу ХБП обнаружена связь между уровнем альбуминурии, определяемой как с помощью соотношения альбумин/креатинин в моче, так и с помощью тест-полосок на протеинурию, с риском общей смертности и смертности от ССЗ, почечной недостаточности прогрессирования ХБП в общей популяции и в популяциях с повышенным риском развития ССЗ</w:t>
      </w:r>
      <w:r w:rsidR="009811C6" w:rsidRPr="00F71673">
        <w:rPr>
          <w:rStyle w:val="ac"/>
          <w:rFonts w:eastAsiaTheme="majorEastAsia"/>
          <w:sz w:val="24"/>
          <w:szCs w:val="24"/>
        </w:rPr>
        <w:t xml:space="preserve"> [82]</w:t>
      </w:r>
      <w:r w:rsidR="009811C6" w:rsidRPr="00F71673">
        <w:rPr>
          <w:rStyle w:val="ac"/>
          <w:rFonts w:eastAsiaTheme="majorEastAsia"/>
          <w:i/>
          <w:iCs/>
          <w:sz w:val="24"/>
          <w:szCs w:val="24"/>
        </w:rPr>
        <w:t>. Соотношение альбумин/креатинин в моче (предпочтительно в утренней порции) 30–300 мг/г; 3,4–34 мг/ммоль является маркером повреждения почек</w:t>
      </w:r>
      <w:r w:rsidR="009811C6" w:rsidRPr="00F71673">
        <w:rPr>
          <w:rStyle w:val="ac"/>
          <w:rFonts w:eastAsiaTheme="majorEastAsia"/>
          <w:sz w:val="24"/>
          <w:szCs w:val="24"/>
        </w:rPr>
        <w:t xml:space="preserve"> [84]</w:t>
      </w:r>
      <w:r w:rsidR="009811C6" w:rsidRPr="00F71673">
        <w:rPr>
          <w:rStyle w:val="ac"/>
          <w:rFonts w:eastAsiaTheme="majorEastAsia"/>
          <w:i/>
          <w:iCs/>
          <w:sz w:val="24"/>
          <w:szCs w:val="24"/>
        </w:rPr>
        <w:t>.</w:t>
      </w:r>
    </w:p>
    <w:p w14:paraId="1BA952DC" w14:textId="77777777" w:rsidR="009811C6" w:rsidRPr="00F71673" w:rsidRDefault="009811C6">
      <w:pPr>
        <w:pStyle w:val="11"/>
        <w:numPr>
          <w:ilvl w:val="0"/>
          <w:numId w:val="13"/>
        </w:numPr>
        <w:tabs>
          <w:tab w:val="left" w:pos="1277"/>
        </w:tabs>
        <w:ind w:firstLine="600"/>
        <w:jc w:val="both"/>
        <w:rPr>
          <w:sz w:val="24"/>
          <w:szCs w:val="24"/>
        </w:rPr>
      </w:pPr>
      <w:r w:rsidRPr="00F71673">
        <w:rPr>
          <w:rStyle w:val="ac"/>
          <w:rFonts w:eastAsiaTheme="majorEastAsia"/>
          <w:sz w:val="24"/>
          <w:szCs w:val="24"/>
        </w:rPr>
        <w:t>Всем пациентам с АГ для стратификации риска и выявления нарушений липидного обмена рекомендуется исследование уровня холестерина в крови (ОХС), холестерина липопротеидов высокой плотности (ХС ЛВП), холестерина липопротеидов низкой плотности (ХС ЛНП) (прямое измерение или расчетно) и триглицеридов (ТГ) в крови [27, 87, 88, 89].</w:t>
      </w:r>
    </w:p>
    <w:p w14:paraId="49DC7360" w14:textId="2DCCE10A" w:rsidR="009811C6" w:rsidRPr="00F71673" w:rsidRDefault="003D51B3" w:rsidP="009811C6">
      <w:pPr>
        <w:pStyle w:val="11"/>
        <w:ind w:firstLine="600"/>
        <w:jc w:val="both"/>
        <w:rPr>
          <w:sz w:val="24"/>
          <w:szCs w:val="24"/>
        </w:rPr>
      </w:pPr>
      <w:r>
        <w:rPr>
          <w:rStyle w:val="ac"/>
          <w:rFonts w:eastAsiaTheme="majorEastAsia"/>
          <w:b/>
          <w:bCs/>
          <w:sz w:val="24"/>
          <w:szCs w:val="24"/>
        </w:rPr>
        <w:t>Уровень убедительности рекомендаций</w:t>
      </w:r>
      <w:r w:rsidR="00F13847">
        <w:rPr>
          <w:rStyle w:val="ac"/>
          <w:rFonts w:eastAsiaTheme="majorEastAsia"/>
          <w:b/>
          <w:bCs/>
          <w:sz w:val="24"/>
          <w:szCs w:val="24"/>
        </w:rPr>
        <w:t xml:space="preserve"> </w:t>
      </w:r>
      <w:r w:rsidR="009811C6" w:rsidRPr="00F71673">
        <w:rPr>
          <w:rStyle w:val="ac"/>
          <w:rFonts w:eastAsiaTheme="majorEastAsia"/>
          <w:b/>
          <w:bCs/>
          <w:sz w:val="24"/>
          <w:szCs w:val="24"/>
        </w:rPr>
        <w:t xml:space="preserve">В, </w:t>
      </w:r>
      <w:r w:rsidR="00F13847" w:rsidRPr="00F71673">
        <w:rPr>
          <w:rStyle w:val="ac"/>
          <w:rFonts w:eastAsiaTheme="majorEastAsia"/>
          <w:b/>
          <w:bCs/>
          <w:sz w:val="24"/>
          <w:szCs w:val="24"/>
        </w:rPr>
        <w:t>(</w:t>
      </w:r>
      <w:r>
        <w:rPr>
          <w:rStyle w:val="ac"/>
          <w:rFonts w:eastAsiaTheme="majorEastAsia"/>
          <w:b/>
          <w:bCs/>
          <w:sz w:val="24"/>
          <w:szCs w:val="24"/>
        </w:rPr>
        <w:t>Уровень достоверности доказательств</w:t>
      </w:r>
      <w:r w:rsidR="009811C6" w:rsidRPr="00F71673">
        <w:rPr>
          <w:rStyle w:val="ac"/>
          <w:rFonts w:eastAsiaTheme="majorEastAsia"/>
          <w:b/>
          <w:bCs/>
          <w:sz w:val="24"/>
          <w:szCs w:val="24"/>
        </w:rPr>
        <w:t xml:space="preserve"> 2)</w:t>
      </w:r>
      <w:r w:rsidR="00F13847">
        <w:rPr>
          <w:rStyle w:val="ac"/>
          <w:rFonts w:eastAsiaTheme="majorEastAsia"/>
          <w:b/>
          <w:bCs/>
          <w:sz w:val="24"/>
          <w:szCs w:val="24"/>
        </w:rPr>
        <w:t>;</w:t>
      </w:r>
      <w:r w:rsidR="00F13847" w:rsidRPr="00F13847">
        <w:rPr>
          <w:rStyle w:val="ac"/>
          <w:rFonts w:eastAsiaTheme="majorEastAsia"/>
          <w:b/>
          <w:bCs/>
          <w:sz w:val="24"/>
          <w:szCs w:val="24"/>
        </w:rPr>
        <w:t xml:space="preserve"> </w:t>
      </w:r>
      <w:r w:rsidR="00F13847" w:rsidRPr="00F71673">
        <w:rPr>
          <w:rStyle w:val="ac"/>
          <w:rFonts w:eastAsiaTheme="majorEastAsia"/>
          <w:b/>
          <w:bCs/>
          <w:sz w:val="24"/>
          <w:szCs w:val="24"/>
        </w:rPr>
        <w:t>ЕОК/ЕОАГ нет</w:t>
      </w:r>
      <w:r w:rsidR="00B538A2">
        <w:rPr>
          <w:rStyle w:val="ac"/>
          <w:rFonts w:eastAsiaTheme="majorEastAsia"/>
          <w:b/>
          <w:bCs/>
          <w:sz w:val="24"/>
          <w:szCs w:val="24"/>
        </w:rPr>
        <w:t>.</w:t>
      </w:r>
    </w:p>
    <w:p w14:paraId="2942FF38" w14:textId="77777777" w:rsidR="009811C6" w:rsidRPr="00F71673" w:rsidRDefault="009811C6" w:rsidP="009811C6">
      <w:pPr>
        <w:pStyle w:val="11"/>
        <w:ind w:firstLine="600"/>
        <w:jc w:val="both"/>
        <w:rPr>
          <w:sz w:val="24"/>
          <w:szCs w:val="24"/>
        </w:rPr>
      </w:pPr>
      <w:r w:rsidRPr="00F71673">
        <w:rPr>
          <w:rStyle w:val="ac"/>
          <w:rFonts w:eastAsiaTheme="majorEastAsia"/>
          <w:b/>
          <w:bCs/>
          <w:sz w:val="24"/>
          <w:szCs w:val="24"/>
        </w:rPr>
        <w:t xml:space="preserve">Комментарии. </w:t>
      </w:r>
      <w:r w:rsidRPr="00F71673">
        <w:rPr>
          <w:rStyle w:val="ac"/>
          <w:rFonts w:eastAsiaTheme="majorEastAsia"/>
          <w:i/>
          <w:iCs/>
          <w:sz w:val="24"/>
          <w:szCs w:val="24"/>
        </w:rPr>
        <w:t>Выполняется у всех пациентов с АГ для стратификации риска</w:t>
      </w:r>
      <w:r w:rsidRPr="00F71673">
        <w:rPr>
          <w:rStyle w:val="ac"/>
          <w:rFonts w:eastAsiaTheme="majorEastAsia"/>
          <w:sz w:val="24"/>
          <w:szCs w:val="24"/>
        </w:rPr>
        <w:t xml:space="preserve"> [27, 87, 88, 89]</w:t>
      </w:r>
      <w:r w:rsidRPr="00F71673">
        <w:rPr>
          <w:rStyle w:val="ac"/>
          <w:rFonts w:eastAsiaTheme="majorEastAsia"/>
          <w:i/>
          <w:iCs/>
          <w:sz w:val="24"/>
          <w:szCs w:val="24"/>
        </w:rPr>
        <w:t xml:space="preserve">, а также в связи с высокой </w:t>
      </w:r>
      <w:r w:rsidR="0092588B" w:rsidRPr="00F71673">
        <w:rPr>
          <w:rStyle w:val="ac"/>
          <w:rFonts w:eastAsiaTheme="majorEastAsia"/>
          <w:i/>
          <w:iCs/>
          <w:sz w:val="24"/>
          <w:szCs w:val="24"/>
        </w:rPr>
        <w:t>распространённостью</w:t>
      </w:r>
      <w:r w:rsidRPr="00F71673">
        <w:rPr>
          <w:rStyle w:val="ac"/>
          <w:rFonts w:eastAsiaTheme="majorEastAsia"/>
          <w:i/>
          <w:iCs/>
          <w:sz w:val="24"/>
          <w:szCs w:val="24"/>
        </w:rPr>
        <w:t xml:space="preserve"> дислипидемии в популяции пациентов с АГ и положительным эффектом коррекции дислипидемии на СС риск у пациентов с АГ</w:t>
      </w:r>
      <w:r w:rsidRPr="00F71673">
        <w:rPr>
          <w:rStyle w:val="ac"/>
          <w:rFonts w:eastAsiaTheme="majorEastAsia"/>
          <w:sz w:val="24"/>
          <w:szCs w:val="24"/>
        </w:rPr>
        <w:t xml:space="preserve"> [27, 87, 88, 89]</w:t>
      </w:r>
      <w:r w:rsidRPr="00F71673">
        <w:rPr>
          <w:rStyle w:val="ac"/>
          <w:rFonts w:eastAsiaTheme="majorEastAsia"/>
          <w:i/>
          <w:iCs/>
          <w:sz w:val="24"/>
          <w:szCs w:val="24"/>
        </w:rPr>
        <w:t>.</w:t>
      </w:r>
    </w:p>
    <w:p w14:paraId="0A45DCEA" w14:textId="77777777" w:rsidR="009811C6" w:rsidRPr="00F71673" w:rsidRDefault="009811C6">
      <w:pPr>
        <w:pStyle w:val="11"/>
        <w:numPr>
          <w:ilvl w:val="0"/>
          <w:numId w:val="13"/>
        </w:numPr>
        <w:tabs>
          <w:tab w:val="left" w:pos="1277"/>
        </w:tabs>
        <w:ind w:firstLine="600"/>
        <w:jc w:val="both"/>
        <w:rPr>
          <w:sz w:val="24"/>
          <w:szCs w:val="24"/>
        </w:rPr>
      </w:pPr>
      <w:r w:rsidRPr="00F71673">
        <w:rPr>
          <w:rStyle w:val="ac"/>
          <w:rFonts w:eastAsiaTheme="majorEastAsia"/>
          <w:sz w:val="24"/>
          <w:szCs w:val="24"/>
        </w:rPr>
        <w:t>Всем пациентам с АГ для выявления электролитных нарушений и дифференциального диагноза с вторичной АГ рекомендуется исследование уровня калия и натрия в крови [27].</w:t>
      </w:r>
    </w:p>
    <w:p w14:paraId="3538C11E" w14:textId="27E1FE46" w:rsidR="009811C6" w:rsidRPr="00F71673" w:rsidRDefault="009811C6" w:rsidP="009811C6">
      <w:pPr>
        <w:pStyle w:val="11"/>
        <w:ind w:firstLine="600"/>
        <w:jc w:val="both"/>
        <w:rPr>
          <w:sz w:val="24"/>
          <w:szCs w:val="24"/>
        </w:rPr>
      </w:pPr>
      <w:r w:rsidRPr="00F71673">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F13847">
        <w:rPr>
          <w:rStyle w:val="ac"/>
          <w:rFonts w:eastAsiaTheme="majorEastAsia"/>
          <w:b/>
          <w:bCs/>
          <w:sz w:val="24"/>
          <w:szCs w:val="24"/>
        </w:rPr>
        <w:t xml:space="preserve"> </w:t>
      </w:r>
      <w:r w:rsidRPr="00F71673">
        <w:rPr>
          <w:rStyle w:val="ac"/>
          <w:rFonts w:eastAsiaTheme="majorEastAsia"/>
          <w:b/>
          <w:bCs/>
          <w:sz w:val="24"/>
          <w:szCs w:val="24"/>
          <w:lang w:val="en-US"/>
        </w:rPr>
        <w:t>C</w:t>
      </w:r>
      <w:r w:rsidRPr="00F71673">
        <w:rPr>
          <w:rStyle w:val="ac"/>
          <w:rFonts w:eastAsiaTheme="majorEastAsia"/>
          <w:b/>
          <w:bCs/>
          <w:sz w:val="24"/>
          <w:szCs w:val="24"/>
        </w:rPr>
        <w:t xml:space="preserve">, </w:t>
      </w:r>
      <w:r w:rsidR="00F13847" w:rsidRPr="00F71673">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F71673">
        <w:rPr>
          <w:rStyle w:val="ac"/>
          <w:rFonts w:eastAsiaTheme="majorEastAsia"/>
          <w:b/>
          <w:bCs/>
          <w:sz w:val="24"/>
          <w:szCs w:val="24"/>
        </w:rPr>
        <w:t xml:space="preserve"> 5</w:t>
      </w:r>
      <w:r w:rsidR="0042368D" w:rsidRPr="00F71673">
        <w:rPr>
          <w:rStyle w:val="ac"/>
          <w:rFonts w:eastAsiaTheme="majorEastAsia"/>
          <w:b/>
          <w:bCs/>
          <w:sz w:val="24"/>
          <w:szCs w:val="24"/>
        </w:rPr>
        <w:t>)</w:t>
      </w:r>
      <w:r w:rsidR="0042368D" w:rsidRPr="00F13847">
        <w:rPr>
          <w:rStyle w:val="ac"/>
          <w:rFonts w:eastAsiaTheme="majorEastAsia"/>
          <w:b/>
          <w:bCs/>
          <w:sz w:val="24"/>
          <w:szCs w:val="24"/>
        </w:rPr>
        <w:t>;</w:t>
      </w:r>
      <w:r w:rsidR="00F13847">
        <w:rPr>
          <w:rStyle w:val="ac"/>
          <w:rFonts w:eastAsiaTheme="majorEastAsia"/>
          <w:b/>
          <w:bCs/>
          <w:sz w:val="24"/>
          <w:szCs w:val="24"/>
        </w:rPr>
        <w:t xml:space="preserve"> </w:t>
      </w:r>
      <w:r w:rsidR="00F13847" w:rsidRPr="00F71673">
        <w:rPr>
          <w:rStyle w:val="ac"/>
          <w:rFonts w:eastAsiaTheme="majorEastAsia"/>
          <w:b/>
          <w:bCs/>
          <w:sz w:val="24"/>
          <w:szCs w:val="24"/>
        </w:rPr>
        <w:t>ЕОК/ЕОАГ нет</w:t>
      </w:r>
      <w:r w:rsidR="00B538A2">
        <w:rPr>
          <w:rStyle w:val="ac"/>
          <w:rFonts w:eastAsiaTheme="majorEastAsia"/>
          <w:b/>
          <w:bCs/>
          <w:sz w:val="24"/>
          <w:szCs w:val="24"/>
        </w:rPr>
        <w:t>.</w:t>
      </w:r>
    </w:p>
    <w:p w14:paraId="5D557A02" w14:textId="77777777" w:rsidR="009811C6" w:rsidRPr="00F71673" w:rsidRDefault="009811C6" w:rsidP="009811C6">
      <w:pPr>
        <w:pStyle w:val="11"/>
        <w:ind w:firstLine="600"/>
        <w:jc w:val="both"/>
        <w:rPr>
          <w:sz w:val="24"/>
          <w:szCs w:val="24"/>
        </w:rPr>
      </w:pPr>
      <w:r w:rsidRPr="00F71673">
        <w:rPr>
          <w:rStyle w:val="ac"/>
          <w:rFonts w:eastAsiaTheme="majorEastAsia"/>
          <w:b/>
          <w:bCs/>
          <w:sz w:val="24"/>
          <w:szCs w:val="24"/>
        </w:rPr>
        <w:t xml:space="preserve">Комментарии. </w:t>
      </w:r>
      <w:r w:rsidRPr="00F71673">
        <w:rPr>
          <w:rStyle w:val="ac"/>
          <w:rFonts w:eastAsiaTheme="majorEastAsia"/>
          <w:i/>
          <w:iCs/>
          <w:sz w:val="24"/>
          <w:szCs w:val="24"/>
        </w:rPr>
        <w:t>Выполняется у всех пациентов с АГ для выявления электролитных нарушений в связи с доказанной взаимосвязью между уровнем калия и натрия сыворотки крови и уровнем АД</w:t>
      </w:r>
      <w:r w:rsidRPr="00F71673">
        <w:rPr>
          <w:rStyle w:val="ac"/>
          <w:rFonts w:eastAsiaTheme="majorEastAsia"/>
          <w:sz w:val="24"/>
          <w:szCs w:val="24"/>
        </w:rPr>
        <w:t xml:space="preserve"> [90, 91]</w:t>
      </w:r>
      <w:r w:rsidRPr="00F71673">
        <w:rPr>
          <w:rStyle w:val="ac"/>
          <w:rFonts w:eastAsiaTheme="majorEastAsia"/>
          <w:i/>
          <w:iCs/>
          <w:sz w:val="24"/>
          <w:szCs w:val="24"/>
        </w:rPr>
        <w:t>.</w:t>
      </w:r>
    </w:p>
    <w:p w14:paraId="33367DF6" w14:textId="77777777" w:rsidR="009811C6" w:rsidRPr="00F71673" w:rsidRDefault="009811C6">
      <w:pPr>
        <w:pStyle w:val="11"/>
        <w:numPr>
          <w:ilvl w:val="0"/>
          <w:numId w:val="13"/>
        </w:numPr>
        <w:tabs>
          <w:tab w:val="left" w:pos="1277"/>
        </w:tabs>
        <w:ind w:firstLine="600"/>
        <w:jc w:val="both"/>
        <w:rPr>
          <w:sz w:val="24"/>
          <w:szCs w:val="24"/>
        </w:rPr>
      </w:pPr>
      <w:r w:rsidRPr="00F71673">
        <w:rPr>
          <w:rStyle w:val="ac"/>
          <w:rFonts w:eastAsiaTheme="majorEastAsia"/>
          <w:sz w:val="24"/>
          <w:szCs w:val="24"/>
        </w:rPr>
        <w:t>Всем пациентам с АГ для выявления гиперурикемии рекомендуется исследование уровня мочевой кислоты в крови [92, 93, 94].</w:t>
      </w:r>
    </w:p>
    <w:p w14:paraId="4C8B1B09" w14:textId="23E47B67" w:rsidR="009811C6" w:rsidRPr="00F71673" w:rsidRDefault="009811C6" w:rsidP="009811C6">
      <w:pPr>
        <w:pStyle w:val="11"/>
        <w:ind w:firstLine="660"/>
        <w:jc w:val="both"/>
        <w:rPr>
          <w:sz w:val="24"/>
          <w:szCs w:val="24"/>
        </w:rPr>
      </w:pPr>
      <w:r w:rsidRPr="00F71673">
        <w:rPr>
          <w:rStyle w:val="ac"/>
          <w:rFonts w:eastAsiaTheme="majorEastAsia"/>
          <w:b/>
          <w:bCs/>
          <w:sz w:val="24"/>
          <w:szCs w:val="24"/>
        </w:rPr>
        <w:lastRenderedPageBreak/>
        <w:t xml:space="preserve"> </w:t>
      </w:r>
      <w:r w:rsidR="003D51B3">
        <w:rPr>
          <w:rStyle w:val="ac"/>
          <w:rFonts w:eastAsiaTheme="majorEastAsia"/>
          <w:b/>
          <w:bCs/>
          <w:sz w:val="24"/>
          <w:szCs w:val="24"/>
        </w:rPr>
        <w:t>Уровень убедительности рекомендаций</w:t>
      </w:r>
      <w:r w:rsidR="00F13847">
        <w:rPr>
          <w:rStyle w:val="ac"/>
          <w:rFonts w:eastAsiaTheme="majorEastAsia"/>
          <w:b/>
          <w:bCs/>
          <w:sz w:val="24"/>
          <w:szCs w:val="24"/>
        </w:rPr>
        <w:t xml:space="preserve"> </w:t>
      </w:r>
      <w:r w:rsidRPr="00F71673">
        <w:rPr>
          <w:rStyle w:val="ac"/>
          <w:rFonts w:eastAsiaTheme="majorEastAsia"/>
          <w:b/>
          <w:bCs/>
          <w:sz w:val="24"/>
          <w:szCs w:val="24"/>
        </w:rPr>
        <w:t xml:space="preserve">А, </w:t>
      </w:r>
      <w:r w:rsidR="00F13847" w:rsidRPr="00F71673">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F71673">
        <w:rPr>
          <w:rStyle w:val="ac"/>
          <w:rFonts w:eastAsiaTheme="majorEastAsia"/>
          <w:b/>
          <w:bCs/>
          <w:sz w:val="24"/>
          <w:szCs w:val="24"/>
        </w:rPr>
        <w:t xml:space="preserve"> 2</w:t>
      </w:r>
      <w:r w:rsidR="00470725" w:rsidRPr="00F71673">
        <w:rPr>
          <w:rStyle w:val="ac"/>
          <w:rFonts w:eastAsiaTheme="majorEastAsia"/>
          <w:b/>
          <w:bCs/>
          <w:sz w:val="24"/>
          <w:szCs w:val="24"/>
        </w:rPr>
        <w:t>)</w:t>
      </w:r>
      <w:r w:rsidR="00470725" w:rsidRPr="00F13847">
        <w:rPr>
          <w:rStyle w:val="ac"/>
          <w:rFonts w:eastAsiaTheme="majorEastAsia"/>
          <w:b/>
          <w:bCs/>
          <w:sz w:val="24"/>
          <w:szCs w:val="24"/>
        </w:rPr>
        <w:t>;</w:t>
      </w:r>
      <w:r w:rsidR="00F13847">
        <w:rPr>
          <w:rStyle w:val="ac"/>
          <w:rFonts w:eastAsiaTheme="majorEastAsia"/>
          <w:b/>
          <w:bCs/>
          <w:sz w:val="24"/>
          <w:szCs w:val="24"/>
        </w:rPr>
        <w:t xml:space="preserve"> </w:t>
      </w:r>
      <w:r w:rsidR="00F13847" w:rsidRPr="00F71673">
        <w:rPr>
          <w:rStyle w:val="ac"/>
          <w:rFonts w:eastAsiaTheme="majorEastAsia"/>
          <w:b/>
          <w:bCs/>
          <w:sz w:val="24"/>
          <w:szCs w:val="24"/>
        </w:rPr>
        <w:t>ЕОК/ЕОАГ нет</w:t>
      </w:r>
      <w:r w:rsidR="00B538A2">
        <w:rPr>
          <w:rStyle w:val="ac"/>
          <w:rFonts w:eastAsiaTheme="majorEastAsia"/>
          <w:b/>
          <w:bCs/>
          <w:sz w:val="24"/>
          <w:szCs w:val="24"/>
        </w:rPr>
        <w:t>.</w:t>
      </w:r>
    </w:p>
    <w:p w14:paraId="0F990BDA" w14:textId="77777777" w:rsidR="009811C6" w:rsidRPr="009811C6" w:rsidRDefault="009811C6">
      <w:pPr>
        <w:pStyle w:val="11"/>
        <w:numPr>
          <w:ilvl w:val="0"/>
          <w:numId w:val="13"/>
        </w:numPr>
        <w:tabs>
          <w:tab w:val="left" w:pos="1373"/>
        </w:tabs>
        <w:spacing w:after="120"/>
        <w:ind w:firstLine="600"/>
        <w:jc w:val="both"/>
        <w:rPr>
          <w:rStyle w:val="ac"/>
          <w:sz w:val="24"/>
          <w:szCs w:val="24"/>
        </w:rPr>
      </w:pPr>
      <w:r w:rsidRPr="00F71673">
        <w:rPr>
          <w:rStyle w:val="ac"/>
          <w:rFonts w:eastAsiaTheme="majorEastAsia"/>
          <w:b/>
          <w:bCs/>
          <w:sz w:val="24"/>
          <w:szCs w:val="24"/>
        </w:rPr>
        <w:t xml:space="preserve">Комментарии. </w:t>
      </w:r>
      <w:r w:rsidRPr="00F71673">
        <w:rPr>
          <w:rStyle w:val="ac"/>
          <w:rFonts w:eastAsiaTheme="majorEastAsia"/>
          <w:i/>
          <w:iCs/>
          <w:sz w:val="24"/>
          <w:szCs w:val="24"/>
        </w:rPr>
        <w:t>Выполняется у всех пациентов с АГ в связи с тем, что уровень мочевой кислоты является значимым прогностическим фактором при АГ, а также наличием доказанной связи между гиперурикемией и повышением сердечно-сосудистой смертности</w:t>
      </w:r>
      <w:r w:rsidRPr="00F71673">
        <w:rPr>
          <w:rStyle w:val="ac"/>
          <w:rFonts w:eastAsiaTheme="majorEastAsia"/>
          <w:sz w:val="24"/>
          <w:szCs w:val="24"/>
        </w:rPr>
        <w:t xml:space="preserve"> [92, 93, 94].</w:t>
      </w:r>
      <w:r w:rsidRPr="009811C6">
        <w:rPr>
          <w:rStyle w:val="ac"/>
          <w:rFonts w:eastAsiaTheme="majorEastAsia"/>
          <w:sz w:val="24"/>
          <w:szCs w:val="24"/>
        </w:rPr>
        <w:t xml:space="preserve"> </w:t>
      </w:r>
    </w:p>
    <w:p w14:paraId="7D686D07" w14:textId="77777777" w:rsidR="009811C6" w:rsidRPr="009811C6" w:rsidRDefault="009811C6">
      <w:pPr>
        <w:pStyle w:val="11"/>
        <w:numPr>
          <w:ilvl w:val="0"/>
          <w:numId w:val="13"/>
        </w:numPr>
        <w:tabs>
          <w:tab w:val="left" w:pos="1373"/>
        </w:tabs>
        <w:ind w:firstLine="600"/>
        <w:jc w:val="both"/>
        <w:rPr>
          <w:sz w:val="24"/>
          <w:szCs w:val="24"/>
        </w:rPr>
      </w:pPr>
      <w:r w:rsidRPr="00F71673">
        <w:rPr>
          <w:rStyle w:val="ac"/>
          <w:rFonts w:eastAsiaTheme="majorEastAsia"/>
          <w:sz w:val="24"/>
          <w:szCs w:val="24"/>
        </w:rPr>
        <w:t>Всем пациентам с АГ для исключения сопутствующей патологии рекомендуется</w:t>
      </w:r>
      <w:r>
        <w:rPr>
          <w:sz w:val="24"/>
          <w:szCs w:val="24"/>
        </w:rPr>
        <w:t xml:space="preserve"> </w:t>
      </w:r>
      <w:r w:rsidRPr="009811C6">
        <w:rPr>
          <w:rStyle w:val="ac"/>
          <w:rFonts w:eastAsiaTheme="majorEastAsia"/>
          <w:sz w:val="24"/>
          <w:szCs w:val="24"/>
        </w:rPr>
        <w:t>исследование уровня общего белка, общего билирубина, определение активности</w:t>
      </w:r>
      <w:r>
        <w:rPr>
          <w:sz w:val="24"/>
          <w:szCs w:val="24"/>
        </w:rPr>
        <w:t xml:space="preserve"> </w:t>
      </w:r>
      <w:r w:rsidRPr="009811C6">
        <w:rPr>
          <w:rStyle w:val="ac"/>
          <w:rFonts w:eastAsiaTheme="majorEastAsia"/>
          <w:sz w:val="24"/>
          <w:szCs w:val="24"/>
        </w:rPr>
        <w:t>аспартатаминотрансферазы (АСТ) и аланинаминотрансферазы (АЛТ) в крови [12].</w:t>
      </w:r>
    </w:p>
    <w:p w14:paraId="2A2BA6A5" w14:textId="0F5EEC32" w:rsidR="0092588B" w:rsidRDefault="003D51B3" w:rsidP="0092588B">
      <w:pPr>
        <w:pStyle w:val="11"/>
        <w:ind w:firstLine="600"/>
        <w:jc w:val="both"/>
        <w:rPr>
          <w:rStyle w:val="ac"/>
          <w:rFonts w:eastAsiaTheme="majorEastAsia"/>
          <w:b/>
          <w:bCs/>
          <w:sz w:val="24"/>
          <w:szCs w:val="24"/>
        </w:rPr>
      </w:pPr>
      <w:r>
        <w:rPr>
          <w:rStyle w:val="ac"/>
          <w:rFonts w:eastAsiaTheme="majorEastAsia"/>
          <w:b/>
          <w:bCs/>
          <w:sz w:val="24"/>
          <w:szCs w:val="24"/>
        </w:rPr>
        <w:t>Уровень убедительности рекомендаций</w:t>
      </w:r>
      <w:r w:rsidR="00470725">
        <w:rPr>
          <w:rStyle w:val="ac"/>
          <w:rFonts w:eastAsiaTheme="majorEastAsia"/>
          <w:b/>
          <w:bCs/>
          <w:sz w:val="24"/>
          <w:szCs w:val="24"/>
        </w:rPr>
        <w:t xml:space="preserve"> </w:t>
      </w:r>
      <w:r w:rsidR="009811C6" w:rsidRPr="00F71673">
        <w:rPr>
          <w:rStyle w:val="ac"/>
          <w:rFonts w:eastAsiaTheme="majorEastAsia"/>
          <w:b/>
          <w:bCs/>
          <w:sz w:val="24"/>
          <w:szCs w:val="24"/>
        </w:rPr>
        <w:t>С,</w:t>
      </w:r>
      <w:r w:rsidR="00470725" w:rsidRPr="00F71673">
        <w:rPr>
          <w:rStyle w:val="ac"/>
          <w:rFonts w:eastAsiaTheme="majorEastAsia"/>
          <w:b/>
          <w:bCs/>
          <w:sz w:val="24"/>
          <w:szCs w:val="24"/>
        </w:rPr>
        <w:t xml:space="preserve"> </w:t>
      </w:r>
      <w:r w:rsidR="00470725" w:rsidRPr="00F71673">
        <w:rPr>
          <w:rStyle w:val="ac"/>
          <w:rFonts w:eastAsiaTheme="majorEastAsia"/>
          <w:sz w:val="24"/>
          <w:szCs w:val="24"/>
        </w:rPr>
        <w:t>(</w:t>
      </w:r>
      <w:r w:rsidR="00470725" w:rsidRPr="00F71673">
        <w:rPr>
          <w:rStyle w:val="ac"/>
          <w:rFonts w:eastAsiaTheme="majorEastAsia"/>
          <w:b/>
          <w:bCs/>
          <w:sz w:val="24"/>
          <w:szCs w:val="24"/>
        </w:rPr>
        <w:t>Уровень</w:t>
      </w:r>
      <w:r>
        <w:rPr>
          <w:rStyle w:val="ac"/>
          <w:rFonts w:eastAsiaTheme="majorEastAsia"/>
          <w:b/>
          <w:bCs/>
          <w:sz w:val="24"/>
          <w:szCs w:val="24"/>
        </w:rPr>
        <w:t xml:space="preserve"> достоверности доказательств</w:t>
      </w:r>
      <w:r w:rsidR="009811C6" w:rsidRPr="00F71673">
        <w:rPr>
          <w:rStyle w:val="ac"/>
          <w:rFonts w:eastAsiaTheme="majorEastAsia"/>
          <w:b/>
          <w:bCs/>
          <w:sz w:val="24"/>
          <w:szCs w:val="24"/>
        </w:rPr>
        <w:t xml:space="preserve"> 5</w:t>
      </w:r>
      <w:r w:rsidR="00470725" w:rsidRPr="00F71673">
        <w:rPr>
          <w:rStyle w:val="ac"/>
          <w:rFonts w:eastAsiaTheme="majorEastAsia"/>
          <w:b/>
          <w:bCs/>
          <w:sz w:val="24"/>
          <w:szCs w:val="24"/>
        </w:rPr>
        <w:t>)</w:t>
      </w:r>
      <w:r w:rsidR="00470725" w:rsidRPr="00470725">
        <w:rPr>
          <w:rStyle w:val="ac"/>
          <w:rFonts w:eastAsiaTheme="majorEastAsia"/>
          <w:b/>
          <w:bCs/>
          <w:sz w:val="24"/>
          <w:szCs w:val="24"/>
        </w:rPr>
        <w:t>;</w:t>
      </w:r>
      <w:r w:rsidR="00470725">
        <w:rPr>
          <w:rStyle w:val="ac"/>
          <w:rFonts w:eastAsiaTheme="majorEastAsia"/>
          <w:b/>
          <w:bCs/>
          <w:sz w:val="24"/>
          <w:szCs w:val="24"/>
        </w:rPr>
        <w:t xml:space="preserve"> </w:t>
      </w:r>
      <w:r w:rsidR="00470725" w:rsidRPr="00F71673">
        <w:rPr>
          <w:rStyle w:val="ac"/>
          <w:rFonts w:eastAsiaTheme="majorEastAsia"/>
          <w:b/>
          <w:bCs/>
          <w:sz w:val="24"/>
          <w:szCs w:val="24"/>
        </w:rPr>
        <w:t>ЕОК/ЕОАГ нет</w:t>
      </w:r>
      <w:r w:rsidR="00B538A2">
        <w:rPr>
          <w:rStyle w:val="ac"/>
          <w:rFonts w:eastAsiaTheme="majorEastAsia"/>
          <w:b/>
          <w:bCs/>
          <w:sz w:val="24"/>
          <w:szCs w:val="24"/>
        </w:rPr>
        <w:t>.</w:t>
      </w:r>
    </w:p>
    <w:p w14:paraId="55C17D70" w14:textId="6A68CF30" w:rsidR="0042368D" w:rsidRPr="0042368D" w:rsidRDefault="0042368D" w:rsidP="0092588B">
      <w:pPr>
        <w:pStyle w:val="11"/>
        <w:ind w:firstLine="600"/>
        <w:jc w:val="both"/>
        <w:rPr>
          <w:i/>
          <w:iCs/>
          <w:sz w:val="24"/>
          <w:szCs w:val="24"/>
        </w:rPr>
      </w:pPr>
      <w:r w:rsidRPr="0042368D">
        <w:rPr>
          <w:rStyle w:val="aff9"/>
          <w:rFonts w:eastAsiaTheme="majorEastAsia"/>
          <w:sz w:val="24"/>
          <w:szCs w:val="24"/>
        </w:rPr>
        <w:t>Комментари</w:t>
      </w:r>
      <w:r>
        <w:rPr>
          <w:rStyle w:val="aff9"/>
          <w:rFonts w:eastAsiaTheme="majorEastAsia"/>
          <w:sz w:val="24"/>
          <w:szCs w:val="24"/>
        </w:rPr>
        <w:t>и</w:t>
      </w:r>
      <w:r w:rsidRPr="0042368D">
        <w:rPr>
          <w:rStyle w:val="aff9"/>
          <w:rFonts w:eastAsiaTheme="majorEastAsia"/>
          <w:sz w:val="24"/>
          <w:szCs w:val="24"/>
        </w:rPr>
        <w:t>:</w:t>
      </w:r>
      <w:r>
        <w:rPr>
          <w:rStyle w:val="aff9"/>
          <w:rFonts w:eastAsiaTheme="majorEastAsia"/>
          <w:sz w:val="24"/>
          <w:szCs w:val="24"/>
        </w:rPr>
        <w:t xml:space="preserve"> </w:t>
      </w:r>
      <w:r w:rsidRPr="0042368D">
        <w:rPr>
          <w:i/>
          <w:iCs/>
          <w:sz w:val="24"/>
          <w:szCs w:val="24"/>
        </w:rPr>
        <w:t>Биохимические показатели, такие как общий белок, билирубин, АСТ и АЛТ, помогают выявить сопутствующие заболевания печени, нарушения белкового обмена и другие метаболические расстройства, которые могут влиять на выбор терапии у пациентов с артериальной гипертензией. Эти исследования также важны для оценки безопасности применения антигипертензивных препаратов, особенно метаболизирующихся в печени.</w:t>
      </w:r>
    </w:p>
    <w:p w14:paraId="67A4E094" w14:textId="77777777" w:rsidR="0092588B" w:rsidRPr="0092588B" w:rsidRDefault="0092588B" w:rsidP="0008732C">
      <w:pPr>
        <w:pStyle w:val="11"/>
        <w:ind w:firstLine="0"/>
        <w:jc w:val="both"/>
        <w:outlineLvl w:val="1"/>
        <w:rPr>
          <w:b/>
          <w:bCs/>
          <w:sz w:val="24"/>
          <w:szCs w:val="24"/>
          <w:u w:val="single"/>
        </w:rPr>
      </w:pPr>
      <w:bookmarkStart w:id="26" w:name="_Toc202877438"/>
      <w:r w:rsidRPr="0092588B">
        <w:rPr>
          <w:b/>
          <w:bCs/>
          <w:sz w:val="24"/>
          <w:szCs w:val="24"/>
          <w:u w:val="single"/>
        </w:rPr>
        <w:t>2.4 Инструментальная диагностика</w:t>
      </w:r>
      <w:bookmarkEnd w:id="26"/>
    </w:p>
    <w:p w14:paraId="3B488966" w14:textId="77777777" w:rsidR="0092588B" w:rsidRPr="0092588B" w:rsidRDefault="0092588B" w:rsidP="0092588B">
      <w:pPr>
        <w:pStyle w:val="11"/>
        <w:ind w:firstLine="709"/>
        <w:jc w:val="both"/>
        <w:rPr>
          <w:sz w:val="24"/>
          <w:szCs w:val="24"/>
        </w:rPr>
      </w:pPr>
      <w:r w:rsidRPr="0092588B">
        <w:rPr>
          <w:rStyle w:val="ac"/>
          <w:rFonts w:eastAsiaTheme="majorEastAsia"/>
          <w:sz w:val="24"/>
          <w:szCs w:val="24"/>
        </w:rPr>
        <w:t xml:space="preserve">Проведение инструментальных методов диагностики является необходимым для исключения вторичных форм АГ, выявления поражения органов-мишеней, оценки </w:t>
      </w:r>
      <w:r w:rsidR="00EF138D" w:rsidRPr="0092588B">
        <w:rPr>
          <w:rStyle w:val="ac"/>
          <w:rFonts w:eastAsiaTheme="majorEastAsia"/>
          <w:sz w:val="24"/>
          <w:szCs w:val="24"/>
        </w:rPr>
        <w:t>сердечно-сосудистого</w:t>
      </w:r>
      <w:r w:rsidRPr="0092588B">
        <w:rPr>
          <w:rStyle w:val="ac"/>
          <w:rFonts w:eastAsiaTheme="majorEastAsia"/>
          <w:sz w:val="24"/>
          <w:szCs w:val="24"/>
        </w:rPr>
        <w:t xml:space="preserve"> риска, и сопутствующей патологии, влияющей на эффективность лечения и качество жизни пациента.</w:t>
      </w:r>
    </w:p>
    <w:p w14:paraId="68CBDCA7" w14:textId="77777777" w:rsidR="00201FB1" w:rsidRDefault="00F462CA" w:rsidP="00F462CA">
      <w:pPr>
        <w:pStyle w:val="11"/>
        <w:tabs>
          <w:tab w:val="left" w:pos="1276"/>
        </w:tabs>
        <w:ind w:firstLine="567"/>
        <w:jc w:val="both"/>
        <w:rPr>
          <w:rStyle w:val="ac"/>
          <w:rFonts w:eastAsiaTheme="majorEastAsia"/>
          <w:b/>
          <w:bCs/>
          <w:sz w:val="24"/>
          <w:szCs w:val="24"/>
        </w:rPr>
      </w:pPr>
      <w:r w:rsidRPr="00F462CA">
        <w:rPr>
          <w:rStyle w:val="ac"/>
          <w:rFonts w:eastAsiaTheme="majorEastAsia"/>
          <w:sz w:val="20"/>
          <w:szCs w:val="20"/>
        </w:rPr>
        <w:t>•</w:t>
      </w:r>
      <w:r>
        <w:rPr>
          <w:rStyle w:val="ac"/>
          <w:rFonts w:eastAsiaTheme="majorEastAsia"/>
          <w:sz w:val="24"/>
          <w:szCs w:val="24"/>
        </w:rPr>
        <w:tab/>
      </w:r>
      <w:r w:rsidR="0092588B" w:rsidRPr="0092588B">
        <w:rPr>
          <w:rStyle w:val="ac"/>
          <w:rFonts w:eastAsiaTheme="majorEastAsia"/>
          <w:sz w:val="24"/>
          <w:szCs w:val="24"/>
        </w:rPr>
        <w:t>Всем пациентам с АГ для выявления ГЛЖ и определения СС риска рекомендуется</w:t>
      </w:r>
      <w:r w:rsidR="0092588B">
        <w:rPr>
          <w:sz w:val="24"/>
          <w:szCs w:val="24"/>
        </w:rPr>
        <w:t xml:space="preserve"> </w:t>
      </w:r>
      <w:r w:rsidR="0092588B" w:rsidRPr="0092588B">
        <w:rPr>
          <w:rStyle w:val="ac"/>
          <w:rFonts w:eastAsiaTheme="majorEastAsia"/>
          <w:sz w:val="24"/>
          <w:szCs w:val="24"/>
        </w:rPr>
        <w:t>проведение 12-канальной ЭКГ (регистрация электрокардиограммы) [27, 95, 96].</w:t>
      </w:r>
      <w:r w:rsidR="0092588B" w:rsidRPr="0092588B">
        <w:rPr>
          <w:rStyle w:val="ac"/>
          <w:rFonts w:eastAsiaTheme="majorEastAsia"/>
          <w:b/>
          <w:bCs/>
          <w:sz w:val="24"/>
          <w:szCs w:val="24"/>
        </w:rPr>
        <w:t xml:space="preserve"> </w:t>
      </w:r>
    </w:p>
    <w:p w14:paraId="6FDCE142" w14:textId="47980278" w:rsidR="0092588B" w:rsidRPr="0092588B" w:rsidRDefault="0092588B" w:rsidP="00F462CA">
      <w:pPr>
        <w:pStyle w:val="11"/>
        <w:tabs>
          <w:tab w:val="left" w:pos="1276"/>
        </w:tabs>
        <w:ind w:firstLine="567"/>
        <w:jc w:val="both"/>
        <w:rPr>
          <w:sz w:val="24"/>
          <w:szCs w:val="24"/>
        </w:rPr>
      </w:pPr>
      <w:r w:rsidRPr="0092588B">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D26455">
        <w:rPr>
          <w:rStyle w:val="ac"/>
          <w:rFonts w:eastAsiaTheme="majorEastAsia"/>
          <w:b/>
          <w:bCs/>
          <w:sz w:val="24"/>
          <w:szCs w:val="24"/>
        </w:rPr>
        <w:t xml:space="preserve"> </w:t>
      </w:r>
      <w:r w:rsidRPr="0092588B">
        <w:rPr>
          <w:rStyle w:val="ac"/>
          <w:rFonts w:eastAsiaTheme="majorEastAsia"/>
          <w:b/>
          <w:bCs/>
          <w:sz w:val="24"/>
          <w:szCs w:val="24"/>
        </w:rPr>
        <w:t xml:space="preserve">В, </w:t>
      </w:r>
      <w:r w:rsidR="00D26455" w:rsidRPr="0092588B">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92588B">
        <w:rPr>
          <w:rStyle w:val="ac"/>
          <w:rFonts w:eastAsiaTheme="majorEastAsia"/>
          <w:b/>
          <w:bCs/>
          <w:sz w:val="24"/>
          <w:szCs w:val="24"/>
        </w:rPr>
        <w:t xml:space="preserve"> 1</w:t>
      </w:r>
      <w:r w:rsidR="00896495" w:rsidRPr="0092588B">
        <w:rPr>
          <w:rStyle w:val="ac"/>
          <w:rFonts w:eastAsiaTheme="majorEastAsia"/>
          <w:b/>
          <w:bCs/>
          <w:sz w:val="24"/>
          <w:szCs w:val="24"/>
        </w:rPr>
        <w:t>)</w:t>
      </w:r>
      <w:r w:rsidR="00896495">
        <w:rPr>
          <w:rStyle w:val="ac"/>
          <w:rFonts w:eastAsiaTheme="majorEastAsia"/>
          <w:b/>
          <w:bCs/>
          <w:sz w:val="24"/>
          <w:szCs w:val="24"/>
        </w:rPr>
        <w:t>;</w:t>
      </w:r>
      <w:r w:rsidR="00D26455" w:rsidRPr="00D26455">
        <w:rPr>
          <w:rStyle w:val="ac"/>
          <w:rFonts w:eastAsiaTheme="majorEastAsia"/>
          <w:b/>
          <w:bCs/>
          <w:sz w:val="24"/>
          <w:szCs w:val="24"/>
        </w:rPr>
        <w:t xml:space="preserve"> </w:t>
      </w:r>
      <w:r w:rsidR="00D26455" w:rsidRPr="0092588B">
        <w:rPr>
          <w:rStyle w:val="ac"/>
          <w:rFonts w:eastAsiaTheme="majorEastAsia"/>
          <w:b/>
          <w:bCs/>
          <w:sz w:val="24"/>
          <w:szCs w:val="24"/>
        </w:rPr>
        <w:t>ЕОК/ЕОАГ IВ</w:t>
      </w:r>
      <w:r w:rsidR="00B538A2">
        <w:rPr>
          <w:rStyle w:val="ac"/>
          <w:rFonts w:eastAsiaTheme="majorEastAsia"/>
          <w:b/>
          <w:bCs/>
          <w:sz w:val="24"/>
          <w:szCs w:val="24"/>
        </w:rPr>
        <w:t>.</w:t>
      </w:r>
    </w:p>
    <w:p w14:paraId="07BAA514" w14:textId="7078FB4B" w:rsidR="0092588B" w:rsidRPr="0092588B" w:rsidRDefault="0092588B" w:rsidP="0092588B">
      <w:pPr>
        <w:pStyle w:val="11"/>
        <w:spacing w:after="40"/>
        <w:ind w:firstLine="600"/>
        <w:jc w:val="both"/>
        <w:rPr>
          <w:sz w:val="24"/>
          <w:szCs w:val="24"/>
        </w:rPr>
      </w:pPr>
      <w:r w:rsidRPr="0092588B">
        <w:rPr>
          <w:rStyle w:val="ac"/>
          <w:rFonts w:eastAsiaTheme="majorEastAsia"/>
          <w:b/>
          <w:bCs/>
          <w:sz w:val="24"/>
          <w:szCs w:val="24"/>
        </w:rPr>
        <w:t>Комментарии</w:t>
      </w:r>
      <w:r w:rsidR="00DF0FCD">
        <w:rPr>
          <w:rStyle w:val="ac"/>
          <w:rFonts w:eastAsiaTheme="majorEastAsia"/>
          <w:b/>
          <w:bCs/>
          <w:sz w:val="24"/>
          <w:szCs w:val="24"/>
        </w:rPr>
        <w:t>:</w:t>
      </w:r>
      <w:r w:rsidRPr="0092588B">
        <w:rPr>
          <w:rStyle w:val="ac"/>
          <w:rFonts w:eastAsiaTheme="majorEastAsia"/>
          <w:b/>
          <w:bCs/>
          <w:sz w:val="24"/>
          <w:szCs w:val="24"/>
        </w:rPr>
        <w:t xml:space="preserve"> </w:t>
      </w:r>
      <w:r w:rsidRPr="0092588B">
        <w:rPr>
          <w:rStyle w:val="ac"/>
          <w:rFonts w:eastAsiaTheme="majorEastAsia"/>
          <w:i/>
          <w:iCs/>
          <w:sz w:val="24"/>
          <w:szCs w:val="24"/>
        </w:rPr>
        <w:t>Выполняется у всех пациентов с АГ для выявления гипертрофии левого желудочка (ГЛЖ) и определения сердечно-сосудистого риска</w:t>
      </w:r>
      <w:r w:rsidRPr="0092588B">
        <w:rPr>
          <w:rStyle w:val="ac"/>
          <w:rFonts w:eastAsiaTheme="majorEastAsia"/>
          <w:sz w:val="24"/>
          <w:szCs w:val="24"/>
        </w:rPr>
        <w:t xml:space="preserve"> [27, 95, 96, 97, 98, 99, 100]</w:t>
      </w:r>
      <w:r w:rsidRPr="0092588B">
        <w:rPr>
          <w:rStyle w:val="ac"/>
          <w:rFonts w:eastAsiaTheme="majorEastAsia"/>
          <w:i/>
          <w:iCs/>
          <w:sz w:val="24"/>
          <w:szCs w:val="24"/>
        </w:rPr>
        <w:t>. ГЛЖ характеризуют индекс Соколова–Лайона (</w:t>
      </w:r>
      <w:r w:rsidRPr="0092588B">
        <w:rPr>
          <w:rStyle w:val="ac"/>
          <w:rFonts w:eastAsiaTheme="majorEastAsia"/>
          <w:i/>
          <w:iCs/>
          <w:sz w:val="24"/>
          <w:szCs w:val="24"/>
          <w:lang w:val="en-US"/>
        </w:rPr>
        <w:t>SV</w:t>
      </w:r>
      <w:r w:rsidRPr="0092588B">
        <w:rPr>
          <w:rStyle w:val="ac"/>
          <w:rFonts w:eastAsiaTheme="majorEastAsia"/>
          <w:i/>
          <w:iCs/>
          <w:sz w:val="24"/>
          <w:szCs w:val="24"/>
        </w:rPr>
        <w:t>1+</w:t>
      </w:r>
      <w:r w:rsidRPr="0092588B">
        <w:rPr>
          <w:rStyle w:val="ac"/>
          <w:rFonts w:eastAsiaTheme="majorEastAsia"/>
          <w:i/>
          <w:iCs/>
          <w:sz w:val="24"/>
          <w:szCs w:val="24"/>
          <w:lang w:val="en-US"/>
        </w:rPr>
        <w:t>RV</w:t>
      </w:r>
      <w:r w:rsidRPr="0092588B">
        <w:rPr>
          <w:rStyle w:val="ac"/>
          <w:rFonts w:eastAsiaTheme="majorEastAsia"/>
          <w:i/>
          <w:iCs/>
          <w:sz w:val="24"/>
          <w:szCs w:val="24"/>
        </w:rPr>
        <w:t xml:space="preserve">5-6 &gt;35 мм); амплитуда зубца </w:t>
      </w:r>
      <w:r w:rsidRPr="0092588B">
        <w:rPr>
          <w:rStyle w:val="ac"/>
          <w:rFonts w:eastAsiaTheme="majorEastAsia"/>
          <w:i/>
          <w:iCs/>
          <w:sz w:val="24"/>
          <w:szCs w:val="24"/>
          <w:lang w:val="en-US"/>
        </w:rPr>
        <w:t>R</w:t>
      </w:r>
      <w:r w:rsidRPr="0092588B">
        <w:rPr>
          <w:rStyle w:val="ac"/>
          <w:rFonts w:eastAsiaTheme="majorEastAsia"/>
          <w:i/>
          <w:iCs/>
          <w:sz w:val="24"/>
          <w:szCs w:val="24"/>
        </w:rPr>
        <w:t xml:space="preserve"> в отведении </w:t>
      </w:r>
      <w:r w:rsidRPr="0092588B">
        <w:rPr>
          <w:rStyle w:val="ac"/>
          <w:rFonts w:eastAsiaTheme="majorEastAsia"/>
          <w:i/>
          <w:iCs/>
          <w:sz w:val="24"/>
          <w:szCs w:val="24"/>
          <w:lang w:val="en-US"/>
        </w:rPr>
        <w:t>aVL</w:t>
      </w:r>
      <w:r w:rsidRPr="0092588B">
        <w:rPr>
          <w:rStyle w:val="ac"/>
          <w:rFonts w:eastAsiaTheme="majorEastAsia"/>
          <w:i/>
          <w:iCs/>
          <w:sz w:val="24"/>
          <w:szCs w:val="24"/>
        </w:rPr>
        <w:t xml:space="preserve"> ≥ 11 мм,</w:t>
      </w:r>
      <w:r>
        <w:rPr>
          <w:rStyle w:val="ac"/>
          <w:rFonts w:eastAsiaTheme="majorEastAsia"/>
          <w:i/>
          <w:iCs/>
          <w:sz w:val="24"/>
          <w:szCs w:val="24"/>
        </w:rPr>
        <w:t xml:space="preserve"> </w:t>
      </w:r>
      <w:r w:rsidRPr="0092588B">
        <w:rPr>
          <w:rStyle w:val="ac"/>
          <w:rFonts w:eastAsiaTheme="majorEastAsia"/>
          <w:i/>
          <w:iCs/>
          <w:sz w:val="24"/>
          <w:szCs w:val="24"/>
        </w:rPr>
        <w:t>корнельский вольтажный индекс (</w:t>
      </w:r>
      <w:r w:rsidRPr="0092588B">
        <w:rPr>
          <w:rStyle w:val="ac"/>
          <w:rFonts w:eastAsiaTheme="majorEastAsia"/>
          <w:i/>
          <w:iCs/>
          <w:sz w:val="24"/>
          <w:szCs w:val="24"/>
          <w:lang w:val="en-US"/>
        </w:rPr>
        <w:t>RaVL</w:t>
      </w:r>
      <w:r w:rsidRPr="0092588B">
        <w:rPr>
          <w:rStyle w:val="ac"/>
          <w:rFonts w:eastAsiaTheme="majorEastAsia"/>
          <w:i/>
          <w:iCs/>
          <w:sz w:val="24"/>
          <w:szCs w:val="24"/>
        </w:rPr>
        <w:t>+</w:t>
      </w:r>
      <w:r w:rsidRPr="0092588B">
        <w:rPr>
          <w:rStyle w:val="ac"/>
          <w:rFonts w:eastAsiaTheme="majorEastAsia"/>
          <w:i/>
          <w:iCs/>
          <w:sz w:val="24"/>
          <w:szCs w:val="24"/>
          <w:lang w:val="en-US"/>
        </w:rPr>
        <w:t>SV</w:t>
      </w:r>
      <w:r w:rsidRPr="0092588B">
        <w:rPr>
          <w:rStyle w:val="ac"/>
          <w:rFonts w:eastAsiaTheme="majorEastAsia"/>
          <w:i/>
          <w:iCs/>
          <w:sz w:val="24"/>
          <w:szCs w:val="24"/>
        </w:rPr>
        <w:t>3) &gt;20 мм для женщин, (</w:t>
      </w:r>
      <w:r w:rsidRPr="0092588B">
        <w:rPr>
          <w:rStyle w:val="ac"/>
          <w:rFonts w:eastAsiaTheme="majorEastAsia"/>
          <w:i/>
          <w:iCs/>
          <w:sz w:val="24"/>
          <w:szCs w:val="24"/>
          <w:lang w:val="en-US"/>
        </w:rPr>
        <w:t>RAVL</w:t>
      </w:r>
      <w:r w:rsidRPr="0092588B">
        <w:rPr>
          <w:rStyle w:val="ac"/>
          <w:rFonts w:eastAsiaTheme="majorEastAsia"/>
          <w:i/>
          <w:iCs/>
          <w:sz w:val="24"/>
          <w:szCs w:val="24"/>
        </w:rPr>
        <w:t>+</w:t>
      </w:r>
      <w:r w:rsidRPr="0092588B">
        <w:rPr>
          <w:rStyle w:val="ac"/>
          <w:rFonts w:eastAsiaTheme="majorEastAsia"/>
          <w:i/>
          <w:iCs/>
          <w:sz w:val="24"/>
          <w:szCs w:val="24"/>
          <w:lang w:val="en-US"/>
        </w:rPr>
        <w:t>SV</w:t>
      </w:r>
      <w:r w:rsidRPr="0092588B">
        <w:rPr>
          <w:rStyle w:val="ac"/>
          <w:rFonts w:eastAsiaTheme="majorEastAsia"/>
          <w:i/>
          <w:iCs/>
          <w:sz w:val="24"/>
          <w:szCs w:val="24"/>
        </w:rPr>
        <w:t>3) &gt;28 мм для мужчин; Корнельское произведение (</w:t>
      </w:r>
      <w:r w:rsidRPr="0092588B">
        <w:rPr>
          <w:rStyle w:val="ac"/>
          <w:rFonts w:eastAsiaTheme="majorEastAsia"/>
          <w:i/>
          <w:iCs/>
          <w:sz w:val="24"/>
          <w:szCs w:val="24"/>
          <w:lang w:val="en-US"/>
        </w:rPr>
        <w:t>RAVL</w:t>
      </w:r>
      <w:r w:rsidRPr="0092588B">
        <w:rPr>
          <w:rStyle w:val="ac"/>
          <w:rFonts w:eastAsiaTheme="majorEastAsia"/>
          <w:i/>
          <w:iCs/>
          <w:sz w:val="24"/>
          <w:szCs w:val="24"/>
        </w:rPr>
        <w:t>+</w:t>
      </w:r>
      <w:r w:rsidRPr="0092588B">
        <w:rPr>
          <w:rStyle w:val="ac"/>
          <w:rFonts w:eastAsiaTheme="majorEastAsia"/>
          <w:i/>
          <w:iCs/>
          <w:sz w:val="24"/>
          <w:szCs w:val="24"/>
          <w:lang w:val="en-US"/>
        </w:rPr>
        <w:t>SV</w:t>
      </w:r>
      <w:r w:rsidRPr="0092588B">
        <w:rPr>
          <w:rStyle w:val="ac"/>
          <w:rFonts w:eastAsiaTheme="majorEastAsia"/>
          <w:i/>
          <w:iCs/>
          <w:sz w:val="24"/>
          <w:szCs w:val="24"/>
        </w:rPr>
        <w:t xml:space="preserve">5) мм х </w:t>
      </w:r>
      <w:r w:rsidRPr="0092588B">
        <w:rPr>
          <w:rStyle w:val="ac"/>
          <w:rFonts w:eastAsiaTheme="majorEastAsia"/>
          <w:i/>
          <w:iCs/>
          <w:sz w:val="24"/>
          <w:szCs w:val="24"/>
          <w:lang w:val="en-US"/>
        </w:rPr>
        <w:t>QRS</w:t>
      </w:r>
      <w:r w:rsidRPr="0092588B">
        <w:rPr>
          <w:rStyle w:val="ac"/>
          <w:rFonts w:eastAsiaTheme="majorEastAsia"/>
          <w:i/>
          <w:iCs/>
          <w:sz w:val="24"/>
          <w:szCs w:val="24"/>
        </w:rPr>
        <w:t xml:space="preserve"> мс&gt; 2440 мм х мс</w:t>
      </w:r>
      <w:r w:rsidRPr="0092588B">
        <w:rPr>
          <w:rStyle w:val="ac"/>
          <w:rFonts w:eastAsiaTheme="majorEastAsia"/>
          <w:sz w:val="24"/>
          <w:szCs w:val="24"/>
        </w:rPr>
        <w:t xml:space="preserve"> [27]</w:t>
      </w:r>
      <w:r w:rsidRPr="0092588B">
        <w:rPr>
          <w:rStyle w:val="ac"/>
          <w:rFonts w:eastAsiaTheme="majorEastAsia"/>
          <w:i/>
          <w:iCs/>
          <w:sz w:val="24"/>
          <w:szCs w:val="24"/>
        </w:rPr>
        <w:t>. Несмотря на то, что ЭКГ является менее чувствительным методом диагностики ГЛЖ по сравнению с ЭхоКГ</w:t>
      </w:r>
      <w:r w:rsidRPr="0092588B">
        <w:rPr>
          <w:rStyle w:val="ac"/>
          <w:rFonts w:eastAsiaTheme="majorEastAsia"/>
          <w:sz w:val="24"/>
          <w:szCs w:val="24"/>
        </w:rPr>
        <w:t xml:space="preserve"> [96, 101, 102]</w:t>
      </w:r>
      <w:r w:rsidRPr="0092588B">
        <w:rPr>
          <w:rStyle w:val="ac"/>
          <w:rFonts w:eastAsiaTheme="majorEastAsia"/>
          <w:i/>
          <w:iCs/>
          <w:sz w:val="24"/>
          <w:szCs w:val="24"/>
        </w:rPr>
        <w:t xml:space="preserve">, она незаменима для </w:t>
      </w:r>
      <w:r w:rsidRPr="0092588B">
        <w:rPr>
          <w:rStyle w:val="ac"/>
          <w:rFonts w:eastAsiaTheme="majorEastAsia"/>
          <w:i/>
          <w:iCs/>
          <w:sz w:val="24"/>
          <w:szCs w:val="24"/>
        </w:rPr>
        <w:lastRenderedPageBreak/>
        <w:t>документирования сердечного ритма, ЧСС и выявления аритмий.</w:t>
      </w:r>
    </w:p>
    <w:p w14:paraId="1E5BACBC" w14:textId="77777777" w:rsidR="0092588B" w:rsidRPr="0092588B" w:rsidRDefault="0092588B">
      <w:pPr>
        <w:pStyle w:val="11"/>
        <w:numPr>
          <w:ilvl w:val="0"/>
          <w:numId w:val="14"/>
        </w:numPr>
        <w:tabs>
          <w:tab w:val="left" w:pos="1373"/>
        </w:tabs>
        <w:ind w:firstLine="600"/>
        <w:jc w:val="both"/>
        <w:rPr>
          <w:sz w:val="24"/>
          <w:szCs w:val="24"/>
        </w:rPr>
      </w:pPr>
      <w:r w:rsidRPr="0092588B">
        <w:rPr>
          <w:rStyle w:val="ac"/>
          <w:rFonts w:eastAsiaTheme="majorEastAsia"/>
          <w:sz w:val="24"/>
          <w:szCs w:val="24"/>
        </w:rPr>
        <w:t>Пациентам с АГ при наличии изменений на ЭКГ или симптомов/признаков</w:t>
      </w:r>
    </w:p>
    <w:p w14:paraId="3DFE722D" w14:textId="77777777" w:rsidR="0092588B" w:rsidRPr="0092588B" w:rsidRDefault="0092588B" w:rsidP="0092588B">
      <w:pPr>
        <w:pStyle w:val="11"/>
        <w:ind w:firstLine="0"/>
        <w:jc w:val="both"/>
        <w:rPr>
          <w:sz w:val="24"/>
          <w:szCs w:val="24"/>
        </w:rPr>
      </w:pPr>
      <w:r w:rsidRPr="0092588B">
        <w:rPr>
          <w:rStyle w:val="ac"/>
          <w:rFonts w:eastAsiaTheme="majorEastAsia"/>
          <w:sz w:val="24"/>
          <w:szCs w:val="24"/>
        </w:rPr>
        <w:t>дисфункции левого желудочка рекомендуется проведение ЭхоКГ для выявления ГЛЖ [27, 100].</w:t>
      </w:r>
    </w:p>
    <w:p w14:paraId="656F05EE" w14:textId="7863343E" w:rsidR="0092588B" w:rsidRPr="0092588B" w:rsidRDefault="0092588B" w:rsidP="0092588B">
      <w:pPr>
        <w:pStyle w:val="11"/>
        <w:ind w:firstLine="600"/>
        <w:jc w:val="both"/>
        <w:rPr>
          <w:sz w:val="24"/>
          <w:szCs w:val="24"/>
        </w:rPr>
      </w:pPr>
      <w:r w:rsidRPr="0092588B">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D26455">
        <w:rPr>
          <w:rStyle w:val="ac"/>
          <w:rFonts w:eastAsiaTheme="majorEastAsia"/>
          <w:b/>
          <w:bCs/>
          <w:sz w:val="24"/>
          <w:szCs w:val="24"/>
        </w:rPr>
        <w:t xml:space="preserve"> </w:t>
      </w:r>
      <w:r w:rsidRPr="0092588B">
        <w:rPr>
          <w:rStyle w:val="ac"/>
          <w:rFonts w:eastAsiaTheme="majorEastAsia"/>
          <w:b/>
          <w:bCs/>
          <w:sz w:val="24"/>
          <w:szCs w:val="24"/>
          <w:lang w:val="en-US"/>
        </w:rPr>
        <w:t>B</w:t>
      </w:r>
      <w:r w:rsidRPr="0092588B">
        <w:rPr>
          <w:rStyle w:val="ac"/>
          <w:rFonts w:eastAsiaTheme="majorEastAsia"/>
          <w:b/>
          <w:bCs/>
          <w:sz w:val="24"/>
          <w:szCs w:val="24"/>
        </w:rPr>
        <w:t>,</w:t>
      </w:r>
      <w:r w:rsidR="00D26455">
        <w:rPr>
          <w:rStyle w:val="ac"/>
          <w:rFonts w:eastAsiaTheme="majorEastAsia"/>
          <w:b/>
          <w:bCs/>
          <w:sz w:val="24"/>
          <w:szCs w:val="24"/>
        </w:rPr>
        <w:t xml:space="preserve"> </w:t>
      </w:r>
      <w:r w:rsidR="00D26455" w:rsidRPr="0092588B">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92588B">
        <w:rPr>
          <w:rStyle w:val="ac"/>
          <w:rFonts w:eastAsiaTheme="majorEastAsia"/>
          <w:b/>
          <w:bCs/>
          <w:sz w:val="24"/>
          <w:szCs w:val="24"/>
        </w:rPr>
        <w:t xml:space="preserve"> 2)</w:t>
      </w:r>
      <w:r w:rsidR="00D26455">
        <w:rPr>
          <w:rStyle w:val="ac"/>
          <w:rFonts w:eastAsiaTheme="majorEastAsia"/>
          <w:b/>
          <w:bCs/>
          <w:sz w:val="24"/>
          <w:szCs w:val="24"/>
        </w:rPr>
        <w:t xml:space="preserve">; </w:t>
      </w:r>
      <w:r w:rsidR="00D26455" w:rsidRPr="0092588B">
        <w:rPr>
          <w:rStyle w:val="ac"/>
          <w:rFonts w:eastAsiaTheme="majorEastAsia"/>
          <w:b/>
          <w:bCs/>
          <w:sz w:val="24"/>
          <w:szCs w:val="24"/>
        </w:rPr>
        <w:t>ЕОК/ЕОАГ IВ</w:t>
      </w:r>
      <w:r w:rsidR="00B538A2">
        <w:rPr>
          <w:rStyle w:val="ac"/>
          <w:rFonts w:eastAsiaTheme="majorEastAsia"/>
          <w:b/>
          <w:bCs/>
          <w:sz w:val="24"/>
          <w:szCs w:val="24"/>
        </w:rPr>
        <w:t>.</w:t>
      </w:r>
    </w:p>
    <w:p w14:paraId="6F4376A4" w14:textId="77777777" w:rsidR="0092588B" w:rsidRPr="0092588B" w:rsidRDefault="0092588B" w:rsidP="0092588B">
      <w:pPr>
        <w:pStyle w:val="11"/>
        <w:spacing w:after="40"/>
        <w:ind w:firstLine="600"/>
        <w:jc w:val="both"/>
        <w:rPr>
          <w:sz w:val="24"/>
          <w:szCs w:val="24"/>
        </w:rPr>
      </w:pPr>
      <w:r w:rsidRPr="0092588B">
        <w:rPr>
          <w:rStyle w:val="ac"/>
          <w:rFonts w:eastAsiaTheme="majorEastAsia"/>
          <w:b/>
          <w:bCs/>
          <w:sz w:val="24"/>
          <w:szCs w:val="24"/>
        </w:rPr>
        <w:t xml:space="preserve">Комментарии. </w:t>
      </w:r>
      <w:r w:rsidRPr="0092588B">
        <w:rPr>
          <w:rStyle w:val="ac"/>
          <w:rFonts w:eastAsiaTheme="majorEastAsia"/>
          <w:i/>
          <w:iCs/>
          <w:sz w:val="24"/>
          <w:szCs w:val="24"/>
        </w:rPr>
        <w:t xml:space="preserve">В таблице П9 (Приложение </w:t>
      </w:r>
      <w:r w:rsidR="00FB33EA">
        <w:rPr>
          <w:rStyle w:val="ac"/>
          <w:rFonts w:eastAsiaTheme="majorEastAsia"/>
          <w:i/>
          <w:iCs/>
          <w:sz w:val="24"/>
          <w:szCs w:val="24"/>
        </w:rPr>
        <w:t>А2</w:t>
      </w:r>
      <w:r w:rsidRPr="0092588B">
        <w:rPr>
          <w:rStyle w:val="ac"/>
          <w:rFonts w:eastAsiaTheme="majorEastAsia"/>
          <w:i/>
          <w:iCs/>
          <w:sz w:val="24"/>
          <w:szCs w:val="24"/>
        </w:rPr>
        <w:t>) приведены эхокардиографические критерии для диагностики изменений левых отделов сердца</w:t>
      </w:r>
      <w:r w:rsidRPr="0092588B">
        <w:rPr>
          <w:rStyle w:val="ac"/>
          <w:rFonts w:eastAsiaTheme="majorEastAsia"/>
          <w:sz w:val="24"/>
          <w:szCs w:val="24"/>
        </w:rPr>
        <w:t xml:space="preserve"> [103]</w:t>
      </w:r>
      <w:r w:rsidRPr="0092588B">
        <w:rPr>
          <w:rStyle w:val="ac"/>
          <w:rFonts w:eastAsiaTheme="majorEastAsia"/>
          <w:i/>
          <w:iCs/>
          <w:sz w:val="24"/>
          <w:szCs w:val="24"/>
        </w:rPr>
        <w:t>.</w:t>
      </w:r>
    </w:p>
    <w:p w14:paraId="0A2B6319" w14:textId="77777777" w:rsidR="0092588B" w:rsidRPr="00201FB1" w:rsidRDefault="0092588B">
      <w:pPr>
        <w:pStyle w:val="11"/>
        <w:numPr>
          <w:ilvl w:val="0"/>
          <w:numId w:val="14"/>
        </w:numPr>
        <w:tabs>
          <w:tab w:val="left" w:pos="1373"/>
        </w:tabs>
        <w:ind w:firstLine="600"/>
        <w:jc w:val="both"/>
        <w:rPr>
          <w:sz w:val="24"/>
          <w:szCs w:val="24"/>
        </w:rPr>
      </w:pPr>
      <w:r w:rsidRPr="0092588B">
        <w:rPr>
          <w:rStyle w:val="ac"/>
          <w:rFonts w:eastAsiaTheme="majorEastAsia"/>
          <w:sz w:val="24"/>
          <w:szCs w:val="24"/>
        </w:rPr>
        <w:t>Пациентам с АГ при наличии на ЭхоКГ признаков расширения аорты от 40 мм и</w:t>
      </w:r>
      <w:r w:rsidR="00201FB1">
        <w:rPr>
          <w:sz w:val="24"/>
          <w:szCs w:val="24"/>
        </w:rPr>
        <w:t xml:space="preserve"> </w:t>
      </w:r>
      <w:r w:rsidRPr="00201FB1">
        <w:rPr>
          <w:rStyle w:val="ac"/>
          <w:rFonts w:eastAsiaTheme="majorEastAsia"/>
          <w:sz w:val="24"/>
          <w:szCs w:val="24"/>
        </w:rPr>
        <w:t>выше для исключения аневризмы аорты и ее диссекции рекомендуется проведение мультиспиральной компьютерно-томографической ангиографии грудной аорты с ЭКГ синхронизацией с контрастом [27, 104, 105, 106, 107].</w:t>
      </w:r>
    </w:p>
    <w:p w14:paraId="3D8570C0" w14:textId="10D8182D" w:rsidR="0092588B" w:rsidRDefault="0092588B" w:rsidP="0092588B">
      <w:pPr>
        <w:pStyle w:val="11"/>
        <w:spacing w:after="40"/>
        <w:ind w:firstLine="600"/>
        <w:jc w:val="both"/>
        <w:rPr>
          <w:rStyle w:val="ac"/>
          <w:rFonts w:eastAsiaTheme="majorEastAsia"/>
          <w:b/>
          <w:bCs/>
          <w:sz w:val="24"/>
          <w:szCs w:val="24"/>
        </w:rPr>
      </w:pPr>
      <w:r w:rsidRPr="0092588B">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D26455">
        <w:rPr>
          <w:rStyle w:val="ac"/>
          <w:rFonts w:eastAsiaTheme="majorEastAsia"/>
          <w:b/>
          <w:bCs/>
          <w:sz w:val="24"/>
          <w:szCs w:val="24"/>
        </w:rPr>
        <w:t xml:space="preserve"> </w:t>
      </w:r>
      <w:r w:rsidRPr="0092588B">
        <w:rPr>
          <w:rStyle w:val="ac"/>
          <w:rFonts w:eastAsiaTheme="majorEastAsia"/>
          <w:b/>
          <w:bCs/>
          <w:sz w:val="24"/>
          <w:szCs w:val="24"/>
        </w:rPr>
        <w:t xml:space="preserve">С, </w:t>
      </w:r>
      <w:r w:rsidR="00D26455" w:rsidRPr="0092588B">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92588B">
        <w:rPr>
          <w:rStyle w:val="ac"/>
          <w:rFonts w:eastAsiaTheme="majorEastAsia"/>
          <w:b/>
          <w:bCs/>
          <w:sz w:val="24"/>
          <w:szCs w:val="24"/>
        </w:rPr>
        <w:t xml:space="preserve"> 5</w:t>
      </w:r>
      <w:r w:rsidR="00DF0FCD" w:rsidRPr="0092588B">
        <w:rPr>
          <w:rStyle w:val="ac"/>
          <w:rFonts w:eastAsiaTheme="majorEastAsia"/>
          <w:b/>
          <w:bCs/>
          <w:sz w:val="24"/>
          <w:szCs w:val="24"/>
        </w:rPr>
        <w:t>)</w:t>
      </w:r>
      <w:r w:rsidR="00DF0FCD" w:rsidRPr="00D26455">
        <w:rPr>
          <w:rStyle w:val="ac"/>
          <w:rFonts w:eastAsiaTheme="majorEastAsia"/>
          <w:b/>
          <w:bCs/>
          <w:sz w:val="24"/>
          <w:szCs w:val="24"/>
        </w:rPr>
        <w:t>;</w:t>
      </w:r>
      <w:r w:rsidR="00D26455">
        <w:rPr>
          <w:rStyle w:val="ac"/>
          <w:rFonts w:eastAsiaTheme="majorEastAsia"/>
          <w:b/>
          <w:bCs/>
          <w:sz w:val="24"/>
          <w:szCs w:val="24"/>
        </w:rPr>
        <w:t xml:space="preserve"> </w:t>
      </w:r>
      <w:r w:rsidR="00D26455" w:rsidRPr="0092588B">
        <w:rPr>
          <w:rStyle w:val="ac"/>
          <w:rFonts w:eastAsiaTheme="majorEastAsia"/>
          <w:b/>
          <w:bCs/>
          <w:sz w:val="24"/>
          <w:szCs w:val="24"/>
        </w:rPr>
        <w:t>ЕОК/ЕОАГ нет</w:t>
      </w:r>
      <w:r w:rsidR="00B538A2">
        <w:rPr>
          <w:rStyle w:val="ac"/>
          <w:rFonts w:eastAsiaTheme="majorEastAsia"/>
          <w:b/>
          <w:bCs/>
          <w:sz w:val="24"/>
          <w:szCs w:val="24"/>
        </w:rPr>
        <w:t>.</w:t>
      </w:r>
    </w:p>
    <w:p w14:paraId="6A96D543" w14:textId="75DA05D2" w:rsidR="00D26455" w:rsidRPr="00D26455" w:rsidRDefault="00DF0FCD" w:rsidP="0092588B">
      <w:pPr>
        <w:pStyle w:val="11"/>
        <w:spacing w:after="40"/>
        <w:ind w:firstLine="600"/>
        <w:jc w:val="both"/>
        <w:rPr>
          <w:i/>
          <w:iCs/>
          <w:sz w:val="28"/>
          <w:szCs w:val="28"/>
        </w:rPr>
      </w:pPr>
      <w:r w:rsidRPr="00D26455">
        <w:rPr>
          <w:rStyle w:val="aff9"/>
          <w:rFonts w:eastAsiaTheme="majorEastAsia"/>
          <w:sz w:val="24"/>
          <w:szCs w:val="24"/>
        </w:rPr>
        <w:t>Комментарии:</w:t>
      </w:r>
      <w:r>
        <w:rPr>
          <w:i/>
          <w:iCs/>
          <w:sz w:val="24"/>
          <w:szCs w:val="24"/>
        </w:rPr>
        <w:t xml:space="preserve"> У</w:t>
      </w:r>
      <w:r w:rsidR="00D26455" w:rsidRPr="00D26455">
        <w:rPr>
          <w:i/>
          <w:iCs/>
          <w:sz w:val="24"/>
          <w:szCs w:val="24"/>
        </w:rPr>
        <w:t xml:space="preserve"> пациентов с артериальной гипертензией расширение аорты ≥40 мм по данным эхокардиографии требует уточняющей визуализации для исключения аневризмы или диссекции. Мультиспиральная КТ-ангиография грудной аорты с ЭКГ-синхронизацией и контрастированием обеспечивает высокое пространственное и временное разрешение, позволяя детально оценить анатомию аорты, стенку сосуда и наличие разрывов интимы.</w:t>
      </w:r>
    </w:p>
    <w:p w14:paraId="43435835" w14:textId="4EEA8F5A" w:rsidR="00201FB1" w:rsidRPr="00201FB1" w:rsidRDefault="0092588B">
      <w:pPr>
        <w:pStyle w:val="11"/>
        <w:numPr>
          <w:ilvl w:val="0"/>
          <w:numId w:val="14"/>
        </w:numPr>
        <w:tabs>
          <w:tab w:val="left" w:pos="1373"/>
        </w:tabs>
        <w:ind w:firstLine="600"/>
        <w:jc w:val="both"/>
        <w:rPr>
          <w:sz w:val="24"/>
          <w:szCs w:val="24"/>
        </w:rPr>
      </w:pPr>
      <w:r w:rsidRPr="00201FB1">
        <w:rPr>
          <w:rStyle w:val="ac"/>
          <w:rFonts w:eastAsiaTheme="majorEastAsia"/>
          <w:sz w:val="24"/>
          <w:szCs w:val="24"/>
        </w:rPr>
        <w:t>Пациентам с АГ в сочетании с ЦВБ или признаками атеросклеротического</w:t>
      </w:r>
      <w:r w:rsidR="00201FB1">
        <w:rPr>
          <w:sz w:val="24"/>
          <w:szCs w:val="24"/>
        </w:rPr>
        <w:t xml:space="preserve"> </w:t>
      </w:r>
      <w:r w:rsidRPr="00201FB1">
        <w:rPr>
          <w:rStyle w:val="ac"/>
          <w:rFonts w:eastAsiaTheme="majorEastAsia"/>
          <w:sz w:val="24"/>
          <w:szCs w:val="24"/>
        </w:rPr>
        <w:t xml:space="preserve">поражения сосудов других локализаций, при указании в анамнезе на преходящую слабость в </w:t>
      </w:r>
      <w:r w:rsidR="00201FB1" w:rsidRPr="00201FB1">
        <w:rPr>
          <w:rStyle w:val="ac"/>
          <w:rFonts w:eastAsiaTheme="majorEastAsia"/>
          <w:sz w:val="24"/>
          <w:szCs w:val="24"/>
        </w:rPr>
        <w:t xml:space="preserve"> конечностях с одной стороны или онемение половины тела, а также мужчинам старше 40 лет, женщинам старше 50 лет и пациентам с высоким общим сердечно-сосудистым риском  рекомендуется дуплексное сканирование экстракраниальных отделов брахиоцефальных артерий для выявления атеросклеротических бляшек/стенозов внутренних сонных артерий [27, 108].</w:t>
      </w:r>
    </w:p>
    <w:p w14:paraId="099BB6A9" w14:textId="4D242E52" w:rsidR="00201FB1" w:rsidRPr="0092588B" w:rsidRDefault="00201FB1" w:rsidP="00201FB1">
      <w:pPr>
        <w:pStyle w:val="11"/>
        <w:ind w:firstLine="600"/>
        <w:jc w:val="both"/>
        <w:rPr>
          <w:sz w:val="24"/>
          <w:szCs w:val="24"/>
        </w:rPr>
      </w:pPr>
      <w:r w:rsidRPr="0092588B">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DF0FCD">
        <w:rPr>
          <w:rStyle w:val="ac"/>
          <w:rFonts w:eastAsiaTheme="majorEastAsia"/>
          <w:b/>
          <w:bCs/>
          <w:sz w:val="24"/>
          <w:szCs w:val="24"/>
        </w:rPr>
        <w:t xml:space="preserve"> </w:t>
      </w:r>
      <w:r w:rsidRPr="0092588B">
        <w:rPr>
          <w:rStyle w:val="ac"/>
          <w:rFonts w:eastAsiaTheme="majorEastAsia"/>
          <w:b/>
          <w:bCs/>
          <w:sz w:val="24"/>
          <w:szCs w:val="24"/>
        </w:rPr>
        <w:t xml:space="preserve">В, </w:t>
      </w:r>
      <w:r w:rsidR="00DF0FCD" w:rsidRPr="0092588B">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92588B">
        <w:rPr>
          <w:rStyle w:val="ac"/>
          <w:rFonts w:eastAsiaTheme="majorEastAsia"/>
          <w:b/>
          <w:bCs/>
          <w:sz w:val="24"/>
          <w:szCs w:val="24"/>
        </w:rPr>
        <w:t xml:space="preserve"> 1)</w:t>
      </w:r>
      <w:r w:rsidR="00DF0FCD">
        <w:rPr>
          <w:rStyle w:val="ac"/>
          <w:rFonts w:eastAsiaTheme="majorEastAsia"/>
          <w:b/>
          <w:bCs/>
          <w:sz w:val="24"/>
          <w:szCs w:val="24"/>
        </w:rPr>
        <w:t>;</w:t>
      </w:r>
      <w:r w:rsidR="00DF0FCD" w:rsidRPr="00DF0FCD">
        <w:rPr>
          <w:rStyle w:val="ac"/>
          <w:rFonts w:eastAsiaTheme="majorEastAsia"/>
          <w:b/>
          <w:bCs/>
          <w:sz w:val="24"/>
          <w:szCs w:val="24"/>
        </w:rPr>
        <w:t xml:space="preserve"> </w:t>
      </w:r>
      <w:r w:rsidR="00DF0FCD" w:rsidRPr="0092588B">
        <w:rPr>
          <w:rStyle w:val="ac"/>
          <w:rFonts w:eastAsiaTheme="majorEastAsia"/>
          <w:b/>
          <w:bCs/>
          <w:sz w:val="24"/>
          <w:szCs w:val="24"/>
        </w:rPr>
        <w:t>ЕОК/ЕОАГ IВ</w:t>
      </w:r>
      <w:r w:rsidR="00B538A2">
        <w:rPr>
          <w:rStyle w:val="ac"/>
          <w:rFonts w:eastAsiaTheme="majorEastAsia"/>
          <w:b/>
          <w:bCs/>
          <w:sz w:val="24"/>
          <w:szCs w:val="24"/>
        </w:rPr>
        <w:t>.</w:t>
      </w:r>
    </w:p>
    <w:p w14:paraId="35BB16DC" w14:textId="77777777" w:rsidR="00201FB1" w:rsidRPr="0092588B" w:rsidRDefault="00201FB1" w:rsidP="00201FB1">
      <w:pPr>
        <w:pStyle w:val="11"/>
        <w:spacing w:after="40"/>
        <w:ind w:firstLine="600"/>
        <w:jc w:val="both"/>
        <w:rPr>
          <w:sz w:val="24"/>
          <w:szCs w:val="24"/>
        </w:rPr>
      </w:pPr>
      <w:r w:rsidRPr="0092588B">
        <w:rPr>
          <w:rStyle w:val="ac"/>
          <w:rFonts w:eastAsiaTheme="majorEastAsia"/>
          <w:b/>
          <w:bCs/>
          <w:sz w:val="24"/>
          <w:szCs w:val="24"/>
        </w:rPr>
        <w:t xml:space="preserve">Комментарии. </w:t>
      </w:r>
      <w:r w:rsidRPr="0092588B">
        <w:rPr>
          <w:rStyle w:val="ac"/>
          <w:rFonts w:eastAsiaTheme="majorEastAsia"/>
          <w:i/>
          <w:iCs/>
          <w:sz w:val="24"/>
          <w:szCs w:val="24"/>
        </w:rPr>
        <w:t xml:space="preserve">Атеросклеротическая бляшка определяется как локальное утолщение стенки на &gt;50% по сравнению с толщиной стенки сосуда в ближайших участках, или как локальный участок сосудистой стенки с КИМ &gt;1,5 мм, выступающий в просвет. Хотя доказательств меньше, чем у коронарного кальция, оценка наличия бляшек сонных артерий с помощью УЗИ, вероятно, также расклассифицирует ССР и может рассматриваться как модификатор риска у пациентов с промежуточным риском, когда </w:t>
      </w:r>
      <w:r w:rsidRPr="0092588B">
        <w:rPr>
          <w:rStyle w:val="ac"/>
          <w:rFonts w:eastAsiaTheme="majorEastAsia"/>
          <w:i/>
          <w:iCs/>
          <w:sz w:val="24"/>
          <w:szCs w:val="24"/>
        </w:rPr>
        <w:lastRenderedPageBreak/>
        <w:t>оценка коронарного кальция невозможна</w:t>
      </w:r>
      <w:r w:rsidRPr="0092588B">
        <w:rPr>
          <w:rStyle w:val="ac"/>
          <w:rFonts w:eastAsiaTheme="majorEastAsia"/>
          <w:sz w:val="24"/>
          <w:szCs w:val="24"/>
        </w:rPr>
        <w:t xml:space="preserve"> [27]</w:t>
      </w:r>
      <w:r w:rsidRPr="0092588B">
        <w:rPr>
          <w:rStyle w:val="ac"/>
          <w:rFonts w:eastAsiaTheme="majorEastAsia"/>
          <w:i/>
          <w:iCs/>
          <w:sz w:val="24"/>
          <w:szCs w:val="24"/>
        </w:rPr>
        <w:t>.</w:t>
      </w:r>
    </w:p>
    <w:p w14:paraId="6568C8DE" w14:textId="77777777" w:rsidR="00201FB1" w:rsidRPr="0092588B" w:rsidRDefault="00201FB1">
      <w:pPr>
        <w:pStyle w:val="11"/>
        <w:numPr>
          <w:ilvl w:val="0"/>
          <w:numId w:val="14"/>
        </w:numPr>
        <w:tabs>
          <w:tab w:val="left" w:pos="1358"/>
        </w:tabs>
        <w:ind w:firstLine="600"/>
        <w:jc w:val="both"/>
        <w:rPr>
          <w:sz w:val="24"/>
          <w:szCs w:val="24"/>
        </w:rPr>
      </w:pPr>
      <w:r w:rsidRPr="0092588B">
        <w:rPr>
          <w:rStyle w:val="ac"/>
          <w:rFonts w:eastAsiaTheme="majorEastAsia"/>
          <w:sz w:val="24"/>
          <w:szCs w:val="24"/>
        </w:rPr>
        <w:t>Рекомендуется определение ЛПИ в целях уточнения категории риска пациентам с симптомами значимого атеросклероза артерий нижних конечностей или пациентам умеренного риска, у которых положительные результаты данного исследования приведут к изменению категории риска [109, 110].</w:t>
      </w:r>
    </w:p>
    <w:p w14:paraId="7FEEC968" w14:textId="0011CD92" w:rsidR="00201FB1" w:rsidRPr="0092588B" w:rsidRDefault="00201FB1" w:rsidP="00201FB1">
      <w:pPr>
        <w:pStyle w:val="11"/>
        <w:ind w:firstLine="600"/>
        <w:jc w:val="both"/>
        <w:rPr>
          <w:sz w:val="24"/>
          <w:szCs w:val="24"/>
        </w:rPr>
      </w:pPr>
      <w:r w:rsidRPr="0092588B">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5235BD">
        <w:rPr>
          <w:rStyle w:val="ac"/>
          <w:rFonts w:eastAsiaTheme="majorEastAsia"/>
          <w:b/>
          <w:bCs/>
          <w:sz w:val="24"/>
          <w:szCs w:val="24"/>
        </w:rPr>
        <w:t xml:space="preserve"> </w:t>
      </w:r>
      <w:r w:rsidRPr="0092588B">
        <w:rPr>
          <w:rStyle w:val="ac"/>
          <w:rFonts w:eastAsiaTheme="majorEastAsia"/>
          <w:b/>
          <w:bCs/>
          <w:sz w:val="24"/>
          <w:szCs w:val="24"/>
          <w:lang w:val="en-US"/>
        </w:rPr>
        <w:t>B</w:t>
      </w:r>
      <w:r w:rsidRPr="0092588B">
        <w:rPr>
          <w:rStyle w:val="ac"/>
          <w:rFonts w:eastAsiaTheme="majorEastAsia"/>
          <w:b/>
          <w:bCs/>
          <w:sz w:val="24"/>
          <w:szCs w:val="24"/>
        </w:rPr>
        <w:t xml:space="preserve">, </w:t>
      </w:r>
      <w:r w:rsidR="005235BD" w:rsidRPr="0092588B">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92588B">
        <w:rPr>
          <w:rStyle w:val="ac"/>
          <w:rFonts w:eastAsiaTheme="majorEastAsia"/>
          <w:b/>
          <w:bCs/>
          <w:sz w:val="24"/>
          <w:szCs w:val="24"/>
        </w:rPr>
        <w:t xml:space="preserve"> 2</w:t>
      </w:r>
      <w:r w:rsidR="005235BD" w:rsidRPr="0092588B">
        <w:rPr>
          <w:rStyle w:val="ac"/>
          <w:rFonts w:eastAsiaTheme="majorEastAsia"/>
          <w:b/>
          <w:bCs/>
          <w:sz w:val="24"/>
          <w:szCs w:val="24"/>
        </w:rPr>
        <w:t>)</w:t>
      </w:r>
      <w:r w:rsidR="005235BD" w:rsidRPr="005235BD">
        <w:rPr>
          <w:rStyle w:val="ac"/>
          <w:rFonts w:eastAsiaTheme="majorEastAsia"/>
          <w:b/>
          <w:bCs/>
          <w:sz w:val="24"/>
          <w:szCs w:val="24"/>
        </w:rPr>
        <w:t>;</w:t>
      </w:r>
      <w:r w:rsidR="005235BD">
        <w:rPr>
          <w:rStyle w:val="ac"/>
          <w:rFonts w:eastAsiaTheme="majorEastAsia"/>
          <w:b/>
          <w:bCs/>
          <w:sz w:val="24"/>
          <w:szCs w:val="24"/>
        </w:rPr>
        <w:t xml:space="preserve"> </w:t>
      </w:r>
      <w:r w:rsidR="005235BD" w:rsidRPr="0092588B">
        <w:rPr>
          <w:rStyle w:val="ac"/>
          <w:rFonts w:eastAsiaTheme="majorEastAsia"/>
          <w:b/>
          <w:bCs/>
          <w:sz w:val="24"/>
          <w:szCs w:val="24"/>
        </w:rPr>
        <w:t>ЕОК/ЕОАГ IIbВ</w:t>
      </w:r>
      <w:r w:rsidR="00B538A2">
        <w:rPr>
          <w:rStyle w:val="ac"/>
          <w:rFonts w:eastAsiaTheme="majorEastAsia"/>
          <w:b/>
          <w:bCs/>
          <w:sz w:val="24"/>
          <w:szCs w:val="24"/>
        </w:rPr>
        <w:t>.</w:t>
      </w:r>
    </w:p>
    <w:p w14:paraId="06B1960B" w14:textId="50FA7831" w:rsidR="00201FB1" w:rsidRPr="0092588B" w:rsidRDefault="00201FB1" w:rsidP="00201FB1">
      <w:pPr>
        <w:pStyle w:val="11"/>
        <w:spacing w:after="40"/>
        <w:ind w:firstLine="600"/>
        <w:jc w:val="both"/>
        <w:rPr>
          <w:sz w:val="24"/>
          <w:szCs w:val="24"/>
        </w:rPr>
      </w:pPr>
      <w:r w:rsidRPr="0092588B">
        <w:rPr>
          <w:rStyle w:val="ac"/>
          <w:rFonts w:eastAsiaTheme="majorEastAsia"/>
          <w:b/>
          <w:bCs/>
          <w:sz w:val="24"/>
          <w:szCs w:val="24"/>
        </w:rPr>
        <w:t xml:space="preserve">Комментарии. </w:t>
      </w:r>
      <w:r w:rsidRPr="0092588B">
        <w:rPr>
          <w:rStyle w:val="ac"/>
          <w:rFonts w:eastAsiaTheme="majorEastAsia"/>
          <w:i/>
          <w:iCs/>
          <w:sz w:val="24"/>
          <w:szCs w:val="24"/>
        </w:rPr>
        <w:t xml:space="preserve">При постановке на диспансерный </w:t>
      </w:r>
      <w:r w:rsidR="00B829B5" w:rsidRPr="0092588B">
        <w:rPr>
          <w:rStyle w:val="ac"/>
          <w:rFonts w:eastAsiaTheme="majorEastAsia"/>
          <w:i/>
          <w:iCs/>
          <w:sz w:val="24"/>
          <w:szCs w:val="24"/>
        </w:rPr>
        <w:t>учёт</w:t>
      </w:r>
      <w:r w:rsidRPr="0092588B">
        <w:rPr>
          <w:rStyle w:val="ac"/>
          <w:rFonts w:eastAsiaTheme="majorEastAsia"/>
          <w:i/>
          <w:iCs/>
          <w:sz w:val="24"/>
          <w:szCs w:val="24"/>
        </w:rPr>
        <w:t xml:space="preserve"> при наличии технической возможности рекомендуется измерение скорости пульсовой волны на каротидно-феморальном участке артериального русла, в последующем по показаниям, но не реже 1 раза в 3 года при отсутствии достижения целевых значений АД</w:t>
      </w:r>
      <w:r w:rsidR="00B538A2">
        <w:rPr>
          <w:rStyle w:val="ac"/>
          <w:rFonts w:eastAsiaTheme="majorEastAsia"/>
          <w:i/>
          <w:iCs/>
          <w:sz w:val="24"/>
          <w:szCs w:val="24"/>
        </w:rPr>
        <w:t>.</w:t>
      </w:r>
    </w:p>
    <w:p w14:paraId="65D5CFD4" w14:textId="77777777" w:rsidR="00201FB1" w:rsidRPr="0092588B" w:rsidRDefault="00201FB1">
      <w:pPr>
        <w:pStyle w:val="11"/>
        <w:numPr>
          <w:ilvl w:val="0"/>
          <w:numId w:val="14"/>
        </w:numPr>
        <w:tabs>
          <w:tab w:val="left" w:pos="1358"/>
        </w:tabs>
        <w:ind w:firstLine="600"/>
        <w:jc w:val="both"/>
        <w:rPr>
          <w:sz w:val="24"/>
          <w:szCs w:val="24"/>
        </w:rPr>
      </w:pPr>
      <w:r w:rsidRPr="0092588B">
        <w:rPr>
          <w:rStyle w:val="ac"/>
          <w:rFonts w:eastAsiaTheme="majorEastAsia"/>
          <w:sz w:val="24"/>
          <w:szCs w:val="24"/>
        </w:rPr>
        <w:t xml:space="preserve">Всем пациентам с нарушением функции почек, альбуминурией и при подозрении на вторичную АГ рекомендуется проведение УЗИ (ультразвукового исследования) почек и дуплексного сканирования артерий почек с целью оценки размеров, структуры, а также наличия </w:t>
      </w:r>
      <w:r w:rsidR="00B829B5" w:rsidRPr="0092588B">
        <w:rPr>
          <w:rStyle w:val="ac"/>
          <w:rFonts w:eastAsiaTheme="majorEastAsia"/>
          <w:sz w:val="24"/>
          <w:szCs w:val="24"/>
        </w:rPr>
        <w:t>врождённых</w:t>
      </w:r>
      <w:r w:rsidRPr="0092588B">
        <w:rPr>
          <w:rStyle w:val="ac"/>
          <w:rFonts w:eastAsiaTheme="majorEastAsia"/>
          <w:sz w:val="24"/>
          <w:szCs w:val="24"/>
        </w:rPr>
        <w:t xml:space="preserve"> аномалий почек или стеноза почечных артерий [80, 81, 84].</w:t>
      </w:r>
    </w:p>
    <w:p w14:paraId="5692DBD2" w14:textId="2140E0BD" w:rsidR="00201FB1" w:rsidRPr="00B538A2" w:rsidRDefault="00201FB1" w:rsidP="00201FB1">
      <w:pPr>
        <w:pStyle w:val="11"/>
        <w:spacing w:after="40"/>
        <w:ind w:firstLine="600"/>
        <w:jc w:val="both"/>
        <w:rPr>
          <w:rStyle w:val="ac"/>
          <w:rFonts w:eastAsiaTheme="majorEastAsia"/>
          <w:b/>
          <w:bCs/>
          <w:sz w:val="24"/>
          <w:szCs w:val="24"/>
        </w:rPr>
      </w:pPr>
      <w:r w:rsidRPr="0092588B">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5235BD">
        <w:rPr>
          <w:rStyle w:val="ac"/>
          <w:rFonts w:eastAsiaTheme="majorEastAsia"/>
          <w:b/>
          <w:bCs/>
          <w:sz w:val="24"/>
          <w:szCs w:val="24"/>
        </w:rPr>
        <w:t xml:space="preserve"> </w:t>
      </w:r>
      <w:r w:rsidRPr="0092588B">
        <w:rPr>
          <w:rStyle w:val="ac"/>
          <w:rFonts w:eastAsiaTheme="majorEastAsia"/>
          <w:b/>
          <w:bCs/>
          <w:sz w:val="24"/>
          <w:szCs w:val="24"/>
        </w:rPr>
        <w:t>В,</w:t>
      </w:r>
      <w:r w:rsidR="005235BD" w:rsidRPr="005235BD">
        <w:rPr>
          <w:rStyle w:val="ac"/>
          <w:rFonts w:eastAsiaTheme="majorEastAsia"/>
          <w:b/>
          <w:bCs/>
          <w:sz w:val="24"/>
          <w:szCs w:val="24"/>
        </w:rPr>
        <w:t xml:space="preserve"> </w:t>
      </w:r>
      <w:r w:rsidR="005235BD" w:rsidRPr="0092588B">
        <w:rPr>
          <w:rStyle w:val="ac"/>
          <w:rFonts w:eastAsiaTheme="majorEastAsia"/>
          <w:b/>
          <w:bCs/>
          <w:sz w:val="24"/>
          <w:szCs w:val="24"/>
        </w:rPr>
        <w:t>(Уровень</w:t>
      </w:r>
      <w:r w:rsidR="003D51B3">
        <w:rPr>
          <w:rStyle w:val="ac"/>
          <w:rFonts w:eastAsiaTheme="majorEastAsia"/>
          <w:b/>
          <w:bCs/>
          <w:sz w:val="24"/>
          <w:szCs w:val="24"/>
        </w:rPr>
        <w:t xml:space="preserve"> достоверности доказательств</w:t>
      </w:r>
      <w:r w:rsidRPr="0092588B">
        <w:rPr>
          <w:rStyle w:val="ac"/>
          <w:rFonts w:eastAsiaTheme="majorEastAsia"/>
          <w:b/>
          <w:bCs/>
          <w:sz w:val="24"/>
          <w:szCs w:val="24"/>
        </w:rPr>
        <w:t xml:space="preserve"> 1</w:t>
      </w:r>
      <w:r w:rsidR="005235BD" w:rsidRPr="0092588B">
        <w:rPr>
          <w:rStyle w:val="ac"/>
          <w:rFonts w:eastAsiaTheme="majorEastAsia"/>
          <w:b/>
          <w:bCs/>
          <w:sz w:val="24"/>
          <w:szCs w:val="24"/>
        </w:rPr>
        <w:t>)</w:t>
      </w:r>
      <w:r w:rsidR="005235BD">
        <w:rPr>
          <w:rStyle w:val="ac"/>
          <w:rFonts w:eastAsiaTheme="majorEastAsia"/>
          <w:b/>
          <w:bCs/>
          <w:sz w:val="24"/>
          <w:szCs w:val="24"/>
        </w:rPr>
        <w:t>;</w:t>
      </w:r>
      <w:r w:rsidR="005235BD" w:rsidRPr="005235BD">
        <w:rPr>
          <w:rStyle w:val="ac"/>
          <w:rFonts w:eastAsiaTheme="majorEastAsia"/>
          <w:b/>
          <w:bCs/>
          <w:sz w:val="24"/>
          <w:szCs w:val="24"/>
        </w:rPr>
        <w:t xml:space="preserve"> </w:t>
      </w:r>
      <w:r w:rsidR="005235BD" w:rsidRPr="0092588B">
        <w:rPr>
          <w:rStyle w:val="ac"/>
          <w:rFonts w:eastAsiaTheme="majorEastAsia"/>
          <w:b/>
          <w:bCs/>
          <w:sz w:val="24"/>
          <w:szCs w:val="24"/>
        </w:rPr>
        <w:t xml:space="preserve">ЕОК/ЕОАГ </w:t>
      </w:r>
      <w:r w:rsidR="005235BD" w:rsidRPr="0092588B">
        <w:rPr>
          <w:rStyle w:val="ac"/>
          <w:rFonts w:eastAsiaTheme="majorEastAsia"/>
          <w:b/>
          <w:bCs/>
          <w:sz w:val="24"/>
          <w:szCs w:val="24"/>
          <w:lang w:val="en-US"/>
        </w:rPr>
        <w:t>IIaC</w:t>
      </w:r>
      <w:r w:rsidR="00B538A2">
        <w:rPr>
          <w:rStyle w:val="ac"/>
          <w:rFonts w:eastAsiaTheme="majorEastAsia"/>
          <w:b/>
          <w:bCs/>
          <w:sz w:val="24"/>
          <w:szCs w:val="24"/>
        </w:rPr>
        <w:t>.</w:t>
      </w:r>
    </w:p>
    <w:p w14:paraId="4A03145D" w14:textId="6087D910" w:rsidR="006E0F83" w:rsidRPr="006E0F83" w:rsidRDefault="006E0F83" w:rsidP="00201FB1">
      <w:pPr>
        <w:pStyle w:val="11"/>
        <w:spacing w:after="40"/>
        <w:ind w:firstLine="600"/>
        <w:jc w:val="both"/>
        <w:rPr>
          <w:i/>
          <w:iCs/>
          <w:sz w:val="24"/>
          <w:szCs w:val="24"/>
        </w:rPr>
      </w:pPr>
      <w:r w:rsidRPr="0092588B">
        <w:rPr>
          <w:rStyle w:val="ac"/>
          <w:rFonts w:eastAsiaTheme="majorEastAsia"/>
          <w:b/>
          <w:bCs/>
          <w:sz w:val="24"/>
          <w:szCs w:val="24"/>
        </w:rPr>
        <w:t>Комментарии.</w:t>
      </w:r>
      <w:r w:rsidRPr="006E0F83">
        <w:rPr>
          <w:rFonts w:eastAsiaTheme="minorHAnsi" w:cstheme="minorBidi"/>
          <w:sz w:val="28"/>
        </w:rPr>
        <w:t xml:space="preserve"> </w:t>
      </w:r>
      <w:r w:rsidRPr="006E0F83">
        <w:rPr>
          <w:rFonts w:eastAsiaTheme="majorEastAsia"/>
          <w:i/>
          <w:iCs/>
          <w:sz w:val="24"/>
          <w:szCs w:val="24"/>
        </w:rPr>
        <w:t>УЗИ почек и дуплексное сканирование почечных артерий позволяют неинвазивно выявить структурные изменения, врождённые аномалии и стенозы почечных артерий, что имеет важное значение для уточнения причины артериальной гипертензии и выбора тактики ведения пациента.</w:t>
      </w:r>
    </w:p>
    <w:p w14:paraId="5B07DF07" w14:textId="77777777" w:rsidR="00201FB1" w:rsidRPr="0092588B" w:rsidRDefault="00201FB1">
      <w:pPr>
        <w:pStyle w:val="11"/>
        <w:numPr>
          <w:ilvl w:val="0"/>
          <w:numId w:val="14"/>
        </w:numPr>
        <w:tabs>
          <w:tab w:val="left" w:pos="1358"/>
        </w:tabs>
        <w:ind w:firstLine="600"/>
        <w:jc w:val="both"/>
        <w:rPr>
          <w:sz w:val="24"/>
          <w:szCs w:val="24"/>
        </w:rPr>
      </w:pPr>
      <w:r w:rsidRPr="0092588B">
        <w:rPr>
          <w:rStyle w:val="ac"/>
          <w:rFonts w:eastAsiaTheme="majorEastAsia"/>
          <w:sz w:val="24"/>
          <w:szCs w:val="24"/>
        </w:rPr>
        <w:t xml:space="preserve">Пациентам с АГ 2–3-й степеней, всем пациентам с сахарным диабетом и АГ рекомендуется </w:t>
      </w:r>
      <w:r w:rsidR="00B829B5" w:rsidRPr="0092588B">
        <w:rPr>
          <w:rStyle w:val="ac"/>
          <w:rFonts w:eastAsiaTheme="majorEastAsia"/>
          <w:sz w:val="24"/>
          <w:szCs w:val="24"/>
        </w:rPr>
        <w:t>приём</w:t>
      </w:r>
      <w:r w:rsidRPr="0092588B">
        <w:rPr>
          <w:rStyle w:val="ac"/>
          <w:rFonts w:eastAsiaTheme="majorEastAsia"/>
          <w:sz w:val="24"/>
          <w:szCs w:val="24"/>
        </w:rPr>
        <w:t xml:space="preserve"> (осмотр, консультация) врача-офтальмолога с целью проведения офтальмоскопии (геморрагии, экссудаты, </w:t>
      </w:r>
      <w:r w:rsidR="00B829B5" w:rsidRPr="0092588B">
        <w:rPr>
          <w:rStyle w:val="ac"/>
          <w:rFonts w:eastAsiaTheme="majorEastAsia"/>
          <w:sz w:val="24"/>
          <w:szCs w:val="24"/>
        </w:rPr>
        <w:t>отёк</w:t>
      </w:r>
      <w:r w:rsidRPr="0092588B">
        <w:rPr>
          <w:rStyle w:val="ac"/>
          <w:rFonts w:eastAsiaTheme="majorEastAsia"/>
          <w:sz w:val="24"/>
          <w:szCs w:val="24"/>
        </w:rPr>
        <w:t xml:space="preserve"> соска зрительного нерва) для выявления гипертонической ретинопатии [27, 111, 112].</w:t>
      </w:r>
    </w:p>
    <w:p w14:paraId="58040448" w14:textId="33E1DF38" w:rsidR="00201FB1" w:rsidRPr="0092588B" w:rsidRDefault="00201FB1" w:rsidP="00201FB1">
      <w:pPr>
        <w:pStyle w:val="11"/>
        <w:spacing w:after="40"/>
        <w:ind w:firstLine="600"/>
        <w:jc w:val="both"/>
        <w:rPr>
          <w:sz w:val="24"/>
          <w:szCs w:val="24"/>
        </w:rPr>
      </w:pPr>
      <w:r w:rsidRPr="0092588B">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5235BD">
        <w:rPr>
          <w:rStyle w:val="ac"/>
          <w:rFonts w:eastAsiaTheme="majorEastAsia"/>
          <w:b/>
          <w:bCs/>
          <w:sz w:val="24"/>
          <w:szCs w:val="24"/>
        </w:rPr>
        <w:t xml:space="preserve"> </w:t>
      </w:r>
      <w:r w:rsidRPr="0092588B">
        <w:rPr>
          <w:rStyle w:val="ac"/>
          <w:rFonts w:eastAsiaTheme="majorEastAsia"/>
          <w:b/>
          <w:bCs/>
          <w:sz w:val="24"/>
          <w:szCs w:val="24"/>
        </w:rPr>
        <w:t xml:space="preserve">С, </w:t>
      </w:r>
      <w:r w:rsidR="005235BD" w:rsidRPr="0092588B">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92588B">
        <w:rPr>
          <w:rStyle w:val="ac"/>
          <w:rFonts w:eastAsiaTheme="majorEastAsia"/>
          <w:b/>
          <w:bCs/>
          <w:sz w:val="24"/>
          <w:szCs w:val="24"/>
        </w:rPr>
        <w:t xml:space="preserve"> 4)</w:t>
      </w:r>
      <w:r w:rsidR="005235BD">
        <w:rPr>
          <w:rStyle w:val="ac"/>
          <w:rFonts w:eastAsiaTheme="majorEastAsia"/>
          <w:b/>
          <w:bCs/>
          <w:sz w:val="24"/>
          <w:szCs w:val="24"/>
        </w:rPr>
        <w:t>;</w:t>
      </w:r>
      <w:r w:rsidR="005235BD" w:rsidRPr="005235BD">
        <w:rPr>
          <w:rStyle w:val="ac"/>
          <w:rFonts w:eastAsiaTheme="majorEastAsia"/>
          <w:b/>
          <w:bCs/>
          <w:sz w:val="24"/>
          <w:szCs w:val="24"/>
        </w:rPr>
        <w:t xml:space="preserve"> </w:t>
      </w:r>
      <w:r w:rsidR="005235BD" w:rsidRPr="0092588B">
        <w:rPr>
          <w:rStyle w:val="ac"/>
          <w:rFonts w:eastAsiaTheme="majorEastAsia"/>
          <w:b/>
          <w:bCs/>
          <w:sz w:val="24"/>
          <w:szCs w:val="24"/>
        </w:rPr>
        <w:t>ЕОК/ЕОАГ IС</w:t>
      </w:r>
      <w:r w:rsidR="00B538A2">
        <w:rPr>
          <w:rStyle w:val="ac"/>
          <w:rFonts w:eastAsiaTheme="majorEastAsia"/>
          <w:b/>
          <w:bCs/>
          <w:sz w:val="24"/>
          <w:szCs w:val="24"/>
        </w:rPr>
        <w:t>.</w:t>
      </w:r>
    </w:p>
    <w:p w14:paraId="2D2517D9" w14:textId="77777777" w:rsidR="00201FB1" w:rsidRPr="0092588B" w:rsidRDefault="00201FB1" w:rsidP="00201FB1">
      <w:pPr>
        <w:pStyle w:val="11"/>
        <w:ind w:firstLine="600"/>
        <w:jc w:val="both"/>
        <w:rPr>
          <w:sz w:val="24"/>
          <w:szCs w:val="24"/>
        </w:rPr>
      </w:pPr>
      <w:r w:rsidRPr="0092588B">
        <w:rPr>
          <w:rStyle w:val="ac"/>
          <w:rFonts w:eastAsiaTheme="majorEastAsia"/>
          <w:b/>
          <w:bCs/>
          <w:sz w:val="24"/>
          <w:szCs w:val="24"/>
        </w:rPr>
        <w:t xml:space="preserve">Комментарии. </w:t>
      </w:r>
      <w:r w:rsidRPr="0092588B">
        <w:rPr>
          <w:rStyle w:val="ac"/>
          <w:rFonts w:eastAsiaTheme="majorEastAsia"/>
          <w:i/>
          <w:iCs/>
          <w:sz w:val="24"/>
          <w:szCs w:val="24"/>
        </w:rPr>
        <w:t>Гипертоническая ретинопатия, выявленная с помощью фундоскопии (осмотра глазного дна), имеет высокую прогностическую значимость при АГ</w:t>
      </w:r>
      <w:r w:rsidRPr="0092588B">
        <w:rPr>
          <w:rStyle w:val="ac"/>
          <w:rFonts w:eastAsiaTheme="majorEastAsia"/>
          <w:sz w:val="24"/>
          <w:szCs w:val="24"/>
        </w:rPr>
        <w:t xml:space="preserve"> [111, 112, 113]. </w:t>
      </w:r>
      <w:r w:rsidRPr="0092588B">
        <w:rPr>
          <w:rStyle w:val="ac"/>
          <w:rFonts w:eastAsiaTheme="majorEastAsia"/>
          <w:i/>
          <w:iCs/>
          <w:sz w:val="24"/>
          <w:szCs w:val="24"/>
        </w:rPr>
        <w:t xml:space="preserve">Обнаружение кровоизлияний в сетчатку, микроаневризм, твердых экссудатов, папиллоэдемы указывает на </w:t>
      </w:r>
      <w:r w:rsidR="00B829B5" w:rsidRPr="0092588B">
        <w:rPr>
          <w:rStyle w:val="ac"/>
          <w:rFonts w:eastAsiaTheme="majorEastAsia"/>
          <w:i/>
          <w:iCs/>
          <w:sz w:val="24"/>
          <w:szCs w:val="24"/>
        </w:rPr>
        <w:t>тяжёлую</w:t>
      </w:r>
      <w:r w:rsidRPr="0092588B">
        <w:rPr>
          <w:rStyle w:val="ac"/>
          <w:rFonts w:eastAsiaTheme="majorEastAsia"/>
          <w:i/>
          <w:iCs/>
          <w:sz w:val="24"/>
          <w:szCs w:val="24"/>
        </w:rPr>
        <w:t xml:space="preserve"> гипертоническую ретинопатию и значимо коррелирует с плохим прогнозом. Изменения, характерные для ранних стадий ретинопатии, не имеют существенного прогностического значения и характеризуются низкой воспроизводимостью. Фундоскопия также показана, если диагноз важен для </w:t>
      </w:r>
      <w:r w:rsidRPr="0092588B">
        <w:rPr>
          <w:rStyle w:val="ac"/>
          <w:rFonts w:eastAsiaTheme="majorEastAsia"/>
          <w:i/>
          <w:iCs/>
          <w:sz w:val="24"/>
          <w:szCs w:val="24"/>
        </w:rPr>
        <w:lastRenderedPageBreak/>
        <w:t>экспертизы трудоспособности или определения годности к военной службе.</w:t>
      </w:r>
    </w:p>
    <w:p w14:paraId="0310A392" w14:textId="77777777" w:rsidR="00201FB1" w:rsidRPr="0092588B" w:rsidRDefault="00201FB1">
      <w:pPr>
        <w:pStyle w:val="11"/>
        <w:numPr>
          <w:ilvl w:val="0"/>
          <w:numId w:val="14"/>
        </w:numPr>
        <w:tabs>
          <w:tab w:val="left" w:pos="1358"/>
        </w:tabs>
        <w:ind w:firstLine="600"/>
        <w:jc w:val="both"/>
        <w:rPr>
          <w:sz w:val="24"/>
          <w:szCs w:val="24"/>
        </w:rPr>
      </w:pPr>
      <w:r w:rsidRPr="0092588B">
        <w:rPr>
          <w:rStyle w:val="ac"/>
          <w:rFonts w:eastAsiaTheme="majorEastAsia"/>
          <w:sz w:val="24"/>
          <w:szCs w:val="24"/>
        </w:rPr>
        <w:t>Пациентам с АГ при наличии неврологических симптомов и/или когнитивных нарушений рекомендуется выполнение КТ или МРТ головного мозга для исключения инфарктов мозга, микрокровоизлияний и повреждений белого вещества и других патологических образований [27, 114, 115].</w:t>
      </w:r>
    </w:p>
    <w:p w14:paraId="305FD34F" w14:textId="7B3D4500" w:rsidR="00201FB1" w:rsidRPr="0092588B" w:rsidRDefault="00201FB1" w:rsidP="00201FB1">
      <w:pPr>
        <w:pStyle w:val="11"/>
        <w:ind w:firstLine="600"/>
        <w:jc w:val="both"/>
        <w:rPr>
          <w:sz w:val="24"/>
          <w:szCs w:val="24"/>
        </w:rPr>
      </w:pPr>
      <w:r w:rsidRPr="0092588B">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725EBB">
        <w:rPr>
          <w:rStyle w:val="ac"/>
          <w:rFonts w:eastAsiaTheme="majorEastAsia"/>
          <w:b/>
          <w:bCs/>
          <w:sz w:val="24"/>
          <w:szCs w:val="24"/>
        </w:rPr>
        <w:t xml:space="preserve"> </w:t>
      </w:r>
      <w:r w:rsidRPr="0092588B">
        <w:rPr>
          <w:rStyle w:val="ac"/>
          <w:rFonts w:eastAsiaTheme="majorEastAsia"/>
          <w:b/>
          <w:bCs/>
          <w:sz w:val="24"/>
          <w:szCs w:val="24"/>
        </w:rPr>
        <w:t xml:space="preserve">А, </w:t>
      </w:r>
      <w:r w:rsidR="00725EBB" w:rsidRPr="0092588B">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92588B">
        <w:rPr>
          <w:rStyle w:val="ac"/>
          <w:rFonts w:eastAsiaTheme="majorEastAsia"/>
          <w:b/>
          <w:bCs/>
          <w:sz w:val="24"/>
          <w:szCs w:val="24"/>
        </w:rPr>
        <w:t xml:space="preserve"> 1</w:t>
      </w:r>
      <w:r w:rsidR="00725EBB" w:rsidRPr="0092588B">
        <w:rPr>
          <w:rStyle w:val="ac"/>
          <w:rFonts w:eastAsiaTheme="majorEastAsia"/>
          <w:b/>
          <w:bCs/>
          <w:sz w:val="24"/>
          <w:szCs w:val="24"/>
        </w:rPr>
        <w:t>)</w:t>
      </w:r>
      <w:r w:rsidR="00725EBB" w:rsidRPr="00725EBB">
        <w:rPr>
          <w:rStyle w:val="ac"/>
          <w:rFonts w:eastAsiaTheme="majorEastAsia"/>
          <w:b/>
          <w:bCs/>
          <w:sz w:val="24"/>
          <w:szCs w:val="24"/>
        </w:rPr>
        <w:t>;</w:t>
      </w:r>
      <w:r w:rsidR="00725EBB">
        <w:rPr>
          <w:rStyle w:val="ac"/>
          <w:rFonts w:eastAsiaTheme="majorEastAsia"/>
          <w:b/>
          <w:bCs/>
          <w:sz w:val="24"/>
          <w:szCs w:val="24"/>
        </w:rPr>
        <w:t xml:space="preserve"> </w:t>
      </w:r>
      <w:r w:rsidR="00725EBB" w:rsidRPr="0092588B">
        <w:rPr>
          <w:rStyle w:val="ac"/>
          <w:rFonts w:eastAsiaTheme="majorEastAsia"/>
          <w:b/>
          <w:bCs/>
          <w:sz w:val="24"/>
          <w:szCs w:val="24"/>
        </w:rPr>
        <w:t>ЕОК/ЕОАГ IIаВ</w:t>
      </w:r>
      <w:r w:rsidR="00B538A2">
        <w:rPr>
          <w:rStyle w:val="ac"/>
          <w:rFonts w:eastAsiaTheme="majorEastAsia"/>
          <w:b/>
          <w:bCs/>
          <w:sz w:val="24"/>
          <w:szCs w:val="24"/>
        </w:rPr>
        <w:t>.</w:t>
      </w:r>
    </w:p>
    <w:p w14:paraId="673A4B2D" w14:textId="77777777" w:rsidR="00201FB1" w:rsidRPr="0092588B" w:rsidRDefault="00201FB1" w:rsidP="00201FB1">
      <w:pPr>
        <w:pStyle w:val="11"/>
        <w:ind w:firstLine="600"/>
        <w:jc w:val="both"/>
        <w:rPr>
          <w:sz w:val="24"/>
          <w:szCs w:val="24"/>
        </w:rPr>
      </w:pPr>
      <w:r w:rsidRPr="0092588B">
        <w:rPr>
          <w:rStyle w:val="ac"/>
          <w:rFonts w:eastAsiaTheme="majorEastAsia"/>
          <w:b/>
          <w:bCs/>
          <w:sz w:val="24"/>
          <w:szCs w:val="24"/>
        </w:rPr>
        <w:t xml:space="preserve">Комментарии. </w:t>
      </w:r>
      <w:r w:rsidRPr="0092588B">
        <w:rPr>
          <w:rStyle w:val="ac"/>
          <w:rFonts w:eastAsiaTheme="majorEastAsia"/>
          <w:i/>
          <w:iCs/>
          <w:sz w:val="24"/>
          <w:szCs w:val="24"/>
        </w:rPr>
        <w:t>Гиперинтенсивные очаги в белом веществе головного мозга и бессимптомные инфаркты ассоциированы с прогрессированием когнитивной дисфункции и повышением риска инсульта в связи с дегенеративной и сосудистой деменцией.</w:t>
      </w:r>
    </w:p>
    <w:p w14:paraId="4262E726" w14:textId="77777777" w:rsidR="00201FB1" w:rsidRPr="0092588B" w:rsidRDefault="00201FB1">
      <w:pPr>
        <w:pStyle w:val="11"/>
        <w:numPr>
          <w:ilvl w:val="0"/>
          <w:numId w:val="14"/>
        </w:numPr>
        <w:tabs>
          <w:tab w:val="left" w:pos="1358"/>
        </w:tabs>
        <w:ind w:firstLine="600"/>
        <w:jc w:val="both"/>
        <w:rPr>
          <w:sz w:val="24"/>
          <w:szCs w:val="24"/>
        </w:rPr>
      </w:pPr>
      <w:r w:rsidRPr="0092588B">
        <w:rPr>
          <w:rStyle w:val="ac"/>
          <w:rFonts w:eastAsiaTheme="majorEastAsia"/>
          <w:sz w:val="24"/>
          <w:szCs w:val="24"/>
        </w:rPr>
        <w:t>Всем пациентам с АГ для уточнения состояния малого круга кровообращения и выявления легочного застоя рекомендуется проведение прицельной рентгенографии органов грудной клетки [27].</w:t>
      </w:r>
    </w:p>
    <w:p w14:paraId="674A6290" w14:textId="788D1326" w:rsidR="00201FB1" w:rsidRDefault="00201FB1" w:rsidP="00B829B5">
      <w:pPr>
        <w:pStyle w:val="11"/>
        <w:ind w:firstLine="0"/>
        <w:jc w:val="both"/>
        <w:rPr>
          <w:rStyle w:val="ac"/>
          <w:rFonts w:eastAsiaTheme="majorEastAsia"/>
          <w:b/>
          <w:bCs/>
          <w:sz w:val="24"/>
          <w:szCs w:val="24"/>
        </w:rPr>
      </w:pPr>
      <w:r w:rsidRPr="0092588B">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725EBB">
        <w:rPr>
          <w:rStyle w:val="ac"/>
          <w:rFonts w:eastAsiaTheme="majorEastAsia"/>
          <w:b/>
          <w:bCs/>
          <w:sz w:val="24"/>
          <w:szCs w:val="24"/>
        </w:rPr>
        <w:t xml:space="preserve"> </w:t>
      </w:r>
      <w:r w:rsidRPr="0092588B">
        <w:rPr>
          <w:rStyle w:val="ac"/>
          <w:rFonts w:eastAsiaTheme="majorEastAsia"/>
          <w:b/>
          <w:bCs/>
          <w:sz w:val="24"/>
          <w:szCs w:val="24"/>
        </w:rPr>
        <w:t xml:space="preserve">С, </w:t>
      </w:r>
      <w:r w:rsidR="00725EBB" w:rsidRPr="0092588B">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92588B">
        <w:rPr>
          <w:rStyle w:val="ac"/>
          <w:rFonts w:eastAsiaTheme="majorEastAsia"/>
          <w:b/>
          <w:bCs/>
          <w:sz w:val="24"/>
          <w:szCs w:val="24"/>
        </w:rPr>
        <w:t xml:space="preserve"> 5</w:t>
      </w:r>
      <w:r w:rsidR="00725EBB" w:rsidRPr="0092588B">
        <w:rPr>
          <w:rStyle w:val="ac"/>
          <w:rFonts w:eastAsiaTheme="majorEastAsia"/>
          <w:b/>
          <w:bCs/>
          <w:sz w:val="24"/>
          <w:szCs w:val="24"/>
        </w:rPr>
        <w:t>)</w:t>
      </w:r>
      <w:r w:rsidR="00725EBB" w:rsidRPr="00725EBB">
        <w:rPr>
          <w:rStyle w:val="ac"/>
          <w:rFonts w:eastAsiaTheme="majorEastAsia"/>
          <w:b/>
          <w:bCs/>
          <w:sz w:val="24"/>
          <w:szCs w:val="24"/>
        </w:rPr>
        <w:t>;</w:t>
      </w:r>
      <w:r w:rsidR="00725EBB">
        <w:rPr>
          <w:rStyle w:val="ac"/>
          <w:rFonts w:eastAsiaTheme="majorEastAsia"/>
          <w:b/>
          <w:bCs/>
          <w:sz w:val="24"/>
          <w:szCs w:val="24"/>
        </w:rPr>
        <w:t xml:space="preserve"> </w:t>
      </w:r>
      <w:r w:rsidR="00725EBB" w:rsidRPr="0092588B">
        <w:rPr>
          <w:rStyle w:val="ac"/>
          <w:rFonts w:eastAsiaTheme="majorEastAsia"/>
          <w:b/>
          <w:bCs/>
          <w:sz w:val="24"/>
          <w:szCs w:val="24"/>
        </w:rPr>
        <w:t>ЕОК/ЕОАГ нет</w:t>
      </w:r>
      <w:r w:rsidR="00B538A2">
        <w:rPr>
          <w:rStyle w:val="ac"/>
          <w:rFonts w:eastAsiaTheme="majorEastAsia"/>
          <w:b/>
          <w:bCs/>
          <w:sz w:val="24"/>
          <w:szCs w:val="24"/>
        </w:rPr>
        <w:t>.</w:t>
      </w:r>
    </w:p>
    <w:p w14:paraId="6FE7B274" w14:textId="01E18250" w:rsidR="00725EBB" w:rsidRPr="00725EBB" w:rsidRDefault="00725EBB" w:rsidP="00725EBB">
      <w:pPr>
        <w:pStyle w:val="11"/>
        <w:ind w:firstLine="600"/>
        <w:jc w:val="both"/>
        <w:rPr>
          <w:i/>
          <w:iCs/>
          <w:sz w:val="28"/>
          <w:szCs w:val="28"/>
        </w:rPr>
      </w:pPr>
      <w:r w:rsidRPr="00725EBB">
        <w:rPr>
          <w:rStyle w:val="aff9"/>
          <w:rFonts w:eastAsiaTheme="majorEastAsia"/>
          <w:sz w:val="24"/>
          <w:szCs w:val="24"/>
        </w:rPr>
        <w:t>Комментарии:</w:t>
      </w:r>
      <w:r>
        <w:rPr>
          <w:rStyle w:val="aff9"/>
          <w:rFonts w:eastAsiaTheme="majorEastAsia"/>
          <w:sz w:val="24"/>
          <w:szCs w:val="24"/>
        </w:rPr>
        <w:t xml:space="preserve"> </w:t>
      </w:r>
      <w:r w:rsidRPr="00725EBB">
        <w:rPr>
          <w:i/>
          <w:iCs/>
          <w:sz w:val="24"/>
          <w:szCs w:val="24"/>
        </w:rPr>
        <w:t>Прицельная рентгенография органов грудной клетки у пациентов с артериальной гипертензией позволяет оценить состояние малого круга кровообращения, выявить признаки венозного застоя, интерстициального или альвеолярного отёка лёгких, а также сопутствующую патологию лёгких и сердца. Метод остаётся доступным, быстрым и информативным инструментом для первичной диагностики осложнений АГ.</w:t>
      </w:r>
    </w:p>
    <w:p w14:paraId="2BB40C46" w14:textId="77777777" w:rsidR="00201FB1" w:rsidRPr="0092588B" w:rsidRDefault="00201FB1">
      <w:pPr>
        <w:pStyle w:val="11"/>
        <w:numPr>
          <w:ilvl w:val="0"/>
          <w:numId w:val="14"/>
        </w:numPr>
        <w:tabs>
          <w:tab w:val="left" w:pos="1358"/>
        </w:tabs>
        <w:ind w:firstLine="600"/>
        <w:jc w:val="both"/>
        <w:rPr>
          <w:sz w:val="24"/>
          <w:szCs w:val="24"/>
        </w:rPr>
      </w:pPr>
      <w:r w:rsidRPr="0092588B">
        <w:rPr>
          <w:rStyle w:val="ac"/>
          <w:rFonts w:eastAsiaTheme="majorEastAsia"/>
          <w:sz w:val="24"/>
          <w:szCs w:val="24"/>
        </w:rPr>
        <w:t>Всем пациентам с АГ для исключения сопутствующей патологии рекомендуется проведение ультразвукового исследования органов брюшной полости [27].</w:t>
      </w:r>
    </w:p>
    <w:p w14:paraId="3547AABA" w14:textId="57248646" w:rsidR="00201FB1" w:rsidRDefault="003D51B3" w:rsidP="00B829B5">
      <w:pPr>
        <w:pStyle w:val="11"/>
        <w:ind w:firstLine="0"/>
        <w:jc w:val="both"/>
        <w:rPr>
          <w:rStyle w:val="ac"/>
          <w:rFonts w:eastAsiaTheme="majorEastAsia"/>
          <w:b/>
          <w:bCs/>
          <w:sz w:val="24"/>
          <w:szCs w:val="24"/>
        </w:rPr>
      </w:pPr>
      <w:r>
        <w:rPr>
          <w:rStyle w:val="ac"/>
          <w:rFonts w:eastAsiaTheme="majorEastAsia"/>
          <w:b/>
          <w:bCs/>
          <w:sz w:val="24"/>
          <w:szCs w:val="24"/>
        </w:rPr>
        <w:t>Уровень убедительности рекомендаций</w:t>
      </w:r>
      <w:r w:rsidR="00725EBB">
        <w:rPr>
          <w:rStyle w:val="ac"/>
          <w:rFonts w:eastAsiaTheme="majorEastAsia"/>
          <w:b/>
          <w:bCs/>
          <w:sz w:val="24"/>
          <w:szCs w:val="24"/>
        </w:rPr>
        <w:t xml:space="preserve"> </w:t>
      </w:r>
      <w:r w:rsidR="00201FB1" w:rsidRPr="0092588B">
        <w:rPr>
          <w:rStyle w:val="ac"/>
          <w:rFonts w:eastAsiaTheme="majorEastAsia"/>
          <w:b/>
          <w:bCs/>
          <w:sz w:val="24"/>
          <w:szCs w:val="24"/>
        </w:rPr>
        <w:t>С,</w:t>
      </w:r>
      <w:r w:rsidR="00896FB3" w:rsidRPr="0092588B">
        <w:rPr>
          <w:rStyle w:val="ac"/>
          <w:rFonts w:eastAsiaTheme="majorEastAsia"/>
          <w:b/>
          <w:bCs/>
          <w:sz w:val="24"/>
          <w:szCs w:val="24"/>
        </w:rPr>
        <w:t xml:space="preserve"> (Уровень</w:t>
      </w:r>
      <w:r>
        <w:rPr>
          <w:rStyle w:val="ac"/>
          <w:rFonts w:eastAsiaTheme="majorEastAsia"/>
          <w:b/>
          <w:bCs/>
          <w:sz w:val="24"/>
          <w:szCs w:val="24"/>
        </w:rPr>
        <w:t xml:space="preserve"> достоверности доказательств</w:t>
      </w:r>
      <w:r w:rsidR="00201FB1" w:rsidRPr="0092588B">
        <w:rPr>
          <w:rStyle w:val="ac"/>
          <w:rFonts w:eastAsiaTheme="majorEastAsia"/>
          <w:b/>
          <w:bCs/>
          <w:sz w:val="24"/>
          <w:szCs w:val="24"/>
        </w:rPr>
        <w:t xml:space="preserve"> 5)</w:t>
      </w:r>
      <w:r w:rsidR="00093AC0">
        <w:rPr>
          <w:rStyle w:val="ac"/>
          <w:rFonts w:eastAsiaTheme="majorEastAsia"/>
          <w:b/>
          <w:bCs/>
          <w:sz w:val="24"/>
          <w:szCs w:val="24"/>
        </w:rPr>
        <w:t>;</w:t>
      </w:r>
      <w:r w:rsidR="00093AC0" w:rsidRPr="00093AC0">
        <w:rPr>
          <w:rStyle w:val="ac"/>
          <w:rFonts w:eastAsiaTheme="majorEastAsia"/>
          <w:b/>
          <w:bCs/>
          <w:sz w:val="24"/>
          <w:szCs w:val="24"/>
        </w:rPr>
        <w:t xml:space="preserve"> </w:t>
      </w:r>
      <w:r w:rsidR="00093AC0" w:rsidRPr="0092588B">
        <w:rPr>
          <w:rStyle w:val="ac"/>
          <w:rFonts w:eastAsiaTheme="majorEastAsia"/>
          <w:b/>
          <w:bCs/>
          <w:sz w:val="24"/>
          <w:szCs w:val="24"/>
        </w:rPr>
        <w:t>ЕОК/ЕОАГ нет</w:t>
      </w:r>
      <w:r w:rsidR="00B538A2">
        <w:rPr>
          <w:rStyle w:val="ac"/>
          <w:rFonts w:eastAsiaTheme="majorEastAsia"/>
          <w:b/>
          <w:bCs/>
          <w:sz w:val="24"/>
          <w:szCs w:val="24"/>
        </w:rPr>
        <w:t>.</w:t>
      </w:r>
    </w:p>
    <w:p w14:paraId="520EF64C" w14:textId="35BBF7D7" w:rsidR="00725EBB" w:rsidRPr="00725EBB" w:rsidRDefault="00725EBB" w:rsidP="00B829B5">
      <w:pPr>
        <w:pStyle w:val="11"/>
        <w:ind w:firstLine="0"/>
        <w:jc w:val="both"/>
        <w:rPr>
          <w:i/>
          <w:iCs/>
          <w:sz w:val="28"/>
          <w:szCs w:val="28"/>
        </w:rPr>
      </w:pPr>
      <w:r w:rsidRPr="00725EBB">
        <w:rPr>
          <w:rStyle w:val="aff9"/>
          <w:rFonts w:eastAsiaTheme="majorEastAsia"/>
          <w:sz w:val="24"/>
          <w:szCs w:val="24"/>
        </w:rPr>
        <w:t>Комментари</w:t>
      </w:r>
      <w:r>
        <w:rPr>
          <w:rStyle w:val="aff9"/>
          <w:rFonts w:eastAsiaTheme="majorEastAsia"/>
          <w:sz w:val="24"/>
          <w:szCs w:val="24"/>
        </w:rPr>
        <w:t>и</w:t>
      </w:r>
      <w:r w:rsidRPr="00725EBB">
        <w:rPr>
          <w:rStyle w:val="aff9"/>
          <w:rFonts w:eastAsiaTheme="majorEastAsia"/>
          <w:sz w:val="24"/>
          <w:szCs w:val="24"/>
        </w:rPr>
        <w:t>:</w:t>
      </w:r>
      <w:r>
        <w:rPr>
          <w:rStyle w:val="aff9"/>
          <w:rFonts w:eastAsiaTheme="majorEastAsia"/>
          <w:sz w:val="24"/>
          <w:szCs w:val="24"/>
        </w:rPr>
        <w:t xml:space="preserve"> </w:t>
      </w:r>
      <w:r w:rsidRPr="00725EBB">
        <w:rPr>
          <w:i/>
          <w:iCs/>
          <w:sz w:val="24"/>
          <w:szCs w:val="24"/>
        </w:rPr>
        <w:t>Ультразвуковое исследование органов брюшной полости у пациентов с артериальной гипертензией позволяет выявить сопутствующую патологию печени, желчевыводящей системы, поджелудочной железы, селезёнки и почек, а также структурные изменения, которые могут указывать на вторичные формы гипертензии. Метод безопасен, неинвазивен и широко доступен, что делает его ценным инструментом рутинного обследования.</w:t>
      </w:r>
    </w:p>
    <w:p w14:paraId="196D7E7C" w14:textId="77777777" w:rsidR="00B829B5" w:rsidRPr="0092588B" w:rsidRDefault="00B829B5" w:rsidP="0008732C">
      <w:pPr>
        <w:pStyle w:val="11"/>
        <w:tabs>
          <w:tab w:val="left" w:pos="1081"/>
        </w:tabs>
        <w:ind w:firstLine="0"/>
        <w:jc w:val="both"/>
        <w:outlineLvl w:val="1"/>
        <w:rPr>
          <w:sz w:val="24"/>
          <w:szCs w:val="24"/>
        </w:rPr>
      </w:pPr>
      <w:bookmarkStart w:id="27" w:name="_Toc202877439"/>
      <w:r>
        <w:rPr>
          <w:rStyle w:val="ac"/>
          <w:rFonts w:eastAsiaTheme="majorEastAsia"/>
          <w:b/>
          <w:bCs/>
          <w:sz w:val="24"/>
          <w:szCs w:val="24"/>
          <w:u w:val="single"/>
        </w:rPr>
        <w:t>2.5 Иная диагностика</w:t>
      </w:r>
      <w:bookmarkEnd w:id="27"/>
    </w:p>
    <w:p w14:paraId="189A1784" w14:textId="77777777" w:rsidR="00B829B5" w:rsidRPr="0092588B" w:rsidRDefault="00B829B5" w:rsidP="00B829B5">
      <w:pPr>
        <w:pStyle w:val="11"/>
        <w:ind w:firstLine="600"/>
        <w:jc w:val="both"/>
        <w:rPr>
          <w:sz w:val="24"/>
          <w:szCs w:val="24"/>
        </w:rPr>
      </w:pPr>
      <w:r w:rsidRPr="0092588B">
        <w:rPr>
          <w:rStyle w:val="ac"/>
          <w:rFonts w:eastAsiaTheme="majorEastAsia"/>
          <w:sz w:val="24"/>
          <w:szCs w:val="24"/>
        </w:rPr>
        <w:t>Иные диагностические исследования в рамках диагностики АГ не предусмотрены, возможно расширение диагностических исследований по решению врача в зависимости от клинической ситуации и состояния пациента.</w:t>
      </w:r>
    </w:p>
    <w:p w14:paraId="6A84ECD5" w14:textId="77777777" w:rsidR="00B829B5" w:rsidRPr="0092588B" w:rsidRDefault="00B829B5" w:rsidP="00B829B5">
      <w:pPr>
        <w:pStyle w:val="11"/>
        <w:ind w:firstLine="600"/>
        <w:jc w:val="both"/>
        <w:rPr>
          <w:sz w:val="24"/>
          <w:szCs w:val="24"/>
        </w:rPr>
      </w:pPr>
      <w:r w:rsidRPr="0092588B">
        <w:rPr>
          <w:rStyle w:val="ac"/>
          <w:rFonts w:eastAsia="Arial"/>
          <w:sz w:val="24"/>
          <w:szCs w:val="24"/>
        </w:rPr>
        <w:t xml:space="preserve">• </w:t>
      </w:r>
      <w:r w:rsidRPr="0092588B">
        <w:rPr>
          <w:rStyle w:val="ac"/>
          <w:rFonts w:eastAsiaTheme="majorEastAsia"/>
          <w:sz w:val="24"/>
          <w:szCs w:val="24"/>
        </w:rPr>
        <w:t xml:space="preserve">Когнитивные нарушения у пожилых пациентов частично ассоциированы с АГ, в </w:t>
      </w:r>
      <w:r w:rsidRPr="0092588B">
        <w:rPr>
          <w:rStyle w:val="ac"/>
          <w:rFonts w:eastAsiaTheme="majorEastAsia"/>
          <w:sz w:val="24"/>
          <w:szCs w:val="24"/>
        </w:rPr>
        <w:lastRenderedPageBreak/>
        <w:t>связи с чем у пожилых пациентов с анамнезом, позволяющим предположить ранний когнитивный дефицит, рекомендована оценка когнитивных функций [116, 117].</w:t>
      </w:r>
    </w:p>
    <w:p w14:paraId="087E84F8" w14:textId="16E435BC" w:rsidR="00B829B5" w:rsidRDefault="003D51B3" w:rsidP="00B829B5">
      <w:pPr>
        <w:pStyle w:val="11"/>
        <w:tabs>
          <w:tab w:val="left" w:pos="929"/>
        </w:tabs>
        <w:ind w:firstLine="0"/>
        <w:jc w:val="both"/>
        <w:rPr>
          <w:rStyle w:val="ac"/>
          <w:rFonts w:eastAsiaTheme="majorEastAsia"/>
          <w:b/>
          <w:bCs/>
          <w:sz w:val="24"/>
          <w:szCs w:val="24"/>
        </w:rPr>
      </w:pPr>
      <w:r>
        <w:rPr>
          <w:rStyle w:val="ac"/>
          <w:rFonts w:eastAsiaTheme="majorEastAsia"/>
          <w:b/>
          <w:bCs/>
          <w:sz w:val="24"/>
          <w:szCs w:val="24"/>
        </w:rPr>
        <w:t>Уровень убедительности рекомендаций</w:t>
      </w:r>
      <w:r w:rsidR="00896FB3">
        <w:rPr>
          <w:rStyle w:val="ac"/>
          <w:rFonts w:eastAsiaTheme="majorEastAsia"/>
          <w:b/>
          <w:bCs/>
          <w:sz w:val="24"/>
          <w:szCs w:val="24"/>
        </w:rPr>
        <w:t xml:space="preserve"> </w:t>
      </w:r>
      <w:r w:rsidR="00B829B5" w:rsidRPr="0092588B">
        <w:rPr>
          <w:rStyle w:val="ac"/>
          <w:rFonts w:eastAsiaTheme="majorEastAsia"/>
          <w:b/>
          <w:bCs/>
          <w:sz w:val="24"/>
          <w:szCs w:val="24"/>
          <w:lang w:val="en-US"/>
        </w:rPr>
        <w:t>A</w:t>
      </w:r>
      <w:r w:rsidR="00B829B5" w:rsidRPr="0092588B">
        <w:rPr>
          <w:rStyle w:val="ac"/>
          <w:rFonts w:eastAsiaTheme="majorEastAsia"/>
          <w:b/>
          <w:bCs/>
          <w:sz w:val="24"/>
          <w:szCs w:val="24"/>
        </w:rPr>
        <w:t xml:space="preserve">, </w:t>
      </w:r>
      <w:r w:rsidR="00896FB3" w:rsidRPr="0092588B">
        <w:rPr>
          <w:rStyle w:val="ac"/>
          <w:rFonts w:eastAsiaTheme="majorEastAsia"/>
          <w:sz w:val="24"/>
          <w:szCs w:val="24"/>
        </w:rPr>
        <w:t>(</w:t>
      </w:r>
      <w:r>
        <w:rPr>
          <w:rStyle w:val="ac"/>
          <w:rFonts w:eastAsiaTheme="majorEastAsia"/>
          <w:b/>
          <w:bCs/>
          <w:sz w:val="24"/>
          <w:szCs w:val="24"/>
        </w:rPr>
        <w:t>Уровень достоверности доказательств</w:t>
      </w:r>
      <w:r w:rsidR="00B829B5" w:rsidRPr="0092588B">
        <w:rPr>
          <w:rStyle w:val="ac"/>
          <w:rFonts w:eastAsiaTheme="majorEastAsia"/>
          <w:b/>
          <w:bCs/>
          <w:sz w:val="24"/>
          <w:szCs w:val="24"/>
        </w:rPr>
        <w:t xml:space="preserve"> 1</w:t>
      </w:r>
      <w:r w:rsidR="00B538A2" w:rsidRPr="0092588B">
        <w:rPr>
          <w:rStyle w:val="ac"/>
          <w:rFonts w:eastAsiaTheme="majorEastAsia"/>
          <w:b/>
          <w:bCs/>
          <w:sz w:val="24"/>
          <w:szCs w:val="24"/>
        </w:rPr>
        <w:t>)</w:t>
      </w:r>
      <w:r w:rsidR="00B538A2" w:rsidRPr="00896FB3">
        <w:rPr>
          <w:rStyle w:val="ac"/>
          <w:rFonts w:eastAsiaTheme="majorEastAsia"/>
          <w:b/>
          <w:bCs/>
          <w:sz w:val="24"/>
          <w:szCs w:val="24"/>
        </w:rPr>
        <w:t>; ЕОК</w:t>
      </w:r>
      <w:r w:rsidR="00896FB3" w:rsidRPr="0092588B">
        <w:rPr>
          <w:rStyle w:val="ac"/>
          <w:rFonts w:eastAsiaTheme="majorEastAsia"/>
          <w:b/>
          <w:bCs/>
          <w:sz w:val="24"/>
          <w:szCs w:val="24"/>
        </w:rPr>
        <w:t>/ЕОАГ нет</w:t>
      </w:r>
      <w:r w:rsidR="00B538A2">
        <w:rPr>
          <w:rStyle w:val="ac"/>
          <w:rFonts w:eastAsiaTheme="majorEastAsia"/>
          <w:b/>
          <w:bCs/>
          <w:sz w:val="24"/>
          <w:szCs w:val="24"/>
        </w:rPr>
        <w:t>.</w:t>
      </w:r>
    </w:p>
    <w:p w14:paraId="5A2F24E4" w14:textId="5D250654" w:rsidR="00663A03" w:rsidRPr="00663A03" w:rsidRDefault="00663A03" w:rsidP="00B829B5">
      <w:pPr>
        <w:pStyle w:val="11"/>
        <w:tabs>
          <w:tab w:val="left" w:pos="929"/>
        </w:tabs>
        <w:ind w:firstLine="0"/>
        <w:jc w:val="both"/>
        <w:rPr>
          <w:rStyle w:val="ac"/>
          <w:rFonts w:eastAsiaTheme="majorEastAsia"/>
          <w:b/>
          <w:bCs/>
          <w:i/>
          <w:iCs/>
          <w:sz w:val="24"/>
          <w:szCs w:val="24"/>
        </w:rPr>
      </w:pPr>
      <w:r w:rsidRPr="00663A03">
        <w:rPr>
          <w:rStyle w:val="aff9"/>
          <w:rFonts w:eastAsiaTheme="majorEastAsia"/>
          <w:sz w:val="24"/>
          <w:szCs w:val="24"/>
        </w:rPr>
        <w:t>Комментарии:</w:t>
      </w:r>
      <w:r w:rsidRPr="00663A03">
        <w:rPr>
          <w:sz w:val="24"/>
          <w:szCs w:val="24"/>
        </w:rPr>
        <w:t xml:space="preserve"> </w:t>
      </w:r>
      <w:r w:rsidRPr="00663A03">
        <w:rPr>
          <w:i/>
          <w:iCs/>
          <w:sz w:val="24"/>
          <w:szCs w:val="24"/>
        </w:rPr>
        <w:t>Артериальная гипертензия у пожилых пациентов рассматривается как один из факторов риска развития когнитивных нарушений, включая деменцию. Ранняя оценка когнитивных функций позволяет выявить нарушения на доклинической стадии, своевременно начать коррекцию факторов риска и организовать наблюдение</w:t>
      </w:r>
      <w:r w:rsidRPr="00663A03">
        <w:rPr>
          <w:i/>
          <w:iCs/>
        </w:rPr>
        <w:t>.</w:t>
      </w:r>
    </w:p>
    <w:p w14:paraId="78BFCC8C" w14:textId="77777777" w:rsidR="001F0CA5" w:rsidRPr="001F0CA5" w:rsidRDefault="001F0CA5" w:rsidP="001F0CA5">
      <w:pPr>
        <w:pStyle w:val="11"/>
        <w:tabs>
          <w:tab w:val="left" w:pos="1125"/>
        </w:tabs>
        <w:ind w:left="600" w:firstLine="0"/>
        <w:jc w:val="center"/>
        <w:rPr>
          <w:sz w:val="24"/>
          <w:szCs w:val="24"/>
        </w:rPr>
      </w:pPr>
      <w:r w:rsidRPr="001F0CA5">
        <w:rPr>
          <w:rStyle w:val="ac"/>
          <w:rFonts w:eastAsiaTheme="majorEastAsia"/>
          <w:b/>
          <w:bCs/>
          <w:sz w:val="24"/>
          <w:szCs w:val="24"/>
        </w:rPr>
        <w:t>Критерии установления диагноза:</w:t>
      </w:r>
    </w:p>
    <w:p w14:paraId="71170860" w14:textId="77777777" w:rsidR="001F0CA5" w:rsidRPr="001F0CA5" w:rsidRDefault="001F0CA5" w:rsidP="002F76B8">
      <w:pPr>
        <w:pStyle w:val="11"/>
        <w:ind w:firstLine="0"/>
        <w:jc w:val="both"/>
        <w:rPr>
          <w:sz w:val="24"/>
          <w:szCs w:val="24"/>
        </w:rPr>
      </w:pPr>
      <w:r w:rsidRPr="001F0CA5">
        <w:rPr>
          <w:rStyle w:val="ac"/>
          <w:rFonts w:eastAsiaTheme="majorEastAsia"/>
          <w:sz w:val="24"/>
          <w:szCs w:val="24"/>
        </w:rPr>
        <w:t>Диагностика АГ включает следующие этапы:</w:t>
      </w:r>
    </w:p>
    <w:p w14:paraId="1BA92BE9" w14:textId="77777777" w:rsidR="001F0CA5" w:rsidRPr="001F0CA5" w:rsidRDefault="001F0CA5">
      <w:pPr>
        <w:pStyle w:val="11"/>
        <w:numPr>
          <w:ilvl w:val="0"/>
          <w:numId w:val="7"/>
        </w:numPr>
        <w:tabs>
          <w:tab w:val="left" w:pos="1286"/>
        </w:tabs>
        <w:ind w:firstLine="600"/>
        <w:jc w:val="both"/>
        <w:rPr>
          <w:sz w:val="24"/>
          <w:szCs w:val="24"/>
        </w:rPr>
      </w:pPr>
      <w:r w:rsidRPr="001F0CA5">
        <w:rPr>
          <w:rStyle w:val="ac"/>
          <w:rFonts w:eastAsiaTheme="majorEastAsia"/>
          <w:sz w:val="24"/>
          <w:szCs w:val="24"/>
        </w:rPr>
        <w:t>выяснение жалоб и сбор анамнеза;</w:t>
      </w:r>
    </w:p>
    <w:p w14:paraId="440645D0" w14:textId="77777777" w:rsidR="001F0CA5" w:rsidRPr="001F0CA5" w:rsidRDefault="001F0CA5">
      <w:pPr>
        <w:pStyle w:val="11"/>
        <w:numPr>
          <w:ilvl w:val="0"/>
          <w:numId w:val="7"/>
        </w:numPr>
        <w:tabs>
          <w:tab w:val="left" w:pos="1286"/>
        </w:tabs>
        <w:ind w:firstLine="600"/>
        <w:jc w:val="both"/>
        <w:rPr>
          <w:sz w:val="24"/>
          <w:szCs w:val="24"/>
        </w:rPr>
      </w:pPr>
      <w:r w:rsidRPr="001F0CA5">
        <w:rPr>
          <w:rStyle w:val="ac"/>
          <w:rFonts w:eastAsiaTheme="majorEastAsia"/>
          <w:sz w:val="24"/>
          <w:szCs w:val="24"/>
        </w:rPr>
        <w:t>повторные измерения АД;</w:t>
      </w:r>
    </w:p>
    <w:p w14:paraId="3FB110EF" w14:textId="77777777" w:rsidR="001F0CA5" w:rsidRPr="001F0CA5" w:rsidRDefault="001F0CA5">
      <w:pPr>
        <w:pStyle w:val="11"/>
        <w:numPr>
          <w:ilvl w:val="0"/>
          <w:numId w:val="7"/>
        </w:numPr>
        <w:tabs>
          <w:tab w:val="left" w:pos="1286"/>
        </w:tabs>
        <w:ind w:firstLine="600"/>
        <w:jc w:val="both"/>
        <w:rPr>
          <w:sz w:val="24"/>
          <w:szCs w:val="24"/>
        </w:rPr>
      </w:pPr>
      <w:r w:rsidRPr="001F0CA5">
        <w:rPr>
          <w:rStyle w:val="ac"/>
          <w:rFonts w:eastAsiaTheme="majorEastAsia"/>
          <w:sz w:val="24"/>
          <w:szCs w:val="24"/>
        </w:rPr>
        <w:t>объективное обследование;</w:t>
      </w:r>
    </w:p>
    <w:p w14:paraId="06E36889" w14:textId="77777777" w:rsidR="001F0CA5" w:rsidRPr="008E4B86" w:rsidRDefault="001F0CA5">
      <w:pPr>
        <w:pStyle w:val="11"/>
        <w:numPr>
          <w:ilvl w:val="0"/>
          <w:numId w:val="7"/>
        </w:numPr>
        <w:tabs>
          <w:tab w:val="left" w:pos="1286"/>
          <w:tab w:val="right" w:pos="9931"/>
        </w:tabs>
        <w:ind w:firstLine="600"/>
        <w:jc w:val="both"/>
        <w:rPr>
          <w:sz w:val="24"/>
          <w:szCs w:val="24"/>
        </w:rPr>
      </w:pPr>
      <w:r w:rsidRPr="001F0CA5">
        <w:rPr>
          <w:rStyle w:val="ac"/>
          <w:rFonts w:eastAsiaTheme="majorEastAsia"/>
          <w:sz w:val="24"/>
          <w:szCs w:val="24"/>
        </w:rPr>
        <w:t>лабораторно-инструментальные</w:t>
      </w:r>
      <w:r w:rsidRPr="001F0CA5">
        <w:rPr>
          <w:rStyle w:val="ac"/>
          <w:rFonts w:eastAsiaTheme="majorEastAsia"/>
          <w:sz w:val="24"/>
          <w:szCs w:val="24"/>
        </w:rPr>
        <w:tab/>
        <w:t xml:space="preserve">методы исследования: рутинные на первом </w:t>
      </w:r>
      <w:r w:rsidRPr="008E4B86">
        <w:rPr>
          <w:rStyle w:val="ac"/>
          <w:rFonts w:eastAsiaTheme="majorEastAsia"/>
          <w:sz w:val="24"/>
          <w:szCs w:val="24"/>
        </w:rPr>
        <w:t>этапе и</w:t>
      </w:r>
      <w:r w:rsidR="002F76B8" w:rsidRPr="008E4B86">
        <w:rPr>
          <w:sz w:val="24"/>
          <w:szCs w:val="24"/>
        </w:rPr>
        <w:t xml:space="preserve"> </w:t>
      </w:r>
      <w:r w:rsidRPr="008E4B86">
        <w:rPr>
          <w:rStyle w:val="ac"/>
          <w:rFonts w:eastAsiaTheme="majorEastAsia"/>
          <w:sz w:val="24"/>
          <w:szCs w:val="24"/>
        </w:rPr>
        <w:t>сложные — на втором этапе обследования (по показаниям);</w:t>
      </w:r>
    </w:p>
    <w:p w14:paraId="5D2DFCBA" w14:textId="77777777" w:rsidR="001F0CA5" w:rsidRPr="003B37B6" w:rsidRDefault="001F0CA5">
      <w:pPr>
        <w:pStyle w:val="11"/>
        <w:numPr>
          <w:ilvl w:val="0"/>
          <w:numId w:val="7"/>
        </w:numPr>
        <w:tabs>
          <w:tab w:val="left" w:pos="1286"/>
        </w:tabs>
        <w:ind w:firstLine="600"/>
        <w:jc w:val="both"/>
        <w:rPr>
          <w:sz w:val="24"/>
          <w:szCs w:val="24"/>
        </w:rPr>
      </w:pPr>
      <w:r w:rsidRPr="003B37B6">
        <w:rPr>
          <w:rStyle w:val="ac"/>
          <w:rFonts w:eastAsiaTheme="majorEastAsia"/>
          <w:sz w:val="24"/>
          <w:szCs w:val="24"/>
        </w:rPr>
        <w:t xml:space="preserve">исключение вторичных (симптоматических) АГ при необходимости </w:t>
      </w:r>
      <w:r w:rsidRPr="003B37B6">
        <w:rPr>
          <w:rStyle w:val="ac"/>
          <w:rFonts w:eastAsiaTheme="majorEastAsia"/>
          <w:i/>
          <w:iCs/>
          <w:sz w:val="24"/>
          <w:szCs w:val="24"/>
        </w:rPr>
        <w:t>(таблицы</w:t>
      </w:r>
    </w:p>
    <w:p w14:paraId="484544CF" w14:textId="52E1AC56" w:rsidR="001F0CA5" w:rsidRPr="003B37B6" w:rsidRDefault="001F0CA5" w:rsidP="001F0CA5">
      <w:pPr>
        <w:pStyle w:val="11"/>
        <w:ind w:firstLine="0"/>
        <w:jc w:val="both"/>
        <w:rPr>
          <w:sz w:val="24"/>
          <w:szCs w:val="24"/>
        </w:rPr>
      </w:pPr>
      <w:r w:rsidRPr="003B37B6">
        <w:rPr>
          <w:rStyle w:val="ac"/>
          <w:rFonts w:eastAsiaTheme="majorEastAsia"/>
          <w:i/>
          <w:iCs/>
          <w:sz w:val="24"/>
          <w:szCs w:val="24"/>
        </w:rPr>
        <w:t>П5,</w:t>
      </w:r>
      <w:r w:rsidR="00124A29" w:rsidRPr="003B37B6">
        <w:rPr>
          <w:rStyle w:val="ac"/>
          <w:rFonts w:eastAsiaTheme="majorEastAsia"/>
          <w:i/>
          <w:iCs/>
          <w:sz w:val="24"/>
          <w:szCs w:val="24"/>
        </w:rPr>
        <w:t xml:space="preserve"> </w:t>
      </w:r>
      <w:r w:rsidRPr="003B37B6">
        <w:rPr>
          <w:rStyle w:val="ac"/>
          <w:rFonts w:eastAsiaTheme="majorEastAsia"/>
          <w:i/>
          <w:iCs/>
          <w:sz w:val="24"/>
          <w:szCs w:val="24"/>
        </w:rPr>
        <w:t>П24,</w:t>
      </w:r>
      <w:r w:rsidR="00124A29" w:rsidRPr="003B37B6">
        <w:rPr>
          <w:rStyle w:val="ac"/>
          <w:rFonts w:eastAsiaTheme="majorEastAsia"/>
          <w:i/>
          <w:iCs/>
          <w:sz w:val="24"/>
          <w:szCs w:val="24"/>
        </w:rPr>
        <w:t xml:space="preserve"> </w:t>
      </w:r>
      <w:r w:rsidRPr="003B37B6">
        <w:rPr>
          <w:rStyle w:val="ac"/>
          <w:rFonts w:eastAsiaTheme="majorEastAsia"/>
          <w:i/>
          <w:iCs/>
          <w:sz w:val="24"/>
          <w:szCs w:val="24"/>
        </w:rPr>
        <w:t>П25 Приложени</w:t>
      </w:r>
      <w:r w:rsidR="00124A29" w:rsidRPr="003B37B6">
        <w:rPr>
          <w:rStyle w:val="ac"/>
          <w:rFonts w:eastAsiaTheme="majorEastAsia"/>
          <w:i/>
          <w:iCs/>
          <w:sz w:val="24"/>
          <w:szCs w:val="24"/>
        </w:rPr>
        <w:t>я</w:t>
      </w:r>
      <w:r w:rsidRPr="003B37B6">
        <w:rPr>
          <w:rStyle w:val="ac"/>
          <w:rFonts w:eastAsiaTheme="majorEastAsia"/>
          <w:i/>
          <w:iCs/>
          <w:sz w:val="24"/>
          <w:szCs w:val="24"/>
        </w:rPr>
        <w:t xml:space="preserve"> </w:t>
      </w:r>
      <w:r w:rsidR="00FB33EA" w:rsidRPr="003B37B6">
        <w:rPr>
          <w:rStyle w:val="ac"/>
          <w:rFonts w:eastAsiaTheme="majorEastAsia"/>
          <w:i/>
          <w:iCs/>
          <w:sz w:val="24"/>
          <w:szCs w:val="24"/>
        </w:rPr>
        <w:t>А2</w:t>
      </w:r>
      <w:r w:rsidR="00124A29" w:rsidRPr="003B37B6">
        <w:rPr>
          <w:rStyle w:val="ac"/>
          <w:rFonts w:eastAsiaTheme="majorEastAsia"/>
          <w:sz w:val="24"/>
          <w:szCs w:val="24"/>
        </w:rPr>
        <w:t xml:space="preserve"> </w:t>
      </w:r>
      <w:r w:rsidR="00124A29" w:rsidRPr="003B37B6">
        <w:rPr>
          <w:rStyle w:val="ac"/>
          <w:rFonts w:eastAsiaTheme="majorEastAsia"/>
          <w:i/>
          <w:iCs/>
          <w:sz w:val="24"/>
          <w:szCs w:val="24"/>
        </w:rPr>
        <w:t>к настоящим Клиническим рекомендациям</w:t>
      </w:r>
      <w:r w:rsidRPr="003B37B6">
        <w:rPr>
          <w:rStyle w:val="ac"/>
          <w:rFonts w:eastAsiaTheme="majorEastAsia"/>
          <w:i/>
          <w:iCs/>
          <w:sz w:val="24"/>
          <w:szCs w:val="24"/>
        </w:rPr>
        <w:t>)</w:t>
      </w:r>
      <w:r w:rsidRPr="003B37B6">
        <w:rPr>
          <w:rStyle w:val="ac"/>
          <w:rFonts w:eastAsiaTheme="majorEastAsia"/>
          <w:sz w:val="24"/>
          <w:szCs w:val="24"/>
        </w:rPr>
        <w:t>;</w:t>
      </w:r>
    </w:p>
    <w:p w14:paraId="246D9FDA" w14:textId="77777777" w:rsidR="001F0CA5" w:rsidRPr="003B37B6" w:rsidRDefault="001F0CA5">
      <w:pPr>
        <w:pStyle w:val="11"/>
        <w:numPr>
          <w:ilvl w:val="0"/>
          <w:numId w:val="7"/>
        </w:numPr>
        <w:tabs>
          <w:tab w:val="left" w:pos="1286"/>
        </w:tabs>
        <w:ind w:firstLine="600"/>
        <w:jc w:val="both"/>
        <w:rPr>
          <w:sz w:val="24"/>
          <w:szCs w:val="24"/>
        </w:rPr>
      </w:pPr>
      <w:r w:rsidRPr="003B37B6">
        <w:rPr>
          <w:rStyle w:val="ac"/>
          <w:rFonts w:eastAsiaTheme="majorEastAsia"/>
          <w:sz w:val="24"/>
          <w:szCs w:val="24"/>
        </w:rPr>
        <w:t>оценка общего сердечно-сосудистого риска.</w:t>
      </w:r>
    </w:p>
    <w:p w14:paraId="1C9A4231" w14:textId="2B68CF61" w:rsidR="001F0CA5" w:rsidRPr="001F0CA5" w:rsidRDefault="001F0CA5" w:rsidP="001F0CA5">
      <w:pPr>
        <w:pStyle w:val="11"/>
        <w:ind w:firstLine="600"/>
        <w:jc w:val="both"/>
        <w:rPr>
          <w:sz w:val="24"/>
          <w:szCs w:val="24"/>
        </w:rPr>
      </w:pPr>
      <w:r w:rsidRPr="003B37B6">
        <w:rPr>
          <w:rStyle w:val="ac"/>
          <w:rFonts w:eastAsiaTheme="majorEastAsia"/>
          <w:sz w:val="24"/>
          <w:szCs w:val="24"/>
        </w:rPr>
        <w:t>Диагноз АГ на основании СМАД устанавливается в соответствии с пороговыми значениями, указанными в таблице П12 Приложени</w:t>
      </w:r>
      <w:r w:rsidR="00CB0514" w:rsidRPr="003B37B6">
        <w:rPr>
          <w:rStyle w:val="ac"/>
          <w:rFonts w:eastAsiaTheme="majorEastAsia"/>
          <w:sz w:val="24"/>
          <w:szCs w:val="24"/>
        </w:rPr>
        <w:t>я</w:t>
      </w:r>
      <w:r w:rsidRPr="003B37B6">
        <w:rPr>
          <w:rStyle w:val="ac"/>
          <w:rFonts w:eastAsiaTheme="majorEastAsia"/>
          <w:sz w:val="24"/>
          <w:szCs w:val="24"/>
        </w:rPr>
        <w:t xml:space="preserve"> </w:t>
      </w:r>
      <w:r w:rsidR="00FB33EA" w:rsidRPr="003B37B6">
        <w:rPr>
          <w:rStyle w:val="ac"/>
          <w:rFonts w:eastAsiaTheme="majorEastAsia"/>
          <w:sz w:val="24"/>
          <w:szCs w:val="24"/>
        </w:rPr>
        <w:t>А2</w:t>
      </w:r>
      <w:r w:rsidRPr="003B37B6">
        <w:rPr>
          <w:rStyle w:val="ac"/>
          <w:rFonts w:eastAsiaTheme="majorEastAsia"/>
          <w:sz w:val="24"/>
          <w:szCs w:val="24"/>
        </w:rPr>
        <w:t xml:space="preserve"> </w:t>
      </w:r>
      <w:r w:rsidR="00CB0514" w:rsidRPr="003B37B6">
        <w:rPr>
          <w:rStyle w:val="ac"/>
          <w:rFonts w:eastAsiaTheme="majorEastAsia"/>
          <w:sz w:val="24"/>
          <w:szCs w:val="24"/>
        </w:rPr>
        <w:t xml:space="preserve">к настоящим Клиническим рекомендациям </w:t>
      </w:r>
      <w:r w:rsidRPr="003B37B6">
        <w:rPr>
          <w:rStyle w:val="ac"/>
          <w:rFonts w:eastAsiaTheme="majorEastAsia"/>
          <w:sz w:val="24"/>
          <w:szCs w:val="24"/>
        </w:rPr>
        <w:t>[36]. Мониторинг АД в домашних условиях (ДМАД (в том числе активный мониторинг АД при помощи дистанционных технологий при наличии возможности в медицинском учреждении)) рекомендуется при недоступности метода СМАД или из-за предпочтений пациента. При этом диагноз АГ устанавливается в соответствии с пороговыми значениями, указанными в таблице П12 Приложени</w:t>
      </w:r>
      <w:r w:rsidR="000A6334" w:rsidRPr="003B37B6">
        <w:rPr>
          <w:rStyle w:val="ac"/>
          <w:rFonts w:eastAsiaTheme="majorEastAsia"/>
          <w:sz w:val="24"/>
          <w:szCs w:val="24"/>
        </w:rPr>
        <w:t>я</w:t>
      </w:r>
      <w:r w:rsidRPr="003B37B6">
        <w:rPr>
          <w:rStyle w:val="ac"/>
          <w:rFonts w:eastAsiaTheme="majorEastAsia"/>
          <w:sz w:val="24"/>
          <w:szCs w:val="24"/>
        </w:rPr>
        <w:t xml:space="preserve"> </w:t>
      </w:r>
      <w:r w:rsidR="00FB33EA" w:rsidRPr="003B37B6">
        <w:rPr>
          <w:rStyle w:val="ac"/>
          <w:rFonts w:eastAsiaTheme="majorEastAsia"/>
          <w:sz w:val="24"/>
          <w:szCs w:val="24"/>
        </w:rPr>
        <w:t>А2</w:t>
      </w:r>
      <w:r w:rsidRPr="003B37B6">
        <w:rPr>
          <w:rStyle w:val="ac"/>
          <w:rFonts w:eastAsiaTheme="majorEastAsia"/>
          <w:sz w:val="24"/>
          <w:szCs w:val="24"/>
        </w:rPr>
        <w:t xml:space="preserve"> </w:t>
      </w:r>
      <w:r w:rsidR="000A6334" w:rsidRPr="003B37B6">
        <w:rPr>
          <w:rStyle w:val="ac"/>
          <w:rFonts w:eastAsiaTheme="majorEastAsia"/>
          <w:sz w:val="24"/>
          <w:szCs w:val="24"/>
        </w:rPr>
        <w:t xml:space="preserve">к настоящим Клиническим рекомендациям </w:t>
      </w:r>
      <w:r w:rsidRPr="003B37B6">
        <w:rPr>
          <w:rStyle w:val="ac"/>
          <w:rFonts w:eastAsiaTheme="majorEastAsia"/>
          <w:sz w:val="24"/>
          <w:szCs w:val="24"/>
        </w:rPr>
        <w:t>[36].</w:t>
      </w:r>
    </w:p>
    <w:p w14:paraId="64EA1D07" w14:textId="443A2BCB" w:rsidR="001F0CA5" w:rsidRPr="001F0CA5" w:rsidRDefault="001F0CA5" w:rsidP="001F0CA5">
      <w:pPr>
        <w:pStyle w:val="11"/>
        <w:ind w:firstLine="600"/>
        <w:jc w:val="both"/>
        <w:rPr>
          <w:sz w:val="24"/>
          <w:szCs w:val="24"/>
        </w:rPr>
      </w:pPr>
      <w:r w:rsidRPr="001F0CA5">
        <w:rPr>
          <w:rStyle w:val="ac"/>
          <w:rFonts w:eastAsiaTheme="majorEastAsia"/>
          <w:sz w:val="24"/>
          <w:szCs w:val="24"/>
        </w:rPr>
        <w:t>В случае если диагноз важен для экспертизы трудоспособности или определения годности к военной службе, а также годности к профессиональной деятельности, необходима объективизация с помощью постановки СМАД.</w:t>
      </w:r>
      <w:r w:rsidR="007421CF">
        <w:rPr>
          <w:rStyle w:val="ac"/>
          <w:rFonts w:eastAsiaTheme="majorEastAsia"/>
          <w:sz w:val="24"/>
          <w:szCs w:val="24"/>
        </w:rPr>
        <w:t xml:space="preserve"> </w:t>
      </w:r>
    </w:p>
    <w:p w14:paraId="04687D79" w14:textId="77777777" w:rsidR="001F0CA5" w:rsidRPr="001F0CA5" w:rsidRDefault="001F0CA5">
      <w:pPr>
        <w:pStyle w:val="11"/>
        <w:numPr>
          <w:ilvl w:val="0"/>
          <w:numId w:val="7"/>
        </w:numPr>
        <w:tabs>
          <w:tab w:val="left" w:pos="1286"/>
        </w:tabs>
        <w:spacing w:line="394" w:lineRule="auto"/>
        <w:ind w:firstLine="600"/>
        <w:jc w:val="both"/>
        <w:rPr>
          <w:sz w:val="24"/>
          <w:szCs w:val="24"/>
        </w:rPr>
      </w:pPr>
      <w:r w:rsidRPr="001F0CA5">
        <w:rPr>
          <w:rStyle w:val="ac"/>
          <w:rFonts w:eastAsiaTheme="majorEastAsia"/>
          <w:sz w:val="24"/>
          <w:szCs w:val="24"/>
        </w:rPr>
        <w:t>Всем пациентам при измерении уровня АД в медицинском учреждении</w:t>
      </w:r>
    </w:p>
    <w:p w14:paraId="37A23BF6" w14:textId="77777777" w:rsidR="001F0CA5" w:rsidRPr="001F0CA5" w:rsidRDefault="001F0CA5" w:rsidP="001F0CA5">
      <w:pPr>
        <w:pStyle w:val="11"/>
        <w:ind w:firstLine="0"/>
        <w:jc w:val="both"/>
        <w:rPr>
          <w:sz w:val="24"/>
          <w:szCs w:val="24"/>
        </w:rPr>
      </w:pPr>
      <w:r w:rsidRPr="001F0CA5">
        <w:rPr>
          <w:rStyle w:val="ac"/>
          <w:rFonts w:eastAsiaTheme="majorEastAsia"/>
          <w:sz w:val="24"/>
          <w:szCs w:val="24"/>
        </w:rPr>
        <w:t>рекомендуется классифицировать его на оптимальное, нормальное, высокое нормальное артериальное давление или артериальную гипертензию 1-3-й степени [27].</w:t>
      </w:r>
    </w:p>
    <w:p w14:paraId="65E31E43" w14:textId="06AED621" w:rsidR="001F0CA5" w:rsidRPr="001F0CA5" w:rsidRDefault="001F0CA5" w:rsidP="001F0CA5">
      <w:pPr>
        <w:pStyle w:val="11"/>
        <w:ind w:firstLine="600"/>
        <w:jc w:val="both"/>
        <w:rPr>
          <w:sz w:val="24"/>
          <w:szCs w:val="24"/>
        </w:rPr>
      </w:pPr>
      <w:r w:rsidRPr="001F0CA5">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F02187">
        <w:rPr>
          <w:rStyle w:val="ac"/>
          <w:rFonts w:eastAsiaTheme="majorEastAsia"/>
          <w:b/>
          <w:bCs/>
          <w:sz w:val="24"/>
          <w:szCs w:val="24"/>
        </w:rPr>
        <w:t xml:space="preserve"> </w:t>
      </w:r>
      <w:r w:rsidRPr="001F0CA5">
        <w:rPr>
          <w:rStyle w:val="ac"/>
          <w:rFonts w:eastAsiaTheme="majorEastAsia"/>
          <w:b/>
          <w:bCs/>
          <w:sz w:val="24"/>
          <w:szCs w:val="24"/>
        </w:rPr>
        <w:t xml:space="preserve">С, </w:t>
      </w:r>
      <w:r w:rsidR="00F02187" w:rsidRPr="001F0CA5">
        <w:rPr>
          <w:rStyle w:val="ac"/>
          <w:rFonts w:eastAsiaTheme="majorEastAsia"/>
          <w:b/>
          <w:bCs/>
          <w:sz w:val="24"/>
          <w:szCs w:val="24"/>
        </w:rPr>
        <w:t>(</w:t>
      </w:r>
      <w:r w:rsidR="00F02187">
        <w:rPr>
          <w:rStyle w:val="ac"/>
          <w:rFonts w:eastAsiaTheme="majorEastAsia"/>
          <w:b/>
          <w:bCs/>
          <w:sz w:val="24"/>
          <w:szCs w:val="24"/>
        </w:rPr>
        <w:t>Уровень достоверности доказательств</w:t>
      </w:r>
      <w:r w:rsidRPr="001F0CA5">
        <w:rPr>
          <w:rStyle w:val="ac"/>
          <w:rFonts w:eastAsiaTheme="majorEastAsia"/>
          <w:b/>
          <w:bCs/>
          <w:sz w:val="24"/>
          <w:szCs w:val="24"/>
        </w:rPr>
        <w:t xml:space="preserve"> 5</w:t>
      </w:r>
      <w:r w:rsidR="00F02187" w:rsidRPr="001F0CA5">
        <w:rPr>
          <w:rStyle w:val="ac"/>
          <w:rFonts w:eastAsiaTheme="majorEastAsia"/>
          <w:b/>
          <w:bCs/>
          <w:sz w:val="24"/>
          <w:szCs w:val="24"/>
        </w:rPr>
        <w:t>)</w:t>
      </w:r>
      <w:r w:rsidR="00F02187" w:rsidRPr="00F02187">
        <w:rPr>
          <w:rStyle w:val="ac"/>
          <w:rFonts w:eastAsiaTheme="majorEastAsia"/>
          <w:b/>
          <w:bCs/>
          <w:sz w:val="24"/>
          <w:szCs w:val="24"/>
        </w:rPr>
        <w:t>;</w:t>
      </w:r>
      <w:r w:rsidR="00F02187">
        <w:rPr>
          <w:rStyle w:val="ac"/>
          <w:rFonts w:eastAsiaTheme="majorEastAsia"/>
          <w:b/>
          <w:bCs/>
          <w:sz w:val="24"/>
          <w:szCs w:val="24"/>
        </w:rPr>
        <w:t xml:space="preserve"> </w:t>
      </w:r>
      <w:r w:rsidR="00F02187" w:rsidRPr="001F0CA5">
        <w:rPr>
          <w:rStyle w:val="ac"/>
          <w:rFonts w:eastAsiaTheme="majorEastAsia"/>
          <w:b/>
          <w:bCs/>
          <w:sz w:val="24"/>
          <w:szCs w:val="24"/>
        </w:rPr>
        <w:t>ЕОК/ЕОАГ нет</w:t>
      </w:r>
      <w:r w:rsidR="007421CF">
        <w:rPr>
          <w:rStyle w:val="ac"/>
          <w:rFonts w:eastAsiaTheme="majorEastAsia"/>
          <w:b/>
          <w:bCs/>
          <w:sz w:val="24"/>
          <w:szCs w:val="24"/>
        </w:rPr>
        <w:t>.</w:t>
      </w:r>
    </w:p>
    <w:p w14:paraId="550CDEA2" w14:textId="698A56DC" w:rsidR="001F0CA5" w:rsidRPr="003B37B6" w:rsidRDefault="001F0CA5" w:rsidP="00AF570E">
      <w:pPr>
        <w:pStyle w:val="11"/>
        <w:ind w:firstLine="600"/>
        <w:jc w:val="both"/>
        <w:rPr>
          <w:i/>
          <w:iCs/>
          <w:sz w:val="24"/>
          <w:szCs w:val="24"/>
        </w:rPr>
      </w:pPr>
      <w:r w:rsidRPr="001F0CA5">
        <w:rPr>
          <w:rStyle w:val="ac"/>
          <w:rFonts w:eastAsiaTheme="majorEastAsia"/>
          <w:b/>
          <w:bCs/>
          <w:sz w:val="24"/>
          <w:szCs w:val="24"/>
        </w:rPr>
        <w:t xml:space="preserve">Комментарий. </w:t>
      </w:r>
      <w:r w:rsidRPr="001F0CA5">
        <w:rPr>
          <w:rStyle w:val="ac"/>
          <w:rFonts w:eastAsiaTheme="majorEastAsia"/>
          <w:i/>
          <w:iCs/>
          <w:sz w:val="24"/>
          <w:szCs w:val="24"/>
        </w:rPr>
        <w:t xml:space="preserve">Артериальная гипертензия диагностируется при повышении САД, </w:t>
      </w:r>
      <w:r w:rsidRPr="003B37B6">
        <w:rPr>
          <w:rStyle w:val="ac"/>
          <w:rFonts w:eastAsiaTheme="majorEastAsia"/>
          <w:i/>
          <w:iCs/>
          <w:sz w:val="24"/>
          <w:szCs w:val="24"/>
        </w:rPr>
        <w:lastRenderedPageBreak/>
        <w:t>измеренного в медицинском учреждении до 140 мм рт. ст. и выше и/или повышении ДАД до 90 мм рт. ст. и выше (таблица П2 Приложени</w:t>
      </w:r>
      <w:r w:rsidR="007421CF" w:rsidRPr="003B37B6">
        <w:rPr>
          <w:rStyle w:val="ac"/>
          <w:rFonts w:eastAsiaTheme="majorEastAsia"/>
          <w:i/>
          <w:iCs/>
          <w:sz w:val="24"/>
          <w:szCs w:val="24"/>
        </w:rPr>
        <w:t>я</w:t>
      </w:r>
      <w:r w:rsidRPr="003B37B6">
        <w:rPr>
          <w:rStyle w:val="ac"/>
          <w:rFonts w:eastAsiaTheme="majorEastAsia"/>
          <w:i/>
          <w:iCs/>
          <w:sz w:val="24"/>
          <w:szCs w:val="24"/>
        </w:rPr>
        <w:t xml:space="preserve"> </w:t>
      </w:r>
      <w:r w:rsidR="00FB33EA" w:rsidRPr="003B37B6">
        <w:rPr>
          <w:rStyle w:val="ac"/>
          <w:rFonts w:eastAsiaTheme="majorEastAsia"/>
          <w:i/>
          <w:iCs/>
          <w:sz w:val="24"/>
          <w:szCs w:val="24"/>
        </w:rPr>
        <w:t>А2</w:t>
      </w:r>
      <w:r w:rsidR="007421CF" w:rsidRPr="003B37B6">
        <w:rPr>
          <w:rStyle w:val="ac"/>
          <w:rFonts w:eastAsiaTheme="majorEastAsia"/>
          <w:sz w:val="24"/>
          <w:szCs w:val="24"/>
        </w:rPr>
        <w:t xml:space="preserve"> </w:t>
      </w:r>
      <w:r w:rsidR="007421CF" w:rsidRPr="003B37B6">
        <w:rPr>
          <w:rStyle w:val="ac"/>
          <w:rFonts w:eastAsiaTheme="majorEastAsia"/>
          <w:i/>
          <w:iCs/>
          <w:sz w:val="24"/>
          <w:szCs w:val="24"/>
        </w:rPr>
        <w:t>к настоящим Клиническим рекомендациям</w:t>
      </w:r>
      <w:r w:rsidRPr="003B37B6">
        <w:rPr>
          <w:rStyle w:val="ac"/>
          <w:rFonts w:eastAsiaTheme="majorEastAsia"/>
          <w:i/>
          <w:iCs/>
          <w:sz w:val="24"/>
          <w:szCs w:val="24"/>
        </w:rPr>
        <w:t xml:space="preserve">) на двух разных визитах, за исключением </w:t>
      </w:r>
      <w:r w:rsidR="00BD5D90" w:rsidRPr="003B37B6">
        <w:rPr>
          <w:rStyle w:val="ac"/>
          <w:rFonts w:eastAsiaTheme="majorEastAsia"/>
          <w:i/>
          <w:iCs/>
          <w:sz w:val="24"/>
          <w:szCs w:val="24"/>
        </w:rPr>
        <w:t>тяжёлой</w:t>
      </w:r>
      <w:r w:rsidRPr="003B37B6">
        <w:rPr>
          <w:rStyle w:val="ac"/>
          <w:rFonts w:eastAsiaTheme="majorEastAsia"/>
          <w:i/>
          <w:iCs/>
          <w:sz w:val="24"/>
          <w:szCs w:val="24"/>
        </w:rPr>
        <w:t xml:space="preserve"> АГ (АГ 2-3-й степени, особенно у пациентов высокого риска) и/или повышения АД при измерении вне медицинского учреждения (по данным СМАД и/или ДМАД (в том числе активного</w:t>
      </w:r>
      <w:r w:rsidR="002F76B8" w:rsidRPr="003B37B6">
        <w:rPr>
          <w:sz w:val="24"/>
          <w:szCs w:val="24"/>
        </w:rPr>
        <w:t xml:space="preserve"> </w:t>
      </w:r>
      <w:r w:rsidRPr="003B37B6">
        <w:rPr>
          <w:rStyle w:val="ac"/>
          <w:rFonts w:eastAsiaTheme="majorEastAsia"/>
          <w:i/>
          <w:iCs/>
          <w:sz w:val="24"/>
          <w:szCs w:val="24"/>
        </w:rPr>
        <w:t>мониторинга АД при помощи дистанционных технологий) при условии экономической и логистической целесообразности</w:t>
      </w:r>
      <w:r w:rsidRPr="003B37B6">
        <w:rPr>
          <w:rStyle w:val="ac"/>
          <w:rFonts w:eastAsiaTheme="majorEastAsia"/>
          <w:sz w:val="24"/>
          <w:szCs w:val="24"/>
        </w:rPr>
        <w:t xml:space="preserve"> [28, 37, 38, 39, 40, 41] </w:t>
      </w:r>
      <w:r w:rsidRPr="003B37B6">
        <w:rPr>
          <w:rStyle w:val="ac"/>
          <w:rFonts w:eastAsiaTheme="majorEastAsia"/>
          <w:i/>
          <w:iCs/>
          <w:sz w:val="24"/>
          <w:szCs w:val="24"/>
        </w:rPr>
        <w:t>(таблица П10 Приложени</w:t>
      </w:r>
      <w:r w:rsidR="00CB783D" w:rsidRPr="003B37B6">
        <w:rPr>
          <w:rStyle w:val="ac"/>
          <w:rFonts w:eastAsiaTheme="majorEastAsia"/>
          <w:i/>
          <w:iCs/>
          <w:sz w:val="24"/>
          <w:szCs w:val="24"/>
        </w:rPr>
        <w:t>я</w:t>
      </w:r>
      <w:r w:rsidRPr="003B37B6">
        <w:rPr>
          <w:rStyle w:val="ac"/>
          <w:rFonts w:eastAsiaTheme="majorEastAsia"/>
          <w:i/>
          <w:iCs/>
          <w:sz w:val="24"/>
          <w:szCs w:val="24"/>
        </w:rPr>
        <w:t xml:space="preserve"> </w:t>
      </w:r>
      <w:r w:rsidR="00FB33EA" w:rsidRPr="003B37B6">
        <w:rPr>
          <w:rStyle w:val="ac"/>
          <w:rFonts w:eastAsiaTheme="majorEastAsia"/>
          <w:i/>
          <w:iCs/>
          <w:sz w:val="24"/>
          <w:szCs w:val="24"/>
        </w:rPr>
        <w:t>А2</w:t>
      </w:r>
      <w:r w:rsidR="00CB783D" w:rsidRPr="003B37B6">
        <w:rPr>
          <w:rStyle w:val="ac"/>
          <w:rFonts w:eastAsiaTheme="majorEastAsia"/>
          <w:sz w:val="24"/>
          <w:szCs w:val="24"/>
        </w:rPr>
        <w:t xml:space="preserve"> </w:t>
      </w:r>
      <w:r w:rsidR="00CB783D" w:rsidRPr="003B37B6">
        <w:rPr>
          <w:rStyle w:val="ac"/>
          <w:rFonts w:eastAsiaTheme="majorEastAsia"/>
          <w:i/>
          <w:iCs/>
          <w:sz w:val="24"/>
          <w:szCs w:val="24"/>
        </w:rPr>
        <w:t>к настоящим Клиническим рекомендациям</w:t>
      </w:r>
      <w:r w:rsidRPr="003B37B6">
        <w:rPr>
          <w:rStyle w:val="ac"/>
          <w:rFonts w:eastAsiaTheme="majorEastAsia"/>
          <w:i/>
          <w:iCs/>
          <w:sz w:val="24"/>
          <w:szCs w:val="24"/>
        </w:rPr>
        <w:t>).</w:t>
      </w:r>
    </w:p>
    <w:p w14:paraId="69C5D513" w14:textId="77777777" w:rsidR="001F0CA5" w:rsidRPr="003B37B6" w:rsidRDefault="001F0CA5">
      <w:pPr>
        <w:pStyle w:val="11"/>
        <w:numPr>
          <w:ilvl w:val="0"/>
          <w:numId w:val="7"/>
        </w:numPr>
        <w:tabs>
          <w:tab w:val="left" w:pos="925"/>
        </w:tabs>
        <w:ind w:firstLine="600"/>
        <w:jc w:val="both"/>
        <w:rPr>
          <w:sz w:val="24"/>
          <w:szCs w:val="24"/>
        </w:rPr>
      </w:pPr>
      <w:r w:rsidRPr="003B37B6">
        <w:rPr>
          <w:rStyle w:val="ac"/>
          <w:rFonts w:eastAsiaTheme="majorEastAsia"/>
          <w:i/>
          <w:iCs/>
          <w:sz w:val="24"/>
          <w:szCs w:val="24"/>
        </w:rPr>
        <w:t>всех пациентов с впервые диагностированным гипертоническим кризом, необходимо выявить причину повышения АД, в т.ч. симптоматическую АГ.</w:t>
      </w:r>
    </w:p>
    <w:p w14:paraId="658C2D24" w14:textId="77777777" w:rsidR="001F0CA5" w:rsidRPr="003B37B6" w:rsidRDefault="001F0CA5" w:rsidP="001F0CA5">
      <w:pPr>
        <w:pStyle w:val="11"/>
        <w:ind w:firstLine="600"/>
        <w:jc w:val="both"/>
        <w:rPr>
          <w:sz w:val="24"/>
          <w:szCs w:val="24"/>
        </w:rPr>
      </w:pPr>
      <w:r w:rsidRPr="003B37B6">
        <w:rPr>
          <w:rStyle w:val="ac"/>
          <w:rFonts w:eastAsiaTheme="majorEastAsia"/>
          <w:i/>
          <w:iCs/>
          <w:sz w:val="24"/>
          <w:szCs w:val="24"/>
        </w:rPr>
        <w:t>На каждом визите должно быть проведено не менее двух измерений АД с интервалом в 1</w:t>
      </w:r>
      <w:r w:rsidRPr="003B37B6">
        <w:rPr>
          <w:rStyle w:val="ac"/>
          <w:rFonts w:eastAsiaTheme="majorEastAsia"/>
          <w:i/>
          <w:iCs/>
          <w:sz w:val="24"/>
          <w:szCs w:val="24"/>
        </w:rPr>
        <w:softHyphen/>
        <w:t xml:space="preserve">2 мин и </w:t>
      </w:r>
      <w:r w:rsidR="00343B2D" w:rsidRPr="003B37B6">
        <w:rPr>
          <w:rStyle w:val="ac"/>
          <w:rFonts w:eastAsiaTheme="majorEastAsia"/>
          <w:i/>
          <w:iCs/>
          <w:sz w:val="24"/>
          <w:szCs w:val="24"/>
        </w:rPr>
        <w:t>ещё</w:t>
      </w:r>
      <w:r w:rsidRPr="003B37B6">
        <w:rPr>
          <w:rStyle w:val="ac"/>
          <w:rFonts w:eastAsiaTheme="majorEastAsia"/>
          <w:i/>
          <w:iCs/>
          <w:sz w:val="24"/>
          <w:szCs w:val="24"/>
        </w:rPr>
        <w:t xml:space="preserve"> одно дополнительное измерение при разнице между первыми двумя более 10 мм рт. ст. Уровень АД — это среднее из последних двух измерений.</w:t>
      </w:r>
    </w:p>
    <w:p w14:paraId="4DACA5DA" w14:textId="3A97B27F" w:rsidR="001F0CA5" w:rsidRPr="003B37B6" w:rsidRDefault="001F0CA5">
      <w:pPr>
        <w:pStyle w:val="11"/>
        <w:numPr>
          <w:ilvl w:val="0"/>
          <w:numId w:val="7"/>
        </w:numPr>
        <w:tabs>
          <w:tab w:val="left" w:pos="1278"/>
        </w:tabs>
        <w:spacing w:line="394" w:lineRule="auto"/>
        <w:ind w:firstLine="600"/>
        <w:jc w:val="both"/>
        <w:rPr>
          <w:sz w:val="24"/>
          <w:szCs w:val="24"/>
        </w:rPr>
      </w:pPr>
      <w:r w:rsidRPr="003B37B6">
        <w:rPr>
          <w:rStyle w:val="ac"/>
          <w:rFonts w:eastAsiaTheme="majorEastAsia"/>
          <w:sz w:val="24"/>
          <w:szCs w:val="24"/>
        </w:rPr>
        <w:t>Измерение АД на периферических артериях вне медицинского учреждения (СМАД</w:t>
      </w:r>
      <w:r w:rsidR="00AF570E" w:rsidRPr="003B37B6">
        <w:rPr>
          <w:sz w:val="24"/>
          <w:szCs w:val="24"/>
        </w:rPr>
        <w:t xml:space="preserve"> </w:t>
      </w:r>
      <w:r w:rsidRPr="003B37B6">
        <w:rPr>
          <w:rStyle w:val="ac"/>
          <w:rFonts w:eastAsiaTheme="majorEastAsia"/>
          <w:sz w:val="24"/>
          <w:szCs w:val="24"/>
        </w:rPr>
        <w:t>и ДМАД (в том числе активный мониторинг АД при помощи дистанционных технологий при наличии возможности в медицинском учреждении)) рекомендуется в отдельных клинических ситуациях (</w:t>
      </w:r>
      <w:r w:rsidRPr="003B37B6">
        <w:rPr>
          <w:rStyle w:val="ac"/>
          <w:rFonts w:eastAsiaTheme="majorEastAsia"/>
          <w:i/>
          <w:iCs/>
          <w:sz w:val="24"/>
          <w:szCs w:val="24"/>
        </w:rPr>
        <w:t>таблица П10 Приложени</w:t>
      </w:r>
      <w:r w:rsidR="00F432C8" w:rsidRPr="003B37B6">
        <w:rPr>
          <w:rStyle w:val="ac"/>
          <w:rFonts w:eastAsiaTheme="majorEastAsia"/>
          <w:i/>
          <w:iCs/>
          <w:sz w:val="24"/>
          <w:szCs w:val="24"/>
        </w:rPr>
        <w:t>я</w:t>
      </w:r>
      <w:r w:rsidRPr="003B37B6">
        <w:rPr>
          <w:rStyle w:val="ac"/>
          <w:rFonts w:eastAsiaTheme="majorEastAsia"/>
          <w:i/>
          <w:iCs/>
          <w:sz w:val="24"/>
          <w:szCs w:val="24"/>
        </w:rPr>
        <w:t xml:space="preserve"> </w:t>
      </w:r>
      <w:r w:rsidR="00FB33EA" w:rsidRPr="003B37B6">
        <w:rPr>
          <w:rStyle w:val="ac"/>
          <w:rFonts w:eastAsiaTheme="majorEastAsia"/>
          <w:i/>
          <w:iCs/>
          <w:sz w:val="24"/>
          <w:szCs w:val="24"/>
        </w:rPr>
        <w:t>А2</w:t>
      </w:r>
      <w:r w:rsidR="00F432C8" w:rsidRPr="003B37B6">
        <w:rPr>
          <w:rStyle w:val="ac"/>
          <w:rFonts w:eastAsiaTheme="majorEastAsia"/>
          <w:sz w:val="24"/>
          <w:szCs w:val="24"/>
        </w:rPr>
        <w:t xml:space="preserve"> </w:t>
      </w:r>
      <w:r w:rsidR="00F432C8" w:rsidRPr="003B37B6">
        <w:rPr>
          <w:rStyle w:val="ac"/>
          <w:rFonts w:eastAsiaTheme="majorEastAsia"/>
          <w:i/>
          <w:iCs/>
          <w:sz w:val="24"/>
          <w:szCs w:val="24"/>
        </w:rPr>
        <w:t>к настоящим Клиническим рекомендациям</w:t>
      </w:r>
      <w:r w:rsidRPr="003B37B6">
        <w:rPr>
          <w:rStyle w:val="ac"/>
          <w:rFonts w:eastAsiaTheme="majorEastAsia"/>
          <w:i/>
          <w:iCs/>
          <w:sz w:val="24"/>
          <w:szCs w:val="24"/>
        </w:rPr>
        <w:t xml:space="preserve">): </w:t>
      </w:r>
      <w:r w:rsidRPr="003B37B6">
        <w:rPr>
          <w:rStyle w:val="ac"/>
          <w:rFonts w:eastAsiaTheme="majorEastAsia"/>
          <w:sz w:val="24"/>
          <w:szCs w:val="24"/>
        </w:rPr>
        <w:t>при выявлении изолированной офисной АГ и изолированной амбулаторной АГ с целью оценки эффективности лечения и выявлении возможных побочных эффектов, а также у беременных [27, 28, 42, 12]</w:t>
      </w:r>
      <w:r w:rsidRPr="003B37B6">
        <w:rPr>
          <w:rStyle w:val="ac"/>
          <w:rFonts w:eastAsiaTheme="majorEastAsia"/>
          <w:i/>
          <w:iCs/>
          <w:sz w:val="24"/>
          <w:szCs w:val="24"/>
        </w:rPr>
        <w:t>.</w:t>
      </w:r>
    </w:p>
    <w:p w14:paraId="73638BFC" w14:textId="3992897C" w:rsidR="001F0CA5" w:rsidRPr="003B37B6" w:rsidRDefault="001F0CA5" w:rsidP="001F0CA5">
      <w:pPr>
        <w:pStyle w:val="11"/>
        <w:ind w:firstLine="600"/>
        <w:jc w:val="both"/>
        <w:rPr>
          <w:rStyle w:val="ac"/>
          <w:rFonts w:eastAsiaTheme="majorEastAsia"/>
          <w:b/>
          <w:bCs/>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F02187" w:rsidRPr="003B37B6">
        <w:rPr>
          <w:rStyle w:val="ac"/>
          <w:rFonts w:eastAsiaTheme="majorEastAsia"/>
          <w:b/>
          <w:bCs/>
          <w:sz w:val="24"/>
          <w:szCs w:val="24"/>
        </w:rPr>
        <w:t xml:space="preserve"> </w:t>
      </w:r>
      <w:r w:rsidRPr="003B37B6">
        <w:rPr>
          <w:rStyle w:val="ac"/>
          <w:rFonts w:eastAsiaTheme="majorEastAsia"/>
          <w:b/>
          <w:bCs/>
          <w:sz w:val="24"/>
          <w:szCs w:val="24"/>
        </w:rPr>
        <w:t xml:space="preserve">С, </w:t>
      </w:r>
      <w:r w:rsidR="00F02187"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5)</w:t>
      </w:r>
      <w:r w:rsidR="00F02187" w:rsidRPr="003B37B6">
        <w:rPr>
          <w:rStyle w:val="ac"/>
          <w:rFonts w:eastAsiaTheme="majorEastAsia"/>
          <w:b/>
          <w:bCs/>
          <w:sz w:val="24"/>
          <w:szCs w:val="24"/>
        </w:rPr>
        <w:t xml:space="preserve">; ЕОК/ЕОАГ </w:t>
      </w:r>
      <w:r w:rsidR="00F02187" w:rsidRPr="003B37B6">
        <w:rPr>
          <w:rStyle w:val="ac"/>
          <w:rFonts w:eastAsiaTheme="majorEastAsia"/>
          <w:b/>
          <w:bCs/>
          <w:sz w:val="24"/>
          <w:szCs w:val="24"/>
          <w:lang w:val="en-US"/>
        </w:rPr>
        <w:t>IA</w:t>
      </w:r>
      <w:r w:rsidR="001131A8" w:rsidRPr="003B37B6">
        <w:rPr>
          <w:rStyle w:val="ac"/>
          <w:rFonts w:eastAsiaTheme="majorEastAsia"/>
          <w:b/>
          <w:bCs/>
          <w:sz w:val="24"/>
          <w:szCs w:val="24"/>
        </w:rPr>
        <w:t>.</w:t>
      </w:r>
    </w:p>
    <w:p w14:paraId="3CE6A981" w14:textId="1737D895" w:rsidR="00F02187" w:rsidRPr="003B37B6" w:rsidRDefault="00F02187" w:rsidP="001F0CA5">
      <w:pPr>
        <w:pStyle w:val="11"/>
        <w:ind w:firstLine="600"/>
        <w:jc w:val="both"/>
        <w:rPr>
          <w:i/>
          <w:iCs/>
          <w:sz w:val="28"/>
          <w:szCs w:val="28"/>
        </w:rPr>
      </w:pPr>
      <w:r w:rsidRPr="003B37B6">
        <w:rPr>
          <w:rStyle w:val="aff9"/>
          <w:rFonts w:eastAsiaTheme="majorEastAsia"/>
          <w:sz w:val="24"/>
          <w:szCs w:val="24"/>
        </w:rPr>
        <w:t>Комментарий:</w:t>
      </w:r>
      <w:r w:rsidRPr="003B37B6">
        <w:rPr>
          <w:sz w:val="24"/>
          <w:szCs w:val="24"/>
        </w:rPr>
        <w:t xml:space="preserve"> </w:t>
      </w:r>
      <w:r w:rsidRPr="003B37B6">
        <w:rPr>
          <w:i/>
          <w:iCs/>
          <w:sz w:val="24"/>
          <w:szCs w:val="24"/>
        </w:rPr>
        <w:t>Измерение артериального давления вне медицинского учреждения — с помощью суточного мониторирования (СМАД), домашнего мониторирования (ДМАД) или дистанционных технологий — позволяет выявлять изолированную офисную гипертензию («гипертонию белого халата») и изолированную амбулаторную гипертензию («маскированную гипертонию»), а также объективно оценивать эффективность терапии и возможные побочные эффекты лечения. У беременных этот подход важен для своевременной диагностики преэклампсии и контроля АД в динамике.</w:t>
      </w:r>
    </w:p>
    <w:p w14:paraId="4CFE430C" w14:textId="5B55322B" w:rsidR="00343B2D" w:rsidRPr="003B37B6" w:rsidRDefault="001F0CA5" w:rsidP="00343B2D">
      <w:pPr>
        <w:pStyle w:val="11"/>
        <w:tabs>
          <w:tab w:val="left" w:pos="1278"/>
        </w:tabs>
        <w:spacing w:line="394" w:lineRule="auto"/>
        <w:ind w:firstLine="709"/>
        <w:jc w:val="both"/>
        <w:rPr>
          <w:sz w:val="24"/>
          <w:szCs w:val="24"/>
        </w:rPr>
      </w:pPr>
      <w:r w:rsidRPr="003B37B6">
        <w:rPr>
          <w:rStyle w:val="ac"/>
          <w:rFonts w:eastAsiaTheme="majorEastAsia"/>
          <w:sz w:val="24"/>
          <w:szCs w:val="24"/>
        </w:rPr>
        <w:t>Рекомендуется при установлении диагноза учитывать возможность вторичной</w:t>
      </w:r>
      <w:r w:rsidR="00343B2D" w:rsidRPr="003B37B6">
        <w:rPr>
          <w:sz w:val="24"/>
          <w:szCs w:val="24"/>
        </w:rPr>
        <w:t xml:space="preserve"> </w:t>
      </w:r>
      <w:r w:rsidRPr="003B37B6">
        <w:rPr>
          <w:rStyle w:val="ac"/>
          <w:rFonts w:eastAsiaTheme="majorEastAsia"/>
          <w:sz w:val="24"/>
          <w:szCs w:val="24"/>
        </w:rPr>
        <w:t>(симптоматической) формы АГ и проводить диагностические мероприятия, направленные на ее исключение при наличии следующих признаков [43, 44, 45] (таблица П5 и П6</w:t>
      </w:r>
      <w:r w:rsidR="00893E83" w:rsidRPr="003B37B6">
        <w:rPr>
          <w:rStyle w:val="ac"/>
          <w:rFonts w:eastAsiaTheme="majorEastAsia"/>
          <w:strike/>
          <w:color w:val="EE0000"/>
          <w:sz w:val="24"/>
          <w:szCs w:val="24"/>
        </w:rPr>
        <w:t>,</w:t>
      </w:r>
      <w:r w:rsidRPr="003B37B6">
        <w:rPr>
          <w:rStyle w:val="ac"/>
          <w:rFonts w:eastAsiaTheme="majorEastAsia"/>
          <w:strike/>
          <w:color w:val="EE0000"/>
          <w:sz w:val="24"/>
          <w:szCs w:val="24"/>
        </w:rPr>
        <w:t xml:space="preserve"> </w:t>
      </w:r>
      <w:r w:rsidRPr="003B37B6">
        <w:rPr>
          <w:rStyle w:val="ac"/>
          <w:rFonts w:eastAsiaTheme="majorEastAsia"/>
          <w:sz w:val="24"/>
          <w:szCs w:val="24"/>
        </w:rPr>
        <w:t>Приложени</w:t>
      </w:r>
      <w:r w:rsidR="00893E83" w:rsidRPr="003B37B6">
        <w:rPr>
          <w:rStyle w:val="ac"/>
          <w:rFonts w:eastAsiaTheme="majorEastAsia"/>
          <w:sz w:val="24"/>
          <w:szCs w:val="24"/>
        </w:rPr>
        <w:t>я</w:t>
      </w:r>
      <w:r w:rsidRPr="003B37B6">
        <w:rPr>
          <w:rStyle w:val="ac"/>
          <w:rFonts w:eastAsiaTheme="majorEastAsia"/>
          <w:sz w:val="24"/>
          <w:szCs w:val="24"/>
        </w:rPr>
        <w:t xml:space="preserve"> </w:t>
      </w:r>
      <w:r w:rsidR="00FB33EA" w:rsidRPr="003B37B6">
        <w:rPr>
          <w:rStyle w:val="ac"/>
          <w:rFonts w:eastAsiaTheme="majorEastAsia"/>
          <w:sz w:val="24"/>
          <w:szCs w:val="24"/>
        </w:rPr>
        <w:t>А2</w:t>
      </w:r>
      <w:r w:rsidRPr="003B37B6">
        <w:rPr>
          <w:rStyle w:val="ac"/>
          <w:rFonts w:eastAsiaTheme="majorEastAsia"/>
          <w:sz w:val="24"/>
          <w:szCs w:val="24"/>
        </w:rPr>
        <w:t xml:space="preserve">, </w:t>
      </w:r>
      <w:r w:rsidR="00893E83" w:rsidRPr="003B37B6">
        <w:rPr>
          <w:rStyle w:val="ac"/>
          <w:rFonts w:eastAsiaTheme="majorEastAsia"/>
          <w:sz w:val="24"/>
          <w:szCs w:val="24"/>
        </w:rPr>
        <w:t xml:space="preserve">глава </w:t>
      </w:r>
      <w:r w:rsidRPr="003B37B6">
        <w:rPr>
          <w:rStyle w:val="ac"/>
          <w:rFonts w:eastAsiaTheme="majorEastAsia"/>
          <w:sz w:val="24"/>
          <w:szCs w:val="24"/>
        </w:rPr>
        <w:t>1</w:t>
      </w:r>
      <w:r w:rsidR="00893E83" w:rsidRPr="003B37B6">
        <w:rPr>
          <w:rStyle w:val="ac"/>
          <w:rFonts w:eastAsiaTheme="majorEastAsia"/>
          <w:sz w:val="24"/>
          <w:szCs w:val="24"/>
        </w:rPr>
        <w:t xml:space="preserve"> Приложения Б</w:t>
      </w:r>
      <w:r w:rsidR="00E7280B" w:rsidRPr="003B37B6">
        <w:rPr>
          <w:rStyle w:val="ac"/>
          <w:rFonts w:eastAsiaTheme="majorEastAsia"/>
          <w:sz w:val="24"/>
          <w:szCs w:val="24"/>
        </w:rPr>
        <w:t xml:space="preserve"> к настоящим Клиническим рекомендациям</w:t>
      </w:r>
      <w:r w:rsidRPr="003B37B6">
        <w:rPr>
          <w:rStyle w:val="ac"/>
          <w:rFonts w:eastAsiaTheme="majorEastAsia"/>
          <w:sz w:val="24"/>
          <w:szCs w:val="24"/>
        </w:rPr>
        <w:t>):</w:t>
      </w:r>
    </w:p>
    <w:p w14:paraId="515F10FB" w14:textId="77777777" w:rsidR="00343B2D" w:rsidRPr="003B37B6" w:rsidRDefault="001F0CA5" w:rsidP="00424F51">
      <w:pPr>
        <w:pStyle w:val="11"/>
        <w:numPr>
          <w:ilvl w:val="0"/>
          <w:numId w:val="46"/>
        </w:numPr>
        <w:ind w:left="709" w:hanging="709"/>
        <w:jc w:val="both"/>
        <w:rPr>
          <w:sz w:val="24"/>
          <w:szCs w:val="24"/>
        </w:rPr>
      </w:pPr>
      <w:r w:rsidRPr="003B37B6">
        <w:rPr>
          <w:rStyle w:val="ac"/>
          <w:rFonts w:eastAsiaTheme="majorEastAsia"/>
          <w:sz w:val="24"/>
          <w:szCs w:val="24"/>
        </w:rPr>
        <w:t>АГ 2-й степени у пациентов моложе 40 лет или любое повышение АД у детей</w:t>
      </w:r>
    </w:p>
    <w:p w14:paraId="471B3D0F" w14:textId="77777777" w:rsidR="00343B2D" w:rsidRPr="003B37B6" w:rsidRDefault="001F0CA5" w:rsidP="00424F51">
      <w:pPr>
        <w:pStyle w:val="11"/>
        <w:numPr>
          <w:ilvl w:val="0"/>
          <w:numId w:val="46"/>
        </w:numPr>
        <w:ind w:left="709" w:hanging="709"/>
        <w:jc w:val="both"/>
        <w:rPr>
          <w:sz w:val="24"/>
          <w:szCs w:val="24"/>
        </w:rPr>
      </w:pPr>
      <w:r w:rsidRPr="003B37B6">
        <w:rPr>
          <w:rStyle w:val="ac"/>
          <w:rFonts w:eastAsiaTheme="majorEastAsia"/>
          <w:sz w:val="24"/>
          <w:szCs w:val="24"/>
        </w:rPr>
        <w:lastRenderedPageBreak/>
        <w:t>Внезапное острое развитие АГ у пациентов с ранее документированной</w:t>
      </w:r>
      <w:r w:rsidR="00343B2D" w:rsidRPr="003B37B6">
        <w:rPr>
          <w:rStyle w:val="ac"/>
          <w:rFonts w:eastAsiaTheme="majorEastAsia"/>
          <w:sz w:val="24"/>
          <w:szCs w:val="24"/>
        </w:rPr>
        <w:t xml:space="preserve"> </w:t>
      </w:r>
      <w:r w:rsidRPr="003B37B6">
        <w:rPr>
          <w:rStyle w:val="ac"/>
          <w:rFonts w:eastAsiaTheme="majorEastAsia"/>
          <w:sz w:val="24"/>
          <w:szCs w:val="24"/>
        </w:rPr>
        <w:t>стойкой</w:t>
      </w:r>
      <w:r w:rsidR="00343B2D" w:rsidRPr="003B37B6">
        <w:rPr>
          <w:sz w:val="24"/>
          <w:szCs w:val="24"/>
        </w:rPr>
        <w:t xml:space="preserve"> </w:t>
      </w:r>
      <w:r w:rsidRPr="003B37B6">
        <w:rPr>
          <w:rStyle w:val="ac"/>
          <w:rFonts w:eastAsiaTheme="majorEastAsia"/>
          <w:sz w:val="24"/>
          <w:szCs w:val="24"/>
        </w:rPr>
        <w:t>нормотонией</w:t>
      </w:r>
    </w:p>
    <w:p w14:paraId="7B02340C" w14:textId="77777777" w:rsidR="001F0CA5" w:rsidRPr="003B37B6" w:rsidRDefault="001F0CA5" w:rsidP="00424F51">
      <w:pPr>
        <w:pStyle w:val="11"/>
        <w:numPr>
          <w:ilvl w:val="0"/>
          <w:numId w:val="46"/>
        </w:numPr>
        <w:ind w:left="709" w:hanging="709"/>
        <w:jc w:val="both"/>
        <w:rPr>
          <w:sz w:val="24"/>
          <w:szCs w:val="24"/>
        </w:rPr>
      </w:pPr>
      <w:r w:rsidRPr="003B37B6">
        <w:rPr>
          <w:rStyle w:val="ac"/>
          <w:rFonts w:eastAsiaTheme="majorEastAsia"/>
          <w:sz w:val="24"/>
          <w:szCs w:val="24"/>
        </w:rPr>
        <w:t>Резистентная АГ</w:t>
      </w:r>
    </w:p>
    <w:p w14:paraId="1E93BB21" w14:textId="77777777" w:rsidR="00343B2D" w:rsidRPr="003B37B6" w:rsidRDefault="001F0CA5" w:rsidP="00424F51">
      <w:pPr>
        <w:pStyle w:val="11"/>
        <w:numPr>
          <w:ilvl w:val="0"/>
          <w:numId w:val="46"/>
        </w:numPr>
        <w:tabs>
          <w:tab w:val="left" w:pos="1276"/>
        </w:tabs>
        <w:ind w:left="709" w:hanging="709"/>
        <w:jc w:val="both"/>
        <w:rPr>
          <w:sz w:val="24"/>
          <w:szCs w:val="24"/>
        </w:rPr>
      </w:pPr>
      <w:r w:rsidRPr="003B37B6">
        <w:rPr>
          <w:rStyle w:val="ac"/>
          <w:rFonts w:eastAsiaTheme="majorEastAsia"/>
          <w:sz w:val="24"/>
          <w:szCs w:val="24"/>
        </w:rPr>
        <w:t>АГ 3-й степени или гипертонический криз</w:t>
      </w:r>
    </w:p>
    <w:p w14:paraId="247EA3C0" w14:textId="77777777" w:rsidR="001F0CA5" w:rsidRPr="003B37B6" w:rsidRDefault="001F0CA5" w:rsidP="00424F51">
      <w:pPr>
        <w:pStyle w:val="11"/>
        <w:numPr>
          <w:ilvl w:val="0"/>
          <w:numId w:val="46"/>
        </w:numPr>
        <w:tabs>
          <w:tab w:val="left" w:pos="1276"/>
        </w:tabs>
        <w:ind w:left="709" w:hanging="709"/>
        <w:jc w:val="both"/>
        <w:rPr>
          <w:sz w:val="24"/>
          <w:szCs w:val="24"/>
        </w:rPr>
      </w:pPr>
      <w:r w:rsidRPr="003B37B6">
        <w:rPr>
          <w:rStyle w:val="ac"/>
          <w:rFonts w:eastAsiaTheme="majorEastAsia"/>
          <w:sz w:val="24"/>
          <w:szCs w:val="24"/>
        </w:rPr>
        <w:t>Признаки значительных изменений в органах-мишенях</w:t>
      </w:r>
    </w:p>
    <w:p w14:paraId="295CD086" w14:textId="77777777" w:rsidR="001F0CA5" w:rsidRPr="003B37B6" w:rsidRDefault="001F0CA5" w:rsidP="00424F51">
      <w:pPr>
        <w:pStyle w:val="11"/>
        <w:numPr>
          <w:ilvl w:val="0"/>
          <w:numId w:val="46"/>
        </w:numPr>
        <w:tabs>
          <w:tab w:val="left" w:pos="1418"/>
        </w:tabs>
        <w:ind w:left="709" w:hanging="709"/>
        <w:jc w:val="both"/>
        <w:rPr>
          <w:sz w:val="24"/>
          <w:szCs w:val="24"/>
        </w:rPr>
      </w:pPr>
      <w:r w:rsidRPr="003B37B6">
        <w:rPr>
          <w:rStyle w:val="ac"/>
          <w:rFonts w:eastAsiaTheme="majorEastAsia"/>
          <w:sz w:val="24"/>
          <w:szCs w:val="24"/>
        </w:rPr>
        <w:t>Клинические или лабораторные признаки, позволяющие подозревать эндокринные</w:t>
      </w:r>
      <w:r w:rsidR="00343B2D" w:rsidRPr="003B37B6">
        <w:rPr>
          <w:sz w:val="24"/>
          <w:szCs w:val="24"/>
        </w:rPr>
        <w:t xml:space="preserve"> </w:t>
      </w:r>
      <w:r w:rsidRPr="003B37B6">
        <w:rPr>
          <w:rStyle w:val="ac"/>
          <w:rFonts w:eastAsiaTheme="majorEastAsia"/>
          <w:sz w:val="24"/>
          <w:szCs w:val="24"/>
        </w:rPr>
        <w:t>причины АГ или ХБП</w:t>
      </w:r>
    </w:p>
    <w:p w14:paraId="68B85B00" w14:textId="77777777" w:rsidR="001F0CA5" w:rsidRPr="003B37B6" w:rsidRDefault="001F0CA5" w:rsidP="00424F51">
      <w:pPr>
        <w:pStyle w:val="11"/>
        <w:numPr>
          <w:ilvl w:val="0"/>
          <w:numId w:val="46"/>
        </w:numPr>
        <w:tabs>
          <w:tab w:val="left" w:pos="1278"/>
        </w:tabs>
        <w:ind w:left="709" w:hanging="709"/>
        <w:jc w:val="both"/>
        <w:rPr>
          <w:sz w:val="24"/>
          <w:szCs w:val="24"/>
        </w:rPr>
      </w:pPr>
      <w:r w:rsidRPr="003B37B6">
        <w:rPr>
          <w:rStyle w:val="ac"/>
          <w:rFonts w:eastAsiaTheme="majorEastAsia"/>
          <w:sz w:val="24"/>
          <w:szCs w:val="24"/>
        </w:rPr>
        <w:t>Клинические симптомы СОАС</w:t>
      </w:r>
    </w:p>
    <w:p w14:paraId="0388034B" w14:textId="77777777" w:rsidR="001F0CA5" w:rsidRPr="003B37B6" w:rsidRDefault="001F0CA5" w:rsidP="00424F51">
      <w:pPr>
        <w:pStyle w:val="11"/>
        <w:numPr>
          <w:ilvl w:val="0"/>
          <w:numId w:val="46"/>
        </w:numPr>
        <w:tabs>
          <w:tab w:val="left" w:pos="1278"/>
        </w:tabs>
        <w:ind w:left="709" w:hanging="709"/>
        <w:jc w:val="both"/>
        <w:rPr>
          <w:sz w:val="24"/>
          <w:szCs w:val="24"/>
        </w:rPr>
      </w:pPr>
      <w:r w:rsidRPr="003B37B6">
        <w:rPr>
          <w:rStyle w:val="ac"/>
          <w:rFonts w:eastAsiaTheme="majorEastAsia"/>
          <w:sz w:val="24"/>
          <w:szCs w:val="24"/>
        </w:rPr>
        <w:t>Симптомы, позволяющие заподозрить феохромоцитому, или семейный анамнез</w:t>
      </w:r>
    </w:p>
    <w:p w14:paraId="13F30421" w14:textId="77777777" w:rsidR="001F0CA5" w:rsidRPr="003B37B6" w:rsidRDefault="001F0CA5" w:rsidP="00424F51">
      <w:pPr>
        <w:pStyle w:val="11"/>
        <w:numPr>
          <w:ilvl w:val="0"/>
          <w:numId w:val="46"/>
        </w:numPr>
        <w:ind w:left="709" w:hanging="709"/>
        <w:rPr>
          <w:sz w:val="24"/>
          <w:szCs w:val="24"/>
        </w:rPr>
      </w:pPr>
      <w:r w:rsidRPr="003B37B6">
        <w:rPr>
          <w:rStyle w:val="ac"/>
          <w:rFonts w:eastAsiaTheme="majorEastAsia"/>
          <w:sz w:val="24"/>
          <w:szCs w:val="24"/>
        </w:rPr>
        <w:t>данной опухоли</w:t>
      </w:r>
    </w:p>
    <w:p w14:paraId="6CF21C16" w14:textId="62D07CC6" w:rsidR="001F0CA5" w:rsidRPr="003B37B6" w:rsidRDefault="003D51B3" w:rsidP="00E7280B">
      <w:pPr>
        <w:pStyle w:val="11"/>
        <w:ind w:firstLine="600"/>
        <w:jc w:val="both"/>
        <w:rPr>
          <w:sz w:val="24"/>
          <w:szCs w:val="24"/>
        </w:rPr>
      </w:pPr>
      <w:r w:rsidRPr="003B37B6">
        <w:rPr>
          <w:rStyle w:val="ac"/>
          <w:rFonts w:eastAsiaTheme="majorEastAsia"/>
          <w:b/>
          <w:bCs/>
          <w:sz w:val="24"/>
          <w:szCs w:val="24"/>
        </w:rPr>
        <w:t>Уровень убедительности рекомендаций</w:t>
      </w:r>
      <w:r w:rsidR="000C1EA4" w:rsidRPr="003B37B6">
        <w:rPr>
          <w:rStyle w:val="ac"/>
          <w:rFonts w:eastAsiaTheme="majorEastAsia"/>
          <w:b/>
          <w:bCs/>
          <w:sz w:val="24"/>
          <w:szCs w:val="24"/>
        </w:rPr>
        <w:t xml:space="preserve"> </w:t>
      </w:r>
      <w:r w:rsidR="001F0CA5" w:rsidRPr="003B37B6">
        <w:rPr>
          <w:rStyle w:val="ac"/>
          <w:rFonts w:eastAsiaTheme="majorEastAsia"/>
          <w:b/>
          <w:bCs/>
          <w:sz w:val="24"/>
          <w:szCs w:val="24"/>
          <w:lang w:val="en-US"/>
        </w:rPr>
        <w:t>A</w:t>
      </w:r>
      <w:r w:rsidR="001F0CA5" w:rsidRPr="003B37B6">
        <w:rPr>
          <w:rStyle w:val="ac"/>
          <w:rFonts w:eastAsiaTheme="majorEastAsia"/>
          <w:b/>
          <w:bCs/>
          <w:sz w:val="24"/>
          <w:szCs w:val="24"/>
        </w:rPr>
        <w:t xml:space="preserve">, </w:t>
      </w:r>
      <w:r w:rsidR="000C1EA4" w:rsidRPr="003B37B6">
        <w:rPr>
          <w:rStyle w:val="ac"/>
          <w:rFonts w:eastAsiaTheme="majorEastAsia"/>
          <w:b/>
          <w:bCs/>
          <w:sz w:val="24"/>
          <w:szCs w:val="24"/>
        </w:rPr>
        <w:t>(</w:t>
      </w:r>
      <w:r w:rsidRPr="003B37B6">
        <w:rPr>
          <w:rStyle w:val="ac"/>
          <w:rFonts w:eastAsiaTheme="majorEastAsia"/>
          <w:b/>
          <w:bCs/>
          <w:sz w:val="24"/>
          <w:szCs w:val="24"/>
        </w:rPr>
        <w:t>Уровень достоверности доказательств</w:t>
      </w:r>
      <w:r w:rsidR="001F0CA5" w:rsidRPr="003B37B6">
        <w:rPr>
          <w:rStyle w:val="ac"/>
          <w:rFonts w:eastAsiaTheme="majorEastAsia"/>
          <w:b/>
          <w:bCs/>
          <w:sz w:val="24"/>
          <w:szCs w:val="24"/>
        </w:rPr>
        <w:t xml:space="preserve"> 2</w:t>
      </w:r>
      <w:r w:rsidR="000C1EA4" w:rsidRPr="003B37B6">
        <w:rPr>
          <w:rStyle w:val="ac"/>
          <w:rFonts w:eastAsiaTheme="majorEastAsia"/>
          <w:b/>
          <w:bCs/>
          <w:sz w:val="24"/>
          <w:szCs w:val="24"/>
        </w:rPr>
        <w:t>); ЕОК/ЕОАГ нет</w:t>
      </w:r>
      <w:r w:rsidR="00893E83" w:rsidRPr="003B37B6">
        <w:rPr>
          <w:rStyle w:val="ac"/>
          <w:rFonts w:eastAsiaTheme="majorEastAsia"/>
          <w:b/>
          <w:bCs/>
          <w:sz w:val="24"/>
          <w:szCs w:val="24"/>
        </w:rPr>
        <w:t>.</w:t>
      </w:r>
    </w:p>
    <w:p w14:paraId="1F2C5761" w14:textId="5B70B4DF" w:rsidR="0092588B" w:rsidRPr="003B37B6" w:rsidRDefault="001F0CA5" w:rsidP="00E76724">
      <w:pPr>
        <w:pStyle w:val="11"/>
        <w:ind w:firstLine="600"/>
        <w:jc w:val="both"/>
        <w:rPr>
          <w:i/>
          <w:iCs/>
          <w:sz w:val="24"/>
          <w:szCs w:val="24"/>
        </w:rPr>
      </w:pPr>
      <w:r w:rsidRPr="003B37B6">
        <w:rPr>
          <w:rStyle w:val="ac"/>
          <w:rFonts w:eastAsiaTheme="majorEastAsia"/>
          <w:b/>
          <w:bCs/>
          <w:sz w:val="24"/>
          <w:szCs w:val="24"/>
        </w:rPr>
        <w:t xml:space="preserve">Комментарии. </w:t>
      </w:r>
      <w:r w:rsidRPr="003B37B6">
        <w:rPr>
          <w:rStyle w:val="ac"/>
          <w:rFonts w:eastAsiaTheme="majorEastAsia"/>
          <w:i/>
          <w:iCs/>
          <w:sz w:val="24"/>
          <w:szCs w:val="24"/>
        </w:rPr>
        <w:t>Вторичные АГ выявляются у 5-10% пациентов с АГ</w:t>
      </w:r>
      <w:r w:rsidRPr="003B37B6">
        <w:rPr>
          <w:rStyle w:val="ac"/>
          <w:rFonts w:eastAsiaTheme="majorEastAsia"/>
          <w:sz w:val="24"/>
          <w:szCs w:val="24"/>
        </w:rPr>
        <w:t xml:space="preserve"> [43]</w:t>
      </w:r>
      <w:r w:rsidRPr="003B37B6">
        <w:rPr>
          <w:rStyle w:val="ac"/>
          <w:rFonts w:eastAsiaTheme="majorEastAsia"/>
          <w:i/>
          <w:iCs/>
          <w:sz w:val="24"/>
          <w:szCs w:val="24"/>
        </w:rPr>
        <w:t>. Для диагностики вторичных форм АГ важно детальное обследование пациента, начиная с рутинных методов:</w:t>
      </w:r>
      <w:r w:rsidR="000346D9" w:rsidRPr="003B37B6">
        <w:rPr>
          <w:sz w:val="24"/>
          <w:szCs w:val="24"/>
        </w:rPr>
        <w:t xml:space="preserve"> </w:t>
      </w:r>
      <w:r w:rsidRPr="003B37B6">
        <w:rPr>
          <w:rStyle w:val="ac"/>
          <w:rFonts w:eastAsiaTheme="majorEastAsia"/>
          <w:i/>
          <w:iCs/>
          <w:sz w:val="24"/>
          <w:szCs w:val="24"/>
        </w:rPr>
        <w:t>опроса, осмотра, лабораторной диагностики, до выполнения сложных инструментальных методов (</w:t>
      </w:r>
      <w:r w:rsidR="001131A8" w:rsidRPr="003B37B6">
        <w:rPr>
          <w:rStyle w:val="ac"/>
          <w:rFonts w:eastAsiaTheme="majorEastAsia"/>
          <w:i/>
          <w:iCs/>
          <w:sz w:val="24"/>
          <w:szCs w:val="24"/>
        </w:rPr>
        <w:t>т</w:t>
      </w:r>
      <w:r w:rsidRPr="003B37B6">
        <w:rPr>
          <w:rStyle w:val="ac"/>
          <w:rFonts w:eastAsiaTheme="majorEastAsia"/>
          <w:i/>
          <w:iCs/>
          <w:sz w:val="24"/>
          <w:szCs w:val="24"/>
        </w:rPr>
        <w:t>аблица П5 Приложени</w:t>
      </w:r>
      <w:r w:rsidR="001131A8" w:rsidRPr="003B37B6">
        <w:rPr>
          <w:rStyle w:val="ac"/>
          <w:rFonts w:eastAsiaTheme="majorEastAsia"/>
          <w:i/>
          <w:iCs/>
          <w:sz w:val="24"/>
          <w:szCs w:val="24"/>
        </w:rPr>
        <w:t>я</w:t>
      </w:r>
      <w:r w:rsidRPr="003B37B6">
        <w:rPr>
          <w:rStyle w:val="ac"/>
          <w:rFonts w:eastAsiaTheme="majorEastAsia"/>
          <w:i/>
          <w:iCs/>
          <w:sz w:val="24"/>
          <w:szCs w:val="24"/>
        </w:rPr>
        <w:t xml:space="preserve"> </w:t>
      </w:r>
      <w:r w:rsidR="00FB33EA" w:rsidRPr="003B37B6">
        <w:rPr>
          <w:rStyle w:val="ac"/>
          <w:rFonts w:eastAsiaTheme="majorEastAsia"/>
          <w:i/>
          <w:iCs/>
          <w:sz w:val="24"/>
          <w:szCs w:val="24"/>
        </w:rPr>
        <w:t>А2</w:t>
      </w:r>
      <w:r w:rsidR="001131A8" w:rsidRPr="003B37B6">
        <w:rPr>
          <w:rStyle w:val="ac"/>
          <w:rFonts w:eastAsiaTheme="majorEastAsia"/>
          <w:sz w:val="24"/>
          <w:szCs w:val="24"/>
        </w:rPr>
        <w:t xml:space="preserve"> </w:t>
      </w:r>
      <w:r w:rsidR="001131A8" w:rsidRPr="003B37B6">
        <w:rPr>
          <w:rStyle w:val="ac"/>
          <w:rFonts w:eastAsiaTheme="majorEastAsia"/>
          <w:i/>
          <w:iCs/>
          <w:sz w:val="24"/>
          <w:szCs w:val="24"/>
        </w:rPr>
        <w:t>к настоящим Клиническим рекомендациям</w:t>
      </w:r>
      <w:r w:rsidRPr="003B37B6">
        <w:rPr>
          <w:rStyle w:val="ac"/>
          <w:rFonts w:eastAsiaTheme="majorEastAsia"/>
          <w:i/>
          <w:iCs/>
          <w:sz w:val="24"/>
          <w:szCs w:val="24"/>
        </w:rPr>
        <w:t>).</w:t>
      </w:r>
    </w:p>
    <w:p w14:paraId="0320E08F" w14:textId="77777777" w:rsidR="00E76724" w:rsidRPr="003B37B6" w:rsidRDefault="00E76724" w:rsidP="00E76724">
      <w:pPr>
        <w:pStyle w:val="11"/>
        <w:tabs>
          <w:tab w:val="left" w:pos="1141"/>
        </w:tabs>
        <w:ind w:firstLine="0"/>
        <w:jc w:val="center"/>
        <w:rPr>
          <w:sz w:val="24"/>
          <w:szCs w:val="24"/>
        </w:rPr>
      </w:pPr>
      <w:r w:rsidRPr="003B37B6">
        <w:rPr>
          <w:rStyle w:val="ac"/>
          <w:rFonts w:eastAsiaTheme="majorEastAsia"/>
          <w:b/>
          <w:bCs/>
          <w:sz w:val="24"/>
          <w:szCs w:val="24"/>
        </w:rPr>
        <w:t>Принципы формулировки диагноза при АГ</w:t>
      </w:r>
    </w:p>
    <w:p w14:paraId="1F5389E5" w14:textId="347A4D44" w:rsidR="00E76724" w:rsidRPr="003B37B6" w:rsidRDefault="00E76724">
      <w:pPr>
        <w:pStyle w:val="11"/>
        <w:numPr>
          <w:ilvl w:val="0"/>
          <w:numId w:val="8"/>
        </w:numPr>
        <w:tabs>
          <w:tab w:val="left" w:pos="1326"/>
        </w:tabs>
        <w:ind w:firstLine="600"/>
        <w:jc w:val="both"/>
        <w:rPr>
          <w:sz w:val="24"/>
          <w:szCs w:val="24"/>
        </w:rPr>
      </w:pPr>
      <w:r w:rsidRPr="003B37B6">
        <w:rPr>
          <w:rStyle w:val="ac"/>
          <w:rFonts w:eastAsiaTheme="majorEastAsia"/>
          <w:sz w:val="24"/>
          <w:szCs w:val="24"/>
        </w:rPr>
        <w:t>Необходимо указать стадию гипертонической болезни (</w:t>
      </w:r>
      <w:r w:rsidR="008024F1" w:rsidRPr="003B37B6">
        <w:rPr>
          <w:rStyle w:val="ac"/>
          <w:rFonts w:eastAsiaTheme="majorEastAsia"/>
          <w:sz w:val="24"/>
          <w:szCs w:val="24"/>
        </w:rPr>
        <w:t>т</w:t>
      </w:r>
      <w:r w:rsidRPr="003B37B6">
        <w:rPr>
          <w:rStyle w:val="ac"/>
          <w:rFonts w:eastAsiaTheme="majorEastAsia"/>
          <w:sz w:val="24"/>
          <w:szCs w:val="24"/>
        </w:rPr>
        <w:t>аблица П15 Приложени</w:t>
      </w:r>
      <w:r w:rsidR="008024F1" w:rsidRPr="003B37B6">
        <w:rPr>
          <w:rStyle w:val="ac"/>
          <w:rFonts w:eastAsiaTheme="majorEastAsia"/>
          <w:sz w:val="24"/>
          <w:szCs w:val="24"/>
        </w:rPr>
        <w:t>я</w:t>
      </w:r>
      <w:r w:rsidRPr="003B37B6">
        <w:rPr>
          <w:sz w:val="24"/>
          <w:szCs w:val="24"/>
        </w:rPr>
        <w:t xml:space="preserve"> </w:t>
      </w:r>
      <w:r w:rsidR="00FB33EA" w:rsidRPr="003B37B6">
        <w:rPr>
          <w:rStyle w:val="ac"/>
          <w:rFonts w:eastAsiaTheme="majorEastAsia"/>
          <w:sz w:val="24"/>
          <w:szCs w:val="24"/>
        </w:rPr>
        <w:t>А2</w:t>
      </w:r>
      <w:r w:rsidR="008024F1" w:rsidRPr="003B37B6">
        <w:rPr>
          <w:rStyle w:val="ac"/>
          <w:rFonts w:eastAsiaTheme="majorEastAsia"/>
          <w:sz w:val="24"/>
          <w:szCs w:val="24"/>
        </w:rPr>
        <w:t xml:space="preserve"> к настоящим Клиническим рекомендациям</w:t>
      </w:r>
      <w:r w:rsidRPr="003B37B6">
        <w:rPr>
          <w:rStyle w:val="ac"/>
          <w:rFonts w:eastAsiaTheme="majorEastAsia"/>
          <w:sz w:val="24"/>
          <w:szCs w:val="24"/>
        </w:rPr>
        <w:t>) и категорию сердечно-сосудистого риска (таблицы П15 и П16 Приложени</w:t>
      </w:r>
      <w:r w:rsidR="008024F1" w:rsidRPr="003B37B6">
        <w:rPr>
          <w:rStyle w:val="ac"/>
          <w:rFonts w:eastAsiaTheme="majorEastAsia"/>
          <w:sz w:val="24"/>
          <w:szCs w:val="24"/>
        </w:rPr>
        <w:t>я</w:t>
      </w:r>
      <w:r w:rsidRPr="003B37B6">
        <w:rPr>
          <w:rStyle w:val="ac"/>
          <w:rFonts w:eastAsiaTheme="majorEastAsia"/>
          <w:sz w:val="24"/>
          <w:szCs w:val="24"/>
        </w:rPr>
        <w:t xml:space="preserve"> </w:t>
      </w:r>
      <w:r w:rsidR="00FB33EA" w:rsidRPr="003B37B6">
        <w:rPr>
          <w:rStyle w:val="ac"/>
          <w:rFonts w:eastAsiaTheme="majorEastAsia"/>
          <w:sz w:val="24"/>
          <w:szCs w:val="24"/>
        </w:rPr>
        <w:t>А2</w:t>
      </w:r>
      <w:r w:rsidR="008024F1" w:rsidRPr="003B37B6">
        <w:rPr>
          <w:rStyle w:val="ac"/>
          <w:rFonts w:eastAsiaTheme="majorEastAsia"/>
          <w:sz w:val="24"/>
          <w:szCs w:val="24"/>
        </w:rPr>
        <w:t xml:space="preserve"> к настоящим Клиническим рекомендациям</w:t>
      </w:r>
      <w:r w:rsidRPr="003B37B6">
        <w:rPr>
          <w:rStyle w:val="ac"/>
          <w:rFonts w:eastAsiaTheme="majorEastAsia"/>
          <w:sz w:val="24"/>
          <w:szCs w:val="24"/>
        </w:rPr>
        <w:t>),</w:t>
      </w:r>
    </w:p>
    <w:p w14:paraId="62DDD5A8" w14:textId="1B8E3943" w:rsidR="00E76724" w:rsidRPr="003B37B6" w:rsidRDefault="00E76724">
      <w:pPr>
        <w:pStyle w:val="11"/>
        <w:numPr>
          <w:ilvl w:val="0"/>
          <w:numId w:val="8"/>
        </w:numPr>
        <w:tabs>
          <w:tab w:val="left" w:pos="1326"/>
        </w:tabs>
        <w:ind w:firstLine="600"/>
        <w:jc w:val="both"/>
        <w:rPr>
          <w:sz w:val="24"/>
          <w:szCs w:val="24"/>
        </w:rPr>
      </w:pPr>
      <w:r w:rsidRPr="003B37B6">
        <w:rPr>
          <w:rStyle w:val="ac"/>
          <w:rFonts w:eastAsiaTheme="majorEastAsia"/>
          <w:sz w:val="24"/>
          <w:szCs w:val="24"/>
        </w:rPr>
        <w:t>Степень повышения АД (степень АГ (</w:t>
      </w:r>
      <w:r w:rsidR="008024F1" w:rsidRPr="003B37B6">
        <w:rPr>
          <w:rStyle w:val="ac"/>
          <w:rFonts w:eastAsiaTheme="majorEastAsia"/>
          <w:sz w:val="24"/>
          <w:szCs w:val="24"/>
        </w:rPr>
        <w:t>т</w:t>
      </w:r>
      <w:r w:rsidRPr="003B37B6">
        <w:rPr>
          <w:rStyle w:val="ac"/>
          <w:rFonts w:eastAsiaTheme="majorEastAsia"/>
          <w:sz w:val="24"/>
          <w:szCs w:val="24"/>
        </w:rPr>
        <w:t>аблица П2 Приложени</w:t>
      </w:r>
      <w:r w:rsidR="008024F1" w:rsidRPr="003B37B6">
        <w:rPr>
          <w:rStyle w:val="ac"/>
          <w:rFonts w:eastAsiaTheme="majorEastAsia"/>
          <w:sz w:val="24"/>
          <w:szCs w:val="24"/>
        </w:rPr>
        <w:t>я</w:t>
      </w:r>
      <w:r w:rsidRPr="003B37B6">
        <w:rPr>
          <w:rStyle w:val="ac"/>
          <w:rFonts w:eastAsiaTheme="majorEastAsia"/>
          <w:sz w:val="24"/>
          <w:szCs w:val="24"/>
        </w:rPr>
        <w:t xml:space="preserve"> </w:t>
      </w:r>
      <w:r w:rsidR="00FB33EA" w:rsidRPr="003B37B6">
        <w:rPr>
          <w:rStyle w:val="ac"/>
          <w:rFonts w:eastAsiaTheme="majorEastAsia"/>
          <w:sz w:val="24"/>
          <w:szCs w:val="24"/>
        </w:rPr>
        <w:t>А2</w:t>
      </w:r>
      <w:r w:rsidR="008024F1" w:rsidRPr="003B37B6">
        <w:rPr>
          <w:rStyle w:val="ac"/>
          <w:rFonts w:eastAsiaTheme="majorEastAsia"/>
          <w:sz w:val="24"/>
          <w:szCs w:val="24"/>
        </w:rPr>
        <w:t xml:space="preserve"> к настоящим Клиническим рекомендациям</w:t>
      </w:r>
      <w:r w:rsidRPr="003B37B6">
        <w:rPr>
          <w:rStyle w:val="ac"/>
          <w:rFonts w:eastAsiaTheme="majorEastAsia"/>
          <w:sz w:val="24"/>
          <w:szCs w:val="24"/>
        </w:rPr>
        <w:t>) обязательно</w:t>
      </w:r>
      <w:r w:rsidRPr="003B37B6">
        <w:rPr>
          <w:sz w:val="24"/>
          <w:szCs w:val="24"/>
        </w:rPr>
        <w:t xml:space="preserve"> </w:t>
      </w:r>
      <w:r w:rsidRPr="003B37B6">
        <w:rPr>
          <w:rStyle w:val="ac"/>
          <w:rFonts w:eastAsiaTheme="majorEastAsia"/>
          <w:sz w:val="24"/>
          <w:szCs w:val="24"/>
        </w:rPr>
        <w:t>указывается у пациентов с впервые диагностированной АГ. Если пациент принимает антигипертензивную терапию, то в диагнозе не указывается степень АГ, а указывается наличие контроля АД (достигнуто/не достигнуто целевое АД),</w:t>
      </w:r>
    </w:p>
    <w:p w14:paraId="735A791A" w14:textId="77777777" w:rsidR="00E76724" w:rsidRPr="003B37B6" w:rsidRDefault="00E76724">
      <w:pPr>
        <w:pStyle w:val="11"/>
        <w:numPr>
          <w:ilvl w:val="0"/>
          <w:numId w:val="8"/>
        </w:numPr>
        <w:tabs>
          <w:tab w:val="left" w:pos="1326"/>
        </w:tabs>
        <w:ind w:firstLine="600"/>
        <w:jc w:val="both"/>
        <w:rPr>
          <w:sz w:val="24"/>
          <w:szCs w:val="24"/>
        </w:rPr>
      </w:pPr>
      <w:r w:rsidRPr="003B37B6">
        <w:rPr>
          <w:rStyle w:val="ac"/>
          <w:rFonts w:eastAsiaTheme="majorEastAsia"/>
          <w:sz w:val="24"/>
          <w:szCs w:val="24"/>
        </w:rPr>
        <w:t>При формулировании диагноза желательно максимально полно отразить</w:t>
      </w:r>
      <w:r w:rsidRPr="003B37B6">
        <w:rPr>
          <w:sz w:val="24"/>
          <w:szCs w:val="24"/>
        </w:rPr>
        <w:t xml:space="preserve"> </w:t>
      </w:r>
      <w:r w:rsidRPr="003B37B6">
        <w:rPr>
          <w:rStyle w:val="ac"/>
          <w:rFonts w:eastAsiaTheme="majorEastAsia"/>
          <w:sz w:val="24"/>
          <w:szCs w:val="24"/>
        </w:rPr>
        <w:t>изменяемые ФР, ПОМ, ССЗ, ХБП.</w:t>
      </w:r>
    </w:p>
    <w:p w14:paraId="70E4C9F0" w14:textId="77777777" w:rsidR="00E76724" w:rsidRPr="003B37B6" w:rsidRDefault="00E76724" w:rsidP="00E76724">
      <w:pPr>
        <w:pStyle w:val="11"/>
        <w:ind w:firstLine="600"/>
        <w:jc w:val="both"/>
        <w:rPr>
          <w:sz w:val="24"/>
          <w:szCs w:val="24"/>
        </w:rPr>
      </w:pPr>
      <w:r w:rsidRPr="003B37B6">
        <w:rPr>
          <w:rStyle w:val="ac"/>
          <w:rFonts w:eastAsiaTheme="majorEastAsia"/>
          <w:b/>
          <w:bCs/>
          <w:sz w:val="24"/>
          <w:szCs w:val="24"/>
        </w:rPr>
        <w:t>Примеры формулировки диагноза:</w:t>
      </w:r>
    </w:p>
    <w:p w14:paraId="1423E0D2" w14:textId="77777777" w:rsidR="00E76724" w:rsidRPr="003B37B6" w:rsidRDefault="00E76724">
      <w:pPr>
        <w:pStyle w:val="11"/>
        <w:numPr>
          <w:ilvl w:val="0"/>
          <w:numId w:val="9"/>
        </w:numPr>
        <w:tabs>
          <w:tab w:val="left" w:pos="952"/>
        </w:tabs>
        <w:ind w:firstLine="600"/>
        <w:jc w:val="both"/>
        <w:rPr>
          <w:sz w:val="24"/>
          <w:szCs w:val="24"/>
        </w:rPr>
      </w:pPr>
      <w:r w:rsidRPr="003B37B6">
        <w:rPr>
          <w:rStyle w:val="ac"/>
          <w:rFonts w:eastAsiaTheme="majorEastAsia"/>
          <w:sz w:val="24"/>
          <w:szCs w:val="24"/>
        </w:rPr>
        <w:t xml:space="preserve">ГБ </w:t>
      </w:r>
      <w:r w:rsidRPr="003B37B6">
        <w:rPr>
          <w:rStyle w:val="ac"/>
          <w:rFonts w:eastAsiaTheme="majorEastAsia"/>
          <w:sz w:val="24"/>
          <w:szCs w:val="24"/>
          <w:lang w:val="en-US"/>
        </w:rPr>
        <w:t>I</w:t>
      </w:r>
      <w:r w:rsidRPr="003B37B6">
        <w:rPr>
          <w:rStyle w:val="ac"/>
          <w:rFonts w:eastAsiaTheme="majorEastAsia"/>
          <w:sz w:val="24"/>
          <w:szCs w:val="24"/>
        </w:rPr>
        <w:t xml:space="preserve"> стадии. Степень АГ 1. Риск 2 (средний). Дислипидемия.</w:t>
      </w:r>
    </w:p>
    <w:p w14:paraId="3F7489AB" w14:textId="77777777" w:rsidR="00E76724" w:rsidRPr="003B37B6" w:rsidRDefault="00E76724">
      <w:pPr>
        <w:pStyle w:val="11"/>
        <w:numPr>
          <w:ilvl w:val="0"/>
          <w:numId w:val="9"/>
        </w:numPr>
        <w:tabs>
          <w:tab w:val="left" w:pos="920"/>
        </w:tabs>
        <w:ind w:firstLine="600"/>
        <w:jc w:val="both"/>
        <w:rPr>
          <w:sz w:val="24"/>
          <w:szCs w:val="24"/>
        </w:rPr>
      </w:pPr>
      <w:r w:rsidRPr="003B37B6">
        <w:rPr>
          <w:rStyle w:val="ac"/>
          <w:rFonts w:eastAsiaTheme="majorEastAsia"/>
          <w:sz w:val="24"/>
          <w:szCs w:val="24"/>
        </w:rPr>
        <w:t xml:space="preserve">ГБ </w:t>
      </w:r>
      <w:r w:rsidRPr="003B37B6">
        <w:rPr>
          <w:rStyle w:val="ac"/>
          <w:rFonts w:eastAsiaTheme="majorEastAsia"/>
          <w:sz w:val="24"/>
          <w:szCs w:val="24"/>
          <w:lang w:val="en-US"/>
        </w:rPr>
        <w:t>II</w:t>
      </w:r>
      <w:r w:rsidRPr="003B37B6">
        <w:rPr>
          <w:rStyle w:val="ac"/>
          <w:rFonts w:eastAsiaTheme="majorEastAsia"/>
          <w:sz w:val="24"/>
          <w:szCs w:val="24"/>
        </w:rPr>
        <w:t xml:space="preserve"> стадии. Целевой уровень АД достигнут/не достигнут. Риск 3 (высокий). Нарушенная гликемия натощак. Дислипидемия. ГЛЖ.</w:t>
      </w:r>
    </w:p>
    <w:p w14:paraId="74D2337E" w14:textId="77777777" w:rsidR="00E76724" w:rsidRPr="003B37B6" w:rsidRDefault="00E76724">
      <w:pPr>
        <w:pStyle w:val="11"/>
        <w:numPr>
          <w:ilvl w:val="0"/>
          <w:numId w:val="9"/>
        </w:numPr>
        <w:tabs>
          <w:tab w:val="left" w:pos="920"/>
        </w:tabs>
        <w:ind w:firstLine="600"/>
        <w:jc w:val="both"/>
        <w:rPr>
          <w:sz w:val="24"/>
          <w:szCs w:val="24"/>
        </w:rPr>
      </w:pPr>
      <w:r w:rsidRPr="003B37B6">
        <w:rPr>
          <w:rStyle w:val="ac"/>
          <w:rFonts w:eastAsiaTheme="majorEastAsia"/>
          <w:sz w:val="24"/>
          <w:szCs w:val="24"/>
        </w:rPr>
        <w:t xml:space="preserve">ГБ </w:t>
      </w:r>
      <w:r w:rsidRPr="003B37B6">
        <w:rPr>
          <w:rStyle w:val="ac"/>
          <w:rFonts w:eastAsiaTheme="majorEastAsia"/>
          <w:sz w:val="24"/>
          <w:szCs w:val="24"/>
          <w:lang w:val="en-US"/>
        </w:rPr>
        <w:t>II</w:t>
      </w:r>
      <w:r w:rsidRPr="003B37B6">
        <w:rPr>
          <w:rStyle w:val="ac"/>
          <w:rFonts w:eastAsiaTheme="majorEastAsia"/>
          <w:sz w:val="24"/>
          <w:szCs w:val="24"/>
        </w:rPr>
        <w:t xml:space="preserve"> стадии. Целевой уровень АД достигнут/не достигнут. Риск 4 (очень высокий). Дислипидемия. Ожирение </w:t>
      </w:r>
      <w:r w:rsidRPr="003B37B6">
        <w:rPr>
          <w:rStyle w:val="ac"/>
          <w:rFonts w:eastAsiaTheme="majorEastAsia"/>
          <w:sz w:val="24"/>
          <w:szCs w:val="24"/>
          <w:lang w:val="en-US"/>
        </w:rPr>
        <w:t>II</w:t>
      </w:r>
      <w:r w:rsidRPr="003B37B6">
        <w:rPr>
          <w:rStyle w:val="ac"/>
          <w:rFonts w:eastAsiaTheme="majorEastAsia"/>
          <w:sz w:val="24"/>
          <w:szCs w:val="24"/>
        </w:rPr>
        <w:t xml:space="preserve"> степени. Нарушение толерантности к глюкозе. ГЛЖ. ХБП С3а </w:t>
      </w:r>
      <w:r w:rsidRPr="003B37B6">
        <w:rPr>
          <w:rStyle w:val="ac"/>
          <w:rFonts w:eastAsiaTheme="majorEastAsia"/>
          <w:sz w:val="24"/>
          <w:szCs w:val="24"/>
        </w:rPr>
        <w:lastRenderedPageBreak/>
        <w:t>А2.</w:t>
      </w:r>
    </w:p>
    <w:p w14:paraId="3F0E68D4" w14:textId="77777777" w:rsidR="00E76724" w:rsidRPr="003B37B6" w:rsidRDefault="00E76724">
      <w:pPr>
        <w:pStyle w:val="11"/>
        <w:numPr>
          <w:ilvl w:val="0"/>
          <w:numId w:val="9"/>
        </w:numPr>
        <w:tabs>
          <w:tab w:val="left" w:pos="920"/>
        </w:tabs>
        <w:ind w:firstLine="600"/>
        <w:jc w:val="both"/>
        <w:rPr>
          <w:sz w:val="24"/>
          <w:szCs w:val="24"/>
        </w:rPr>
      </w:pPr>
      <w:r w:rsidRPr="003B37B6">
        <w:rPr>
          <w:rStyle w:val="ac"/>
          <w:rFonts w:eastAsiaTheme="majorEastAsia"/>
          <w:sz w:val="24"/>
          <w:szCs w:val="24"/>
        </w:rPr>
        <w:t xml:space="preserve">ИБС. Стенокардия напряжения </w:t>
      </w:r>
      <w:r w:rsidRPr="003B37B6">
        <w:rPr>
          <w:rStyle w:val="ac"/>
          <w:rFonts w:eastAsiaTheme="majorEastAsia"/>
          <w:sz w:val="24"/>
          <w:szCs w:val="24"/>
          <w:lang w:val="en-US"/>
        </w:rPr>
        <w:t>III</w:t>
      </w:r>
      <w:r w:rsidRPr="003B37B6">
        <w:rPr>
          <w:rStyle w:val="ac"/>
          <w:rFonts w:eastAsiaTheme="majorEastAsia"/>
          <w:sz w:val="24"/>
          <w:szCs w:val="24"/>
        </w:rPr>
        <w:t xml:space="preserve"> ФК. Перенесенный ИМ (2010г). ГБ </w:t>
      </w:r>
      <w:r w:rsidRPr="003B37B6">
        <w:rPr>
          <w:rStyle w:val="ac"/>
          <w:rFonts w:eastAsiaTheme="majorEastAsia"/>
          <w:sz w:val="24"/>
          <w:szCs w:val="24"/>
          <w:lang w:val="en-US"/>
        </w:rPr>
        <w:t>III</w:t>
      </w:r>
      <w:r w:rsidRPr="003B37B6">
        <w:rPr>
          <w:rStyle w:val="ac"/>
          <w:rFonts w:eastAsiaTheme="majorEastAsia"/>
          <w:sz w:val="24"/>
          <w:szCs w:val="24"/>
        </w:rPr>
        <w:t xml:space="preserve"> стадии. Целевой уровень АД достигнут/не достигнут. Риск 4 (очень высокий).</w:t>
      </w:r>
    </w:p>
    <w:p w14:paraId="26D850D4" w14:textId="77777777" w:rsidR="00E76724" w:rsidRPr="003B37B6" w:rsidRDefault="00E76724">
      <w:pPr>
        <w:pStyle w:val="11"/>
        <w:numPr>
          <w:ilvl w:val="0"/>
          <w:numId w:val="9"/>
        </w:numPr>
        <w:tabs>
          <w:tab w:val="left" w:pos="906"/>
        </w:tabs>
        <w:ind w:firstLine="600"/>
        <w:jc w:val="both"/>
        <w:rPr>
          <w:sz w:val="24"/>
          <w:szCs w:val="24"/>
        </w:rPr>
      </w:pPr>
      <w:r w:rsidRPr="003B37B6">
        <w:rPr>
          <w:rStyle w:val="ac"/>
          <w:rFonts w:eastAsiaTheme="majorEastAsia"/>
          <w:sz w:val="24"/>
          <w:szCs w:val="24"/>
        </w:rPr>
        <w:t xml:space="preserve">ГБ </w:t>
      </w:r>
      <w:r w:rsidRPr="003B37B6">
        <w:rPr>
          <w:rStyle w:val="ac"/>
          <w:rFonts w:eastAsiaTheme="majorEastAsia"/>
          <w:sz w:val="24"/>
          <w:szCs w:val="24"/>
          <w:lang w:val="en-US"/>
        </w:rPr>
        <w:t>III</w:t>
      </w:r>
      <w:r w:rsidRPr="003B37B6">
        <w:rPr>
          <w:rStyle w:val="ac"/>
          <w:rFonts w:eastAsiaTheme="majorEastAsia"/>
          <w:sz w:val="24"/>
          <w:szCs w:val="24"/>
        </w:rPr>
        <w:t xml:space="preserve"> стадии. Целевой уровень АД достигнут/не достигнут. Риск 4 (очень высокий). Ожирение </w:t>
      </w:r>
      <w:r w:rsidRPr="003B37B6">
        <w:rPr>
          <w:rStyle w:val="ac"/>
          <w:rFonts w:eastAsiaTheme="majorEastAsia"/>
          <w:sz w:val="24"/>
          <w:szCs w:val="24"/>
          <w:lang w:val="en-US"/>
        </w:rPr>
        <w:t>I</w:t>
      </w:r>
      <w:r w:rsidRPr="003B37B6">
        <w:rPr>
          <w:rStyle w:val="ac"/>
          <w:rFonts w:eastAsiaTheme="majorEastAsia"/>
          <w:sz w:val="24"/>
          <w:szCs w:val="24"/>
        </w:rPr>
        <w:t xml:space="preserve"> степени. Сахарный диабет 2-го типа, целевой уровень гликированного гемоглобина ≤7,5%. ХБП С4 А2.</w:t>
      </w:r>
    </w:p>
    <w:p w14:paraId="53A19740" w14:textId="77777777" w:rsidR="00E76724" w:rsidRPr="003B37B6" w:rsidRDefault="00E76724" w:rsidP="00E76724">
      <w:pPr>
        <w:pStyle w:val="11"/>
        <w:tabs>
          <w:tab w:val="left" w:pos="906"/>
        </w:tabs>
        <w:ind w:firstLine="0"/>
        <w:jc w:val="center"/>
        <w:rPr>
          <w:sz w:val="24"/>
          <w:szCs w:val="24"/>
        </w:rPr>
      </w:pPr>
      <w:r w:rsidRPr="003B37B6">
        <w:rPr>
          <w:rStyle w:val="ac"/>
          <w:rFonts w:eastAsiaTheme="majorEastAsia"/>
          <w:b/>
          <w:bCs/>
          <w:sz w:val="24"/>
          <w:szCs w:val="24"/>
        </w:rPr>
        <w:t>Принципы измерения АД</w:t>
      </w:r>
    </w:p>
    <w:p w14:paraId="793461F7" w14:textId="77777777" w:rsidR="00E76724" w:rsidRPr="003B37B6" w:rsidRDefault="00E76724">
      <w:pPr>
        <w:pStyle w:val="11"/>
        <w:numPr>
          <w:ilvl w:val="0"/>
          <w:numId w:val="10"/>
        </w:numPr>
        <w:tabs>
          <w:tab w:val="left" w:pos="1326"/>
        </w:tabs>
        <w:ind w:firstLine="600"/>
        <w:jc w:val="both"/>
        <w:rPr>
          <w:sz w:val="24"/>
          <w:szCs w:val="24"/>
        </w:rPr>
      </w:pPr>
      <w:r w:rsidRPr="003B37B6">
        <w:rPr>
          <w:rStyle w:val="ac"/>
          <w:rFonts w:eastAsiaTheme="majorEastAsia"/>
          <w:sz w:val="24"/>
          <w:szCs w:val="24"/>
        </w:rPr>
        <w:t>Скрининг АГ путем измерения АД в медицинском учреждении и регистрация</w:t>
      </w:r>
    </w:p>
    <w:p w14:paraId="699F3A43" w14:textId="0EC6061C" w:rsidR="00E76724" w:rsidRPr="003B37B6" w:rsidRDefault="00E76724" w:rsidP="00E76724">
      <w:pPr>
        <w:pStyle w:val="11"/>
        <w:ind w:firstLine="0"/>
        <w:jc w:val="both"/>
        <w:rPr>
          <w:sz w:val="24"/>
          <w:szCs w:val="24"/>
        </w:rPr>
      </w:pPr>
      <w:r w:rsidRPr="003B37B6">
        <w:rPr>
          <w:rStyle w:val="ac"/>
          <w:rFonts w:eastAsiaTheme="majorEastAsia"/>
          <w:sz w:val="24"/>
          <w:szCs w:val="24"/>
        </w:rPr>
        <w:t>полученных цифр АД в медицинской документации рекомендован всем пациентам с 18 лет [37, 46] (</w:t>
      </w:r>
      <w:r w:rsidR="00B92B97" w:rsidRPr="003B37B6">
        <w:rPr>
          <w:rStyle w:val="ac"/>
          <w:rFonts w:eastAsiaTheme="majorEastAsia"/>
          <w:sz w:val="24"/>
          <w:szCs w:val="24"/>
        </w:rPr>
        <w:t>т</w:t>
      </w:r>
      <w:r w:rsidRPr="003B37B6">
        <w:rPr>
          <w:rStyle w:val="ac"/>
          <w:rFonts w:eastAsiaTheme="majorEastAsia"/>
          <w:sz w:val="24"/>
          <w:szCs w:val="24"/>
        </w:rPr>
        <w:t>аблица П4 Приложени</w:t>
      </w:r>
      <w:r w:rsidR="00B92B97" w:rsidRPr="003B37B6">
        <w:rPr>
          <w:rStyle w:val="ac"/>
          <w:rFonts w:eastAsiaTheme="majorEastAsia"/>
          <w:sz w:val="24"/>
          <w:szCs w:val="24"/>
        </w:rPr>
        <w:t>я</w:t>
      </w:r>
      <w:r w:rsidRPr="003B37B6">
        <w:rPr>
          <w:rStyle w:val="ac"/>
          <w:rFonts w:eastAsiaTheme="majorEastAsia"/>
          <w:sz w:val="24"/>
          <w:szCs w:val="24"/>
        </w:rPr>
        <w:t xml:space="preserve"> </w:t>
      </w:r>
      <w:r w:rsidR="00FB33EA" w:rsidRPr="003B37B6">
        <w:rPr>
          <w:rStyle w:val="ac"/>
          <w:rFonts w:eastAsiaTheme="majorEastAsia"/>
          <w:sz w:val="24"/>
          <w:szCs w:val="24"/>
        </w:rPr>
        <w:t>А2</w:t>
      </w:r>
      <w:r w:rsidR="00B92B97" w:rsidRPr="003B37B6">
        <w:rPr>
          <w:rStyle w:val="ac"/>
          <w:rFonts w:eastAsiaTheme="majorEastAsia"/>
          <w:sz w:val="24"/>
          <w:szCs w:val="24"/>
        </w:rPr>
        <w:t xml:space="preserve"> к настоящим Клиническим рекомендациям</w:t>
      </w:r>
      <w:r w:rsidRPr="003B37B6">
        <w:rPr>
          <w:rStyle w:val="ac"/>
          <w:rFonts w:eastAsiaTheme="majorEastAsia"/>
          <w:sz w:val="24"/>
          <w:szCs w:val="24"/>
        </w:rPr>
        <w:t>).</w:t>
      </w:r>
    </w:p>
    <w:p w14:paraId="1C8B0E29" w14:textId="3ACD5AD8" w:rsidR="00E76724" w:rsidRPr="003B37B6" w:rsidRDefault="00E76724" w:rsidP="00E76724">
      <w:pPr>
        <w:pStyle w:val="11"/>
        <w:spacing w:after="40"/>
        <w:ind w:firstLine="660"/>
        <w:jc w:val="both"/>
        <w:rPr>
          <w:rStyle w:val="ac"/>
          <w:rFonts w:eastAsiaTheme="majorEastAsia"/>
          <w:b/>
          <w:bCs/>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0C1EA4" w:rsidRPr="003B37B6">
        <w:rPr>
          <w:rStyle w:val="ac"/>
          <w:rFonts w:eastAsiaTheme="majorEastAsia"/>
          <w:b/>
          <w:bCs/>
          <w:sz w:val="24"/>
          <w:szCs w:val="24"/>
        </w:rPr>
        <w:t xml:space="preserve"> </w:t>
      </w:r>
      <w:r w:rsidRPr="003B37B6">
        <w:rPr>
          <w:rStyle w:val="ac"/>
          <w:rFonts w:eastAsiaTheme="majorEastAsia"/>
          <w:b/>
          <w:bCs/>
          <w:sz w:val="24"/>
          <w:szCs w:val="24"/>
        </w:rPr>
        <w:t xml:space="preserve">А, </w:t>
      </w:r>
      <w:r w:rsidR="000C1EA4"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2)</w:t>
      </w:r>
      <w:r w:rsidR="000C1EA4" w:rsidRPr="003B37B6">
        <w:rPr>
          <w:rStyle w:val="ac"/>
          <w:rFonts w:eastAsiaTheme="majorEastAsia"/>
          <w:b/>
          <w:bCs/>
          <w:sz w:val="24"/>
          <w:szCs w:val="24"/>
        </w:rPr>
        <w:t>; ЕОК/ЕОАГ IВ</w:t>
      </w:r>
      <w:r w:rsidR="00B92B97" w:rsidRPr="003B37B6">
        <w:rPr>
          <w:rStyle w:val="ac"/>
          <w:rFonts w:eastAsiaTheme="majorEastAsia"/>
          <w:b/>
          <w:bCs/>
          <w:sz w:val="24"/>
          <w:szCs w:val="24"/>
        </w:rPr>
        <w:t>.</w:t>
      </w:r>
    </w:p>
    <w:p w14:paraId="5CFD2D18" w14:textId="7BE81C23" w:rsidR="00FE211C" w:rsidRPr="003B37B6" w:rsidRDefault="00FE211C" w:rsidP="00E76724">
      <w:pPr>
        <w:pStyle w:val="11"/>
        <w:spacing w:after="40"/>
        <w:ind w:firstLine="660"/>
        <w:jc w:val="both"/>
        <w:rPr>
          <w:i/>
          <w:iCs/>
          <w:sz w:val="28"/>
          <w:szCs w:val="28"/>
        </w:rPr>
      </w:pPr>
      <w:r w:rsidRPr="003B37B6">
        <w:rPr>
          <w:rStyle w:val="aff9"/>
          <w:rFonts w:eastAsiaTheme="majorEastAsia"/>
          <w:sz w:val="24"/>
          <w:szCs w:val="24"/>
        </w:rPr>
        <w:t xml:space="preserve">Комментарии: </w:t>
      </w:r>
      <w:r w:rsidRPr="003B37B6">
        <w:rPr>
          <w:i/>
          <w:iCs/>
          <w:sz w:val="24"/>
          <w:szCs w:val="24"/>
        </w:rPr>
        <w:t>Скрининг артериальной гипертензии путем измерения артериального давления в медицинских учреждениях является важной профилактической мерой, позволяющей своевременно выявлять пациентов с повышенным АД и направлять их на дальнейшее обследование и лечение. Регистрация результатов в медицинской документации обеспечивает системный контроль и мониторинг состояния пациента.</w:t>
      </w:r>
    </w:p>
    <w:p w14:paraId="1DAAEB00" w14:textId="65970DF4" w:rsidR="00E76724" w:rsidRPr="003B37B6" w:rsidRDefault="00E76724">
      <w:pPr>
        <w:pStyle w:val="11"/>
        <w:numPr>
          <w:ilvl w:val="0"/>
          <w:numId w:val="10"/>
        </w:numPr>
        <w:tabs>
          <w:tab w:val="left" w:pos="1326"/>
        </w:tabs>
        <w:ind w:firstLine="600"/>
        <w:jc w:val="both"/>
        <w:rPr>
          <w:sz w:val="24"/>
          <w:szCs w:val="24"/>
        </w:rPr>
      </w:pPr>
      <w:r w:rsidRPr="003B37B6">
        <w:rPr>
          <w:rStyle w:val="ac"/>
          <w:rFonts w:eastAsiaTheme="majorEastAsia"/>
          <w:sz w:val="24"/>
          <w:szCs w:val="24"/>
        </w:rPr>
        <w:t>Для определения степени и стабильности повышения уровня АД рекомендовано</w:t>
      </w:r>
      <w:r w:rsidRPr="003B37B6">
        <w:rPr>
          <w:sz w:val="24"/>
          <w:szCs w:val="24"/>
        </w:rPr>
        <w:t xml:space="preserve"> </w:t>
      </w:r>
      <w:r w:rsidRPr="003B37B6">
        <w:rPr>
          <w:rStyle w:val="ac"/>
          <w:rFonts w:eastAsiaTheme="majorEastAsia"/>
          <w:sz w:val="24"/>
          <w:szCs w:val="24"/>
        </w:rPr>
        <w:t>проводить измерения АД в медицинском учреждении (таблица П2</w:t>
      </w:r>
      <w:r w:rsidR="00B92B97" w:rsidRPr="003B37B6">
        <w:rPr>
          <w:rStyle w:val="ac"/>
          <w:rFonts w:eastAsiaTheme="majorEastAsia"/>
          <w:sz w:val="24"/>
          <w:szCs w:val="24"/>
        </w:rPr>
        <w:t xml:space="preserve"> </w:t>
      </w:r>
      <w:r w:rsidRPr="003B37B6">
        <w:rPr>
          <w:rStyle w:val="ac"/>
          <w:rFonts w:eastAsiaTheme="majorEastAsia"/>
          <w:sz w:val="24"/>
          <w:szCs w:val="24"/>
        </w:rPr>
        <w:t>Приложени</w:t>
      </w:r>
      <w:r w:rsidR="00B92B97" w:rsidRPr="003B37B6">
        <w:rPr>
          <w:rStyle w:val="ac"/>
          <w:rFonts w:eastAsiaTheme="majorEastAsia"/>
          <w:sz w:val="24"/>
          <w:szCs w:val="24"/>
        </w:rPr>
        <w:t>я</w:t>
      </w:r>
      <w:r w:rsidRPr="003B37B6">
        <w:rPr>
          <w:rStyle w:val="ac"/>
          <w:rFonts w:eastAsiaTheme="majorEastAsia"/>
          <w:sz w:val="24"/>
          <w:szCs w:val="24"/>
        </w:rPr>
        <w:t xml:space="preserve"> </w:t>
      </w:r>
      <w:r w:rsidR="00FB33EA" w:rsidRPr="003B37B6">
        <w:rPr>
          <w:rStyle w:val="ac"/>
          <w:rFonts w:eastAsiaTheme="majorEastAsia"/>
          <w:sz w:val="24"/>
          <w:szCs w:val="24"/>
        </w:rPr>
        <w:t>А2</w:t>
      </w:r>
      <w:r w:rsidR="00B92B97" w:rsidRPr="003B37B6">
        <w:rPr>
          <w:rStyle w:val="ac"/>
          <w:rFonts w:eastAsiaTheme="majorEastAsia"/>
          <w:sz w:val="24"/>
          <w:szCs w:val="24"/>
        </w:rPr>
        <w:t xml:space="preserve"> к настоящим Клиническим рекомендациям</w:t>
      </w:r>
      <w:r w:rsidRPr="003B37B6">
        <w:rPr>
          <w:rStyle w:val="ac"/>
          <w:rFonts w:eastAsiaTheme="majorEastAsia"/>
          <w:sz w:val="24"/>
          <w:szCs w:val="24"/>
        </w:rPr>
        <w:t>) у всех пациентов с повышением АД [37, 46, 47].</w:t>
      </w:r>
    </w:p>
    <w:p w14:paraId="41062A01" w14:textId="4922EBB4" w:rsidR="00E76724" w:rsidRPr="003B37B6" w:rsidRDefault="003D51B3" w:rsidP="0083478E">
      <w:pPr>
        <w:pStyle w:val="11"/>
        <w:ind w:firstLine="600"/>
        <w:jc w:val="both"/>
        <w:rPr>
          <w:sz w:val="24"/>
          <w:szCs w:val="24"/>
        </w:rPr>
      </w:pPr>
      <w:r w:rsidRPr="003B37B6">
        <w:rPr>
          <w:rStyle w:val="ac"/>
          <w:rFonts w:eastAsiaTheme="majorEastAsia"/>
          <w:b/>
          <w:bCs/>
          <w:sz w:val="24"/>
          <w:szCs w:val="24"/>
        </w:rPr>
        <w:t>Уровень убедительности рекомендаций</w:t>
      </w:r>
      <w:r w:rsidR="0083478E" w:rsidRPr="003B37B6">
        <w:rPr>
          <w:rStyle w:val="ac"/>
          <w:rFonts w:eastAsiaTheme="majorEastAsia"/>
          <w:b/>
          <w:bCs/>
          <w:sz w:val="24"/>
          <w:szCs w:val="24"/>
        </w:rPr>
        <w:t xml:space="preserve"> </w:t>
      </w:r>
      <w:r w:rsidR="00E76724" w:rsidRPr="003B37B6">
        <w:rPr>
          <w:rStyle w:val="ac"/>
          <w:rFonts w:eastAsiaTheme="majorEastAsia"/>
          <w:b/>
          <w:bCs/>
          <w:sz w:val="24"/>
          <w:szCs w:val="24"/>
        </w:rPr>
        <w:t xml:space="preserve">А, </w:t>
      </w:r>
      <w:r w:rsidR="0083478E" w:rsidRPr="003B37B6">
        <w:rPr>
          <w:rStyle w:val="ac"/>
          <w:rFonts w:eastAsiaTheme="majorEastAsia"/>
          <w:b/>
          <w:bCs/>
          <w:sz w:val="24"/>
          <w:szCs w:val="24"/>
        </w:rPr>
        <w:t>(</w:t>
      </w:r>
      <w:r w:rsidRPr="003B37B6">
        <w:rPr>
          <w:rStyle w:val="ac"/>
          <w:rFonts w:eastAsiaTheme="majorEastAsia"/>
          <w:b/>
          <w:bCs/>
          <w:sz w:val="24"/>
          <w:szCs w:val="24"/>
        </w:rPr>
        <w:t>Уровень достоверности доказательств</w:t>
      </w:r>
      <w:r w:rsidR="00E76724" w:rsidRPr="003B37B6">
        <w:rPr>
          <w:rStyle w:val="ac"/>
          <w:rFonts w:eastAsiaTheme="majorEastAsia"/>
          <w:b/>
          <w:bCs/>
          <w:sz w:val="24"/>
          <w:szCs w:val="24"/>
        </w:rPr>
        <w:t xml:space="preserve"> 2</w:t>
      </w:r>
      <w:r w:rsidR="0083478E" w:rsidRPr="003B37B6">
        <w:rPr>
          <w:rStyle w:val="ac"/>
          <w:rFonts w:eastAsiaTheme="majorEastAsia"/>
          <w:b/>
          <w:bCs/>
          <w:sz w:val="24"/>
          <w:szCs w:val="24"/>
        </w:rPr>
        <w:t>); EОК/ЕОАГ IВ</w:t>
      </w:r>
      <w:r w:rsidR="0060323B" w:rsidRPr="003B37B6">
        <w:rPr>
          <w:rStyle w:val="ac"/>
          <w:rFonts w:eastAsiaTheme="majorEastAsia"/>
          <w:b/>
          <w:bCs/>
          <w:sz w:val="24"/>
          <w:szCs w:val="24"/>
        </w:rPr>
        <w:t>.</w:t>
      </w:r>
    </w:p>
    <w:p w14:paraId="24863B63" w14:textId="572CDEAD" w:rsidR="00E76724" w:rsidRPr="003B37B6" w:rsidRDefault="00E76724" w:rsidP="0083478E">
      <w:pPr>
        <w:pStyle w:val="11"/>
        <w:ind w:firstLine="600"/>
        <w:jc w:val="both"/>
        <w:rPr>
          <w:sz w:val="24"/>
          <w:szCs w:val="24"/>
        </w:rPr>
      </w:pPr>
      <w:r w:rsidRPr="003B37B6">
        <w:rPr>
          <w:rStyle w:val="ac"/>
          <w:rFonts w:eastAsiaTheme="majorEastAsia"/>
          <w:b/>
          <w:bCs/>
          <w:sz w:val="24"/>
          <w:szCs w:val="24"/>
        </w:rPr>
        <w:t xml:space="preserve">Комментарии. </w:t>
      </w:r>
      <w:r w:rsidRPr="003B37B6">
        <w:rPr>
          <w:rStyle w:val="ac"/>
          <w:rFonts w:eastAsiaTheme="majorEastAsia"/>
          <w:i/>
          <w:iCs/>
          <w:sz w:val="24"/>
          <w:szCs w:val="24"/>
        </w:rPr>
        <w:t>Клиническое измерение АД на периферических артериях имеет наибольшую доказательную базу для диагностики АГ и оценки эффективности антигипертензивной терапии (АГТ). Точность измерения АД и, соответственно, диагностика АГ, определение ее степени тяжести зависят от соблюдения правил по измерению АД (</w:t>
      </w:r>
      <w:r w:rsidR="0060323B" w:rsidRPr="003B37B6">
        <w:rPr>
          <w:rStyle w:val="ac"/>
          <w:rFonts w:eastAsiaTheme="majorEastAsia"/>
          <w:i/>
          <w:iCs/>
          <w:sz w:val="24"/>
          <w:szCs w:val="24"/>
        </w:rPr>
        <w:t>т</w:t>
      </w:r>
      <w:r w:rsidRPr="003B37B6">
        <w:rPr>
          <w:rStyle w:val="ac"/>
          <w:rFonts w:eastAsiaTheme="majorEastAsia"/>
          <w:i/>
          <w:iCs/>
          <w:sz w:val="24"/>
          <w:szCs w:val="24"/>
        </w:rPr>
        <w:t>аблица П1 Приложени</w:t>
      </w:r>
      <w:r w:rsidR="0060323B" w:rsidRPr="003B37B6">
        <w:rPr>
          <w:rStyle w:val="ac"/>
          <w:rFonts w:eastAsiaTheme="majorEastAsia"/>
          <w:i/>
          <w:iCs/>
          <w:sz w:val="24"/>
          <w:szCs w:val="24"/>
        </w:rPr>
        <w:t>я</w:t>
      </w:r>
      <w:r w:rsidRPr="003B37B6">
        <w:rPr>
          <w:rStyle w:val="ac"/>
          <w:rFonts w:eastAsiaTheme="majorEastAsia"/>
          <w:i/>
          <w:iCs/>
          <w:sz w:val="24"/>
          <w:szCs w:val="24"/>
        </w:rPr>
        <w:t xml:space="preserve"> </w:t>
      </w:r>
      <w:r w:rsidR="00FB33EA" w:rsidRPr="003B37B6">
        <w:rPr>
          <w:rStyle w:val="ac"/>
          <w:rFonts w:eastAsiaTheme="majorEastAsia"/>
          <w:i/>
          <w:iCs/>
          <w:sz w:val="24"/>
          <w:szCs w:val="24"/>
        </w:rPr>
        <w:t>А2</w:t>
      </w:r>
      <w:r w:rsidR="0060323B" w:rsidRPr="003B37B6">
        <w:rPr>
          <w:rStyle w:val="ac"/>
          <w:rFonts w:eastAsiaTheme="majorEastAsia"/>
          <w:sz w:val="24"/>
          <w:szCs w:val="24"/>
        </w:rPr>
        <w:t xml:space="preserve"> </w:t>
      </w:r>
      <w:r w:rsidR="0060323B" w:rsidRPr="003B37B6">
        <w:rPr>
          <w:rStyle w:val="ac"/>
          <w:rFonts w:eastAsiaTheme="majorEastAsia"/>
          <w:i/>
          <w:iCs/>
          <w:sz w:val="24"/>
          <w:szCs w:val="24"/>
        </w:rPr>
        <w:t>к настоящим Клиническим рекомендациям</w:t>
      </w:r>
      <w:r w:rsidRPr="003B37B6">
        <w:rPr>
          <w:rStyle w:val="ac"/>
          <w:rFonts w:eastAsiaTheme="majorEastAsia"/>
          <w:i/>
          <w:iCs/>
          <w:sz w:val="24"/>
          <w:szCs w:val="24"/>
        </w:rPr>
        <w:t xml:space="preserve">). Среди доступных для использования приборов для измерения АД можно выделить механические (ртутные, анероидные сфигмоманометры и гибридные приборы со светодиодными или жидкокристаллическими дисплеями или цифровым обратным отсчетом) и автоматические электронные (автоматические осциллометрические, в том числе с манжетой на запястье, автоматические аускультативные и полуавтоматические с нагнетанием воздуха вручную). При доступности, более предпочтительными в клинической практике являются автоматические электронные с манжетой на плечо или </w:t>
      </w:r>
      <w:r w:rsidRPr="003B37B6">
        <w:rPr>
          <w:rStyle w:val="ac"/>
          <w:rFonts w:eastAsiaTheme="majorEastAsia"/>
          <w:i/>
          <w:iCs/>
          <w:sz w:val="24"/>
          <w:szCs w:val="24"/>
        </w:rPr>
        <w:lastRenderedPageBreak/>
        <w:t>механические (гибридные или ударопрочные анероидные), имеющих регистрационное удостоверение. Безманжеточные приборы для измерения АД применять не рекомендуется</w:t>
      </w:r>
      <w:r w:rsidRPr="003B37B6">
        <w:rPr>
          <w:rStyle w:val="ac"/>
          <w:rFonts w:eastAsiaTheme="majorEastAsia"/>
          <w:sz w:val="24"/>
          <w:szCs w:val="24"/>
        </w:rPr>
        <w:t xml:space="preserve"> [48, 49]</w:t>
      </w:r>
      <w:r w:rsidRPr="003B37B6">
        <w:rPr>
          <w:rStyle w:val="ac"/>
          <w:rFonts w:eastAsiaTheme="majorEastAsia"/>
          <w:i/>
          <w:iCs/>
          <w:sz w:val="24"/>
          <w:szCs w:val="24"/>
        </w:rPr>
        <w:t>.</w:t>
      </w:r>
    </w:p>
    <w:p w14:paraId="4CA10255" w14:textId="77777777" w:rsidR="00E76724" w:rsidRPr="003B37B6" w:rsidRDefault="00E76724">
      <w:pPr>
        <w:pStyle w:val="11"/>
        <w:numPr>
          <w:ilvl w:val="0"/>
          <w:numId w:val="10"/>
        </w:numPr>
        <w:tabs>
          <w:tab w:val="left" w:pos="1358"/>
        </w:tabs>
        <w:ind w:firstLine="600"/>
        <w:jc w:val="both"/>
        <w:rPr>
          <w:sz w:val="24"/>
          <w:szCs w:val="24"/>
        </w:rPr>
      </w:pPr>
      <w:r w:rsidRPr="003B37B6">
        <w:rPr>
          <w:rStyle w:val="ac"/>
          <w:rFonts w:eastAsiaTheme="majorEastAsia"/>
          <w:sz w:val="24"/>
          <w:szCs w:val="24"/>
        </w:rPr>
        <w:t>Рекомендуется проводить измерения АД в медицинском учреждении на обеих руках, по крайней мере, во время первого визита пациента для выявления возможного поражения артерий (в первую очередь атеросклеротического), ассоциированного с более высоким СС риском [50].</w:t>
      </w:r>
    </w:p>
    <w:p w14:paraId="57E347A7" w14:textId="6DE5B953" w:rsidR="00E76724" w:rsidRPr="003B37B6" w:rsidRDefault="00E76724" w:rsidP="00E76724">
      <w:pPr>
        <w:pStyle w:val="11"/>
        <w:ind w:firstLine="600"/>
        <w:jc w:val="both"/>
        <w:rPr>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83478E" w:rsidRPr="003B37B6">
        <w:rPr>
          <w:rStyle w:val="ac"/>
          <w:rFonts w:eastAsiaTheme="majorEastAsia"/>
          <w:b/>
          <w:bCs/>
          <w:sz w:val="24"/>
          <w:szCs w:val="24"/>
        </w:rPr>
        <w:t xml:space="preserve"> </w:t>
      </w:r>
      <w:r w:rsidRPr="003B37B6">
        <w:rPr>
          <w:rStyle w:val="ac"/>
          <w:rFonts w:eastAsiaTheme="majorEastAsia"/>
          <w:b/>
          <w:bCs/>
          <w:sz w:val="24"/>
          <w:szCs w:val="24"/>
        </w:rPr>
        <w:t xml:space="preserve">А, </w:t>
      </w:r>
      <w:r w:rsidR="0083478E"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2)</w:t>
      </w:r>
      <w:r w:rsidR="0083478E" w:rsidRPr="003B37B6">
        <w:rPr>
          <w:rStyle w:val="ac"/>
          <w:rFonts w:eastAsiaTheme="majorEastAsia"/>
          <w:b/>
          <w:bCs/>
          <w:sz w:val="24"/>
          <w:szCs w:val="24"/>
        </w:rPr>
        <w:t>; EОК/ЕОАГ IА</w:t>
      </w:r>
      <w:r w:rsidR="00D27EEF" w:rsidRPr="003B37B6">
        <w:rPr>
          <w:rStyle w:val="ac"/>
          <w:rFonts w:eastAsiaTheme="majorEastAsia"/>
          <w:b/>
          <w:bCs/>
          <w:sz w:val="24"/>
          <w:szCs w:val="24"/>
        </w:rPr>
        <w:t>.</w:t>
      </w:r>
    </w:p>
    <w:p w14:paraId="4540A42A" w14:textId="77777777" w:rsidR="00E76724" w:rsidRPr="003B37B6" w:rsidRDefault="00E76724" w:rsidP="00E76724">
      <w:pPr>
        <w:pStyle w:val="11"/>
        <w:ind w:firstLine="600"/>
        <w:jc w:val="both"/>
        <w:rPr>
          <w:sz w:val="24"/>
          <w:szCs w:val="24"/>
        </w:rPr>
      </w:pPr>
      <w:r w:rsidRPr="003B37B6">
        <w:rPr>
          <w:rStyle w:val="ac"/>
          <w:rFonts w:eastAsiaTheme="majorEastAsia"/>
          <w:b/>
          <w:bCs/>
          <w:sz w:val="24"/>
          <w:szCs w:val="24"/>
        </w:rPr>
        <w:t xml:space="preserve">Комментарии. </w:t>
      </w:r>
      <w:r w:rsidRPr="003B37B6">
        <w:rPr>
          <w:rStyle w:val="ac"/>
          <w:rFonts w:eastAsiaTheme="majorEastAsia"/>
          <w:i/>
          <w:iCs/>
          <w:sz w:val="24"/>
          <w:szCs w:val="24"/>
        </w:rPr>
        <w:t>При разнице показателей АД на правой и левой руке более 15 мм рт. ст. вероятно атеросклеротическое поражение сосудов. При выявленной разнице показателей между правой и левой руками в дальнейшем рекомендуется проводить измерения на руке с более высоким АД.</w:t>
      </w:r>
    </w:p>
    <w:p w14:paraId="5BE6B892" w14:textId="77777777" w:rsidR="00E76724" w:rsidRPr="003B37B6" w:rsidRDefault="00E76724">
      <w:pPr>
        <w:pStyle w:val="11"/>
        <w:numPr>
          <w:ilvl w:val="0"/>
          <w:numId w:val="10"/>
        </w:numPr>
        <w:tabs>
          <w:tab w:val="left" w:pos="1358"/>
        </w:tabs>
        <w:ind w:firstLine="600"/>
        <w:jc w:val="both"/>
        <w:rPr>
          <w:sz w:val="24"/>
          <w:szCs w:val="24"/>
        </w:rPr>
      </w:pPr>
      <w:r w:rsidRPr="003B37B6">
        <w:rPr>
          <w:rStyle w:val="ac"/>
          <w:rFonts w:eastAsiaTheme="majorEastAsia"/>
          <w:sz w:val="24"/>
          <w:szCs w:val="24"/>
        </w:rPr>
        <w:t xml:space="preserve">Определение АД, измеренного вне медицинского учреждения (СМАД, ДМАД (в том числе активный мониторинг АД при помощи дистанционных технологий при наличии возможности в медицинском учреждении)) для постановки диагноза или контроля эффективности АГТ рекомендуется в ряде клинических ситуаций, указанных в таблице П10, Приложение </w:t>
      </w:r>
      <w:r w:rsidR="00FB33EA" w:rsidRPr="003B37B6">
        <w:rPr>
          <w:rStyle w:val="ac"/>
          <w:rFonts w:eastAsiaTheme="majorEastAsia"/>
          <w:sz w:val="24"/>
          <w:szCs w:val="24"/>
        </w:rPr>
        <w:t>А2</w:t>
      </w:r>
      <w:r w:rsidRPr="003B37B6">
        <w:rPr>
          <w:rStyle w:val="ac"/>
          <w:rFonts w:eastAsiaTheme="majorEastAsia"/>
          <w:sz w:val="24"/>
          <w:szCs w:val="24"/>
        </w:rPr>
        <w:t xml:space="preserve"> [46, 47, 51].</w:t>
      </w:r>
    </w:p>
    <w:p w14:paraId="3D43A6A9" w14:textId="2103922D" w:rsidR="00E76724" w:rsidRPr="003B37B6" w:rsidRDefault="00E76724" w:rsidP="00E76724">
      <w:pPr>
        <w:pStyle w:val="11"/>
        <w:ind w:firstLine="600"/>
        <w:jc w:val="both"/>
        <w:rPr>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EA6544" w:rsidRPr="003B37B6">
        <w:rPr>
          <w:rStyle w:val="ac"/>
          <w:rFonts w:eastAsiaTheme="majorEastAsia"/>
          <w:b/>
          <w:bCs/>
          <w:sz w:val="24"/>
          <w:szCs w:val="24"/>
        </w:rPr>
        <w:t xml:space="preserve"> </w:t>
      </w:r>
      <w:r w:rsidRPr="003B37B6">
        <w:rPr>
          <w:rStyle w:val="ac"/>
          <w:rFonts w:eastAsiaTheme="majorEastAsia"/>
          <w:b/>
          <w:bCs/>
          <w:sz w:val="24"/>
          <w:szCs w:val="24"/>
        </w:rPr>
        <w:t xml:space="preserve">А, </w:t>
      </w:r>
      <w:r w:rsidR="00EA6544"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2)</w:t>
      </w:r>
      <w:r w:rsidR="00EA6544" w:rsidRPr="003B37B6">
        <w:rPr>
          <w:rStyle w:val="ac"/>
          <w:rFonts w:eastAsiaTheme="majorEastAsia"/>
          <w:b/>
          <w:bCs/>
          <w:sz w:val="24"/>
          <w:szCs w:val="24"/>
        </w:rPr>
        <w:t xml:space="preserve"> ЕОК/ЕОАГ IА</w:t>
      </w:r>
      <w:r w:rsidR="00D27EEF" w:rsidRPr="003B37B6">
        <w:rPr>
          <w:rStyle w:val="ac"/>
          <w:rFonts w:eastAsiaTheme="majorEastAsia"/>
          <w:b/>
          <w:bCs/>
          <w:sz w:val="24"/>
          <w:szCs w:val="24"/>
        </w:rPr>
        <w:t>.</w:t>
      </w:r>
    </w:p>
    <w:p w14:paraId="675D7144" w14:textId="21827481" w:rsidR="00E76724" w:rsidRPr="003B37B6" w:rsidRDefault="00E76724" w:rsidP="00E76724">
      <w:pPr>
        <w:pStyle w:val="11"/>
        <w:ind w:firstLine="0"/>
        <w:jc w:val="both"/>
        <w:rPr>
          <w:sz w:val="24"/>
          <w:szCs w:val="24"/>
        </w:rPr>
      </w:pPr>
      <w:r w:rsidRPr="003B37B6">
        <w:rPr>
          <w:rStyle w:val="ac"/>
          <w:rFonts w:eastAsiaTheme="majorEastAsia"/>
          <w:b/>
          <w:bCs/>
          <w:sz w:val="24"/>
          <w:szCs w:val="24"/>
        </w:rPr>
        <w:t xml:space="preserve">Комментарии. </w:t>
      </w:r>
      <w:r w:rsidRPr="003B37B6">
        <w:rPr>
          <w:rStyle w:val="ac"/>
          <w:rFonts w:eastAsiaTheme="majorEastAsia"/>
          <w:i/>
          <w:iCs/>
          <w:sz w:val="24"/>
          <w:szCs w:val="24"/>
        </w:rPr>
        <w:t xml:space="preserve">Преимущества и недостатки каждого метода измерения АД суммированы в таблице П11, Приложение </w:t>
      </w:r>
      <w:r w:rsidR="00FB33EA" w:rsidRPr="003B37B6">
        <w:rPr>
          <w:rStyle w:val="ac"/>
          <w:rFonts w:eastAsiaTheme="majorEastAsia"/>
          <w:i/>
          <w:iCs/>
          <w:sz w:val="24"/>
          <w:szCs w:val="24"/>
        </w:rPr>
        <w:t>А2</w:t>
      </w:r>
      <w:r w:rsidRPr="003B37B6">
        <w:rPr>
          <w:rStyle w:val="ac"/>
          <w:rFonts w:eastAsiaTheme="majorEastAsia"/>
          <w:i/>
          <w:iCs/>
          <w:sz w:val="24"/>
          <w:szCs w:val="24"/>
        </w:rPr>
        <w:t>. Диагностические критерии АГ по данным СМАД приведены в таблице П12 Приложени</w:t>
      </w:r>
      <w:r w:rsidR="00412E88" w:rsidRPr="003B37B6">
        <w:rPr>
          <w:rStyle w:val="ac"/>
          <w:rFonts w:eastAsiaTheme="majorEastAsia"/>
          <w:i/>
          <w:iCs/>
          <w:sz w:val="24"/>
          <w:szCs w:val="24"/>
        </w:rPr>
        <w:t>я</w:t>
      </w:r>
      <w:r w:rsidRPr="003B37B6">
        <w:rPr>
          <w:rStyle w:val="ac"/>
          <w:rFonts w:eastAsiaTheme="majorEastAsia"/>
          <w:i/>
          <w:iCs/>
          <w:sz w:val="24"/>
          <w:szCs w:val="24"/>
        </w:rPr>
        <w:t xml:space="preserve"> </w:t>
      </w:r>
      <w:r w:rsidR="00FB33EA" w:rsidRPr="003B37B6">
        <w:rPr>
          <w:rStyle w:val="ac"/>
          <w:rFonts w:eastAsiaTheme="majorEastAsia"/>
          <w:i/>
          <w:iCs/>
          <w:sz w:val="24"/>
          <w:szCs w:val="24"/>
        </w:rPr>
        <w:t>А2</w:t>
      </w:r>
      <w:r w:rsidR="00412E88" w:rsidRPr="003B37B6">
        <w:rPr>
          <w:rStyle w:val="ac"/>
          <w:rFonts w:eastAsiaTheme="majorEastAsia"/>
          <w:sz w:val="24"/>
          <w:szCs w:val="24"/>
        </w:rPr>
        <w:t xml:space="preserve"> </w:t>
      </w:r>
      <w:r w:rsidR="00412E88" w:rsidRPr="003B37B6">
        <w:rPr>
          <w:rStyle w:val="ac"/>
          <w:rFonts w:eastAsiaTheme="majorEastAsia"/>
          <w:i/>
          <w:iCs/>
          <w:sz w:val="24"/>
          <w:szCs w:val="24"/>
        </w:rPr>
        <w:t>к настоящим Клиническим рекомендациям</w:t>
      </w:r>
      <w:r w:rsidRPr="003B37B6">
        <w:rPr>
          <w:rStyle w:val="ac"/>
          <w:rFonts w:eastAsiaTheme="majorEastAsia"/>
          <w:i/>
          <w:iCs/>
          <w:sz w:val="24"/>
          <w:szCs w:val="24"/>
        </w:rPr>
        <w:t>. Результаты СМАД, ДМАД (в том числе активного мониторинга АД при помощи дистанционных технологий) могут помочь в диагностике АГ, но не заменяют повторные измерения АД в лечебном учреждении. Следует обратить внимание, что критерии диагностики АГ по результатам клинического измерения АД, СМАД и ДМАД (в том числе активного мониторинга АД при помощи дистанционных технологий) отличаются (таблиц</w:t>
      </w:r>
      <w:r w:rsidR="00D27EEF" w:rsidRPr="003B37B6">
        <w:rPr>
          <w:rStyle w:val="ac"/>
          <w:rFonts w:eastAsiaTheme="majorEastAsia"/>
          <w:i/>
          <w:iCs/>
          <w:sz w:val="24"/>
          <w:szCs w:val="24"/>
        </w:rPr>
        <w:t xml:space="preserve">ы </w:t>
      </w:r>
      <w:r w:rsidRPr="003B37B6">
        <w:rPr>
          <w:rStyle w:val="ac"/>
          <w:rFonts w:eastAsiaTheme="majorEastAsia"/>
          <w:i/>
          <w:iCs/>
          <w:sz w:val="24"/>
          <w:szCs w:val="24"/>
        </w:rPr>
        <w:t>П2</w:t>
      </w:r>
      <w:r w:rsidR="00D27EEF" w:rsidRPr="003B37B6">
        <w:rPr>
          <w:rStyle w:val="ac"/>
          <w:rFonts w:eastAsiaTheme="majorEastAsia"/>
          <w:i/>
          <w:iCs/>
          <w:sz w:val="24"/>
          <w:szCs w:val="24"/>
        </w:rPr>
        <w:t xml:space="preserve"> и П12 </w:t>
      </w:r>
      <w:r w:rsidR="00D27EEF" w:rsidRPr="003B37B6">
        <w:rPr>
          <w:rStyle w:val="ac"/>
          <w:rFonts w:eastAsiaTheme="majorEastAsia"/>
          <w:sz w:val="24"/>
          <w:szCs w:val="24"/>
        </w:rPr>
        <w:t>П</w:t>
      </w:r>
      <w:r w:rsidRPr="003B37B6">
        <w:rPr>
          <w:rStyle w:val="ac"/>
          <w:rFonts w:eastAsiaTheme="majorEastAsia"/>
          <w:sz w:val="24"/>
          <w:szCs w:val="24"/>
        </w:rPr>
        <w:t>риложени</w:t>
      </w:r>
      <w:r w:rsidR="00D27EEF" w:rsidRPr="003B37B6">
        <w:rPr>
          <w:rStyle w:val="ac"/>
          <w:rFonts w:eastAsiaTheme="majorEastAsia"/>
          <w:sz w:val="24"/>
          <w:szCs w:val="24"/>
        </w:rPr>
        <w:t>я</w:t>
      </w:r>
      <w:r w:rsidRPr="003B37B6">
        <w:rPr>
          <w:rStyle w:val="ac"/>
          <w:rFonts w:eastAsiaTheme="majorEastAsia"/>
          <w:sz w:val="24"/>
          <w:szCs w:val="24"/>
        </w:rPr>
        <w:t xml:space="preserve"> </w:t>
      </w:r>
      <w:r w:rsidR="00FB33EA" w:rsidRPr="003B37B6">
        <w:rPr>
          <w:rStyle w:val="ac"/>
          <w:rFonts w:eastAsiaTheme="majorEastAsia"/>
          <w:sz w:val="24"/>
          <w:szCs w:val="24"/>
        </w:rPr>
        <w:t>А2</w:t>
      </w:r>
      <w:r w:rsidR="00D27EEF" w:rsidRPr="003B37B6">
        <w:rPr>
          <w:rStyle w:val="ac"/>
          <w:rFonts w:eastAsiaTheme="majorEastAsia"/>
          <w:sz w:val="24"/>
          <w:szCs w:val="24"/>
        </w:rPr>
        <w:t xml:space="preserve"> к настоящим Клиническим рекомендациям</w:t>
      </w:r>
      <w:r w:rsidRPr="003B37B6">
        <w:rPr>
          <w:rStyle w:val="ac"/>
          <w:rFonts w:eastAsiaTheme="majorEastAsia"/>
          <w:sz w:val="24"/>
          <w:szCs w:val="24"/>
        </w:rPr>
        <w:t>).</w:t>
      </w:r>
    </w:p>
    <w:p w14:paraId="06CF2FAC" w14:textId="77777777" w:rsidR="00E76724" w:rsidRPr="003B37B6" w:rsidRDefault="00E76724" w:rsidP="00E76724">
      <w:pPr>
        <w:pStyle w:val="11"/>
        <w:ind w:firstLine="620"/>
        <w:jc w:val="both"/>
        <w:rPr>
          <w:sz w:val="24"/>
          <w:szCs w:val="24"/>
        </w:rPr>
      </w:pPr>
      <w:r w:rsidRPr="003B37B6">
        <w:rPr>
          <w:rStyle w:val="ac"/>
          <w:rFonts w:eastAsiaTheme="majorEastAsia"/>
          <w:i/>
          <w:iCs/>
          <w:sz w:val="24"/>
          <w:szCs w:val="24"/>
        </w:rPr>
        <w:t>Указанные методы измерения позволяют выявить различные особенности профиля АД.</w:t>
      </w:r>
    </w:p>
    <w:p w14:paraId="55649786" w14:textId="77777777" w:rsidR="00E76724" w:rsidRPr="003B37B6" w:rsidRDefault="00E76724" w:rsidP="00E76724">
      <w:pPr>
        <w:pStyle w:val="11"/>
        <w:ind w:firstLine="620"/>
        <w:jc w:val="both"/>
        <w:rPr>
          <w:sz w:val="24"/>
          <w:szCs w:val="24"/>
        </w:rPr>
      </w:pPr>
      <w:r w:rsidRPr="003B37B6">
        <w:rPr>
          <w:rStyle w:val="ac"/>
          <w:rFonts w:eastAsiaTheme="majorEastAsia"/>
          <w:i/>
          <w:iCs/>
          <w:sz w:val="24"/>
          <w:szCs w:val="24"/>
          <w:u w:val="single"/>
        </w:rPr>
        <w:t>Ночная гипертензия</w:t>
      </w:r>
      <w:r w:rsidRPr="003B37B6">
        <w:rPr>
          <w:rStyle w:val="ac"/>
          <w:rFonts w:eastAsiaTheme="majorEastAsia"/>
          <w:i/>
          <w:iCs/>
          <w:sz w:val="24"/>
          <w:szCs w:val="24"/>
        </w:rPr>
        <w:t xml:space="preserve"> – зарегистрированное при СМАД повышение среднего ночного АД ≥120/70 мм рт.ст. Вероятно, является более значимым предиктором неблагоприятных сердечно-сосудистых событий по сравнению с дневным и даже среднесуточным АД</w:t>
      </w:r>
      <w:r w:rsidRPr="003B37B6">
        <w:rPr>
          <w:rStyle w:val="ac"/>
          <w:rFonts w:eastAsiaTheme="majorEastAsia"/>
          <w:sz w:val="24"/>
          <w:szCs w:val="24"/>
        </w:rPr>
        <w:t xml:space="preserve"> [52]</w:t>
      </w:r>
      <w:r w:rsidRPr="003B37B6">
        <w:rPr>
          <w:rStyle w:val="ac"/>
          <w:rFonts w:eastAsiaTheme="majorEastAsia"/>
          <w:i/>
          <w:iCs/>
          <w:sz w:val="24"/>
          <w:szCs w:val="24"/>
        </w:rPr>
        <w:t xml:space="preserve">. Изолированная ночная АГ (повышение ночного АД при нормальном клиническом и среднем </w:t>
      </w:r>
      <w:r w:rsidRPr="003B37B6">
        <w:rPr>
          <w:rStyle w:val="ac"/>
          <w:rFonts w:eastAsiaTheme="majorEastAsia"/>
          <w:i/>
          <w:iCs/>
          <w:sz w:val="24"/>
          <w:szCs w:val="24"/>
        </w:rPr>
        <w:lastRenderedPageBreak/>
        <w:t>дневном АД) ассоциирована с повышением риска ПОМ и нежелательных исходов</w:t>
      </w:r>
      <w:r w:rsidRPr="003B37B6">
        <w:rPr>
          <w:rStyle w:val="ac"/>
          <w:rFonts w:eastAsiaTheme="majorEastAsia"/>
          <w:sz w:val="24"/>
          <w:szCs w:val="24"/>
        </w:rPr>
        <w:t xml:space="preserve"> [53]</w:t>
      </w:r>
      <w:r w:rsidRPr="003B37B6">
        <w:rPr>
          <w:rStyle w:val="ac"/>
          <w:rFonts w:eastAsiaTheme="majorEastAsia"/>
          <w:i/>
          <w:iCs/>
          <w:sz w:val="24"/>
          <w:szCs w:val="24"/>
        </w:rPr>
        <w:t xml:space="preserve">. </w:t>
      </w:r>
      <w:r w:rsidRPr="003B37B6">
        <w:rPr>
          <w:rStyle w:val="ac"/>
          <w:rFonts w:eastAsiaTheme="majorEastAsia"/>
          <w:i/>
          <w:iCs/>
          <w:sz w:val="24"/>
          <w:szCs w:val="24"/>
          <w:u w:val="single"/>
        </w:rPr>
        <w:t>Недостаточное снижение ночного АД</w:t>
      </w:r>
      <w:r w:rsidRPr="003B37B6">
        <w:rPr>
          <w:rStyle w:val="ac"/>
          <w:rFonts w:eastAsiaTheme="majorEastAsia"/>
          <w:i/>
          <w:iCs/>
          <w:sz w:val="24"/>
          <w:szCs w:val="24"/>
        </w:rPr>
        <w:t xml:space="preserve"> (нон-диппинг, суточный индекс &lt;10%) – еще одно состояние, ассоциированное с высоким СС риском</w:t>
      </w:r>
      <w:r w:rsidRPr="003B37B6">
        <w:rPr>
          <w:rStyle w:val="ac"/>
          <w:rFonts w:eastAsiaTheme="majorEastAsia"/>
          <w:sz w:val="24"/>
          <w:szCs w:val="24"/>
        </w:rPr>
        <w:t xml:space="preserve"> [54]</w:t>
      </w:r>
      <w:r w:rsidRPr="003B37B6">
        <w:rPr>
          <w:rStyle w:val="ac"/>
          <w:rFonts w:eastAsiaTheme="majorEastAsia"/>
          <w:i/>
          <w:iCs/>
          <w:sz w:val="24"/>
          <w:szCs w:val="24"/>
        </w:rPr>
        <w:t xml:space="preserve">: у пожилых пациентов отмечается </w:t>
      </w:r>
      <w:r w:rsidRPr="003B37B6">
        <w:rPr>
          <w:rStyle w:val="ac"/>
          <w:rFonts w:eastAsiaTheme="majorEastAsia"/>
          <w:i/>
          <w:iCs/>
          <w:sz w:val="24"/>
          <w:szCs w:val="24"/>
          <w:lang w:val="en-US"/>
        </w:rPr>
        <w:t>U</w:t>
      </w:r>
      <w:r w:rsidRPr="003B37B6">
        <w:rPr>
          <w:rStyle w:val="ac"/>
          <w:rFonts w:eastAsiaTheme="majorEastAsia"/>
          <w:i/>
          <w:iCs/>
          <w:sz w:val="24"/>
          <w:szCs w:val="24"/>
        </w:rPr>
        <w:t>- образная зависимость, при которой чрезмерное снижение ночного АД также ассоциировано с неблагоприятными исходами, у более молодых зависимость носит линейный характер.</w:t>
      </w:r>
    </w:p>
    <w:p w14:paraId="542B2A9B" w14:textId="380D0273" w:rsidR="00E76724" w:rsidRPr="003B37B6" w:rsidRDefault="00E76724" w:rsidP="000E7FFC">
      <w:pPr>
        <w:pStyle w:val="11"/>
        <w:tabs>
          <w:tab w:val="left" w:pos="7277"/>
        </w:tabs>
        <w:ind w:firstLine="620"/>
        <w:jc w:val="both"/>
        <w:rPr>
          <w:sz w:val="24"/>
          <w:szCs w:val="24"/>
        </w:rPr>
      </w:pPr>
      <w:r w:rsidRPr="003B37B6">
        <w:rPr>
          <w:rStyle w:val="ac"/>
          <w:rFonts w:eastAsiaTheme="majorEastAsia"/>
          <w:i/>
          <w:iCs/>
          <w:sz w:val="24"/>
          <w:szCs w:val="24"/>
        </w:rPr>
        <w:t xml:space="preserve">Подтверждено неблагоприятное прогностическое значение повышения </w:t>
      </w:r>
      <w:r w:rsidRPr="003B37B6">
        <w:rPr>
          <w:rStyle w:val="ac"/>
          <w:rFonts w:eastAsiaTheme="majorEastAsia"/>
          <w:i/>
          <w:iCs/>
          <w:sz w:val="24"/>
          <w:szCs w:val="24"/>
          <w:u w:val="single"/>
        </w:rPr>
        <w:t>межвизитной вариабельности АД</w:t>
      </w:r>
      <w:r w:rsidRPr="003B37B6">
        <w:rPr>
          <w:rStyle w:val="ac"/>
          <w:rFonts w:eastAsiaTheme="majorEastAsia"/>
          <w:i/>
          <w:iCs/>
          <w:sz w:val="24"/>
          <w:szCs w:val="24"/>
        </w:rPr>
        <w:t xml:space="preserve"> в отношении риска сердечно-сосудистых и почечных исходов, независимо от уровня АД</w:t>
      </w:r>
      <w:r w:rsidRPr="003B37B6">
        <w:rPr>
          <w:rStyle w:val="ac"/>
          <w:rFonts w:eastAsiaTheme="majorEastAsia"/>
          <w:sz w:val="24"/>
          <w:szCs w:val="24"/>
        </w:rPr>
        <w:t xml:space="preserve"> [55]</w:t>
      </w:r>
      <w:r w:rsidRPr="003B37B6">
        <w:rPr>
          <w:rStyle w:val="ac"/>
          <w:rFonts w:eastAsiaTheme="majorEastAsia"/>
          <w:i/>
          <w:iCs/>
          <w:sz w:val="24"/>
          <w:szCs w:val="24"/>
        </w:rPr>
        <w:t>. У пациентов с АГ протективный эффект терапии зависит в том числе и от времени, в течение которого отмечается контроль АД</w:t>
      </w:r>
      <w:r w:rsidRPr="003B37B6">
        <w:rPr>
          <w:rStyle w:val="ac"/>
          <w:rFonts w:eastAsiaTheme="majorEastAsia"/>
          <w:sz w:val="24"/>
          <w:szCs w:val="24"/>
        </w:rPr>
        <w:t xml:space="preserve"> [56,</w:t>
      </w:r>
      <w:r w:rsidR="000E7FFC" w:rsidRPr="003B37B6">
        <w:rPr>
          <w:rStyle w:val="ac"/>
          <w:rFonts w:eastAsiaTheme="majorEastAsia"/>
          <w:sz w:val="24"/>
          <w:szCs w:val="24"/>
        </w:rPr>
        <w:t xml:space="preserve"> </w:t>
      </w:r>
      <w:r w:rsidRPr="003B37B6">
        <w:rPr>
          <w:rStyle w:val="ac"/>
          <w:rFonts w:eastAsiaTheme="majorEastAsia"/>
          <w:sz w:val="24"/>
          <w:szCs w:val="24"/>
        </w:rPr>
        <w:t>57]</w:t>
      </w:r>
      <w:r w:rsidRPr="003B37B6">
        <w:rPr>
          <w:rStyle w:val="ac"/>
          <w:rFonts w:eastAsiaTheme="majorEastAsia"/>
          <w:i/>
          <w:iCs/>
          <w:sz w:val="24"/>
          <w:szCs w:val="24"/>
        </w:rPr>
        <w:t>, что обосновывает</w:t>
      </w:r>
      <w:r w:rsidR="000E7FFC" w:rsidRPr="003B37B6">
        <w:rPr>
          <w:sz w:val="24"/>
          <w:szCs w:val="24"/>
        </w:rPr>
        <w:t xml:space="preserve"> </w:t>
      </w:r>
      <w:r w:rsidRPr="003B37B6">
        <w:rPr>
          <w:rStyle w:val="ac"/>
          <w:rFonts w:eastAsiaTheme="majorEastAsia"/>
          <w:i/>
          <w:iCs/>
          <w:sz w:val="24"/>
          <w:szCs w:val="24"/>
        </w:rPr>
        <w:t>рекомендацию обращать внимание на постоянство контроля АД у пролеченных пациентов, поскольку отсутствие контроля во время данного визита, вероятно, свидетельствует не о мимолетном «невинном» повышении АД, а о длительном периоде высокого АД в предшествующие месяцы</w:t>
      </w:r>
      <w:r w:rsidRPr="003B37B6">
        <w:rPr>
          <w:rStyle w:val="ac"/>
          <w:rFonts w:eastAsiaTheme="majorEastAsia"/>
          <w:sz w:val="24"/>
          <w:szCs w:val="24"/>
        </w:rPr>
        <w:t>.</w:t>
      </w:r>
    </w:p>
    <w:p w14:paraId="170E58FF" w14:textId="77777777" w:rsidR="00E76724" w:rsidRPr="003B37B6" w:rsidRDefault="00E76724" w:rsidP="00E76724">
      <w:pPr>
        <w:pStyle w:val="11"/>
        <w:ind w:firstLine="620"/>
        <w:jc w:val="both"/>
        <w:rPr>
          <w:sz w:val="24"/>
          <w:szCs w:val="24"/>
        </w:rPr>
      </w:pPr>
      <w:r w:rsidRPr="003B37B6">
        <w:rPr>
          <w:rStyle w:val="ac"/>
          <w:rFonts w:eastAsiaTheme="majorEastAsia"/>
          <w:i/>
          <w:iCs/>
          <w:sz w:val="24"/>
          <w:szCs w:val="24"/>
        </w:rPr>
        <w:t xml:space="preserve">Измерение </w:t>
      </w:r>
      <w:r w:rsidRPr="003B37B6">
        <w:rPr>
          <w:rStyle w:val="ac"/>
          <w:rFonts w:eastAsiaTheme="majorEastAsia"/>
          <w:i/>
          <w:iCs/>
          <w:sz w:val="24"/>
          <w:szCs w:val="24"/>
          <w:u w:val="single"/>
        </w:rPr>
        <w:t>центрального АД</w:t>
      </w:r>
      <w:r w:rsidRPr="003B37B6">
        <w:rPr>
          <w:rStyle w:val="ac"/>
          <w:rFonts w:eastAsiaTheme="majorEastAsia"/>
          <w:i/>
          <w:iCs/>
          <w:sz w:val="24"/>
          <w:szCs w:val="24"/>
        </w:rPr>
        <w:t xml:space="preserve"> в реальной клинической практике имеет ряд ограничений, связанных с необходимостью калибровки приборов, отсутствием общепринятых пороговых значений для диагностики гипертензии и недостаточным количеством данных по соответствию центрального и периферического АД в разных популяциях</w:t>
      </w:r>
      <w:r w:rsidRPr="003B37B6">
        <w:rPr>
          <w:rStyle w:val="ac"/>
          <w:rFonts w:eastAsiaTheme="majorEastAsia"/>
          <w:sz w:val="24"/>
          <w:szCs w:val="24"/>
        </w:rPr>
        <w:t xml:space="preserve"> [58, 59]</w:t>
      </w:r>
      <w:r w:rsidRPr="003B37B6">
        <w:rPr>
          <w:rStyle w:val="ac"/>
          <w:rFonts w:eastAsiaTheme="majorEastAsia"/>
          <w:i/>
          <w:iCs/>
          <w:sz w:val="24"/>
          <w:szCs w:val="24"/>
        </w:rPr>
        <w:t>. В настоящее время рутинное измерение центрального АД не рекомендуется. Наибольшее значение его оценка может иметь в популяции молодых пациентов с ИСАГ</w:t>
      </w:r>
      <w:r w:rsidRPr="003B37B6">
        <w:rPr>
          <w:rStyle w:val="ac"/>
          <w:rFonts w:eastAsiaTheme="majorEastAsia"/>
          <w:sz w:val="24"/>
          <w:szCs w:val="24"/>
        </w:rPr>
        <w:t xml:space="preserve"> [60]</w:t>
      </w:r>
      <w:r w:rsidRPr="003B37B6">
        <w:rPr>
          <w:rStyle w:val="ac"/>
          <w:rFonts w:eastAsiaTheme="majorEastAsia"/>
          <w:i/>
          <w:iCs/>
          <w:sz w:val="24"/>
          <w:szCs w:val="24"/>
        </w:rPr>
        <w:t>.</w:t>
      </w:r>
    </w:p>
    <w:p w14:paraId="687DF68E" w14:textId="5729D040" w:rsidR="00E76724" w:rsidRPr="003B37B6" w:rsidRDefault="00E76724" w:rsidP="00C712CB">
      <w:pPr>
        <w:pStyle w:val="11"/>
        <w:ind w:firstLine="0"/>
        <w:jc w:val="both"/>
        <w:rPr>
          <w:sz w:val="24"/>
          <w:szCs w:val="24"/>
        </w:rPr>
      </w:pPr>
      <w:r w:rsidRPr="003B37B6">
        <w:rPr>
          <w:rStyle w:val="ac"/>
          <w:rFonts w:eastAsiaTheme="majorEastAsia"/>
          <w:i/>
          <w:iCs/>
          <w:sz w:val="24"/>
          <w:szCs w:val="24"/>
          <w:u w:val="single"/>
        </w:rPr>
        <w:t>Ортостатические реакции. Ортостатическая гипотензия</w:t>
      </w:r>
      <w:r w:rsidRPr="003B37B6">
        <w:rPr>
          <w:rStyle w:val="ac"/>
          <w:rFonts w:eastAsiaTheme="majorEastAsia"/>
          <w:i/>
          <w:iCs/>
          <w:sz w:val="24"/>
          <w:szCs w:val="24"/>
        </w:rPr>
        <w:t xml:space="preserve"> – снижение САД на 20 мм рт.ст. и более и ДАД на 10 мм рт.ст. и более на протяжении 3 мин после перехода в положение стоя (измерения на 1-й и 3-й минутах). </w:t>
      </w:r>
      <w:r w:rsidRPr="003B37B6">
        <w:rPr>
          <w:rStyle w:val="ac"/>
          <w:rFonts w:eastAsiaTheme="majorEastAsia"/>
          <w:i/>
          <w:iCs/>
          <w:sz w:val="24"/>
          <w:szCs w:val="24"/>
          <w:u w:val="single"/>
        </w:rPr>
        <w:t>Ортостатическая гипертензия</w:t>
      </w:r>
      <w:r w:rsidRPr="003B37B6">
        <w:rPr>
          <w:rStyle w:val="ac"/>
          <w:rFonts w:eastAsiaTheme="majorEastAsia"/>
          <w:i/>
          <w:iCs/>
          <w:sz w:val="24"/>
          <w:szCs w:val="24"/>
        </w:rPr>
        <w:t xml:space="preserve"> – стойкое повышение САД на 20 мм рт.ст. и более по сравнению с исходным после перехода в вертикальное положение или повышение САД до 140 и более мм рт.ст. в вертикальном положении. Основными факторами риска являются курение, потребление больших количеств кофе, злоупотребление алкоголем. У молодых лиц реакция опосредуется, главным образом, нейрогуморальным всплеском, у пожилых - артериальной ригидностью</w:t>
      </w:r>
      <w:r w:rsidRPr="003B37B6">
        <w:rPr>
          <w:rStyle w:val="ac"/>
          <w:rFonts w:eastAsiaTheme="majorEastAsia"/>
          <w:sz w:val="24"/>
          <w:szCs w:val="24"/>
        </w:rPr>
        <w:t xml:space="preserve"> [61</w:t>
      </w:r>
      <w:r w:rsidR="00C712CB" w:rsidRPr="003B37B6">
        <w:rPr>
          <w:rStyle w:val="ac"/>
          <w:rFonts w:eastAsiaTheme="majorEastAsia"/>
          <w:sz w:val="24"/>
          <w:szCs w:val="24"/>
        </w:rPr>
        <w:t>]</w:t>
      </w:r>
      <w:r w:rsidR="00C712CB" w:rsidRPr="003B37B6">
        <w:rPr>
          <w:rStyle w:val="ac"/>
          <w:rFonts w:eastAsiaTheme="majorEastAsia"/>
          <w:i/>
          <w:iCs/>
          <w:sz w:val="24"/>
          <w:szCs w:val="24"/>
        </w:rPr>
        <w:t xml:space="preserve">. </w:t>
      </w:r>
      <w:r w:rsidRPr="003B37B6">
        <w:rPr>
          <w:rStyle w:val="ac"/>
          <w:rFonts w:eastAsiaTheme="majorEastAsia"/>
          <w:i/>
          <w:iCs/>
          <w:sz w:val="24"/>
          <w:szCs w:val="24"/>
        </w:rPr>
        <w:t>Оба состояния ассоциированы с повышением риска СС событий и смерти</w:t>
      </w:r>
      <w:r w:rsidRPr="003B37B6">
        <w:rPr>
          <w:rStyle w:val="ac"/>
          <w:rFonts w:eastAsiaTheme="majorEastAsia"/>
          <w:sz w:val="24"/>
          <w:szCs w:val="24"/>
        </w:rPr>
        <w:t xml:space="preserve"> [62, 63]</w:t>
      </w:r>
      <w:r w:rsidRPr="003B37B6">
        <w:rPr>
          <w:rStyle w:val="ac"/>
          <w:rFonts w:eastAsiaTheme="majorEastAsia"/>
          <w:i/>
          <w:iCs/>
          <w:sz w:val="24"/>
          <w:szCs w:val="24"/>
        </w:rPr>
        <w:t>.</w:t>
      </w:r>
    </w:p>
    <w:p w14:paraId="4368820C" w14:textId="77777777" w:rsidR="00E76724" w:rsidRPr="003B37B6" w:rsidRDefault="00E76724" w:rsidP="00E76724">
      <w:pPr>
        <w:pStyle w:val="11"/>
        <w:jc w:val="both"/>
        <w:rPr>
          <w:sz w:val="24"/>
          <w:szCs w:val="24"/>
        </w:rPr>
        <w:sectPr w:rsidR="00E76724" w:rsidRPr="003B37B6" w:rsidSect="00E76724">
          <w:headerReference w:type="even" r:id="rId8"/>
          <w:headerReference w:type="default" r:id="rId9"/>
          <w:footerReference w:type="even" r:id="rId10"/>
          <w:footerReference w:type="default" r:id="rId11"/>
          <w:pgSz w:w="11900" w:h="16840"/>
          <w:pgMar w:top="1134" w:right="850" w:bottom="1134" w:left="1701" w:header="585" w:footer="3" w:gutter="0"/>
          <w:cols w:space="720"/>
          <w:noEndnote/>
          <w:docGrid w:linePitch="381"/>
        </w:sectPr>
      </w:pPr>
    </w:p>
    <w:p w14:paraId="1B51E5BF" w14:textId="77777777" w:rsidR="00E76724" w:rsidRPr="003B37B6" w:rsidRDefault="00E76724" w:rsidP="00E76724">
      <w:pPr>
        <w:pStyle w:val="11"/>
        <w:tabs>
          <w:tab w:val="left" w:pos="1062"/>
        </w:tabs>
        <w:ind w:firstLine="0"/>
        <w:jc w:val="center"/>
        <w:rPr>
          <w:sz w:val="24"/>
          <w:szCs w:val="24"/>
        </w:rPr>
      </w:pPr>
      <w:r w:rsidRPr="003B37B6">
        <w:rPr>
          <w:rStyle w:val="ac"/>
          <w:rFonts w:eastAsiaTheme="majorEastAsia"/>
          <w:b/>
          <w:bCs/>
          <w:sz w:val="24"/>
          <w:szCs w:val="24"/>
        </w:rPr>
        <w:lastRenderedPageBreak/>
        <w:t>Оценка сердечно-сосудистого риска</w:t>
      </w:r>
    </w:p>
    <w:p w14:paraId="2FE78CA1" w14:textId="77777777" w:rsidR="00E76724" w:rsidRPr="003B37B6" w:rsidRDefault="00E76724">
      <w:pPr>
        <w:pStyle w:val="11"/>
        <w:numPr>
          <w:ilvl w:val="0"/>
          <w:numId w:val="11"/>
        </w:numPr>
        <w:tabs>
          <w:tab w:val="left" w:pos="1354"/>
        </w:tabs>
        <w:ind w:firstLine="0"/>
        <w:jc w:val="both"/>
        <w:rPr>
          <w:sz w:val="24"/>
          <w:szCs w:val="24"/>
        </w:rPr>
      </w:pPr>
      <w:r w:rsidRPr="003B37B6">
        <w:rPr>
          <w:rStyle w:val="ac"/>
          <w:rFonts w:eastAsiaTheme="majorEastAsia"/>
          <w:sz w:val="24"/>
          <w:szCs w:val="24"/>
        </w:rPr>
        <w:t>Всем пациентам с АГ рекомендуется оценка общего сердечно-сосудистого риска</w:t>
      </w:r>
      <w:r w:rsidR="008E4B86" w:rsidRPr="003B37B6">
        <w:rPr>
          <w:sz w:val="24"/>
          <w:szCs w:val="24"/>
        </w:rPr>
        <w:t xml:space="preserve"> </w:t>
      </w:r>
      <w:r w:rsidRPr="003B37B6">
        <w:rPr>
          <w:rStyle w:val="ac"/>
          <w:rFonts w:eastAsiaTheme="majorEastAsia"/>
          <w:sz w:val="24"/>
          <w:szCs w:val="24"/>
        </w:rPr>
        <w:t xml:space="preserve">(ССР) — выявление ФР, ПОМ и АКС, СД, ХБП, которые влияют на прогноз (таблица П13, Приложение </w:t>
      </w:r>
      <w:r w:rsidR="00FB33EA" w:rsidRPr="003B37B6">
        <w:rPr>
          <w:rStyle w:val="ac"/>
          <w:rFonts w:eastAsiaTheme="majorEastAsia"/>
          <w:sz w:val="24"/>
          <w:szCs w:val="24"/>
        </w:rPr>
        <w:t>А2</w:t>
      </w:r>
      <w:r w:rsidRPr="003B37B6">
        <w:rPr>
          <w:rStyle w:val="ac"/>
          <w:rFonts w:eastAsiaTheme="majorEastAsia"/>
          <w:sz w:val="24"/>
          <w:szCs w:val="24"/>
        </w:rPr>
        <w:t>). Для оценки степени риска развития ССО рекомендуется обследование с целью оценки состояния органов-мишеней в соответствии с действующими клиническими рекомендациями [12, 27].</w:t>
      </w:r>
    </w:p>
    <w:p w14:paraId="610AD7D3" w14:textId="6EC016C1" w:rsidR="00E76724" w:rsidRPr="003B37B6" w:rsidRDefault="00E76724" w:rsidP="00E76724">
      <w:pPr>
        <w:pStyle w:val="11"/>
        <w:ind w:firstLine="580"/>
        <w:jc w:val="both"/>
        <w:rPr>
          <w:rStyle w:val="ac"/>
          <w:rFonts w:eastAsiaTheme="majorEastAsia"/>
          <w:b/>
          <w:bCs/>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C712CB" w:rsidRPr="003B37B6">
        <w:rPr>
          <w:rStyle w:val="ac"/>
          <w:rFonts w:eastAsiaTheme="majorEastAsia"/>
          <w:b/>
          <w:bCs/>
          <w:sz w:val="24"/>
          <w:szCs w:val="24"/>
        </w:rPr>
        <w:t xml:space="preserve"> </w:t>
      </w:r>
      <w:r w:rsidRPr="003B37B6">
        <w:rPr>
          <w:rStyle w:val="ac"/>
          <w:rFonts w:eastAsiaTheme="majorEastAsia"/>
          <w:b/>
          <w:bCs/>
          <w:sz w:val="24"/>
          <w:szCs w:val="24"/>
          <w:lang w:val="en-US"/>
        </w:rPr>
        <w:t>C</w:t>
      </w:r>
      <w:r w:rsidRPr="003B37B6">
        <w:rPr>
          <w:rStyle w:val="ac"/>
          <w:rFonts w:eastAsiaTheme="majorEastAsia"/>
          <w:b/>
          <w:bCs/>
          <w:sz w:val="24"/>
          <w:szCs w:val="24"/>
        </w:rPr>
        <w:t>,</w:t>
      </w:r>
      <w:r w:rsidR="00C712CB" w:rsidRPr="003B37B6">
        <w:rPr>
          <w:rStyle w:val="ac"/>
          <w:rFonts w:eastAsiaTheme="majorEastAsia"/>
          <w:b/>
          <w:bCs/>
          <w:sz w:val="24"/>
          <w:szCs w:val="24"/>
        </w:rPr>
        <w:t xml:space="preserve"> (Уровень</w:t>
      </w:r>
      <w:r w:rsidR="003D51B3" w:rsidRPr="003B37B6">
        <w:rPr>
          <w:rStyle w:val="ac"/>
          <w:rFonts w:eastAsiaTheme="majorEastAsia"/>
          <w:b/>
          <w:bCs/>
          <w:sz w:val="24"/>
          <w:szCs w:val="24"/>
        </w:rPr>
        <w:t xml:space="preserve"> достоверности доказательств</w:t>
      </w:r>
      <w:r w:rsidRPr="003B37B6">
        <w:rPr>
          <w:rStyle w:val="ac"/>
          <w:rFonts w:eastAsiaTheme="majorEastAsia"/>
          <w:b/>
          <w:bCs/>
          <w:sz w:val="24"/>
          <w:szCs w:val="24"/>
        </w:rPr>
        <w:t xml:space="preserve"> 5</w:t>
      </w:r>
      <w:r w:rsidR="00C712CB" w:rsidRPr="003B37B6">
        <w:rPr>
          <w:rStyle w:val="ac"/>
          <w:rFonts w:eastAsiaTheme="majorEastAsia"/>
          <w:b/>
          <w:bCs/>
          <w:sz w:val="24"/>
          <w:szCs w:val="24"/>
        </w:rPr>
        <w:t>); ЕОК/ЕОАГ нет</w:t>
      </w:r>
      <w:r w:rsidR="00B40675" w:rsidRPr="003B37B6">
        <w:rPr>
          <w:rStyle w:val="ac"/>
          <w:rFonts w:eastAsiaTheme="majorEastAsia"/>
          <w:b/>
          <w:bCs/>
          <w:sz w:val="24"/>
          <w:szCs w:val="24"/>
        </w:rPr>
        <w:t>.</w:t>
      </w:r>
    </w:p>
    <w:p w14:paraId="378A9120" w14:textId="6A068E33" w:rsidR="00C712CB" w:rsidRPr="003B37B6" w:rsidRDefault="00C712CB" w:rsidP="00E76724">
      <w:pPr>
        <w:pStyle w:val="11"/>
        <w:ind w:firstLine="580"/>
        <w:jc w:val="both"/>
        <w:rPr>
          <w:i/>
          <w:iCs/>
          <w:sz w:val="28"/>
          <w:szCs w:val="28"/>
        </w:rPr>
      </w:pPr>
      <w:r w:rsidRPr="003B37B6">
        <w:rPr>
          <w:rStyle w:val="aff9"/>
          <w:rFonts w:eastAsiaTheme="majorEastAsia"/>
          <w:sz w:val="24"/>
          <w:szCs w:val="24"/>
        </w:rPr>
        <w:t>Комментарии:</w:t>
      </w:r>
      <w:r w:rsidRPr="003B37B6">
        <w:rPr>
          <w:sz w:val="24"/>
          <w:szCs w:val="24"/>
        </w:rPr>
        <w:t xml:space="preserve"> </w:t>
      </w:r>
      <w:r w:rsidRPr="003B37B6">
        <w:rPr>
          <w:i/>
          <w:iCs/>
          <w:sz w:val="24"/>
          <w:szCs w:val="24"/>
        </w:rPr>
        <w:t>Оценка общего сердечно-сосудистого риска (ССР) у пациентов с артериальной гипертензией является ключевым этапом ведения, позволяющим выявить факторы риска (ФР), поражение органов-мишеней (ПОМ) и наличие атеросклеротических кардиоваскулярных событий (АКС), сахарного диабета (СД), хронической болезни почек (ХБП). Такая комплексная оценка помогает определить прогноз заболевания, выбрать оптимальную тактику лечения и контролировать эффективность терапии.</w:t>
      </w:r>
    </w:p>
    <w:p w14:paraId="7806A399" w14:textId="77777777" w:rsidR="00E76724" w:rsidRPr="003B37B6" w:rsidRDefault="00E76724">
      <w:pPr>
        <w:pStyle w:val="11"/>
        <w:numPr>
          <w:ilvl w:val="0"/>
          <w:numId w:val="11"/>
        </w:numPr>
        <w:tabs>
          <w:tab w:val="left" w:pos="1354"/>
        </w:tabs>
        <w:ind w:firstLine="580"/>
        <w:jc w:val="both"/>
        <w:rPr>
          <w:sz w:val="24"/>
          <w:szCs w:val="24"/>
        </w:rPr>
      </w:pPr>
      <w:r w:rsidRPr="003B37B6">
        <w:rPr>
          <w:rStyle w:val="ac"/>
          <w:rFonts w:eastAsiaTheme="majorEastAsia"/>
          <w:sz w:val="24"/>
          <w:szCs w:val="24"/>
        </w:rPr>
        <w:t>Пациентам с АГ, которые не соответствуют категориям высокого или очень</w:t>
      </w:r>
    </w:p>
    <w:p w14:paraId="31BF1EA4" w14:textId="6D6A76AB" w:rsidR="00E76724" w:rsidRPr="003B37B6" w:rsidRDefault="00E76724" w:rsidP="00E76724">
      <w:pPr>
        <w:pStyle w:val="11"/>
        <w:ind w:firstLine="0"/>
        <w:jc w:val="both"/>
        <w:rPr>
          <w:sz w:val="24"/>
          <w:szCs w:val="24"/>
        </w:rPr>
      </w:pPr>
      <w:r w:rsidRPr="003B37B6">
        <w:rPr>
          <w:rStyle w:val="ac"/>
          <w:rFonts w:eastAsiaTheme="majorEastAsia"/>
          <w:sz w:val="24"/>
          <w:szCs w:val="24"/>
        </w:rPr>
        <w:t xml:space="preserve">высокого риска при оценке по глобальной шкале 10-летнего СС риска, рекомендуется проводить оценку СС риска по шкале </w:t>
      </w:r>
      <w:r w:rsidRPr="003B37B6">
        <w:rPr>
          <w:rStyle w:val="ac"/>
          <w:rFonts w:eastAsiaTheme="majorEastAsia"/>
          <w:sz w:val="24"/>
          <w:szCs w:val="24"/>
          <w:lang w:val="en-US"/>
        </w:rPr>
        <w:t>SCORE</w:t>
      </w:r>
      <w:r w:rsidRPr="003B37B6">
        <w:rPr>
          <w:rStyle w:val="ac"/>
          <w:rFonts w:eastAsiaTheme="majorEastAsia"/>
          <w:sz w:val="24"/>
          <w:szCs w:val="24"/>
        </w:rPr>
        <w:t xml:space="preserve">-2 для лиц в возрасте 40-69 лет и </w:t>
      </w:r>
      <w:r w:rsidRPr="003B37B6">
        <w:rPr>
          <w:rStyle w:val="ac"/>
          <w:rFonts w:eastAsiaTheme="majorEastAsia"/>
          <w:sz w:val="24"/>
          <w:szCs w:val="24"/>
          <w:lang w:val="en-US"/>
        </w:rPr>
        <w:t>SCORE</w:t>
      </w:r>
      <w:r w:rsidRPr="003B37B6">
        <w:rPr>
          <w:rStyle w:val="ac"/>
          <w:rFonts w:eastAsiaTheme="majorEastAsia"/>
          <w:sz w:val="24"/>
          <w:szCs w:val="24"/>
        </w:rPr>
        <w:t>-2-</w:t>
      </w:r>
      <w:r w:rsidRPr="003B37B6">
        <w:rPr>
          <w:rStyle w:val="ac"/>
          <w:rFonts w:eastAsiaTheme="majorEastAsia"/>
          <w:sz w:val="24"/>
          <w:szCs w:val="24"/>
          <w:lang w:val="en-US"/>
        </w:rPr>
        <w:t>OP</w:t>
      </w:r>
      <w:r w:rsidRPr="003B37B6">
        <w:rPr>
          <w:rStyle w:val="ac"/>
          <w:rFonts w:eastAsiaTheme="majorEastAsia"/>
          <w:sz w:val="24"/>
          <w:szCs w:val="24"/>
        </w:rPr>
        <w:t xml:space="preserve"> для лиц в </w:t>
      </w:r>
      <w:r w:rsidR="00C712CB" w:rsidRPr="003B37B6">
        <w:rPr>
          <w:rStyle w:val="ac"/>
          <w:rFonts w:eastAsiaTheme="majorEastAsia"/>
          <w:sz w:val="24"/>
          <w:szCs w:val="24"/>
        </w:rPr>
        <w:t>возрасте &gt;</w:t>
      </w:r>
      <w:r w:rsidRPr="003B37B6">
        <w:rPr>
          <w:rStyle w:val="ac"/>
          <w:rFonts w:eastAsiaTheme="majorEastAsia"/>
          <w:sz w:val="24"/>
          <w:szCs w:val="24"/>
        </w:rPr>
        <w:t xml:space="preserve"> 70 лет [64, 65].</w:t>
      </w:r>
    </w:p>
    <w:p w14:paraId="0C074F60" w14:textId="5FB32B08" w:rsidR="00E76724" w:rsidRPr="003B37B6" w:rsidRDefault="00E76724" w:rsidP="00E76724">
      <w:pPr>
        <w:pStyle w:val="11"/>
        <w:ind w:firstLine="580"/>
        <w:jc w:val="both"/>
        <w:rPr>
          <w:rStyle w:val="ac"/>
          <w:rFonts w:eastAsiaTheme="majorEastAsia"/>
          <w:b/>
          <w:bCs/>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C712CB" w:rsidRPr="003B37B6">
        <w:rPr>
          <w:rStyle w:val="ac"/>
          <w:rFonts w:eastAsiaTheme="majorEastAsia"/>
          <w:b/>
          <w:bCs/>
          <w:sz w:val="24"/>
          <w:szCs w:val="24"/>
        </w:rPr>
        <w:t xml:space="preserve"> </w:t>
      </w:r>
      <w:r w:rsidRPr="003B37B6">
        <w:rPr>
          <w:rStyle w:val="ac"/>
          <w:rFonts w:eastAsiaTheme="majorEastAsia"/>
          <w:b/>
          <w:bCs/>
          <w:sz w:val="24"/>
          <w:szCs w:val="24"/>
        </w:rPr>
        <w:t xml:space="preserve">С, </w:t>
      </w:r>
      <w:r w:rsidR="00C712CB"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4)</w:t>
      </w:r>
      <w:r w:rsidR="00C712CB" w:rsidRPr="003B37B6">
        <w:rPr>
          <w:rStyle w:val="ac"/>
          <w:rFonts w:eastAsiaTheme="majorEastAsia"/>
          <w:b/>
          <w:bCs/>
          <w:sz w:val="24"/>
          <w:szCs w:val="24"/>
        </w:rPr>
        <w:t>; ЕОК/ЕОАГ IВ</w:t>
      </w:r>
      <w:r w:rsidR="00B40675" w:rsidRPr="003B37B6">
        <w:rPr>
          <w:rStyle w:val="ac"/>
          <w:rFonts w:eastAsiaTheme="majorEastAsia"/>
          <w:b/>
          <w:bCs/>
          <w:sz w:val="24"/>
          <w:szCs w:val="24"/>
        </w:rPr>
        <w:t>.</w:t>
      </w:r>
    </w:p>
    <w:p w14:paraId="1C689932" w14:textId="0D9EC75B" w:rsidR="00C712CB" w:rsidRPr="003B37B6" w:rsidRDefault="00C712CB" w:rsidP="00E76724">
      <w:pPr>
        <w:pStyle w:val="11"/>
        <w:ind w:firstLine="580"/>
        <w:jc w:val="both"/>
        <w:rPr>
          <w:i/>
          <w:iCs/>
          <w:sz w:val="28"/>
          <w:szCs w:val="28"/>
        </w:rPr>
      </w:pPr>
      <w:r w:rsidRPr="003B37B6">
        <w:rPr>
          <w:rStyle w:val="aff9"/>
          <w:rFonts w:eastAsiaTheme="majorEastAsia"/>
          <w:sz w:val="24"/>
          <w:szCs w:val="24"/>
        </w:rPr>
        <w:t xml:space="preserve">Комментарии: </w:t>
      </w:r>
      <w:r w:rsidRPr="003B37B6">
        <w:rPr>
          <w:i/>
          <w:iCs/>
          <w:sz w:val="24"/>
          <w:szCs w:val="24"/>
        </w:rPr>
        <w:t>У пациентов с артериальной гипертензией, не относящихся к категориям высокого или очень высокого сердечно-сосудистого риска по глобальной 10-летней шкале, рекомендуется использовать современные шкалы оценки риска — SCORE-2 для лиц 40–69 лет и SCORE-2-OP для лиц старше 70 лет. Эти инструменты обеспечивают более точную стратификацию риска и помогают адаптировать лечебную тактику с учётом возраста и других факторов, повышая эффективность профилактики сердечно-сосудистых событий.</w:t>
      </w:r>
    </w:p>
    <w:p w14:paraId="4125B4CA" w14:textId="76E94470" w:rsidR="00E76724" w:rsidRPr="003B37B6" w:rsidRDefault="00E76724" w:rsidP="00C712CB">
      <w:pPr>
        <w:pStyle w:val="11"/>
        <w:numPr>
          <w:ilvl w:val="0"/>
          <w:numId w:val="11"/>
        </w:numPr>
        <w:tabs>
          <w:tab w:val="left" w:pos="1354"/>
        </w:tabs>
        <w:ind w:firstLine="580"/>
        <w:jc w:val="both"/>
        <w:rPr>
          <w:sz w:val="24"/>
          <w:szCs w:val="24"/>
        </w:rPr>
      </w:pPr>
      <w:r w:rsidRPr="003B37B6">
        <w:rPr>
          <w:rStyle w:val="ac"/>
          <w:rFonts w:eastAsiaTheme="majorEastAsia"/>
          <w:sz w:val="24"/>
          <w:szCs w:val="24"/>
        </w:rPr>
        <w:t>Базовый скрининг на наличие ПОМ рекомендовано проводить у всех пациентов с</w:t>
      </w:r>
      <w:r w:rsidR="00C712CB" w:rsidRPr="003B37B6">
        <w:rPr>
          <w:sz w:val="24"/>
          <w:szCs w:val="24"/>
        </w:rPr>
        <w:t xml:space="preserve"> </w:t>
      </w:r>
      <w:r w:rsidRPr="003B37B6">
        <w:rPr>
          <w:rStyle w:val="ac"/>
          <w:rFonts w:eastAsiaTheme="majorEastAsia"/>
          <w:sz w:val="24"/>
          <w:szCs w:val="24"/>
        </w:rPr>
        <w:t>АГ (</w:t>
      </w:r>
      <w:r w:rsidR="00B40675" w:rsidRPr="003B37B6">
        <w:rPr>
          <w:rStyle w:val="ac"/>
          <w:rFonts w:eastAsiaTheme="majorEastAsia"/>
          <w:sz w:val="24"/>
          <w:szCs w:val="24"/>
        </w:rPr>
        <w:t>т</w:t>
      </w:r>
      <w:r w:rsidRPr="003B37B6">
        <w:rPr>
          <w:rStyle w:val="ac"/>
          <w:rFonts w:eastAsiaTheme="majorEastAsia"/>
          <w:sz w:val="24"/>
          <w:szCs w:val="24"/>
        </w:rPr>
        <w:t>аблица П8</w:t>
      </w:r>
      <w:r w:rsidR="00B40675" w:rsidRPr="003B37B6">
        <w:rPr>
          <w:rStyle w:val="ac"/>
          <w:rFonts w:eastAsiaTheme="majorEastAsia"/>
          <w:sz w:val="24"/>
          <w:szCs w:val="24"/>
        </w:rPr>
        <w:t xml:space="preserve"> Приложения </w:t>
      </w:r>
      <w:r w:rsidR="00FB33EA" w:rsidRPr="003B37B6">
        <w:rPr>
          <w:rStyle w:val="ac"/>
          <w:rFonts w:eastAsiaTheme="majorEastAsia"/>
          <w:sz w:val="24"/>
          <w:szCs w:val="24"/>
        </w:rPr>
        <w:t>А2</w:t>
      </w:r>
      <w:r w:rsidR="00B40675" w:rsidRPr="003B37B6">
        <w:rPr>
          <w:rStyle w:val="ac"/>
          <w:rFonts w:eastAsiaTheme="majorEastAsia"/>
          <w:sz w:val="24"/>
          <w:szCs w:val="24"/>
        </w:rPr>
        <w:t xml:space="preserve"> к настоящим Клиническим рекомендациям</w:t>
      </w:r>
      <w:r w:rsidRPr="003B37B6">
        <w:rPr>
          <w:rStyle w:val="ac"/>
          <w:rFonts w:eastAsiaTheme="majorEastAsia"/>
          <w:sz w:val="24"/>
          <w:szCs w:val="24"/>
        </w:rPr>
        <w:t>). Расширенное обследование рекомендовано в том случае, когда выявление ПОМ повлияет на выбор терапевтической тактики [27].</w:t>
      </w:r>
    </w:p>
    <w:p w14:paraId="5E9589BD" w14:textId="7786C9F0" w:rsidR="00E76724" w:rsidRPr="003B37B6" w:rsidRDefault="00E76724" w:rsidP="00E76724">
      <w:pPr>
        <w:pStyle w:val="11"/>
        <w:ind w:firstLine="580"/>
        <w:jc w:val="both"/>
        <w:rPr>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Pr="003B37B6">
        <w:rPr>
          <w:rStyle w:val="ac"/>
          <w:rFonts w:eastAsiaTheme="majorEastAsia"/>
          <w:b/>
          <w:bCs/>
          <w:sz w:val="24"/>
          <w:szCs w:val="24"/>
          <w:lang w:val="en-US"/>
        </w:rPr>
        <w:t>C</w:t>
      </w: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5)</w:t>
      </w:r>
      <w:r w:rsidR="00EA05EB" w:rsidRPr="003B37B6">
        <w:rPr>
          <w:rStyle w:val="ac"/>
          <w:rFonts w:eastAsiaTheme="majorEastAsia"/>
          <w:b/>
          <w:bCs/>
          <w:sz w:val="24"/>
          <w:szCs w:val="24"/>
        </w:rPr>
        <w:t>; ЕОК/ЕОАГ нет</w:t>
      </w:r>
      <w:r w:rsidR="00B40675" w:rsidRPr="003B37B6">
        <w:rPr>
          <w:rStyle w:val="ac"/>
          <w:rFonts w:eastAsiaTheme="majorEastAsia"/>
          <w:b/>
          <w:bCs/>
          <w:sz w:val="24"/>
          <w:szCs w:val="24"/>
        </w:rPr>
        <w:t>.</w:t>
      </w:r>
    </w:p>
    <w:p w14:paraId="29D20821" w14:textId="77777777" w:rsidR="00E76724" w:rsidRPr="00E76724" w:rsidRDefault="00E76724" w:rsidP="00E76724">
      <w:pPr>
        <w:pStyle w:val="11"/>
        <w:ind w:firstLine="580"/>
        <w:jc w:val="both"/>
        <w:rPr>
          <w:i/>
          <w:iCs/>
          <w:sz w:val="24"/>
          <w:szCs w:val="24"/>
        </w:rPr>
      </w:pPr>
      <w:r w:rsidRPr="003B37B6">
        <w:rPr>
          <w:rStyle w:val="ac"/>
          <w:rFonts w:eastAsiaTheme="majorEastAsia"/>
          <w:b/>
          <w:bCs/>
          <w:sz w:val="24"/>
          <w:szCs w:val="24"/>
        </w:rPr>
        <w:t xml:space="preserve">Комментарии. </w:t>
      </w:r>
      <w:r w:rsidRPr="003B37B6">
        <w:rPr>
          <w:rStyle w:val="ac"/>
          <w:rFonts w:eastAsiaTheme="majorEastAsia"/>
          <w:i/>
          <w:iCs/>
          <w:sz w:val="24"/>
          <w:szCs w:val="24"/>
        </w:rPr>
        <w:t xml:space="preserve">Величина АД является важнейшим, но не единственным фактором, определяющим тяжесть АГ, прогноз пациента и тактику лечения. Большое значение </w:t>
      </w:r>
      <w:r w:rsidRPr="003B37B6">
        <w:rPr>
          <w:rStyle w:val="ac"/>
          <w:rFonts w:eastAsiaTheme="majorEastAsia"/>
          <w:i/>
          <w:iCs/>
          <w:sz w:val="24"/>
          <w:szCs w:val="24"/>
        </w:rPr>
        <w:lastRenderedPageBreak/>
        <w:t>имеет оценка общего ССР, степень которого зависит от величины</w:t>
      </w:r>
      <w:r w:rsidRPr="00E76724">
        <w:rPr>
          <w:rStyle w:val="ac"/>
          <w:rFonts w:eastAsiaTheme="majorEastAsia"/>
          <w:i/>
          <w:iCs/>
          <w:sz w:val="24"/>
          <w:szCs w:val="24"/>
        </w:rPr>
        <w:t xml:space="preserve"> АД, наличия или отсутствия сопутствующих ФР, субклинического поражения органов-мишеней и наличия АКС и СД. Повышенный уровень АД, наличие ФР и ПОМ взаимно усиливают влияние друг на друга, что приводит к увеличению степени ССР, превышающего сумму отдельных его компонентов.</w:t>
      </w:r>
    </w:p>
    <w:p w14:paraId="798EA61D" w14:textId="77777777" w:rsidR="00E76724" w:rsidRPr="003B37B6" w:rsidRDefault="00E76724" w:rsidP="00E76724">
      <w:pPr>
        <w:pStyle w:val="11"/>
        <w:ind w:firstLine="580"/>
        <w:jc w:val="both"/>
        <w:rPr>
          <w:i/>
          <w:iCs/>
          <w:sz w:val="24"/>
          <w:szCs w:val="24"/>
        </w:rPr>
      </w:pPr>
      <w:r w:rsidRPr="003B37B6">
        <w:rPr>
          <w:rStyle w:val="ac"/>
          <w:rFonts w:eastAsiaTheme="majorEastAsia"/>
          <w:i/>
          <w:iCs/>
          <w:sz w:val="24"/>
          <w:szCs w:val="24"/>
        </w:rPr>
        <w:t>Оценка ССР подразумевает нескольких этапов.</w:t>
      </w:r>
    </w:p>
    <w:p w14:paraId="7087955A" w14:textId="126B7F5F" w:rsidR="00E76724" w:rsidRPr="003B37B6" w:rsidRDefault="00E76724" w:rsidP="00E76724">
      <w:pPr>
        <w:pStyle w:val="11"/>
        <w:ind w:firstLine="580"/>
        <w:jc w:val="both"/>
        <w:rPr>
          <w:i/>
          <w:iCs/>
          <w:sz w:val="24"/>
          <w:szCs w:val="24"/>
        </w:rPr>
      </w:pPr>
      <w:r w:rsidRPr="003B37B6">
        <w:rPr>
          <w:rStyle w:val="ac"/>
          <w:rFonts w:eastAsiaTheme="majorEastAsia"/>
          <w:i/>
          <w:iCs/>
          <w:sz w:val="24"/>
          <w:szCs w:val="24"/>
        </w:rPr>
        <w:t xml:space="preserve">Пациенты с ГБ </w:t>
      </w:r>
      <w:r w:rsidRPr="003B37B6">
        <w:rPr>
          <w:rStyle w:val="ac"/>
          <w:rFonts w:eastAsiaTheme="majorEastAsia"/>
          <w:i/>
          <w:iCs/>
          <w:sz w:val="24"/>
          <w:szCs w:val="24"/>
          <w:lang w:val="en-US"/>
        </w:rPr>
        <w:t>III</w:t>
      </w:r>
      <w:r w:rsidRPr="003B37B6">
        <w:rPr>
          <w:rStyle w:val="ac"/>
          <w:rFonts w:eastAsiaTheme="majorEastAsia"/>
          <w:i/>
          <w:iCs/>
          <w:sz w:val="24"/>
          <w:szCs w:val="24"/>
        </w:rPr>
        <w:t xml:space="preserve"> стадии, имеющие документированное ССЗ атеросклеротического генеза (под атеросклеротическим ССЗ подразумевают ишемическую болезнь сердца, ишемический инсульт или транзиторное нарушение мозгового кровообращения, ишемию нижних конечностей), включая бессимптомный атеросклероз при визуализации со стенозом ≥50%, СД 1-го или 2-го типа, очень высокие значения по отдельным факторам риска (в том числе АГ 3-й степени) или ХБП 3–5-й стадий по умолчанию относятся к категории высокого или </w:t>
      </w:r>
      <w:r w:rsidRPr="003B37B6">
        <w:rPr>
          <w:i/>
          <w:iCs/>
          <w:sz w:val="24"/>
          <w:szCs w:val="24"/>
        </w:rPr>
        <w:t xml:space="preserve"> </w:t>
      </w:r>
      <w:r w:rsidRPr="003B37B6">
        <w:rPr>
          <w:rStyle w:val="ac"/>
          <w:rFonts w:eastAsiaTheme="majorEastAsia"/>
          <w:i/>
          <w:iCs/>
          <w:sz w:val="24"/>
          <w:szCs w:val="24"/>
        </w:rPr>
        <w:t>очень высокого риска по глобальной шкале 10-летнего риска сердечно-сосудистых осложнений . Внутри категории очень высокого риска введена категория экстремального риска. К экстремальному риску следует относить: наличие 2 и более сердечно-сосудистых осложнений в течение 2 лет, несмотря на оптимальную гиполипидемическую терапию и/или достигнутый уровень ХС ЛНП &lt;1,4 ммоль/л.</w:t>
      </w:r>
    </w:p>
    <w:p w14:paraId="1C79906A" w14:textId="5C9AAD1F" w:rsidR="00E76724" w:rsidRPr="003B37B6" w:rsidRDefault="00E76724" w:rsidP="00E76724">
      <w:pPr>
        <w:pStyle w:val="11"/>
        <w:ind w:firstLine="600"/>
        <w:jc w:val="both"/>
        <w:rPr>
          <w:i/>
          <w:iCs/>
          <w:sz w:val="24"/>
          <w:szCs w:val="24"/>
        </w:rPr>
      </w:pPr>
      <w:r w:rsidRPr="003B37B6">
        <w:rPr>
          <w:rStyle w:val="ac"/>
          <w:rFonts w:eastAsiaTheme="majorEastAsia"/>
          <w:i/>
          <w:iCs/>
          <w:sz w:val="24"/>
          <w:szCs w:val="24"/>
        </w:rPr>
        <w:t>Как в общей популяции, так и у пациентов АГ необходимо учитывать факторы, повышающие СС</w:t>
      </w:r>
      <w:r w:rsidR="00C712CB" w:rsidRPr="003B37B6">
        <w:rPr>
          <w:rStyle w:val="ac"/>
          <w:rFonts w:eastAsiaTheme="majorEastAsia"/>
          <w:i/>
          <w:iCs/>
          <w:sz w:val="24"/>
          <w:szCs w:val="24"/>
        </w:rPr>
        <w:t xml:space="preserve"> </w:t>
      </w:r>
      <w:r w:rsidRPr="003B37B6">
        <w:rPr>
          <w:rStyle w:val="ac"/>
          <w:rFonts w:eastAsiaTheme="majorEastAsia"/>
          <w:i/>
          <w:iCs/>
          <w:sz w:val="24"/>
          <w:szCs w:val="24"/>
        </w:rPr>
        <w:t>риск (таблица П14</w:t>
      </w:r>
      <w:r w:rsidR="00483A3E" w:rsidRPr="003B37B6">
        <w:rPr>
          <w:rStyle w:val="ac"/>
          <w:rFonts w:eastAsiaTheme="majorEastAsia"/>
          <w:i/>
          <w:iCs/>
          <w:sz w:val="24"/>
          <w:szCs w:val="24"/>
        </w:rPr>
        <w:t xml:space="preserve"> </w:t>
      </w:r>
      <w:r w:rsidRPr="003B37B6">
        <w:rPr>
          <w:rStyle w:val="ac"/>
          <w:rFonts w:eastAsiaTheme="majorEastAsia"/>
          <w:i/>
          <w:iCs/>
          <w:sz w:val="24"/>
          <w:szCs w:val="24"/>
        </w:rPr>
        <w:t>Приложени</w:t>
      </w:r>
      <w:r w:rsidR="00483A3E" w:rsidRPr="003B37B6">
        <w:rPr>
          <w:rStyle w:val="ac"/>
          <w:rFonts w:eastAsiaTheme="majorEastAsia"/>
          <w:i/>
          <w:iCs/>
          <w:sz w:val="24"/>
          <w:szCs w:val="24"/>
        </w:rPr>
        <w:t>я</w:t>
      </w:r>
      <w:r w:rsidRPr="003B37B6">
        <w:rPr>
          <w:rStyle w:val="ac"/>
          <w:rFonts w:eastAsiaTheme="majorEastAsia"/>
          <w:i/>
          <w:iCs/>
          <w:sz w:val="24"/>
          <w:szCs w:val="24"/>
        </w:rPr>
        <w:t xml:space="preserve"> </w:t>
      </w:r>
      <w:r w:rsidR="00FB33EA" w:rsidRPr="003B37B6">
        <w:rPr>
          <w:rStyle w:val="ac"/>
          <w:rFonts w:eastAsiaTheme="majorEastAsia"/>
          <w:i/>
          <w:iCs/>
          <w:sz w:val="24"/>
          <w:szCs w:val="24"/>
        </w:rPr>
        <w:t>А2</w:t>
      </w:r>
      <w:r w:rsidR="00483A3E" w:rsidRPr="003B37B6">
        <w:rPr>
          <w:rStyle w:val="ac"/>
          <w:rFonts w:eastAsiaTheme="majorEastAsia"/>
          <w:sz w:val="24"/>
          <w:szCs w:val="24"/>
        </w:rPr>
        <w:t xml:space="preserve"> </w:t>
      </w:r>
      <w:r w:rsidR="00483A3E" w:rsidRPr="003B37B6">
        <w:rPr>
          <w:rStyle w:val="ac"/>
          <w:rFonts w:eastAsiaTheme="majorEastAsia"/>
          <w:i/>
          <w:iCs/>
          <w:sz w:val="24"/>
          <w:szCs w:val="24"/>
        </w:rPr>
        <w:t>к настоящим Клиническим рекомендациям</w:t>
      </w:r>
      <w:r w:rsidRPr="003B37B6">
        <w:rPr>
          <w:rStyle w:val="ac"/>
          <w:rFonts w:eastAsiaTheme="majorEastAsia"/>
          <w:i/>
          <w:iCs/>
          <w:sz w:val="24"/>
          <w:szCs w:val="24"/>
        </w:rPr>
        <w:t>), что имеет особое значение у пациентов, относящихся к категории умеренного риска. Наличие модифицирующих факторов может привести к изменению категории риска на более высокую и, соответственно, повлиять на решение о старте и выборе терапии.</w:t>
      </w:r>
    </w:p>
    <w:p w14:paraId="7EA5E994" w14:textId="77777777" w:rsidR="00E76724" w:rsidRPr="003B37B6" w:rsidRDefault="00E76724" w:rsidP="00E76724">
      <w:pPr>
        <w:pStyle w:val="11"/>
        <w:ind w:firstLine="600"/>
        <w:jc w:val="both"/>
        <w:rPr>
          <w:i/>
          <w:iCs/>
          <w:sz w:val="24"/>
          <w:szCs w:val="24"/>
        </w:rPr>
      </w:pPr>
      <w:r w:rsidRPr="003B37B6">
        <w:rPr>
          <w:rStyle w:val="ac"/>
          <w:rFonts w:eastAsiaTheme="majorEastAsia"/>
          <w:i/>
          <w:iCs/>
          <w:sz w:val="24"/>
          <w:szCs w:val="24"/>
        </w:rPr>
        <w:t xml:space="preserve">Акцент на значимость выявления поражения ФР и органов-мишеней для корректной оценки сердечно-сосудистого риска — одна из ключевых особенностей современных рекомендаций. Бессимптомное ПОМ может существенно увеличивать риск у пациентов с АГ. Наибольшая польза от детальной оценки ПОМ может наблюдаться у пациентов среднего возраста, у молодых пациентов с АГ 1-й степени, пациентов с высоким нормальным АД. Необходимо подчеркнуть важность оценки функции почек по показателям скорости клубочковой фильтрации (СКФ), определением альбумина в моче и количественной оценки гипертрофии левого желудочка (ГЛЖ). Основная цель выявления ПОМ — правильное определение категории риска [66]. Первостепенное значение оценка ПОМ имеет у больных с низким и умеренным риском, меньшее значение — при высоком и очень высоком риске. Характер органного поражения не играет решающей роли в выборе </w:t>
      </w:r>
      <w:r w:rsidRPr="003B37B6">
        <w:rPr>
          <w:rStyle w:val="ac"/>
          <w:rFonts w:eastAsiaTheme="majorEastAsia"/>
          <w:i/>
          <w:iCs/>
          <w:sz w:val="24"/>
          <w:szCs w:val="24"/>
        </w:rPr>
        <w:lastRenderedPageBreak/>
        <w:t>режима антигипертензивной терапии, но регресс ПОМ — суррогатный маркер среднесрочной эффективности АГТ [64, 65].</w:t>
      </w:r>
    </w:p>
    <w:p w14:paraId="3DFEC003" w14:textId="553EE523" w:rsidR="00E76724" w:rsidRPr="003B37B6" w:rsidRDefault="00E76724" w:rsidP="00E50673">
      <w:pPr>
        <w:pStyle w:val="11"/>
        <w:ind w:firstLine="600"/>
        <w:jc w:val="both"/>
        <w:rPr>
          <w:sz w:val="24"/>
          <w:szCs w:val="24"/>
        </w:rPr>
      </w:pPr>
      <w:r w:rsidRPr="003B37B6">
        <w:rPr>
          <w:rStyle w:val="ac"/>
          <w:rFonts w:eastAsiaTheme="majorEastAsia"/>
          <w:i/>
          <w:iCs/>
          <w:sz w:val="24"/>
          <w:szCs w:val="24"/>
        </w:rPr>
        <w:t>Для выявления поражения сердца всем пациентам целесообразно проводить регистрацию электрокардиограммы (ЭКГ) с расчётом индексов гипертрофии ЛЖ, в случае расширенного обследования — ЭхоКГ с определением индекса массы миокарда левого желудочка. Для выявления поражения почек у всех оценивают протеинурию/альбуминурию, концентрационную функцию и мочевой осадок; при расширенном обследовании выполняется УЗИ почек и допплерография почечных артерий. При необходимости целесообразен прием (осмотр, консультация) врача-нефролога пациентам с ХБП с СКФ &lt;30 мл/мин/1,73 м2 и/или</w:t>
      </w:r>
      <w:r w:rsidRPr="003B37B6">
        <w:rPr>
          <w:i/>
          <w:iCs/>
          <w:sz w:val="24"/>
          <w:szCs w:val="24"/>
        </w:rPr>
        <w:t xml:space="preserve"> </w:t>
      </w:r>
      <w:r w:rsidRPr="003B37B6">
        <w:rPr>
          <w:rStyle w:val="ac"/>
          <w:rFonts w:eastAsiaTheme="majorEastAsia"/>
          <w:i/>
          <w:iCs/>
          <w:sz w:val="24"/>
          <w:szCs w:val="24"/>
        </w:rPr>
        <w:t xml:space="preserve">альбуминурией/протеинурией </w:t>
      </w:r>
      <w:r w:rsidR="00FB33EA" w:rsidRPr="003B37B6">
        <w:rPr>
          <w:rStyle w:val="ac"/>
          <w:rFonts w:eastAsiaTheme="majorEastAsia"/>
          <w:i/>
          <w:iCs/>
          <w:sz w:val="24"/>
          <w:szCs w:val="24"/>
        </w:rPr>
        <w:t>А2</w:t>
      </w:r>
      <w:r w:rsidRPr="003B37B6">
        <w:rPr>
          <w:rStyle w:val="ac"/>
          <w:rFonts w:eastAsiaTheme="majorEastAsia"/>
          <w:i/>
          <w:iCs/>
          <w:sz w:val="24"/>
          <w:szCs w:val="24"/>
        </w:rPr>
        <w:t xml:space="preserve">-А4 в целях диагностики, определения тактики ведения, улучшения прогноза [67, 68, 69]. Для выявления поражения сосудов рекомендовано выполнение фундоскопии, расчет пульсового давления (ПД) у пожилых, оценка лодыжочно-плечевого индекса (ЛПИ), скорость пульсовой волны (СПВ) и обследования для выявления атеросклеротических бляшек в брахиоцефальных, почечных и подвздошно-бедренных сосудах при расширенном обследовании (таблицы П7 и П8 </w:t>
      </w:r>
      <w:r w:rsidR="002551C1" w:rsidRPr="003B37B6">
        <w:rPr>
          <w:rStyle w:val="ac"/>
          <w:rFonts w:eastAsiaTheme="majorEastAsia"/>
          <w:i/>
          <w:iCs/>
          <w:sz w:val="24"/>
          <w:szCs w:val="24"/>
        </w:rPr>
        <w:t>П</w:t>
      </w:r>
      <w:r w:rsidRPr="003B37B6">
        <w:rPr>
          <w:rStyle w:val="ac"/>
          <w:rFonts w:eastAsiaTheme="majorEastAsia"/>
          <w:i/>
          <w:iCs/>
          <w:sz w:val="24"/>
          <w:szCs w:val="24"/>
        </w:rPr>
        <w:t>риложени</w:t>
      </w:r>
      <w:r w:rsidR="002551C1" w:rsidRPr="003B37B6">
        <w:rPr>
          <w:rStyle w:val="ac"/>
          <w:rFonts w:eastAsiaTheme="majorEastAsia"/>
          <w:i/>
          <w:iCs/>
          <w:sz w:val="24"/>
          <w:szCs w:val="24"/>
        </w:rPr>
        <w:t>я</w:t>
      </w:r>
      <w:r w:rsidRPr="003B37B6">
        <w:rPr>
          <w:rStyle w:val="ac"/>
          <w:rFonts w:eastAsiaTheme="majorEastAsia"/>
          <w:i/>
          <w:iCs/>
          <w:sz w:val="24"/>
          <w:szCs w:val="24"/>
        </w:rPr>
        <w:t xml:space="preserve"> </w:t>
      </w:r>
      <w:r w:rsidR="00FB33EA" w:rsidRPr="003B37B6">
        <w:rPr>
          <w:rStyle w:val="ac"/>
          <w:rFonts w:eastAsiaTheme="majorEastAsia"/>
          <w:i/>
          <w:iCs/>
          <w:sz w:val="24"/>
          <w:szCs w:val="24"/>
        </w:rPr>
        <w:t>А2</w:t>
      </w:r>
      <w:r w:rsidR="002551C1" w:rsidRPr="003B37B6">
        <w:rPr>
          <w:rStyle w:val="ac"/>
          <w:rFonts w:eastAsiaTheme="majorEastAsia"/>
          <w:sz w:val="24"/>
          <w:szCs w:val="24"/>
        </w:rPr>
        <w:t xml:space="preserve"> </w:t>
      </w:r>
      <w:r w:rsidR="002551C1" w:rsidRPr="003B37B6">
        <w:rPr>
          <w:rStyle w:val="ac"/>
          <w:rFonts w:eastAsiaTheme="majorEastAsia"/>
          <w:i/>
          <w:iCs/>
          <w:sz w:val="24"/>
          <w:szCs w:val="24"/>
        </w:rPr>
        <w:t>к настоящим Клиническим рекомендациям</w:t>
      </w:r>
      <w:r w:rsidRPr="003B37B6">
        <w:rPr>
          <w:rStyle w:val="ac"/>
          <w:rFonts w:eastAsiaTheme="majorEastAsia"/>
          <w:i/>
          <w:iCs/>
          <w:sz w:val="24"/>
          <w:szCs w:val="24"/>
        </w:rPr>
        <w:t>).</w:t>
      </w:r>
    </w:p>
    <w:p w14:paraId="711906A2" w14:textId="51C74D31" w:rsidR="00E76724" w:rsidRPr="003B37B6" w:rsidRDefault="00E76724" w:rsidP="00E76724">
      <w:pPr>
        <w:pStyle w:val="11"/>
        <w:ind w:firstLine="600"/>
        <w:jc w:val="both"/>
        <w:rPr>
          <w:sz w:val="24"/>
          <w:szCs w:val="24"/>
        </w:rPr>
      </w:pPr>
      <w:r w:rsidRPr="003B37B6">
        <w:rPr>
          <w:rStyle w:val="ac"/>
          <w:rFonts w:eastAsiaTheme="majorEastAsia"/>
          <w:i/>
          <w:iCs/>
          <w:sz w:val="24"/>
          <w:szCs w:val="24"/>
        </w:rPr>
        <w:t>Наличие ПОМ способствует дальнейшему прогрессированию ССЗ, что существенно увеличивает риск смерти у таких пациентов по сравнению с пациентами, у которых имеются только ФР (</w:t>
      </w:r>
      <w:r w:rsidR="00885AE3" w:rsidRPr="003B37B6">
        <w:rPr>
          <w:rStyle w:val="ac"/>
          <w:rFonts w:eastAsiaTheme="majorEastAsia"/>
          <w:i/>
          <w:iCs/>
          <w:sz w:val="24"/>
          <w:szCs w:val="24"/>
        </w:rPr>
        <w:t>т</w:t>
      </w:r>
      <w:r w:rsidRPr="003B37B6">
        <w:rPr>
          <w:rStyle w:val="ac"/>
          <w:rFonts w:eastAsiaTheme="majorEastAsia"/>
          <w:i/>
          <w:iCs/>
          <w:sz w:val="24"/>
          <w:szCs w:val="24"/>
        </w:rPr>
        <w:t>аблица П16 Приложени</w:t>
      </w:r>
      <w:r w:rsidR="00885AE3" w:rsidRPr="003B37B6">
        <w:rPr>
          <w:rStyle w:val="ac"/>
          <w:rFonts w:eastAsiaTheme="majorEastAsia"/>
          <w:i/>
          <w:iCs/>
          <w:sz w:val="24"/>
          <w:szCs w:val="24"/>
        </w:rPr>
        <w:t>я</w:t>
      </w:r>
      <w:r w:rsidRPr="003B37B6">
        <w:rPr>
          <w:rStyle w:val="ac"/>
          <w:rFonts w:eastAsiaTheme="majorEastAsia"/>
          <w:i/>
          <w:iCs/>
          <w:sz w:val="24"/>
          <w:szCs w:val="24"/>
        </w:rPr>
        <w:t xml:space="preserve"> </w:t>
      </w:r>
      <w:r w:rsidR="00FB33EA" w:rsidRPr="003B37B6">
        <w:rPr>
          <w:rStyle w:val="ac"/>
          <w:rFonts w:eastAsiaTheme="majorEastAsia"/>
          <w:i/>
          <w:iCs/>
          <w:sz w:val="24"/>
          <w:szCs w:val="24"/>
        </w:rPr>
        <w:t>А2</w:t>
      </w:r>
      <w:r w:rsidR="00885AE3" w:rsidRPr="003B37B6">
        <w:rPr>
          <w:rStyle w:val="ac"/>
          <w:rFonts w:eastAsiaTheme="majorEastAsia"/>
          <w:i/>
          <w:iCs/>
          <w:sz w:val="24"/>
          <w:szCs w:val="24"/>
        </w:rPr>
        <w:t xml:space="preserve"> </w:t>
      </w:r>
      <w:r w:rsidR="006903C5" w:rsidRPr="003B37B6">
        <w:rPr>
          <w:rStyle w:val="ac"/>
          <w:rFonts w:eastAsiaTheme="majorEastAsia"/>
          <w:i/>
          <w:iCs/>
          <w:sz w:val="24"/>
          <w:szCs w:val="24"/>
        </w:rPr>
        <w:t xml:space="preserve">к </w:t>
      </w:r>
      <w:r w:rsidR="00885AE3" w:rsidRPr="003B37B6">
        <w:rPr>
          <w:rStyle w:val="ac"/>
          <w:rFonts w:eastAsiaTheme="majorEastAsia"/>
          <w:i/>
          <w:iCs/>
          <w:sz w:val="24"/>
          <w:szCs w:val="24"/>
        </w:rPr>
        <w:t>настоящим Клиническим рекомендациям</w:t>
      </w:r>
      <w:r w:rsidRPr="003B37B6">
        <w:rPr>
          <w:rStyle w:val="ac"/>
          <w:rFonts w:eastAsiaTheme="majorEastAsia"/>
          <w:i/>
          <w:iCs/>
          <w:sz w:val="24"/>
          <w:szCs w:val="24"/>
        </w:rPr>
        <w:t>). Риск возрастает с увеличением числа органных поражений, ассоциированных с АГ. Уровень СС риска у ряда пациентов может быть выше, чем он определён по стандартной системе стратификации (</w:t>
      </w:r>
      <w:r w:rsidR="00885AE3" w:rsidRPr="003B37B6">
        <w:rPr>
          <w:rStyle w:val="ac"/>
          <w:rFonts w:eastAsiaTheme="majorEastAsia"/>
          <w:i/>
          <w:iCs/>
          <w:sz w:val="24"/>
          <w:szCs w:val="24"/>
        </w:rPr>
        <w:t>т</w:t>
      </w:r>
      <w:r w:rsidRPr="003B37B6">
        <w:rPr>
          <w:rStyle w:val="ac"/>
          <w:rFonts w:eastAsiaTheme="majorEastAsia"/>
          <w:i/>
          <w:iCs/>
          <w:sz w:val="24"/>
          <w:szCs w:val="24"/>
        </w:rPr>
        <w:t>аблица П15 Приложени</w:t>
      </w:r>
      <w:r w:rsidR="00885AE3" w:rsidRPr="003B37B6">
        <w:rPr>
          <w:rStyle w:val="ac"/>
          <w:rFonts w:eastAsiaTheme="majorEastAsia"/>
          <w:i/>
          <w:iCs/>
          <w:sz w:val="24"/>
          <w:szCs w:val="24"/>
        </w:rPr>
        <w:t>я</w:t>
      </w:r>
      <w:r w:rsidRPr="003B37B6">
        <w:rPr>
          <w:rStyle w:val="ac"/>
          <w:rFonts w:eastAsiaTheme="majorEastAsia"/>
          <w:i/>
          <w:iCs/>
          <w:sz w:val="24"/>
          <w:szCs w:val="24"/>
        </w:rPr>
        <w:t xml:space="preserve"> </w:t>
      </w:r>
      <w:r w:rsidR="00FB33EA" w:rsidRPr="003B37B6">
        <w:rPr>
          <w:rStyle w:val="ac"/>
          <w:rFonts w:eastAsiaTheme="majorEastAsia"/>
          <w:i/>
          <w:iCs/>
          <w:sz w:val="24"/>
          <w:szCs w:val="24"/>
        </w:rPr>
        <w:t>А2</w:t>
      </w:r>
      <w:r w:rsidR="00885AE3" w:rsidRPr="003B37B6">
        <w:rPr>
          <w:rStyle w:val="ac"/>
          <w:rFonts w:eastAsiaTheme="majorEastAsia"/>
          <w:i/>
          <w:iCs/>
          <w:sz w:val="24"/>
          <w:szCs w:val="24"/>
        </w:rPr>
        <w:t xml:space="preserve"> </w:t>
      </w:r>
      <w:r w:rsidR="006903C5" w:rsidRPr="003B37B6">
        <w:rPr>
          <w:rStyle w:val="ac"/>
          <w:rFonts w:eastAsiaTheme="majorEastAsia"/>
          <w:i/>
          <w:iCs/>
          <w:sz w:val="24"/>
          <w:szCs w:val="24"/>
        </w:rPr>
        <w:t xml:space="preserve">к </w:t>
      </w:r>
      <w:r w:rsidR="00885AE3" w:rsidRPr="003B37B6">
        <w:rPr>
          <w:rStyle w:val="ac"/>
          <w:rFonts w:eastAsiaTheme="majorEastAsia"/>
          <w:i/>
          <w:iCs/>
          <w:sz w:val="24"/>
          <w:szCs w:val="24"/>
        </w:rPr>
        <w:t>настоящим Клиническим рекомендациям</w:t>
      </w:r>
      <w:r w:rsidRPr="003B37B6">
        <w:rPr>
          <w:rStyle w:val="ac"/>
          <w:rFonts w:eastAsiaTheme="majorEastAsia"/>
          <w:i/>
          <w:iCs/>
          <w:sz w:val="24"/>
          <w:szCs w:val="24"/>
        </w:rPr>
        <w:t>):</w:t>
      </w:r>
    </w:p>
    <w:p w14:paraId="682062FE" w14:textId="77777777" w:rsidR="00E76724" w:rsidRPr="003B37B6" w:rsidRDefault="00E76724">
      <w:pPr>
        <w:pStyle w:val="11"/>
        <w:numPr>
          <w:ilvl w:val="0"/>
          <w:numId w:val="11"/>
        </w:numPr>
        <w:tabs>
          <w:tab w:val="left" w:pos="1314"/>
        </w:tabs>
        <w:ind w:firstLine="600"/>
        <w:jc w:val="both"/>
        <w:rPr>
          <w:sz w:val="24"/>
          <w:szCs w:val="24"/>
        </w:rPr>
      </w:pPr>
      <w:r w:rsidRPr="003B37B6">
        <w:rPr>
          <w:rStyle w:val="ac"/>
          <w:rFonts w:eastAsiaTheme="majorEastAsia"/>
          <w:i/>
          <w:iCs/>
          <w:sz w:val="24"/>
          <w:szCs w:val="24"/>
        </w:rPr>
        <w:t>при малоподвижном образе жизни у пациентов с центральным ожирением</w:t>
      </w:r>
    </w:p>
    <w:p w14:paraId="3D82AB13" w14:textId="77777777" w:rsidR="00E76724" w:rsidRPr="003B37B6" w:rsidRDefault="00E76724" w:rsidP="00E76724">
      <w:pPr>
        <w:pStyle w:val="11"/>
        <w:ind w:firstLine="0"/>
        <w:jc w:val="both"/>
        <w:rPr>
          <w:sz w:val="24"/>
          <w:szCs w:val="24"/>
        </w:rPr>
      </w:pPr>
      <w:r w:rsidRPr="003B37B6">
        <w:rPr>
          <w:rStyle w:val="ac"/>
          <w:rFonts w:eastAsiaTheme="majorEastAsia"/>
          <w:i/>
          <w:iCs/>
          <w:sz w:val="24"/>
          <w:szCs w:val="24"/>
        </w:rPr>
        <w:t>(увеличение относительного риска, ассоциированного с ожирением, более выражено у молодых, чем у пожилых пациентов);</w:t>
      </w:r>
    </w:p>
    <w:p w14:paraId="58E9DAF5" w14:textId="77777777" w:rsidR="00E76724" w:rsidRPr="003B37B6" w:rsidRDefault="00E76724">
      <w:pPr>
        <w:pStyle w:val="11"/>
        <w:numPr>
          <w:ilvl w:val="0"/>
          <w:numId w:val="11"/>
        </w:numPr>
        <w:tabs>
          <w:tab w:val="left" w:pos="1314"/>
        </w:tabs>
        <w:ind w:firstLine="600"/>
        <w:jc w:val="both"/>
        <w:rPr>
          <w:sz w:val="24"/>
          <w:szCs w:val="24"/>
        </w:rPr>
      </w:pPr>
      <w:r w:rsidRPr="003B37B6">
        <w:rPr>
          <w:rStyle w:val="ac"/>
          <w:rFonts w:eastAsiaTheme="majorEastAsia"/>
          <w:i/>
          <w:iCs/>
          <w:sz w:val="24"/>
          <w:szCs w:val="24"/>
        </w:rPr>
        <w:t>у лиц с низким социальным статусом;</w:t>
      </w:r>
    </w:p>
    <w:p w14:paraId="1E81C7CA" w14:textId="77777777" w:rsidR="00E76724" w:rsidRPr="003B37B6" w:rsidRDefault="00E76724">
      <w:pPr>
        <w:pStyle w:val="11"/>
        <w:numPr>
          <w:ilvl w:val="0"/>
          <w:numId w:val="11"/>
        </w:numPr>
        <w:tabs>
          <w:tab w:val="left" w:pos="1314"/>
        </w:tabs>
        <w:ind w:firstLine="600"/>
        <w:jc w:val="both"/>
        <w:rPr>
          <w:sz w:val="24"/>
          <w:szCs w:val="24"/>
        </w:rPr>
      </w:pPr>
      <w:r w:rsidRPr="003B37B6">
        <w:rPr>
          <w:rStyle w:val="ac"/>
          <w:rFonts w:eastAsiaTheme="majorEastAsia"/>
          <w:i/>
          <w:iCs/>
          <w:sz w:val="24"/>
          <w:szCs w:val="24"/>
        </w:rPr>
        <w:t>у пациентов с повышенным уровнем аполипопротеида В, липопротеида (а) и уровня</w:t>
      </w:r>
      <w:r w:rsidR="00520498" w:rsidRPr="003B37B6">
        <w:rPr>
          <w:sz w:val="24"/>
          <w:szCs w:val="24"/>
        </w:rPr>
        <w:t xml:space="preserve"> </w:t>
      </w:r>
      <w:r w:rsidRPr="003B37B6">
        <w:rPr>
          <w:rStyle w:val="ac"/>
          <w:rFonts w:eastAsiaTheme="majorEastAsia"/>
          <w:i/>
          <w:iCs/>
          <w:sz w:val="24"/>
          <w:szCs w:val="24"/>
        </w:rPr>
        <w:t>С-реактивного белка, определённого высокочувствительным методом.</w:t>
      </w:r>
    </w:p>
    <w:p w14:paraId="73DA619A" w14:textId="7E260837" w:rsidR="00E76724" w:rsidRPr="003B37B6" w:rsidRDefault="00E76724" w:rsidP="000B2975">
      <w:pPr>
        <w:pStyle w:val="11"/>
        <w:ind w:firstLine="600"/>
        <w:jc w:val="both"/>
        <w:rPr>
          <w:sz w:val="24"/>
          <w:szCs w:val="24"/>
        </w:rPr>
      </w:pPr>
      <w:r w:rsidRPr="003B37B6">
        <w:rPr>
          <w:rStyle w:val="ac"/>
          <w:rFonts w:eastAsiaTheme="majorEastAsia"/>
          <w:i/>
          <w:iCs/>
          <w:sz w:val="24"/>
          <w:szCs w:val="24"/>
        </w:rPr>
        <w:t xml:space="preserve">Важно отметить, что при выявлении высокого/очень высокого риска на каком-либо этапе, поиск прекращается и следующие шаги не требуются. Комплексный подход к оценке сердечно-сосудистого риска приведен в таблице П13 </w:t>
      </w:r>
      <w:r w:rsidR="006903C5" w:rsidRPr="003B37B6">
        <w:rPr>
          <w:rStyle w:val="ac"/>
          <w:rFonts w:eastAsiaTheme="majorEastAsia"/>
          <w:i/>
          <w:iCs/>
          <w:sz w:val="24"/>
          <w:szCs w:val="24"/>
        </w:rPr>
        <w:t>П</w:t>
      </w:r>
      <w:r w:rsidRPr="003B37B6">
        <w:rPr>
          <w:rStyle w:val="ac"/>
          <w:rFonts w:eastAsiaTheme="majorEastAsia"/>
          <w:i/>
          <w:iCs/>
          <w:sz w:val="24"/>
          <w:szCs w:val="24"/>
        </w:rPr>
        <w:t xml:space="preserve">риложения </w:t>
      </w:r>
      <w:r w:rsidR="00FB33EA" w:rsidRPr="003B37B6">
        <w:rPr>
          <w:rStyle w:val="ac"/>
          <w:rFonts w:eastAsiaTheme="majorEastAsia"/>
          <w:i/>
          <w:iCs/>
          <w:sz w:val="24"/>
          <w:szCs w:val="24"/>
        </w:rPr>
        <w:t>А2</w:t>
      </w:r>
      <w:r w:rsidR="006903C5" w:rsidRPr="003B37B6">
        <w:rPr>
          <w:rStyle w:val="ac"/>
          <w:rFonts w:eastAsiaTheme="majorEastAsia"/>
          <w:i/>
          <w:iCs/>
          <w:sz w:val="24"/>
          <w:szCs w:val="24"/>
        </w:rPr>
        <w:t xml:space="preserve"> к настоящим Клиническим рекомендациям</w:t>
      </w:r>
      <w:r w:rsidRPr="003B37B6">
        <w:rPr>
          <w:rStyle w:val="ac"/>
          <w:rFonts w:eastAsiaTheme="majorEastAsia"/>
          <w:i/>
          <w:iCs/>
          <w:sz w:val="24"/>
          <w:szCs w:val="24"/>
        </w:rPr>
        <w:t>.</w:t>
      </w:r>
    </w:p>
    <w:p w14:paraId="1BDF4D41" w14:textId="19000B84" w:rsidR="00110A56" w:rsidRPr="003B37B6" w:rsidRDefault="001F0CA5" w:rsidP="0008732C">
      <w:pPr>
        <w:pStyle w:val="11"/>
        <w:spacing w:after="40"/>
        <w:ind w:firstLine="709"/>
        <w:jc w:val="center"/>
        <w:outlineLvl w:val="0"/>
        <w:rPr>
          <w:rStyle w:val="ac"/>
          <w:rFonts w:eastAsiaTheme="majorEastAsia"/>
          <w:sz w:val="24"/>
          <w:szCs w:val="24"/>
        </w:rPr>
      </w:pPr>
      <w:bookmarkStart w:id="28" w:name="_Toc202877440"/>
      <w:r w:rsidRPr="003B37B6">
        <w:rPr>
          <w:rStyle w:val="ac"/>
          <w:b/>
          <w:bCs/>
          <w:sz w:val="28"/>
          <w:szCs w:val="28"/>
        </w:rPr>
        <w:t>3.Лечение</w:t>
      </w:r>
      <w:bookmarkEnd w:id="28"/>
    </w:p>
    <w:p w14:paraId="60A37746" w14:textId="001AA982" w:rsidR="00110A56" w:rsidRPr="003B37B6" w:rsidRDefault="00110A56" w:rsidP="00764BDE">
      <w:pPr>
        <w:pStyle w:val="11"/>
        <w:spacing w:after="40"/>
        <w:ind w:firstLine="709"/>
        <w:jc w:val="both"/>
        <w:rPr>
          <w:sz w:val="24"/>
          <w:szCs w:val="24"/>
        </w:rPr>
      </w:pPr>
      <w:r w:rsidRPr="003B37B6">
        <w:rPr>
          <w:rStyle w:val="ac"/>
          <w:rFonts w:eastAsiaTheme="majorEastAsia"/>
          <w:sz w:val="24"/>
          <w:szCs w:val="24"/>
        </w:rPr>
        <w:lastRenderedPageBreak/>
        <w:t>Решение о тактике лечения рекомендуется принимать в зависимости от исходного уровня АД и общего сердечно-сосудистого риска. Показания к АГТ суммированы в таблице П17</w:t>
      </w:r>
      <w:r w:rsidR="00396CDE" w:rsidRPr="003B37B6">
        <w:rPr>
          <w:rStyle w:val="ac"/>
          <w:rFonts w:eastAsiaTheme="majorEastAsia"/>
          <w:sz w:val="24"/>
          <w:szCs w:val="24"/>
        </w:rPr>
        <w:t xml:space="preserve"> </w:t>
      </w:r>
      <w:r w:rsidRPr="003B37B6">
        <w:rPr>
          <w:rStyle w:val="ac"/>
          <w:rFonts w:eastAsiaTheme="majorEastAsia"/>
          <w:sz w:val="24"/>
          <w:szCs w:val="24"/>
        </w:rPr>
        <w:t>Приложени</w:t>
      </w:r>
      <w:r w:rsidR="00396CDE" w:rsidRPr="003B37B6">
        <w:rPr>
          <w:rStyle w:val="ac"/>
          <w:rFonts w:eastAsiaTheme="majorEastAsia"/>
          <w:sz w:val="24"/>
          <w:szCs w:val="24"/>
        </w:rPr>
        <w:t>я</w:t>
      </w:r>
      <w:r w:rsidRPr="003B37B6">
        <w:rPr>
          <w:rStyle w:val="ac"/>
          <w:rFonts w:eastAsiaTheme="majorEastAsia"/>
          <w:sz w:val="24"/>
          <w:szCs w:val="24"/>
        </w:rPr>
        <w:t xml:space="preserve"> </w:t>
      </w:r>
      <w:r w:rsidR="00FB33EA" w:rsidRPr="003B37B6">
        <w:rPr>
          <w:rStyle w:val="ac"/>
          <w:rFonts w:eastAsiaTheme="majorEastAsia"/>
          <w:sz w:val="24"/>
          <w:szCs w:val="24"/>
        </w:rPr>
        <w:t>А2</w:t>
      </w:r>
      <w:r w:rsidR="00396CDE" w:rsidRPr="003B37B6">
        <w:rPr>
          <w:rStyle w:val="ac"/>
          <w:rFonts w:eastAsiaTheme="majorEastAsia"/>
          <w:sz w:val="24"/>
          <w:szCs w:val="24"/>
        </w:rPr>
        <w:t xml:space="preserve"> к</w:t>
      </w:r>
      <w:r w:rsidR="00396CDE" w:rsidRPr="003B37B6">
        <w:rPr>
          <w:rStyle w:val="ac"/>
          <w:rFonts w:eastAsiaTheme="majorEastAsia"/>
          <w:i/>
          <w:iCs/>
          <w:sz w:val="24"/>
          <w:szCs w:val="24"/>
        </w:rPr>
        <w:t xml:space="preserve"> </w:t>
      </w:r>
      <w:r w:rsidR="00396CDE" w:rsidRPr="003B37B6">
        <w:rPr>
          <w:rStyle w:val="ac"/>
          <w:rFonts w:eastAsiaTheme="majorEastAsia"/>
          <w:sz w:val="24"/>
          <w:szCs w:val="24"/>
        </w:rPr>
        <w:t>настоящим Клиническим рекомендациям</w:t>
      </w:r>
      <w:r w:rsidRPr="003B37B6">
        <w:rPr>
          <w:rStyle w:val="ac"/>
          <w:rFonts w:eastAsiaTheme="majorEastAsia"/>
          <w:sz w:val="24"/>
          <w:szCs w:val="24"/>
        </w:rPr>
        <w:t>.</w:t>
      </w:r>
    </w:p>
    <w:p w14:paraId="7A23AF43" w14:textId="77777777" w:rsidR="00110A56" w:rsidRPr="003B37B6" w:rsidRDefault="00110A56" w:rsidP="00764BDE">
      <w:pPr>
        <w:pStyle w:val="11"/>
        <w:tabs>
          <w:tab w:val="left" w:pos="709"/>
        </w:tabs>
        <w:ind w:firstLine="0"/>
        <w:jc w:val="both"/>
        <w:rPr>
          <w:sz w:val="24"/>
          <w:szCs w:val="24"/>
        </w:rPr>
      </w:pPr>
      <w:r w:rsidRPr="003B37B6">
        <w:rPr>
          <w:rStyle w:val="ac"/>
          <w:rFonts w:eastAsiaTheme="majorEastAsia"/>
          <w:sz w:val="24"/>
          <w:szCs w:val="24"/>
        </w:rPr>
        <w:tab/>
        <w:t>Всем пациентам с АГ 1-й степени рекомендуется проводить мероприятия по</w:t>
      </w:r>
      <w:r w:rsidRPr="003B37B6">
        <w:rPr>
          <w:sz w:val="24"/>
          <w:szCs w:val="24"/>
        </w:rPr>
        <w:t xml:space="preserve"> </w:t>
      </w:r>
      <w:r w:rsidRPr="003B37B6">
        <w:rPr>
          <w:rStyle w:val="ac"/>
          <w:rFonts w:eastAsiaTheme="majorEastAsia"/>
          <w:sz w:val="24"/>
          <w:szCs w:val="24"/>
        </w:rPr>
        <w:t>изменению (оздоровлению) образа жизни с целью нормализации АД и коррекции факторов риска [27, 118, 119].</w:t>
      </w:r>
    </w:p>
    <w:p w14:paraId="4607A0B0" w14:textId="19E59EDF" w:rsidR="00110A56" w:rsidRPr="003B37B6" w:rsidRDefault="00110A56" w:rsidP="00474109">
      <w:pPr>
        <w:pStyle w:val="11"/>
        <w:ind w:firstLine="600"/>
        <w:jc w:val="both"/>
        <w:rPr>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C712CB" w:rsidRPr="003B37B6">
        <w:rPr>
          <w:rStyle w:val="ac"/>
          <w:rFonts w:eastAsiaTheme="majorEastAsia"/>
          <w:b/>
          <w:bCs/>
          <w:sz w:val="24"/>
          <w:szCs w:val="24"/>
        </w:rPr>
        <w:t xml:space="preserve"> </w:t>
      </w:r>
      <w:r w:rsidRPr="003B37B6">
        <w:rPr>
          <w:rStyle w:val="ac"/>
          <w:rFonts w:eastAsiaTheme="majorEastAsia"/>
          <w:b/>
          <w:bCs/>
          <w:sz w:val="24"/>
          <w:szCs w:val="24"/>
          <w:lang w:val="en-US"/>
        </w:rPr>
        <w:t>B</w:t>
      </w:r>
      <w:r w:rsidRPr="003B37B6">
        <w:rPr>
          <w:rStyle w:val="ac"/>
          <w:rFonts w:eastAsiaTheme="majorEastAsia"/>
          <w:b/>
          <w:bCs/>
          <w:sz w:val="24"/>
          <w:szCs w:val="24"/>
        </w:rPr>
        <w:t xml:space="preserve">, </w:t>
      </w:r>
      <w:r w:rsidR="00C712CB"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1)</w:t>
      </w:r>
      <w:r w:rsidR="00C712CB" w:rsidRPr="003B37B6">
        <w:rPr>
          <w:rStyle w:val="ac"/>
          <w:rFonts w:eastAsiaTheme="majorEastAsia"/>
          <w:b/>
          <w:bCs/>
          <w:sz w:val="24"/>
          <w:szCs w:val="24"/>
        </w:rPr>
        <w:t>; ЕОК/ЕОАГ IIаB</w:t>
      </w:r>
      <w:r w:rsidR="00396CDE" w:rsidRPr="003B37B6">
        <w:rPr>
          <w:rStyle w:val="ac"/>
          <w:rFonts w:eastAsiaTheme="majorEastAsia"/>
          <w:b/>
          <w:bCs/>
          <w:sz w:val="24"/>
          <w:szCs w:val="24"/>
        </w:rPr>
        <w:t>.</w:t>
      </w:r>
    </w:p>
    <w:p w14:paraId="2DAC69D0" w14:textId="77777777" w:rsidR="00474109" w:rsidRPr="003B37B6" w:rsidRDefault="00110A56" w:rsidP="00474109">
      <w:pPr>
        <w:pStyle w:val="11"/>
        <w:tabs>
          <w:tab w:val="left" w:pos="1078"/>
        </w:tabs>
        <w:ind w:firstLine="0"/>
        <w:jc w:val="both"/>
        <w:rPr>
          <w:rStyle w:val="ac"/>
          <w:rFonts w:eastAsiaTheme="majorEastAsia"/>
          <w:b/>
          <w:bCs/>
          <w:sz w:val="24"/>
          <w:szCs w:val="24"/>
        </w:rPr>
      </w:pPr>
      <w:r w:rsidRPr="003B37B6">
        <w:rPr>
          <w:rStyle w:val="ac"/>
          <w:rFonts w:eastAsiaTheme="majorEastAsia"/>
          <w:b/>
          <w:bCs/>
          <w:sz w:val="24"/>
          <w:szCs w:val="24"/>
        </w:rPr>
        <w:t xml:space="preserve">Комментарии. </w:t>
      </w:r>
      <w:r w:rsidRPr="003B37B6">
        <w:rPr>
          <w:rStyle w:val="ac"/>
          <w:rFonts w:eastAsiaTheme="majorEastAsia"/>
          <w:i/>
          <w:iCs/>
          <w:sz w:val="24"/>
          <w:szCs w:val="24"/>
        </w:rPr>
        <w:t>Подробный подход к изменению образа жизни с целью снижения СС риска представлен в разделе «Немедикаментозное лечение АГ».</w:t>
      </w:r>
      <w:bookmarkStart w:id="29" w:name="bookmark20"/>
      <w:r w:rsidR="00474109" w:rsidRPr="003B37B6">
        <w:rPr>
          <w:rStyle w:val="ac"/>
          <w:rFonts w:eastAsiaTheme="majorEastAsia"/>
          <w:b/>
          <w:bCs/>
          <w:sz w:val="24"/>
          <w:szCs w:val="24"/>
        </w:rPr>
        <w:t xml:space="preserve"> </w:t>
      </w:r>
    </w:p>
    <w:p w14:paraId="4A641D4A" w14:textId="77777777" w:rsidR="00474109" w:rsidRPr="003B37B6" w:rsidRDefault="00474109" w:rsidP="00474109">
      <w:pPr>
        <w:pStyle w:val="11"/>
        <w:tabs>
          <w:tab w:val="left" w:pos="1078"/>
        </w:tabs>
        <w:ind w:firstLine="0"/>
        <w:jc w:val="center"/>
        <w:rPr>
          <w:sz w:val="24"/>
          <w:szCs w:val="24"/>
        </w:rPr>
      </w:pPr>
      <w:r w:rsidRPr="003B37B6">
        <w:rPr>
          <w:rStyle w:val="ac"/>
          <w:rFonts w:eastAsiaTheme="majorEastAsia"/>
          <w:b/>
          <w:bCs/>
          <w:sz w:val="24"/>
          <w:szCs w:val="24"/>
        </w:rPr>
        <w:t>Показания к антигипертензивной терапии</w:t>
      </w:r>
      <w:bookmarkEnd w:id="29"/>
    </w:p>
    <w:p w14:paraId="7DC479B8" w14:textId="503A5240" w:rsidR="00474109" w:rsidRPr="003B37B6" w:rsidRDefault="00474109" w:rsidP="00474109">
      <w:pPr>
        <w:pStyle w:val="11"/>
        <w:spacing w:after="40"/>
        <w:ind w:firstLine="600"/>
        <w:jc w:val="both"/>
        <w:rPr>
          <w:sz w:val="24"/>
          <w:szCs w:val="24"/>
        </w:rPr>
      </w:pPr>
      <w:r w:rsidRPr="003B37B6">
        <w:rPr>
          <w:rStyle w:val="ac"/>
          <w:rFonts w:eastAsiaTheme="majorEastAsia"/>
          <w:i/>
          <w:iCs/>
          <w:sz w:val="24"/>
          <w:szCs w:val="24"/>
        </w:rPr>
        <w:t xml:space="preserve">Подробные показания к началу антигипертензивной терапии представлены в </w:t>
      </w:r>
      <w:r w:rsidR="00396CDE" w:rsidRPr="003B37B6">
        <w:rPr>
          <w:rStyle w:val="ac"/>
          <w:rFonts w:eastAsiaTheme="majorEastAsia"/>
          <w:i/>
          <w:iCs/>
          <w:sz w:val="24"/>
          <w:szCs w:val="24"/>
        </w:rPr>
        <w:t>т</w:t>
      </w:r>
      <w:r w:rsidRPr="003B37B6">
        <w:rPr>
          <w:rStyle w:val="ac"/>
          <w:rFonts w:eastAsiaTheme="majorEastAsia"/>
          <w:i/>
          <w:iCs/>
          <w:sz w:val="24"/>
          <w:szCs w:val="24"/>
        </w:rPr>
        <w:t>аблице П18 Приложени</w:t>
      </w:r>
      <w:r w:rsidR="00396CDE" w:rsidRPr="003B37B6">
        <w:rPr>
          <w:rStyle w:val="ac"/>
          <w:rFonts w:eastAsiaTheme="majorEastAsia"/>
          <w:i/>
          <w:iCs/>
          <w:sz w:val="24"/>
          <w:szCs w:val="24"/>
        </w:rPr>
        <w:t>я</w:t>
      </w:r>
      <w:r w:rsidRPr="003B37B6">
        <w:rPr>
          <w:rStyle w:val="ac"/>
          <w:rFonts w:eastAsiaTheme="majorEastAsia"/>
          <w:i/>
          <w:iCs/>
          <w:sz w:val="24"/>
          <w:szCs w:val="24"/>
        </w:rPr>
        <w:t xml:space="preserve"> </w:t>
      </w:r>
      <w:r w:rsidR="00FB33EA" w:rsidRPr="003B37B6">
        <w:rPr>
          <w:rStyle w:val="ac"/>
          <w:rFonts w:eastAsiaTheme="majorEastAsia"/>
          <w:i/>
          <w:iCs/>
          <w:sz w:val="24"/>
          <w:szCs w:val="24"/>
        </w:rPr>
        <w:t>А2</w:t>
      </w:r>
      <w:r w:rsidR="00396CDE" w:rsidRPr="003B37B6">
        <w:rPr>
          <w:rStyle w:val="ac"/>
          <w:rFonts w:eastAsiaTheme="majorEastAsia"/>
          <w:i/>
          <w:iCs/>
          <w:sz w:val="24"/>
          <w:szCs w:val="24"/>
        </w:rPr>
        <w:t xml:space="preserve"> к настоящим Клиническим рекомендациям</w:t>
      </w:r>
      <w:r w:rsidRPr="003B37B6">
        <w:rPr>
          <w:rStyle w:val="ac"/>
          <w:rFonts w:eastAsiaTheme="majorEastAsia"/>
          <w:i/>
          <w:iCs/>
          <w:sz w:val="24"/>
          <w:szCs w:val="24"/>
        </w:rPr>
        <w:t>.</w:t>
      </w:r>
    </w:p>
    <w:p w14:paraId="757E7FE0" w14:textId="1BBA16E6" w:rsidR="00474109" w:rsidRPr="003B37B6" w:rsidRDefault="00474109" w:rsidP="00424F51">
      <w:pPr>
        <w:pStyle w:val="11"/>
        <w:numPr>
          <w:ilvl w:val="0"/>
          <w:numId w:val="47"/>
        </w:numPr>
        <w:spacing w:after="40"/>
        <w:ind w:left="1418" w:hanging="851"/>
        <w:jc w:val="both"/>
        <w:rPr>
          <w:sz w:val="24"/>
          <w:szCs w:val="24"/>
        </w:rPr>
      </w:pPr>
      <w:r w:rsidRPr="003B37B6">
        <w:rPr>
          <w:rStyle w:val="ac"/>
          <w:rFonts w:eastAsiaTheme="majorEastAsia"/>
          <w:sz w:val="24"/>
          <w:szCs w:val="24"/>
        </w:rPr>
        <w:t>Рекомендуется начать антигипертензивную терапии у пациентов с АГ 18-79 лет при</w:t>
      </w:r>
      <w:r w:rsidRPr="003B37B6">
        <w:rPr>
          <w:sz w:val="24"/>
          <w:szCs w:val="24"/>
        </w:rPr>
        <w:t xml:space="preserve"> </w:t>
      </w:r>
      <w:r w:rsidRPr="003B37B6">
        <w:rPr>
          <w:rStyle w:val="ac"/>
          <w:rFonts w:eastAsiaTheme="majorEastAsia"/>
          <w:sz w:val="24"/>
          <w:szCs w:val="24"/>
        </w:rPr>
        <w:t>уровне АД ≥140 и/или ≥90 мм рт.</w:t>
      </w:r>
      <w:r w:rsidR="00C712CB" w:rsidRPr="003B37B6">
        <w:rPr>
          <w:rStyle w:val="ac"/>
          <w:rFonts w:eastAsiaTheme="majorEastAsia"/>
          <w:sz w:val="24"/>
          <w:szCs w:val="24"/>
        </w:rPr>
        <w:t xml:space="preserve"> </w:t>
      </w:r>
      <w:r w:rsidRPr="003B37B6">
        <w:rPr>
          <w:rStyle w:val="ac"/>
          <w:rFonts w:eastAsiaTheme="majorEastAsia"/>
          <w:sz w:val="24"/>
          <w:szCs w:val="24"/>
        </w:rPr>
        <w:t>ст. [120, 121, 122].</w:t>
      </w:r>
    </w:p>
    <w:p w14:paraId="10FCB448" w14:textId="2E742277" w:rsidR="00474109" w:rsidRPr="003B37B6" w:rsidRDefault="00474109" w:rsidP="00474109">
      <w:pPr>
        <w:pStyle w:val="11"/>
        <w:tabs>
          <w:tab w:val="left" w:pos="1276"/>
        </w:tabs>
        <w:ind w:firstLine="0"/>
        <w:jc w:val="both"/>
        <w:rPr>
          <w:rStyle w:val="ac"/>
          <w:rFonts w:eastAsiaTheme="majorEastAsia"/>
          <w:b/>
          <w:bCs/>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C712CB" w:rsidRPr="003B37B6">
        <w:rPr>
          <w:rStyle w:val="ac"/>
          <w:rFonts w:eastAsiaTheme="majorEastAsia"/>
          <w:b/>
          <w:bCs/>
          <w:sz w:val="24"/>
          <w:szCs w:val="24"/>
        </w:rPr>
        <w:t xml:space="preserve"> </w:t>
      </w:r>
      <w:r w:rsidRPr="003B37B6">
        <w:rPr>
          <w:rStyle w:val="ac"/>
          <w:rFonts w:eastAsiaTheme="majorEastAsia"/>
          <w:b/>
          <w:bCs/>
          <w:sz w:val="24"/>
          <w:szCs w:val="24"/>
        </w:rPr>
        <w:t xml:space="preserve">А, </w:t>
      </w:r>
      <w:r w:rsidR="00C712CB"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1</w:t>
      </w:r>
      <w:r w:rsidR="00D328DD" w:rsidRPr="003B37B6">
        <w:rPr>
          <w:rStyle w:val="ac"/>
          <w:rFonts w:eastAsiaTheme="majorEastAsia"/>
          <w:b/>
          <w:bCs/>
          <w:sz w:val="24"/>
          <w:szCs w:val="24"/>
        </w:rPr>
        <w:t>);</w:t>
      </w:r>
      <w:r w:rsidR="00C712CB" w:rsidRPr="003B37B6">
        <w:rPr>
          <w:rStyle w:val="ac"/>
          <w:rFonts w:eastAsiaTheme="majorEastAsia"/>
          <w:b/>
          <w:bCs/>
          <w:sz w:val="24"/>
          <w:szCs w:val="24"/>
        </w:rPr>
        <w:t xml:space="preserve"> ЕОК/ЕОАГ IА</w:t>
      </w:r>
      <w:r w:rsidR="00396CDE" w:rsidRPr="003B37B6">
        <w:rPr>
          <w:rStyle w:val="ac"/>
          <w:rFonts w:eastAsiaTheme="majorEastAsia"/>
          <w:b/>
          <w:bCs/>
          <w:sz w:val="24"/>
          <w:szCs w:val="24"/>
        </w:rPr>
        <w:t>.</w:t>
      </w:r>
    </w:p>
    <w:p w14:paraId="1C7F90AB" w14:textId="392EA823" w:rsidR="00D328DD" w:rsidRPr="003B37B6" w:rsidRDefault="00D328DD" w:rsidP="00474109">
      <w:pPr>
        <w:pStyle w:val="11"/>
        <w:tabs>
          <w:tab w:val="left" w:pos="1276"/>
        </w:tabs>
        <w:ind w:firstLine="0"/>
        <w:jc w:val="both"/>
        <w:rPr>
          <w:i/>
          <w:iCs/>
          <w:sz w:val="28"/>
          <w:szCs w:val="28"/>
        </w:rPr>
      </w:pPr>
      <w:r w:rsidRPr="003B37B6">
        <w:rPr>
          <w:rStyle w:val="aff9"/>
          <w:rFonts w:eastAsiaTheme="majorEastAsia"/>
          <w:sz w:val="24"/>
          <w:szCs w:val="24"/>
        </w:rPr>
        <w:t>Комментарии:</w:t>
      </w:r>
      <w:r w:rsidRPr="003B37B6">
        <w:rPr>
          <w:sz w:val="24"/>
          <w:szCs w:val="24"/>
        </w:rPr>
        <w:t xml:space="preserve"> </w:t>
      </w:r>
      <w:r w:rsidRPr="003B37B6">
        <w:rPr>
          <w:i/>
          <w:iCs/>
          <w:sz w:val="24"/>
          <w:szCs w:val="24"/>
        </w:rPr>
        <w:t>Антигипертензивная терапия рекомендована пациентам с артериальной гипертензией в возрасте 18–79 лет при уровне систолического АД ≥140 мм рт. ст. и/или диастолического АД ≥90 мм рт. ст., что соответствует критериям диагностики АГ. Начало лечения при данных показателях направлено на снижение риска сердечно-сосудистых осложнений и улучшение прогноза.</w:t>
      </w:r>
    </w:p>
    <w:p w14:paraId="499CE408" w14:textId="77777777" w:rsidR="00474109" w:rsidRPr="003B37B6" w:rsidRDefault="00474109">
      <w:pPr>
        <w:pStyle w:val="11"/>
        <w:numPr>
          <w:ilvl w:val="0"/>
          <w:numId w:val="15"/>
        </w:numPr>
        <w:tabs>
          <w:tab w:val="left" w:pos="1357"/>
        </w:tabs>
        <w:ind w:firstLine="600"/>
        <w:jc w:val="both"/>
        <w:rPr>
          <w:rStyle w:val="ac"/>
          <w:sz w:val="24"/>
          <w:szCs w:val="24"/>
        </w:rPr>
      </w:pPr>
      <w:r w:rsidRPr="003B37B6">
        <w:rPr>
          <w:rStyle w:val="ac"/>
          <w:rFonts w:eastAsiaTheme="majorEastAsia"/>
          <w:sz w:val="24"/>
          <w:szCs w:val="24"/>
        </w:rPr>
        <w:t>Рекомендуется начать антигипертензивную терапии у пациентов с АГ ≥80 лет при</w:t>
      </w:r>
      <w:r w:rsidRPr="003B37B6">
        <w:rPr>
          <w:sz w:val="24"/>
          <w:szCs w:val="24"/>
        </w:rPr>
        <w:t xml:space="preserve"> </w:t>
      </w:r>
      <w:r w:rsidRPr="003B37B6">
        <w:rPr>
          <w:rStyle w:val="ac"/>
          <w:rFonts w:eastAsiaTheme="majorEastAsia"/>
          <w:sz w:val="24"/>
          <w:szCs w:val="24"/>
        </w:rPr>
        <w:t>уровне САД ≥160 мм рт.ст. [27, 123, 124, 125, 126].</w:t>
      </w:r>
      <w:r w:rsidRPr="003B37B6">
        <w:rPr>
          <w:rStyle w:val="ac"/>
          <w:rFonts w:eastAsiaTheme="majorEastAsia"/>
          <w:b/>
          <w:bCs/>
          <w:sz w:val="24"/>
          <w:szCs w:val="24"/>
        </w:rPr>
        <w:t xml:space="preserve"> </w:t>
      </w:r>
    </w:p>
    <w:p w14:paraId="22E4D163" w14:textId="385AF836" w:rsidR="00474109" w:rsidRPr="003B37B6" w:rsidRDefault="00474109" w:rsidP="00474109">
      <w:pPr>
        <w:pStyle w:val="11"/>
        <w:ind w:firstLine="0"/>
        <w:jc w:val="both"/>
        <w:rPr>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284E85" w:rsidRPr="003B37B6">
        <w:rPr>
          <w:rStyle w:val="ac"/>
          <w:rFonts w:eastAsiaTheme="majorEastAsia"/>
          <w:b/>
          <w:bCs/>
          <w:sz w:val="24"/>
          <w:szCs w:val="24"/>
        </w:rPr>
        <w:t xml:space="preserve"> </w:t>
      </w:r>
      <w:r w:rsidRPr="003B37B6">
        <w:rPr>
          <w:rStyle w:val="ac"/>
          <w:rFonts w:eastAsiaTheme="majorEastAsia"/>
          <w:b/>
          <w:bCs/>
          <w:sz w:val="24"/>
          <w:szCs w:val="24"/>
        </w:rPr>
        <w:t xml:space="preserve">А, </w:t>
      </w:r>
      <w:r w:rsidR="00284E85"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1</w:t>
      </w:r>
      <w:proofErr w:type="gramStart"/>
      <w:r w:rsidRPr="003B37B6">
        <w:rPr>
          <w:rStyle w:val="ac"/>
          <w:rFonts w:eastAsiaTheme="majorEastAsia"/>
          <w:b/>
          <w:bCs/>
          <w:sz w:val="24"/>
          <w:szCs w:val="24"/>
        </w:rPr>
        <w:t>)</w:t>
      </w:r>
      <w:r w:rsidR="00284E85" w:rsidRPr="003B37B6">
        <w:rPr>
          <w:rStyle w:val="ac"/>
          <w:rFonts w:eastAsiaTheme="majorEastAsia"/>
          <w:b/>
          <w:bCs/>
          <w:sz w:val="24"/>
          <w:szCs w:val="24"/>
        </w:rPr>
        <w:t xml:space="preserve"> ;</w:t>
      </w:r>
      <w:proofErr w:type="gramEnd"/>
      <w:r w:rsidR="00284E85" w:rsidRPr="003B37B6">
        <w:rPr>
          <w:rStyle w:val="ac"/>
          <w:rFonts w:eastAsiaTheme="majorEastAsia"/>
          <w:b/>
          <w:bCs/>
          <w:sz w:val="24"/>
          <w:szCs w:val="24"/>
        </w:rPr>
        <w:t xml:space="preserve"> ЕОК/ЕОАГ IВ</w:t>
      </w:r>
      <w:r w:rsidR="00396CDE" w:rsidRPr="003B37B6">
        <w:rPr>
          <w:rStyle w:val="ac"/>
          <w:rFonts w:eastAsiaTheme="majorEastAsia"/>
          <w:b/>
          <w:bCs/>
          <w:sz w:val="24"/>
          <w:szCs w:val="24"/>
        </w:rPr>
        <w:t>.</w:t>
      </w:r>
    </w:p>
    <w:p w14:paraId="3F418B92" w14:textId="77777777" w:rsidR="00474109" w:rsidRPr="003B37B6" w:rsidRDefault="00474109" w:rsidP="00474109">
      <w:pPr>
        <w:pStyle w:val="11"/>
        <w:spacing w:after="40"/>
        <w:ind w:firstLine="600"/>
        <w:jc w:val="both"/>
        <w:rPr>
          <w:sz w:val="24"/>
          <w:szCs w:val="24"/>
        </w:rPr>
      </w:pPr>
      <w:r w:rsidRPr="003B37B6">
        <w:rPr>
          <w:rStyle w:val="ac"/>
          <w:rFonts w:eastAsiaTheme="majorEastAsia"/>
          <w:b/>
          <w:bCs/>
          <w:sz w:val="24"/>
          <w:szCs w:val="24"/>
        </w:rPr>
        <w:t xml:space="preserve">Комментарии. </w:t>
      </w:r>
      <w:r w:rsidRPr="003B37B6">
        <w:rPr>
          <w:rStyle w:val="ac"/>
          <w:rFonts w:eastAsiaTheme="majorEastAsia"/>
          <w:i/>
          <w:iCs/>
          <w:sz w:val="24"/>
          <w:szCs w:val="24"/>
        </w:rPr>
        <w:t>Можно рассмотреть более низкие значения САД (140-159 мм рт. ст.) для инициации АГТ. У пациентов с синдромом старческой астении при определении показаний для начала АГТ на основании САД и ДАД целесообразен индивидуальный подход</w:t>
      </w:r>
      <w:r w:rsidRPr="003B37B6">
        <w:rPr>
          <w:rStyle w:val="ac"/>
          <w:rFonts w:eastAsiaTheme="majorEastAsia"/>
          <w:sz w:val="24"/>
          <w:szCs w:val="24"/>
        </w:rPr>
        <w:t xml:space="preserve"> [120, 121, 122]</w:t>
      </w:r>
      <w:r w:rsidRPr="003B37B6">
        <w:rPr>
          <w:rStyle w:val="ac"/>
          <w:rFonts w:eastAsiaTheme="majorEastAsia"/>
          <w:i/>
          <w:iCs/>
          <w:sz w:val="24"/>
          <w:szCs w:val="24"/>
        </w:rPr>
        <w:t>.</w:t>
      </w:r>
    </w:p>
    <w:p w14:paraId="50943A41" w14:textId="77777777" w:rsidR="00474109" w:rsidRPr="003B37B6" w:rsidRDefault="00474109">
      <w:pPr>
        <w:pStyle w:val="11"/>
        <w:numPr>
          <w:ilvl w:val="0"/>
          <w:numId w:val="15"/>
        </w:numPr>
        <w:tabs>
          <w:tab w:val="left" w:pos="1357"/>
        </w:tabs>
        <w:ind w:firstLine="0"/>
        <w:jc w:val="both"/>
        <w:rPr>
          <w:sz w:val="24"/>
          <w:szCs w:val="24"/>
        </w:rPr>
      </w:pPr>
      <w:r w:rsidRPr="003B37B6">
        <w:rPr>
          <w:rStyle w:val="ac"/>
          <w:rFonts w:eastAsiaTheme="majorEastAsia"/>
          <w:sz w:val="24"/>
          <w:szCs w:val="24"/>
        </w:rPr>
        <w:t>Пациентам с АГ 2-й или 3-й степени при любом уровне СС риска рекомендуется</w:t>
      </w:r>
      <w:r w:rsidR="00E1121C" w:rsidRPr="003B37B6">
        <w:rPr>
          <w:sz w:val="24"/>
          <w:szCs w:val="24"/>
        </w:rPr>
        <w:t xml:space="preserve"> </w:t>
      </w:r>
      <w:r w:rsidRPr="003B37B6">
        <w:rPr>
          <w:rStyle w:val="ac"/>
          <w:rFonts w:eastAsiaTheme="majorEastAsia"/>
          <w:sz w:val="24"/>
          <w:szCs w:val="24"/>
        </w:rPr>
        <w:t>незамедлительное начало антигипертензивной лекарственной терапии для снижения риска развития сердечно-сосудистых осложнений, СС смерти одновременно с рекомендациями по изменению образа жизни [120, 121].</w:t>
      </w:r>
    </w:p>
    <w:p w14:paraId="618B9DC3" w14:textId="14F111D0" w:rsidR="00474109" w:rsidRPr="003B37B6" w:rsidRDefault="00474109" w:rsidP="00474109">
      <w:pPr>
        <w:pStyle w:val="11"/>
        <w:spacing w:after="40"/>
        <w:ind w:firstLine="0"/>
        <w:jc w:val="both"/>
        <w:rPr>
          <w:rStyle w:val="ac"/>
          <w:rFonts w:eastAsiaTheme="majorEastAsia"/>
          <w:b/>
          <w:bCs/>
          <w:sz w:val="24"/>
          <w:szCs w:val="24"/>
        </w:rPr>
      </w:pPr>
      <w:r w:rsidRPr="003B37B6">
        <w:rPr>
          <w:rStyle w:val="ac"/>
          <w:rFonts w:eastAsiaTheme="majorEastAsia"/>
          <w:b/>
          <w:bCs/>
          <w:sz w:val="24"/>
          <w:szCs w:val="24"/>
        </w:rPr>
        <w:lastRenderedPageBreak/>
        <w:t xml:space="preserve"> </w:t>
      </w:r>
      <w:r w:rsidR="003D51B3" w:rsidRPr="003B37B6">
        <w:rPr>
          <w:rStyle w:val="ac"/>
          <w:rFonts w:eastAsiaTheme="majorEastAsia"/>
          <w:b/>
          <w:bCs/>
          <w:sz w:val="24"/>
          <w:szCs w:val="24"/>
        </w:rPr>
        <w:t>Уровень убедительности рекомендаций</w:t>
      </w:r>
      <w:r w:rsidR="00993B27" w:rsidRPr="003B37B6">
        <w:rPr>
          <w:rStyle w:val="ac"/>
          <w:rFonts w:eastAsiaTheme="majorEastAsia"/>
          <w:b/>
          <w:bCs/>
          <w:sz w:val="24"/>
          <w:szCs w:val="24"/>
        </w:rPr>
        <w:t xml:space="preserve"> </w:t>
      </w:r>
      <w:r w:rsidRPr="003B37B6">
        <w:rPr>
          <w:rStyle w:val="ac"/>
          <w:rFonts w:eastAsiaTheme="majorEastAsia"/>
          <w:b/>
          <w:bCs/>
          <w:sz w:val="24"/>
          <w:szCs w:val="24"/>
        </w:rPr>
        <w:t xml:space="preserve">А, </w:t>
      </w:r>
      <w:r w:rsidR="00993B27"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1</w:t>
      </w:r>
      <w:r w:rsidR="00284E85" w:rsidRPr="003B37B6">
        <w:rPr>
          <w:rStyle w:val="ac"/>
          <w:rFonts w:eastAsiaTheme="majorEastAsia"/>
          <w:b/>
          <w:bCs/>
          <w:sz w:val="24"/>
          <w:szCs w:val="24"/>
        </w:rPr>
        <w:t>);</w:t>
      </w:r>
      <w:r w:rsidR="00993B27" w:rsidRPr="003B37B6">
        <w:rPr>
          <w:rStyle w:val="ac"/>
          <w:rFonts w:eastAsiaTheme="majorEastAsia"/>
          <w:b/>
          <w:bCs/>
          <w:sz w:val="24"/>
          <w:szCs w:val="24"/>
        </w:rPr>
        <w:t xml:space="preserve"> ЕОК/ЕОАГ IА</w:t>
      </w:r>
      <w:r w:rsidR="00396CDE" w:rsidRPr="003B37B6">
        <w:rPr>
          <w:rStyle w:val="ac"/>
          <w:rFonts w:eastAsiaTheme="majorEastAsia"/>
          <w:b/>
          <w:bCs/>
          <w:sz w:val="24"/>
          <w:szCs w:val="24"/>
        </w:rPr>
        <w:t>.</w:t>
      </w:r>
    </w:p>
    <w:p w14:paraId="4CF287CE" w14:textId="1AF4BDDA" w:rsidR="00284E85" w:rsidRPr="003B37B6" w:rsidRDefault="00284E85" w:rsidP="00474109">
      <w:pPr>
        <w:pStyle w:val="11"/>
        <w:spacing w:after="40"/>
        <w:ind w:firstLine="0"/>
        <w:jc w:val="both"/>
        <w:rPr>
          <w:i/>
          <w:iCs/>
          <w:sz w:val="28"/>
          <w:szCs w:val="28"/>
        </w:rPr>
      </w:pPr>
      <w:r w:rsidRPr="003B37B6">
        <w:rPr>
          <w:rStyle w:val="aff9"/>
          <w:rFonts w:eastAsiaTheme="majorEastAsia"/>
          <w:sz w:val="24"/>
          <w:szCs w:val="24"/>
        </w:rPr>
        <w:t>Комментарии</w:t>
      </w:r>
      <w:r w:rsidRPr="003B37B6">
        <w:rPr>
          <w:rStyle w:val="aff9"/>
          <w:rFonts w:eastAsiaTheme="majorEastAsia"/>
          <w:i/>
          <w:iCs/>
          <w:sz w:val="24"/>
          <w:szCs w:val="24"/>
        </w:rPr>
        <w:t xml:space="preserve">: </w:t>
      </w:r>
      <w:r w:rsidRPr="003B37B6">
        <w:rPr>
          <w:i/>
          <w:iCs/>
          <w:sz w:val="24"/>
          <w:szCs w:val="24"/>
        </w:rPr>
        <w:t>Пациентам с артериальной гипертензией 2-й или 3-й степени рекомендуется немедленное начало антигипертензивной терапии независимо от уровня сердечно-сосудистого риска. Такая стратегия направлена на значительное снижение вероятности развития серьезных сердечно-сосудистых осложнений и смертности. Лечение должно сочетаться с изменениями образа жизни для максимальной эффективности и долгосрочного контроля давления.</w:t>
      </w:r>
    </w:p>
    <w:p w14:paraId="44302CFD" w14:textId="08293F61" w:rsidR="00474109" w:rsidRPr="003B37B6" w:rsidRDefault="00474109">
      <w:pPr>
        <w:pStyle w:val="11"/>
        <w:numPr>
          <w:ilvl w:val="0"/>
          <w:numId w:val="15"/>
        </w:numPr>
        <w:tabs>
          <w:tab w:val="left" w:pos="1357"/>
        </w:tabs>
        <w:ind w:firstLine="600"/>
        <w:jc w:val="both"/>
        <w:rPr>
          <w:sz w:val="24"/>
          <w:szCs w:val="24"/>
        </w:rPr>
      </w:pPr>
      <w:r w:rsidRPr="003B37B6">
        <w:rPr>
          <w:rStyle w:val="ac"/>
          <w:rFonts w:eastAsiaTheme="majorEastAsia"/>
          <w:sz w:val="24"/>
          <w:szCs w:val="24"/>
        </w:rPr>
        <w:t>Пациентам с АГ 1-й степени, относящимся к категориям низкого/умеренного риска</w:t>
      </w:r>
      <w:r w:rsidRPr="003B37B6">
        <w:rPr>
          <w:sz w:val="24"/>
          <w:szCs w:val="24"/>
        </w:rPr>
        <w:t xml:space="preserve"> </w:t>
      </w:r>
      <w:r w:rsidRPr="003B37B6">
        <w:rPr>
          <w:rStyle w:val="ac"/>
          <w:rFonts w:eastAsiaTheme="majorEastAsia"/>
          <w:sz w:val="24"/>
          <w:szCs w:val="24"/>
        </w:rPr>
        <w:t xml:space="preserve">без признаков ПОМ (оценка риска по шкале </w:t>
      </w:r>
      <w:r w:rsidRPr="003B37B6">
        <w:rPr>
          <w:rStyle w:val="ac"/>
          <w:rFonts w:eastAsiaTheme="majorEastAsia"/>
          <w:sz w:val="24"/>
          <w:szCs w:val="24"/>
          <w:lang w:val="en-US"/>
        </w:rPr>
        <w:t>SCORE</w:t>
      </w:r>
      <w:r w:rsidRPr="003B37B6">
        <w:rPr>
          <w:rStyle w:val="ac"/>
          <w:rFonts w:eastAsiaTheme="majorEastAsia"/>
          <w:sz w:val="24"/>
          <w:szCs w:val="24"/>
        </w:rPr>
        <w:t xml:space="preserve">-2 для лиц в возрасте 40-69 лет и </w:t>
      </w:r>
      <w:r w:rsidRPr="003B37B6">
        <w:rPr>
          <w:rStyle w:val="ac"/>
          <w:rFonts w:eastAsiaTheme="majorEastAsia"/>
          <w:sz w:val="24"/>
          <w:szCs w:val="24"/>
          <w:lang w:val="en-US"/>
        </w:rPr>
        <w:t>SCORE</w:t>
      </w:r>
      <w:r w:rsidRPr="003B37B6">
        <w:rPr>
          <w:rStyle w:val="ac"/>
          <w:rFonts w:eastAsiaTheme="majorEastAsia"/>
          <w:sz w:val="24"/>
          <w:szCs w:val="24"/>
        </w:rPr>
        <w:t xml:space="preserve">-2- </w:t>
      </w:r>
      <w:r w:rsidRPr="003B37B6">
        <w:rPr>
          <w:rStyle w:val="ac"/>
          <w:rFonts w:eastAsiaTheme="majorEastAsia"/>
          <w:sz w:val="24"/>
          <w:szCs w:val="24"/>
          <w:lang w:val="en-US"/>
        </w:rPr>
        <w:t>OP</w:t>
      </w:r>
      <w:r w:rsidRPr="003B37B6">
        <w:rPr>
          <w:rStyle w:val="ac"/>
          <w:rFonts w:eastAsiaTheme="majorEastAsia"/>
          <w:sz w:val="24"/>
          <w:szCs w:val="24"/>
        </w:rPr>
        <w:t xml:space="preserve"> для лиц в возрасте ≥ 70 лет рекомендуется начинать антигипертензивную лекарственную терапию в том случае, если у них сохраняется повышенное АД, несмотря на мероприятия по изменению образа жизни в течение 3 месяцев [27, 127, 128].</w:t>
      </w:r>
    </w:p>
    <w:p w14:paraId="073AB603" w14:textId="7F4520CA" w:rsidR="00474109" w:rsidRPr="003B37B6" w:rsidRDefault="003D51B3" w:rsidP="00474109">
      <w:pPr>
        <w:pStyle w:val="11"/>
        <w:spacing w:after="40"/>
        <w:ind w:firstLine="600"/>
        <w:jc w:val="both"/>
        <w:rPr>
          <w:rStyle w:val="ac"/>
          <w:rFonts w:eastAsiaTheme="majorEastAsia"/>
          <w:b/>
          <w:bCs/>
          <w:sz w:val="24"/>
          <w:szCs w:val="24"/>
        </w:rPr>
      </w:pPr>
      <w:r w:rsidRPr="003B37B6">
        <w:rPr>
          <w:rStyle w:val="ac"/>
          <w:rFonts w:eastAsiaTheme="majorEastAsia"/>
          <w:b/>
          <w:bCs/>
          <w:sz w:val="24"/>
          <w:szCs w:val="24"/>
        </w:rPr>
        <w:t>Уровень убедительности рекомендаций</w:t>
      </w:r>
      <w:r w:rsidR="00284E85" w:rsidRPr="003B37B6">
        <w:rPr>
          <w:rStyle w:val="ac"/>
          <w:rFonts w:eastAsiaTheme="majorEastAsia"/>
          <w:b/>
          <w:bCs/>
          <w:sz w:val="24"/>
          <w:szCs w:val="24"/>
        </w:rPr>
        <w:t xml:space="preserve"> </w:t>
      </w:r>
      <w:r w:rsidR="00474109" w:rsidRPr="003B37B6">
        <w:rPr>
          <w:rStyle w:val="ac"/>
          <w:rFonts w:eastAsiaTheme="majorEastAsia"/>
          <w:b/>
          <w:bCs/>
          <w:sz w:val="24"/>
          <w:szCs w:val="24"/>
        </w:rPr>
        <w:t xml:space="preserve">А, </w:t>
      </w:r>
      <w:r w:rsidR="00284E85" w:rsidRPr="003B37B6">
        <w:rPr>
          <w:rStyle w:val="ac"/>
          <w:rFonts w:eastAsiaTheme="majorEastAsia"/>
          <w:b/>
          <w:bCs/>
          <w:sz w:val="24"/>
          <w:szCs w:val="24"/>
        </w:rPr>
        <w:t>(</w:t>
      </w:r>
      <w:r w:rsidRPr="003B37B6">
        <w:rPr>
          <w:rStyle w:val="ac"/>
          <w:rFonts w:eastAsiaTheme="majorEastAsia"/>
          <w:b/>
          <w:bCs/>
          <w:sz w:val="24"/>
          <w:szCs w:val="24"/>
        </w:rPr>
        <w:t>Уровень достоверности доказательств</w:t>
      </w:r>
      <w:r w:rsidR="00474109" w:rsidRPr="003B37B6">
        <w:rPr>
          <w:rStyle w:val="ac"/>
          <w:rFonts w:eastAsiaTheme="majorEastAsia"/>
          <w:b/>
          <w:bCs/>
          <w:sz w:val="24"/>
          <w:szCs w:val="24"/>
        </w:rPr>
        <w:t xml:space="preserve"> 1)</w:t>
      </w:r>
      <w:r w:rsidR="00284E85" w:rsidRPr="003B37B6">
        <w:rPr>
          <w:rStyle w:val="ac"/>
          <w:rFonts w:eastAsiaTheme="majorEastAsia"/>
          <w:b/>
          <w:bCs/>
          <w:sz w:val="24"/>
          <w:szCs w:val="24"/>
        </w:rPr>
        <w:t>; ЕОК/ЕОАГ IА</w:t>
      </w:r>
      <w:r w:rsidR="00396CDE" w:rsidRPr="003B37B6">
        <w:rPr>
          <w:rStyle w:val="ac"/>
          <w:rFonts w:eastAsiaTheme="majorEastAsia"/>
          <w:b/>
          <w:bCs/>
          <w:sz w:val="24"/>
          <w:szCs w:val="24"/>
        </w:rPr>
        <w:t>.</w:t>
      </w:r>
    </w:p>
    <w:p w14:paraId="6D43D2D3" w14:textId="29336B76" w:rsidR="00284E85" w:rsidRPr="003B37B6" w:rsidRDefault="00284E85" w:rsidP="00474109">
      <w:pPr>
        <w:pStyle w:val="11"/>
        <w:spacing w:after="40"/>
        <w:ind w:firstLine="600"/>
        <w:jc w:val="both"/>
        <w:rPr>
          <w:i/>
          <w:iCs/>
          <w:sz w:val="28"/>
          <w:szCs w:val="28"/>
        </w:rPr>
      </w:pPr>
      <w:r w:rsidRPr="003B37B6">
        <w:rPr>
          <w:rStyle w:val="aff9"/>
          <w:rFonts w:eastAsiaTheme="majorEastAsia"/>
          <w:sz w:val="24"/>
          <w:szCs w:val="24"/>
        </w:rPr>
        <w:t>Комментарии</w:t>
      </w:r>
      <w:r w:rsidRPr="003B37B6">
        <w:rPr>
          <w:rStyle w:val="aff9"/>
          <w:rFonts w:eastAsiaTheme="majorEastAsia"/>
          <w:i/>
          <w:iCs/>
          <w:sz w:val="24"/>
          <w:szCs w:val="24"/>
        </w:rPr>
        <w:t xml:space="preserve">: </w:t>
      </w:r>
      <w:r w:rsidRPr="003B37B6">
        <w:rPr>
          <w:i/>
          <w:iCs/>
          <w:sz w:val="24"/>
          <w:szCs w:val="24"/>
        </w:rPr>
        <w:t>У пациентов с артериальной гипертензией 1-й степени и низким или умеренным сердечно-сосудистым риском без признаков поражения органов-мишеней рекомендуется начинать антигипертензивную терапию только при сохранении повышенного артериального давления после 3 месяцев адекватных изменений образа жизни. Такой подход позволяет избежать излишнего медикаментозного лечения, при этом обеспечивает контроль давления у тех, кто не достиг нужного эффекта немедикаментозной терапии.</w:t>
      </w:r>
    </w:p>
    <w:p w14:paraId="72654B3B" w14:textId="62AE1BA1" w:rsidR="00474109" w:rsidRPr="003B37B6" w:rsidRDefault="00474109">
      <w:pPr>
        <w:pStyle w:val="11"/>
        <w:numPr>
          <w:ilvl w:val="0"/>
          <w:numId w:val="15"/>
        </w:numPr>
        <w:tabs>
          <w:tab w:val="left" w:pos="1357"/>
        </w:tabs>
        <w:ind w:firstLine="600"/>
        <w:jc w:val="both"/>
        <w:rPr>
          <w:sz w:val="24"/>
          <w:szCs w:val="24"/>
        </w:rPr>
      </w:pPr>
      <w:r w:rsidRPr="003B37B6">
        <w:rPr>
          <w:rStyle w:val="ac"/>
          <w:rFonts w:eastAsiaTheme="majorEastAsia"/>
          <w:sz w:val="24"/>
          <w:szCs w:val="24"/>
        </w:rPr>
        <w:t>Пациентам с АГ 1-й степени, относящимся к категории высокого риска (оценка</w:t>
      </w:r>
      <w:r w:rsidRPr="003B37B6">
        <w:rPr>
          <w:sz w:val="24"/>
          <w:szCs w:val="24"/>
        </w:rPr>
        <w:t xml:space="preserve"> </w:t>
      </w:r>
      <w:r w:rsidRPr="003B37B6">
        <w:rPr>
          <w:rStyle w:val="ac"/>
          <w:rFonts w:eastAsiaTheme="majorEastAsia"/>
          <w:sz w:val="24"/>
          <w:szCs w:val="24"/>
        </w:rPr>
        <w:t xml:space="preserve">риска по шкале </w:t>
      </w:r>
      <w:r w:rsidRPr="003B37B6">
        <w:rPr>
          <w:rStyle w:val="ac"/>
          <w:rFonts w:eastAsiaTheme="majorEastAsia"/>
          <w:sz w:val="24"/>
          <w:szCs w:val="24"/>
          <w:lang w:val="en-US"/>
        </w:rPr>
        <w:t>SCORE</w:t>
      </w:r>
      <w:r w:rsidRPr="003B37B6">
        <w:rPr>
          <w:rStyle w:val="ac"/>
          <w:rFonts w:eastAsiaTheme="majorEastAsia"/>
          <w:sz w:val="24"/>
          <w:szCs w:val="24"/>
        </w:rPr>
        <w:t xml:space="preserve">-2 для лиц в возрасте 40-69 лет и </w:t>
      </w:r>
      <w:r w:rsidRPr="003B37B6">
        <w:rPr>
          <w:rStyle w:val="ac"/>
          <w:rFonts w:eastAsiaTheme="majorEastAsia"/>
          <w:sz w:val="24"/>
          <w:szCs w:val="24"/>
          <w:lang w:val="en-US"/>
        </w:rPr>
        <w:t>SCORE</w:t>
      </w:r>
      <w:r w:rsidRPr="003B37B6">
        <w:rPr>
          <w:rStyle w:val="ac"/>
          <w:rFonts w:eastAsiaTheme="majorEastAsia"/>
          <w:sz w:val="24"/>
          <w:szCs w:val="24"/>
        </w:rPr>
        <w:t>-2-</w:t>
      </w:r>
      <w:r w:rsidRPr="003B37B6">
        <w:rPr>
          <w:rStyle w:val="ac"/>
          <w:rFonts w:eastAsiaTheme="majorEastAsia"/>
          <w:sz w:val="24"/>
          <w:szCs w:val="24"/>
          <w:lang w:val="en-US"/>
        </w:rPr>
        <w:t>OP</w:t>
      </w:r>
      <w:r w:rsidRPr="003B37B6">
        <w:rPr>
          <w:rStyle w:val="ac"/>
          <w:rFonts w:eastAsiaTheme="majorEastAsia"/>
          <w:sz w:val="24"/>
          <w:szCs w:val="24"/>
        </w:rPr>
        <w:t xml:space="preserve"> для лиц в возрасте ≥ 70 лет  при неосложнённой АГ или при наличии ПОМ, рекомендуется незамедлительное начало антигипертензивной лекарственной терапии одновременно с рекомендациями по изменению образа жизни [27, 127, 128].</w:t>
      </w:r>
    </w:p>
    <w:p w14:paraId="330414D7" w14:textId="1A07E97C" w:rsidR="00474109" w:rsidRPr="003B37B6" w:rsidRDefault="00474109" w:rsidP="00474109">
      <w:pPr>
        <w:pStyle w:val="11"/>
        <w:spacing w:after="40"/>
        <w:ind w:firstLine="600"/>
        <w:jc w:val="both"/>
        <w:rPr>
          <w:rStyle w:val="ac"/>
          <w:rFonts w:eastAsiaTheme="majorEastAsia"/>
          <w:b/>
          <w:bCs/>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284E85" w:rsidRPr="003B37B6">
        <w:rPr>
          <w:rStyle w:val="ac"/>
          <w:rFonts w:eastAsiaTheme="majorEastAsia"/>
          <w:b/>
          <w:bCs/>
          <w:sz w:val="24"/>
          <w:szCs w:val="24"/>
        </w:rPr>
        <w:t xml:space="preserve"> </w:t>
      </w:r>
      <w:r w:rsidRPr="003B37B6">
        <w:rPr>
          <w:rStyle w:val="ac"/>
          <w:rFonts w:eastAsiaTheme="majorEastAsia"/>
          <w:b/>
          <w:bCs/>
          <w:sz w:val="24"/>
          <w:szCs w:val="24"/>
        </w:rPr>
        <w:t xml:space="preserve">А, </w:t>
      </w:r>
      <w:r w:rsidR="00284E85"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1</w:t>
      </w:r>
      <w:r w:rsidR="00284E85" w:rsidRPr="003B37B6">
        <w:rPr>
          <w:rStyle w:val="ac"/>
          <w:rFonts w:eastAsiaTheme="majorEastAsia"/>
          <w:b/>
          <w:bCs/>
          <w:sz w:val="24"/>
          <w:szCs w:val="24"/>
        </w:rPr>
        <w:t>); ЕОК/ЕОАГ IА</w:t>
      </w:r>
      <w:r w:rsidR="00396CDE" w:rsidRPr="003B37B6">
        <w:rPr>
          <w:rStyle w:val="ac"/>
          <w:rFonts w:eastAsiaTheme="majorEastAsia"/>
          <w:b/>
          <w:bCs/>
          <w:sz w:val="24"/>
          <w:szCs w:val="24"/>
        </w:rPr>
        <w:t>.</w:t>
      </w:r>
    </w:p>
    <w:p w14:paraId="1A6E0B3A" w14:textId="089B35FF" w:rsidR="00284E85" w:rsidRPr="003B37B6" w:rsidRDefault="00284E85" w:rsidP="00474109">
      <w:pPr>
        <w:pStyle w:val="11"/>
        <w:spacing w:after="40"/>
        <w:ind w:firstLine="600"/>
        <w:jc w:val="both"/>
        <w:rPr>
          <w:i/>
          <w:iCs/>
          <w:sz w:val="28"/>
          <w:szCs w:val="28"/>
        </w:rPr>
      </w:pPr>
      <w:r w:rsidRPr="003B37B6">
        <w:rPr>
          <w:rStyle w:val="aff9"/>
          <w:rFonts w:eastAsiaTheme="majorEastAsia"/>
          <w:sz w:val="24"/>
          <w:szCs w:val="24"/>
        </w:rPr>
        <w:t xml:space="preserve">Комментарии: </w:t>
      </w:r>
      <w:r w:rsidRPr="003B37B6">
        <w:rPr>
          <w:i/>
          <w:iCs/>
          <w:sz w:val="24"/>
          <w:szCs w:val="24"/>
        </w:rPr>
        <w:t xml:space="preserve">Пациентам с артериальной гипертензией 1-й степени, относящимся к категории высокого сердечно-сосудистого риска или имеющим признаки поражения органов-мишеней (ПОМ), рекомендуется незамедлительное начало антигипертензивной терапии наряду с изменением образа жизни. Ранняя медикаментозная коррекция у таких пациентов направлена на снижение риска прогрессирования заболевания и </w:t>
      </w:r>
      <w:r w:rsidRPr="003B37B6">
        <w:rPr>
          <w:i/>
          <w:iCs/>
          <w:sz w:val="24"/>
          <w:szCs w:val="24"/>
        </w:rPr>
        <w:lastRenderedPageBreak/>
        <w:t>предотвращение серьезных осложнений.</w:t>
      </w:r>
    </w:p>
    <w:p w14:paraId="3EA04011" w14:textId="0E843FB2" w:rsidR="00474109" w:rsidRPr="003B37B6" w:rsidRDefault="00474109">
      <w:pPr>
        <w:pStyle w:val="11"/>
        <w:numPr>
          <w:ilvl w:val="0"/>
          <w:numId w:val="15"/>
        </w:numPr>
        <w:tabs>
          <w:tab w:val="left" w:pos="1357"/>
        </w:tabs>
        <w:ind w:firstLine="600"/>
        <w:jc w:val="both"/>
        <w:rPr>
          <w:sz w:val="24"/>
          <w:szCs w:val="24"/>
        </w:rPr>
      </w:pPr>
      <w:r w:rsidRPr="003B37B6">
        <w:rPr>
          <w:rStyle w:val="ac"/>
          <w:rFonts w:eastAsiaTheme="majorEastAsia"/>
          <w:sz w:val="24"/>
          <w:szCs w:val="24"/>
        </w:rPr>
        <w:t>Пациентам с высоким нормальным АД (130–139/85–89 мм рт. ст.) рекомендуется</w:t>
      </w:r>
      <w:r w:rsidRPr="003B37B6">
        <w:rPr>
          <w:sz w:val="24"/>
          <w:szCs w:val="24"/>
        </w:rPr>
        <w:t xml:space="preserve"> </w:t>
      </w:r>
      <w:r w:rsidRPr="003B37B6">
        <w:rPr>
          <w:rStyle w:val="ac"/>
          <w:rFonts w:eastAsiaTheme="majorEastAsia"/>
          <w:sz w:val="24"/>
          <w:szCs w:val="24"/>
        </w:rPr>
        <w:t>начало АГТ при очень высоком уровне СС риска вследствие наличия ССЗ (особенно ИБС) [27, 121].</w:t>
      </w:r>
    </w:p>
    <w:p w14:paraId="24C69C5A" w14:textId="3C94F684" w:rsidR="00474109" w:rsidRPr="003B37B6" w:rsidRDefault="003D51B3" w:rsidP="00474109">
      <w:pPr>
        <w:pStyle w:val="11"/>
        <w:spacing w:after="40"/>
        <w:ind w:firstLine="600"/>
        <w:jc w:val="both"/>
        <w:rPr>
          <w:rStyle w:val="ac"/>
          <w:rFonts w:eastAsiaTheme="majorEastAsia"/>
          <w:b/>
          <w:bCs/>
          <w:sz w:val="24"/>
          <w:szCs w:val="24"/>
        </w:rPr>
      </w:pPr>
      <w:r w:rsidRPr="003B37B6">
        <w:rPr>
          <w:rStyle w:val="ac"/>
          <w:rFonts w:eastAsiaTheme="majorEastAsia"/>
          <w:b/>
          <w:bCs/>
          <w:sz w:val="24"/>
          <w:szCs w:val="24"/>
        </w:rPr>
        <w:t>Уровень убедительности рекомендаций</w:t>
      </w:r>
      <w:r w:rsidR="00477590" w:rsidRPr="003B37B6">
        <w:rPr>
          <w:rStyle w:val="ac"/>
          <w:rFonts w:eastAsiaTheme="majorEastAsia"/>
          <w:b/>
          <w:bCs/>
          <w:sz w:val="24"/>
          <w:szCs w:val="24"/>
        </w:rPr>
        <w:t xml:space="preserve"> </w:t>
      </w:r>
      <w:r w:rsidR="00474109" w:rsidRPr="003B37B6">
        <w:rPr>
          <w:rStyle w:val="ac"/>
          <w:rFonts w:eastAsiaTheme="majorEastAsia"/>
          <w:b/>
          <w:bCs/>
          <w:sz w:val="24"/>
          <w:szCs w:val="24"/>
        </w:rPr>
        <w:t xml:space="preserve">А, </w:t>
      </w:r>
      <w:r w:rsidR="00477590" w:rsidRPr="003B37B6">
        <w:rPr>
          <w:rStyle w:val="ac"/>
          <w:rFonts w:eastAsiaTheme="majorEastAsia"/>
          <w:b/>
          <w:bCs/>
          <w:sz w:val="24"/>
          <w:szCs w:val="24"/>
        </w:rPr>
        <w:t>(</w:t>
      </w:r>
      <w:r w:rsidRPr="003B37B6">
        <w:rPr>
          <w:rStyle w:val="ac"/>
          <w:rFonts w:eastAsiaTheme="majorEastAsia"/>
          <w:b/>
          <w:bCs/>
          <w:sz w:val="24"/>
          <w:szCs w:val="24"/>
        </w:rPr>
        <w:t>Уровень достоверности доказательств</w:t>
      </w:r>
      <w:r w:rsidR="00474109" w:rsidRPr="003B37B6">
        <w:rPr>
          <w:rStyle w:val="ac"/>
          <w:rFonts w:eastAsiaTheme="majorEastAsia"/>
          <w:b/>
          <w:bCs/>
          <w:sz w:val="24"/>
          <w:szCs w:val="24"/>
        </w:rPr>
        <w:t xml:space="preserve"> 1)</w:t>
      </w:r>
      <w:r w:rsidR="00477590" w:rsidRPr="003B37B6">
        <w:rPr>
          <w:rStyle w:val="ac"/>
          <w:rFonts w:eastAsiaTheme="majorEastAsia"/>
          <w:b/>
          <w:bCs/>
          <w:sz w:val="24"/>
          <w:szCs w:val="24"/>
        </w:rPr>
        <w:t xml:space="preserve">; ЕОК/ЕОАГ </w:t>
      </w:r>
      <w:r w:rsidR="00477590" w:rsidRPr="003B37B6">
        <w:rPr>
          <w:rStyle w:val="ac"/>
          <w:rFonts w:eastAsiaTheme="majorEastAsia"/>
          <w:b/>
          <w:bCs/>
          <w:sz w:val="24"/>
          <w:szCs w:val="24"/>
          <w:lang w:val="en-US"/>
        </w:rPr>
        <w:t>IIbA</w:t>
      </w:r>
      <w:r w:rsidR="00396CDE" w:rsidRPr="003B37B6">
        <w:rPr>
          <w:rStyle w:val="ac"/>
          <w:rFonts w:eastAsiaTheme="majorEastAsia"/>
          <w:b/>
          <w:bCs/>
          <w:sz w:val="24"/>
          <w:szCs w:val="24"/>
        </w:rPr>
        <w:t>.</w:t>
      </w:r>
    </w:p>
    <w:p w14:paraId="33CE6A13" w14:textId="517EB67C" w:rsidR="00477590" w:rsidRPr="003B37B6" w:rsidRDefault="00477590" w:rsidP="00474109">
      <w:pPr>
        <w:pStyle w:val="11"/>
        <w:spacing w:after="40"/>
        <w:ind w:firstLine="600"/>
        <w:jc w:val="both"/>
        <w:rPr>
          <w:i/>
          <w:iCs/>
          <w:sz w:val="28"/>
          <w:szCs w:val="28"/>
        </w:rPr>
      </w:pPr>
      <w:r w:rsidRPr="003B37B6">
        <w:rPr>
          <w:rStyle w:val="aff9"/>
          <w:rFonts w:eastAsiaTheme="majorEastAsia"/>
          <w:sz w:val="24"/>
          <w:szCs w:val="24"/>
        </w:rPr>
        <w:t xml:space="preserve">Комментарии: </w:t>
      </w:r>
      <w:r w:rsidRPr="003B37B6">
        <w:rPr>
          <w:i/>
          <w:iCs/>
          <w:sz w:val="24"/>
          <w:szCs w:val="24"/>
        </w:rPr>
        <w:t>Пациентам с высоким нормальным артериальным давлением (130–139/85–89 мм рт. ст.) рекомендуется начинать антигипертензивную терапию при очень высоком сердечно-сосудистом риске, особенно при наличии сердечно-сосудистых заболеваний (ССЗ), таких как ишемическая болезнь сердца (ИБС). Ранняя терапия в этой группе способствует снижению риска развития осложнений и прогрессирования гипертензии.</w:t>
      </w:r>
    </w:p>
    <w:p w14:paraId="7268E9CE" w14:textId="77777777" w:rsidR="00474109" w:rsidRPr="003B37B6" w:rsidRDefault="00474109">
      <w:pPr>
        <w:pStyle w:val="11"/>
        <w:numPr>
          <w:ilvl w:val="0"/>
          <w:numId w:val="15"/>
        </w:numPr>
        <w:tabs>
          <w:tab w:val="left" w:pos="1357"/>
        </w:tabs>
        <w:ind w:firstLine="600"/>
        <w:jc w:val="both"/>
        <w:rPr>
          <w:sz w:val="24"/>
          <w:szCs w:val="24"/>
        </w:rPr>
      </w:pPr>
      <w:r w:rsidRPr="003B37B6">
        <w:rPr>
          <w:rStyle w:val="ac"/>
          <w:rFonts w:eastAsiaTheme="majorEastAsia"/>
          <w:sz w:val="24"/>
          <w:szCs w:val="24"/>
        </w:rPr>
        <w:t>Пожилым пациентам (&gt;65 лет, но не &gt;79 лет), находящимся в удовлетворительном</w:t>
      </w:r>
      <w:r w:rsidRPr="003B37B6">
        <w:rPr>
          <w:sz w:val="24"/>
          <w:szCs w:val="24"/>
        </w:rPr>
        <w:t xml:space="preserve"> </w:t>
      </w:r>
      <w:r w:rsidRPr="003B37B6">
        <w:rPr>
          <w:rStyle w:val="ac"/>
          <w:rFonts w:eastAsiaTheme="majorEastAsia"/>
          <w:sz w:val="24"/>
          <w:szCs w:val="24"/>
        </w:rPr>
        <w:t>физическом состоянии (без синдрома старческой астении), если их САД соответствует показателям АГ 1-й степени (140–159 мм рт. ст.), рекомендуются изменение образа жизни и АГТ при хорошей переносимости [27, 123, 124, 125, 126].</w:t>
      </w:r>
    </w:p>
    <w:p w14:paraId="3DDE7E1F" w14:textId="39C1EFD5" w:rsidR="00474109" w:rsidRPr="003B37B6" w:rsidRDefault="00474109" w:rsidP="00474109">
      <w:pPr>
        <w:pStyle w:val="11"/>
        <w:spacing w:after="40"/>
        <w:ind w:firstLine="600"/>
        <w:jc w:val="both"/>
        <w:rPr>
          <w:rStyle w:val="ac"/>
          <w:rFonts w:eastAsiaTheme="majorEastAsia"/>
          <w:b/>
          <w:bCs/>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274E27" w:rsidRPr="003B37B6">
        <w:rPr>
          <w:rStyle w:val="ac"/>
          <w:rFonts w:eastAsiaTheme="majorEastAsia"/>
          <w:b/>
          <w:bCs/>
          <w:sz w:val="24"/>
          <w:szCs w:val="24"/>
        </w:rPr>
        <w:t xml:space="preserve"> </w:t>
      </w:r>
      <w:r w:rsidRPr="003B37B6">
        <w:rPr>
          <w:rStyle w:val="ac"/>
          <w:rFonts w:eastAsiaTheme="majorEastAsia"/>
          <w:b/>
          <w:bCs/>
          <w:sz w:val="24"/>
          <w:szCs w:val="24"/>
        </w:rPr>
        <w:t xml:space="preserve">А, </w:t>
      </w:r>
      <w:r w:rsidR="00274E27"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1</w:t>
      </w:r>
      <w:r w:rsidR="00274E27" w:rsidRPr="003B37B6">
        <w:rPr>
          <w:rStyle w:val="ac"/>
          <w:rFonts w:eastAsiaTheme="majorEastAsia"/>
          <w:b/>
          <w:bCs/>
          <w:sz w:val="24"/>
          <w:szCs w:val="24"/>
        </w:rPr>
        <w:t>); ЕОК/ЕОАГ IА</w:t>
      </w:r>
      <w:r w:rsidR="00396CDE" w:rsidRPr="003B37B6">
        <w:rPr>
          <w:rStyle w:val="ac"/>
          <w:rFonts w:eastAsiaTheme="majorEastAsia"/>
          <w:b/>
          <w:bCs/>
          <w:sz w:val="24"/>
          <w:szCs w:val="24"/>
        </w:rPr>
        <w:t>.</w:t>
      </w:r>
    </w:p>
    <w:p w14:paraId="24BCF9A6" w14:textId="061ED559" w:rsidR="00274E27" w:rsidRPr="003B37B6" w:rsidRDefault="00274E27" w:rsidP="00474109">
      <w:pPr>
        <w:pStyle w:val="11"/>
        <w:spacing w:after="40"/>
        <w:ind w:firstLine="600"/>
        <w:jc w:val="both"/>
        <w:rPr>
          <w:i/>
          <w:iCs/>
          <w:sz w:val="28"/>
          <w:szCs w:val="28"/>
        </w:rPr>
      </w:pPr>
      <w:r w:rsidRPr="003B37B6">
        <w:rPr>
          <w:rStyle w:val="aff9"/>
          <w:rFonts w:eastAsiaTheme="majorEastAsia"/>
          <w:sz w:val="24"/>
          <w:szCs w:val="24"/>
        </w:rPr>
        <w:t>Комментарии:</w:t>
      </w:r>
      <w:r w:rsidRPr="003B37B6">
        <w:rPr>
          <w:sz w:val="24"/>
          <w:szCs w:val="24"/>
        </w:rPr>
        <w:t xml:space="preserve"> </w:t>
      </w:r>
      <w:r w:rsidRPr="003B37B6">
        <w:rPr>
          <w:i/>
          <w:iCs/>
          <w:sz w:val="24"/>
          <w:szCs w:val="24"/>
        </w:rPr>
        <w:t>Пожилым пациентам в возрасте от 65 до 79 лет без признаков синдрома старческой астении с систолическим артериальным давлением 140–159 мм рт. ст. рекомендуется начать изменения образа жизни и антигипертензивную терапию при хорошей переносимости лечения. Такой подход направлен на снижение сердечно-сосудистого риска при сохранении качества жизни и минимизации побочных эффектов.</w:t>
      </w:r>
    </w:p>
    <w:p w14:paraId="1B992F86" w14:textId="77777777" w:rsidR="00474109" w:rsidRPr="003B37B6" w:rsidRDefault="00474109">
      <w:pPr>
        <w:pStyle w:val="11"/>
        <w:numPr>
          <w:ilvl w:val="0"/>
          <w:numId w:val="15"/>
        </w:numPr>
        <w:tabs>
          <w:tab w:val="left" w:pos="1357"/>
        </w:tabs>
        <w:ind w:firstLine="600"/>
        <w:jc w:val="both"/>
        <w:rPr>
          <w:sz w:val="24"/>
          <w:szCs w:val="24"/>
        </w:rPr>
      </w:pPr>
      <w:r w:rsidRPr="003B37B6">
        <w:rPr>
          <w:rStyle w:val="ac"/>
          <w:rFonts w:eastAsiaTheme="majorEastAsia"/>
          <w:sz w:val="24"/>
          <w:szCs w:val="24"/>
        </w:rPr>
        <w:t>У пациентов ≥80 лет не рекомендуется отменять антигипертензивную</w:t>
      </w:r>
      <w:r w:rsidRPr="003B37B6">
        <w:rPr>
          <w:sz w:val="24"/>
          <w:szCs w:val="24"/>
        </w:rPr>
        <w:t xml:space="preserve"> </w:t>
      </w:r>
      <w:r w:rsidRPr="003B37B6">
        <w:rPr>
          <w:rStyle w:val="ac"/>
          <w:rFonts w:eastAsiaTheme="majorEastAsia"/>
          <w:sz w:val="24"/>
          <w:szCs w:val="24"/>
        </w:rPr>
        <w:t>лекарственную терапию, при условии, что эта терапия хорошо переносится, не сопровождается ортостатической гипотонией, развитием/усугублением гериатрических синдромов и снижением функционального статуса в связи с доказанными преимуществами в отношении СС смертности [27, 124, 129, 130].</w:t>
      </w:r>
    </w:p>
    <w:p w14:paraId="5EC0ED5D" w14:textId="601A9BF6" w:rsidR="00474109" w:rsidRPr="003B37B6" w:rsidRDefault="00474109" w:rsidP="00474109">
      <w:pPr>
        <w:pStyle w:val="11"/>
        <w:ind w:firstLine="600"/>
        <w:jc w:val="both"/>
        <w:rPr>
          <w:rStyle w:val="ac"/>
          <w:rFonts w:eastAsiaTheme="majorEastAsia"/>
          <w:b/>
          <w:bCs/>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274E27" w:rsidRPr="003B37B6">
        <w:rPr>
          <w:rStyle w:val="ac"/>
          <w:rFonts w:eastAsiaTheme="majorEastAsia"/>
          <w:b/>
          <w:bCs/>
          <w:sz w:val="24"/>
          <w:szCs w:val="24"/>
        </w:rPr>
        <w:t xml:space="preserve"> </w:t>
      </w:r>
      <w:r w:rsidRPr="003B37B6">
        <w:rPr>
          <w:rStyle w:val="ac"/>
          <w:rFonts w:eastAsiaTheme="majorEastAsia"/>
          <w:b/>
          <w:bCs/>
          <w:sz w:val="24"/>
          <w:szCs w:val="24"/>
        </w:rPr>
        <w:t xml:space="preserve">А, </w:t>
      </w:r>
      <w:r w:rsidR="00274E27"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1)</w:t>
      </w:r>
      <w:r w:rsidR="00274E27" w:rsidRPr="003B37B6">
        <w:rPr>
          <w:rStyle w:val="ac"/>
          <w:rFonts w:eastAsiaTheme="majorEastAsia"/>
          <w:b/>
          <w:bCs/>
          <w:sz w:val="24"/>
          <w:szCs w:val="24"/>
        </w:rPr>
        <w:t>; ЕОК/ЕОАГ IIIВ</w:t>
      </w:r>
      <w:r w:rsidR="00396CDE" w:rsidRPr="003B37B6">
        <w:rPr>
          <w:rStyle w:val="ac"/>
          <w:rFonts w:eastAsiaTheme="majorEastAsia"/>
          <w:b/>
          <w:bCs/>
          <w:sz w:val="24"/>
          <w:szCs w:val="24"/>
        </w:rPr>
        <w:t>.</w:t>
      </w:r>
    </w:p>
    <w:p w14:paraId="60351586" w14:textId="241362C5" w:rsidR="00274E27" w:rsidRPr="003B37B6" w:rsidRDefault="00274E27" w:rsidP="00274E27">
      <w:pPr>
        <w:pStyle w:val="11"/>
        <w:ind w:firstLine="600"/>
        <w:jc w:val="both"/>
        <w:rPr>
          <w:i/>
          <w:iCs/>
          <w:sz w:val="24"/>
          <w:szCs w:val="24"/>
        </w:rPr>
      </w:pPr>
      <w:r w:rsidRPr="003B37B6">
        <w:rPr>
          <w:b/>
          <w:bCs/>
          <w:color w:val="404040"/>
          <w:sz w:val="24"/>
          <w:szCs w:val="24"/>
          <w:shd w:val="clear" w:color="auto" w:fill="FFFFFF"/>
        </w:rPr>
        <w:t>Комментарии:</w:t>
      </w:r>
      <w:r w:rsidRPr="003B37B6">
        <w:rPr>
          <w:color w:val="404040"/>
          <w:sz w:val="24"/>
          <w:szCs w:val="24"/>
          <w:shd w:val="clear" w:color="auto" w:fill="FFFFFF"/>
        </w:rPr>
        <w:t xml:space="preserve"> </w:t>
      </w:r>
      <w:r w:rsidRPr="003B37B6">
        <w:rPr>
          <w:i/>
          <w:iCs/>
          <w:color w:val="404040"/>
          <w:sz w:val="24"/>
          <w:szCs w:val="24"/>
          <w:shd w:val="clear" w:color="auto" w:fill="FFFFFF"/>
        </w:rPr>
        <w:t>Данная рекомендация подчеркивает важность </w:t>
      </w:r>
      <w:r w:rsidRPr="003B37B6">
        <w:rPr>
          <w:rStyle w:val="aff9"/>
          <w:rFonts w:eastAsiaTheme="majorEastAsia"/>
          <w:b w:val="0"/>
          <w:bCs w:val="0"/>
          <w:i/>
          <w:iCs/>
          <w:color w:val="404040"/>
          <w:sz w:val="24"/>
          <w:szCs w:val="24"/>
          <w:shd w:val="clear" w:color="auto" w:fill="FFFFFF"/>
        </w:rPr>
        <w:t>индивидуального подхода</w:t>
      </w:r>
      <w:r w:rsidRPr="003B37B6">
        <w:rPr>
          <w:i/>
          <w:iCs/>
          <w:color w:val="404040"/>
          <w:sz w:val="24"/>
          <w:szCs w:val="24"/>
          <w:shd w:val="clear" w:color="auto" w:fill="FFFFFF"/>
        </w:rPr>
        <w:t> к лечению артериальной гипертензии у пациентов старше 80 лет. </w:t>
      </w:r>
      <w:r w:rsidRPr="003B37B6">
        <w:rPr>
          <w:rStyle w:val="aff9"/>
          <w:rFonts w:eastAsiaTheme="majorEastAsia"/>
          <w:b w:val="0"/>
          <w:bCs w:val="0"/>
          <w:i/>
          <w:iCs/>
          <w:color w:val="404040"/>
          <w:sz w:val="24"/>
          <w:szCs w:val="24"/>
          <w:shd w:val="clear" w:color="auto" w:fill="FFFFFF"/>
        </w:rPr>
        <w:t>Возраст сам по себе не является поводом для отмены лечения.</w:t>
      </w:r>
      <w:r w:rsidRPr="003B37B6">
        <w:rPr>
          <w:i/>
          <w:iCs/>
          <w:color w:val="404040"/>
          <w:sz w:val="24"/>
          <w:szCs w:val="24"/>
          <w:shd w:val="clear" w:color="auto" w:fill="FFFFFF"/>
        </w:rPr>
        <w:t> Решение о продолжении терапии должно основываться на тщательной оценке соотношения </w:t>
      </w:r>
      <w:r w:rsidRPr="003B37B6">
        <w:rPr>
          <w:rStyle w:val="aff9"/>
          <w:rFonts w:eastAsiaTheme="majorEastAsia"/>
          <w:b w:val="0"/>
          <w:bCs w:val="0"/>
          <w:i/>
          <w:iCs/>
          <w:color w:val="404040"/>
          <w:sz w:val="24"/>
          <w:szCs w:val="24"/>
          <w:shd w:val="clear" w:color="auto" w:fill="FFFFFF"/>
        </w:rPr>
        <w:t xml:space="preserve">доказанной пользы в снижении </w:t>
      </w:r>
      <w:r w:rsidRPr="003B37B6">
        <w:rPr>
          <w:rStyle w:val="aff9"/>
          <w:rFonts w:eastAsiaTheme="majorEastAsia"/>
          <w:b w:val="0"/>
          <w:bCs w:val="0"/>
          <w:i/>
          <w:iCs/>
          <w:color w:val="404040"/>
          <w:sz w:val="24"/>
          <w:szCs w:val="24"/>
          <w:shd w:val="clear" w:color="auto" w:fill="FFFFFF"/>
        </w:rPr>
        <w:lastRenderedPageBreak/>
        <w:t>сердечно-сосудистого риска</w:t>
      </w:r>
      <w:r w:rsidRPr="003B37B6">
        <w:rPr>
          <w:i/>
          <w:iCs/>
          <w:color w:val="404040"/>
          <w:sz w:val="24"/>
          <w:szCs w:val="24"/>
          <w:shd w:val="clear" w:color="auto" w:fill="FFFFFF"/>
        </w:rPr>
        <w:t> и </w:t>
      </w:r>
      <w:r w:rsidRPr="003B37B6">
        <w:rPr>
          <w:rStyle w:val="aff9"/>
          <w:rFonts w:eastAsiaTheme="majorEastAsia"/>
          <w:b w:val="0"/>
          <w:bCs w:val="0"/>
          <w:i/>
          <w:iCs/>
          <w:color w:val="404040"/>
          <w:sz w:val="24"/>
          <w:szCs w:val="24"/>
          <w:shd w:val="clear" w:color="auto" w:fill="FFFFFF"/>
        </w:rPr>
        <w:t>безопасности</w:t>
      </w:r>
      <w:r w:rsidRPr="003B37B6">
        <w:rPr>
          <w:i/>
          <w:iCs/>
          <w:color w:val="404040"/>
          <w:sz w:val="24"/>
          <w:szCs w:val="24"/>
          <w:shd w:val="clear" w:color="auto" w:fill="FFFFFF"/>
        </w:rPr>
        <w:t> для конкретного пациента, с обязательным мониторингом на предмет ортостатической гипотонии, гериатрических синдромов и функционального статуса.</w:t>
      </w:r>
    </w:p>
    <w:p w14:paraId="2A5EDFC7" w14:textId="77777777" w:rsidR="00474109" w:rsidRPr="003B37B6" w:rsidRDefault="00474109" w:rsidP="00474109">
      <w:pPr>
        <w:pStyle w:val="11"/>
        <w:tabs>
          <w:tab w:val="left" w:pos="1080"/>
        </w:tabs>
        <w:ind w:left="600" w:firstLine="0"/>
        <w:jc w:val="center"/>
        <w:rPr>
          <w:sz w:val="24"/>
          <w:szCs w:val="24"/>
        </w:rPr>
      </w:pPr>
      <w:bookmarkStart w:id="30" w:name="bookmark21"/>
      <w:r w:rsidRPr="003B37B6">
        <w:rPr>
          <w:rStyle w:val="ac"/>
          <w:rFonts w:eastAsiaTheme="majorEastAsia"/>
          <w:b/>
          <w:bCs/>
          <w:sz w:val="24"/>
          <w:szCs w:val="24"/>
        </w:rPr>
        <w:t>Целевые уровни артериального давления</w:t>
      </w:r>
      <w:bookmarkEnd w:id="30"/>
    </w:p>
    <w:p w14:paraId="14BBAAB7" w14:textId="77777777" w:rsidR="00474109" w:rsidRPr="003B37B6" w:rsidRDefault="00474109">
      <w:pPr>
        <w:pStyle w:val="11"/>
        <w:numPr>
          <w:ilvl w:val="0"/>
          <w:numId w:val="16"/>
        </w:numPr>
        <w:tabs>
          <w:tab w:val="left" w:pos="1357"/>
        </w:tabs>
        <w:ind w:firstLine="600"/>
        <w:jc w:val="both"/>
        <w:rPr>
          <w:sz w:val="24"/>
          <w:szCs w:val="24"/>
        </w:rPr>
      </w:pPr>
      <w:r w:rsidRPr="003B37B6">
        <w:rPr>
          <w:rStyle w:val="ac"/>
          <w:rFonts w:eastAsiaTheme="majorEastAsia"/>
          <w:sz w:val="24"/>
          <w:szCs w:val="24"/>
        </w:rPr>
        <w:t>Всем пациентам с АГ, получающим лечение, независимо от возраста и степени</w:t>
      </w:r>
    </w:p>
    <w:p w14:paraId="7E90E4A6" w14:textId="77DE278C" w:rsidR="00474109" w:rsidRPr="003B37B6" w:rsidRDefault="00474109" w:rsidP="00474109">
      <w:pPr>
        <w:pStyle w:val="11"/>
        <w:ind w:firstLine="0"/>
        <w:jc w:val="both"/>
        <w:rPr>
          <w:sz w:val="24"/>
          <w:szCs w:val="24"/>
        </w:rPr>
      </w:pPr>
      <w:r w:rsidRPr="003B37B6">
        <w:rPr>
          <w:rStyle w:val="ac"/>
          <w:rFonts w:eastAsiaTheme="majorEastAsia"/>
          <w:sz w:val="24"/>
          <w:szCs w:val="24"/>
        </w:rPr>
        <w:t>риска, рекомендуется в качестве первого целевого уровня снижать АД до значений &lt;140/90 мм рт. ст., а при условии хорошей переносимости — до целевого уровня 130/80 мм рт. ст. или ниже, в связи с доказанными преимуществами в плане снижения риска сердечно-сосудистых осложнений [120, 121, 131]</w:t>
      </w:r>
      <w:r w:rsidR="00396CDE" w:rsidRPr="003B37B6">
        <w:rPr>
          <w:rStyle w:val="ac"/>
          <w:rFonts w:eastAsiaTheme="majorEastAsia"/>
          <w:sz w:val="24"/>
          <w:szCs w:val="24"/>
        </w:rPr>
        <w:t>.</w:t>
      </w:r>
    </w:p>
    <w:p w14:paraId="3D136941" w14:textId="20A01761" w:rsidR="003D1033" w:rsidRPr="003B37B6" w:rsidRDefault="00474109" w:rsidP="003D1033">
      <w:pPr>
        <w:pStyle w:val="11"/>
        <w:ind w:firstLine="600"/>
        <w:jc w:val="both"/>
        <w:rPr>
          <w:rStyle w:val="ac"/>
          <w:rFonts w:eastAsiaTheme="majorEastAsia"/>
          <w:b/>
          <w:bCs/>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9A017A" w:rsidRPr="003B37B6">
        <w:rPr>
          <w:rStyle w:val="ac"/>
          <w:rFonts w:eastAsiaTheme="majorEastAsia"/>
          <w:b/>
          <w:bCs/>
          <w:sz w:val="24"/>
          <w:szCs w:val="24"/>
        </w:rPr>
        <w:t xml:space="preserve"> </w:t>
      </w:r>
      <w:r w:rsidRPr="003B37B6">
        <w:rPr>
          <w:rStyle w:val="ac"/>
          <w:rFonts w:eastAsiaTheme="majorEastAsia"/>
          <w:b/>
          <w:bCs/>
          <w:sz w:val="24"/>
          <w:szCs w:val="24"/>
          <w:lang w:val="en-US"/>
        </w:rPr>
        <w:t>A</w:t>
      </w:r>
      <w:r w:rsidRPr="003B37B6">
        <w:rPr>
          <w:rStyle w:val="ac"/>
          <w:rFonts w:eastAsiaTheme="majorEastAsia"/>
          <w:b/>
          <w:bCs/>
          <w:sz w:val="24"/>
          <w:szCs w:val="24"/>
        </w:rPr>
        <w:t xml:space="preserve">, </w:t>
      </w:r>
      <w:r w:rsidR="009A017A"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1)</w:t>
      </w:r>
      <w:r w:rsidR="009A017A" w:rsidRPr="003B37B6">
        <w:rPr>
          <w:rStyle w:val="ac"/>
          <w:rFonts w:eastAsiaTheme="majorEastAsia"/>
          <w:b/>
          <w:bCs/>
          <w:sz w:val="24"/>
          <w:szCs w:val="24"/>
        </w:rPr>
        <w:t xml:space="preserve">; ЕОК/ЕОАГ </w:t>
      </w:r>
      <w:r w:rsidR="009A017A" w:rsidRPr="003B37B6">
        <w:rPr>
          <w:rStyle w:val="ac"/>
          <w:rFonts w:eastAsiaTheme="majorEastAsia"/>
          <w:b/>
          <w:bCs/>
          <w:sz w:val="24"/>
          <w:szCs w:val="24"/>
          <w:lang w:val="en-US"/>
        </w:rPr>
        <w:t>IA</w:t>
      </w:r>
      <w:r w:rsidR="00396CDE" w:rsidRPr="003B37B6">
        <w:rPr>
          <w:rStyle w:val="ac"/>
          <w:rFonts w:eastAsiaTheme="majorEastAsia"/>
          <w:b/>
          <w:bCs/>
          <w:sz w:val="24"/>
          <w:szCs w:val="24"/>
        </w:rPr>
        <w:t>.</w:t>
      </w:r>
    </w:p>
    <w:p w14:paraId="73733527" w14:textId="06C7E11A" w:rsidR="009A017A" w:rsidRPr="003B37B6" w:rsidRDefault="009A017A" w:rsidP="003D1033">
      <w:pPr>
        <w:pStyle w:val="11"/>
        <w:ind w:firstLine="600"/>
        <w:jc w:val="both"/>
        <w:rPr>
          <w:rStyle w:val="ac"/>
          <w:i/>
          <w:iCs/>
        </w:rPr>
      </w:pPr>
      <w:r w:rsidRPr="003B37B6">
        <w:rPr>
          <w:rStyle w:val="ac"/>
          <w:rFonts w:eastAsiaTheme="majorEastAsia"/>
          <w:b/>
          <w:bCs/>
        </w:rPr>
        <w:t xml:space="preserve">Комментарии: </w:t>
      </w:r>
      <w:r w:rsidRPr="003B37B6">
        <w:rPr>
          <w:i/>
          <w:iCs/>
        </w:rPr>
        <w:t>Рекомендация снижать артериальное давление (АД) до уровня ниже 140/90 мм рт. ст. у всех пациентов с артериальной гипертензией (АГ), независимо от возраста и степени сердечно-сосудистого риска, основывается на многочисленных клинических исследованиях, которые продемонстрировали значительное снижение частоты сердечно-сосудистых событий — таких как инфаркт миокарда, инсульт и сердечная недостаточность — при достижении этого целевого уровня. При этом, если пациент хорошо переносит более интенсивное снижение АД, допускается снижение до 130/80 мм рт. ст. или ниже. Это связано с тем, что более жёсткий контроль давления может дополнительно снижать риск осложнений, особенно у пациентов с высоким риском. Однако важно учитывать индивидуальные особенности пациента, включая переносимость терапии, наличие сопутствующих заболеваний и возраст, чтобы избежать избыточного снижения давления и связанных с этим побочных эффектов, таких как ортостатическая гипотензия или нарушение функции почек.</w:t>
      </w:r>
    </w:p>
    <w:p w14:paraId="2F39146D" w14:textId="6197AC7F" w:rsidR="00474109" w:rsidRPr="003B37B6" w:rsidRDefault="00474109" w:rsidP="00396CDE">
      <w:pPr>
        <w:pStyle w:val="11"/>
        <w:numPr>
          <w:ilvl w:val="0"/>
          <w:numId w:val="16"/>
        </w:numPr>
        <w:tabs>
          <w:tab w:val="left" w:pos="1373"/>
        </w:tabs>
        <w:ind w:firstLine="709"/>
        <w:jc w:val="both"/>
        <w:rPr>
          <w:sz w:val="24"/>
          <w:szCs w:val="24"/>
        </w:rPr>
      </w:pPr>
      <w:r w:rsidRPr="003B37B6">
        <w:rPr>
          <w:rStyle w:val="ac"/>
          <w:rFonts w:eastAsiaTheme="majorEastAsia"/>
          <w:sz w:val="24"/>
          <w:szCs w:val="24"/>
        </w:rPr>
        <w:t>Пациентам моложе 65 лет, получающих антигипертензивную терапию,</w:t>
      </w:r>
      <w:r w:rsidR="00396CDE" w:rsidRPr="003B37B6">
        <w:rPr>
          <w:rStyle w:val="ac"/>
          <w:rFonts w:eastAsiaTheme="majorEastAsia"/>
          <w:sz w:val="24"/>
          <w:szCs w:val="24"/>
        </w:rPr>
        <w:t xml:space="preserve"> </w:t>
      </w:r>
      <w:r w:rsidRPr="003B37B6">
        <w:rPr>
          <w:rStyle w:val="ac"/>
          <w:rFonts w:eastAsiaTheme="majorEastAsia"/>
          <w:sz w:val="24"/>
          <w:szCs w:val="24"/>
        </w:rPr>
        <w:t>рекомендуется снижать САД до значений 120–&lt;130 мм рт. ст., в связи с доказанным влиянием вмешательства на СС риск [120, 121, 129, 132, 133].</w:t>
      </w:r>
    </w:p>
    <w:p w14:paraId="64D33E59" w14:textId="6B9A8920" w:rsidR="003D1033" w:rsidRPr="003B37B6" w:rsidRDefault="003D51B3" w:rsidP="003D1033">
      <w:pPr>
        <w:pStyle w:val="11"/>
        <w:ind w:firstLine="600"/>
        <w:jc w:val="both"/>
        <w:rPr>
          <w:rStyle w:val="ac"/>
          <w:rFonts w:eastAsiaTheme="majorEastAsia"/>
          <w:b/>
          <w:bCs/>
          <w:sz w:val="24"/>
          <w:szCs w:val="24"/>
        </w:rPr>
      </w:pPr>
      <w:r w:rsidRPr="003B37B6">
        <w:rPr>
          <w:rStyle w:val="ac"/>
          <w:rFonts w:eastAsiaTheme="majorEastAsia"/>
          <w:b/>
          <w:bCs/>
          <w:sz w:val="24"/>
          <w:szCs w:val="24"/>
        </w:rPr>
        <w:t>Уровень убедительности рекомендаций</w:t>
      </w:r>
      <w:r w:rsidR="00B84F88" w:rsidRPr="003B37B6">
        <w:rPr>
          <w:rStyle w:val="ac"/>
          <w:rFonts w:eastAsiaTheme="majorEastAsia"/>
          <w:b/>
          <w:bCs/>
          <w:sz w:val="24"/>
          <w:szCs w:val="24"/>
        </w:rPr>
        <w:t xml:space="preserve"> </w:t>
      </w:r>
      <w:r w:rsidR="00474109" w:rsidRPr="003B37B6">
        <w:rPr>
          <w:rStyle w:val="ac"/>
          <w:rFonts w:eastAsiaTheme="majorEastAsia"/>
          <w:b/>
          <w:bCs/>
          <w:sz w:val="24"/>
          <w:szCs w:val="24"/>
          <w:lang w:val="en-US"/>
        </w:rPr>
        <w:t>A</w:t>
      </w:r>
      <w:r w:rsidR="00474109" w:rsidRPr="003B37B6">
        <w:rPr>
          <w:rStyle w:val="ac"/>
          <w:rFonts w:eastAsiaTheme="majorEastAsia"/>
          <w:b/>
          <w:bCs/>
          <w:sz w:val="24"/>
          <w:szCs w:val="24"/>
        </w:rPr>
        <w:t xml:space="preserve">, </w:t>
      </w:r>
      <w:r w:rsidR="00B84F88" w:rsidRPr="003B37B6">
        <w:rPr>
          <w:rStyle w:val="ac"/>
          <w:rFonts w:eastAsiaTheme="majorEastAsia"/>
          <w:b/>
          <w:bCs/>
          <w:sz w:val="24"/>
          <w:szCs w:val="24"/>
        </w:rPr>
        <w:t>(</w:t>
      </w:r>
      <w:r w:rsidRPr="003B37B6">
        <w:rPr>
          <w:rStyle w:val="ac"/>
          <w:rFonts w:eastAsiaTheme="majorEastAsia"/>
          <w:b/>
          <w:bCs/>
          <w:sz w:val="24"/>
          <w:szCs w:val="24"/>
        </w:rPr>
        <w:t>Уровень достоверности доказательств</w:t>
      </w:r>
      <w:r w:rsidR="00474109" w:rsidRPr="003B37B6">
        <w:rPr>
          <w:rStyle w:val="ac"/>
          <w:rFonts w:eastAsiaTheme="majorEastAsia"/>
          <w:b/>
          <w:bCs/>
          <w:sz w:val="24"/>
          <w:szCs w:val="24"/>
        </w:rPr>
        <w:t xml:space="preserve"> 1</w:t>
      </w:r>
      <w:r w:rsidR="00B84F88" w:rsidRPr="003B37B6">
        <w:rPr>
          <w:rStyle w:val="ac"/>
          <w:rFonts w:eastAsiaTheme="majorEastAsia"/>
          <w:b/>
          <w:bCs/>
          <w:sz w:val="24"/>
          <w:szCs w:val="24"/>
        </w:rPr>
        <w:t xml:space="preserve">); ЕОК/ЕОАГ </w:t>
      </w:r>
      <w:r w:rsidR="00B84F88" w:rsidRPr="003B37B6">
        <w:rPr>
          <w:rStyle w:val="ac"/>
          <w:rFonts w:eastAsiaTheme="majorEastAsia"/>
          <w:b/>
          <w:bCs/>
          <w:sz w:val="24"/>
          <w:szCs w:val="24"/>
          <w:lang w:val="en-US"/>
        </w:rPr>
        <w:t>IA</w:t>
      </w:r>
      <w:r w:rsidR="00396CDE" w:rsidRPr="003B37B6">
        <w:rPr>
          <w:rStyle w:val="ac"/>
          <w:rFonts w:eastAsiaTheme="majorEastAsia"/>
          <w:b/>
          <w:bCs/>
          <w:sz w:val="24"/>
          <w:szCs w:val="24"/>
        </w:rPr>
        <w:t>.</w:t>
      </w:r>
    </w:p>
    <w:p w14:paraId="4E3ECDF3" w14:textId="46487592" w:rsidR="00B84F88" w:rsidRPr="003B37B6" w:rsidRDefault="00B84F88" w:rsidP="003D1033">
      <w:pPr>
        <w:pStyle w:val="11"/>
        <w:ind w:firstLine="600"/>
        <w:jc w:val="both"/>
        <w:rPr>
          <w:i/>
          <w:iCs/>
        </w:rPr>
      </w:pPr>
      <w:r w:rsidRPr="003B37B6">
        <w:rPr>
          <w:rStyle w:val="ac"/>
          <w:rFonts w:eastAsiaTheme="majorEastAsia"/>
          <w:b/>
          <w:bCs/>
        </w:rPr>
        <w:t xml:space="preserve">Комментарии: </w:t>
      </w:r>
      <w:r w:rsidRPr="003B37B6">
        <w:rPr>
          <w:i/>
          <w:iCs/>
        </w:rPr>
        <w:t>Для пациентов моложе 65 лет с артериальной гипертензией рекомендуется снижать систолическое артериальное давление (САД) до диапазона 120</w:t>
      </w:r>
      <w:proofErr w:type="gramStart"/>
      <w:r w:rsidRPr="003B37B6">
        <w:rPr>
          <w:i/>
          <w:iCs/>
        </w:rPr>
        <w:t>–&lt;</w:t>
      </w:r>
      <w:proofErr w:type="gramEnd"/>
      <w:r w:rsidRPr="003B37B6">
        <w:rPr>
          <w:i/>
          <w:iCs/>
        </w:rPr>
        <w:t xml:space="preserve">130 мм рт. ст. Эта рекомендация базируется на высококачественных доказательствах (уровень достоверности 1), полученных в крупных рандомизированных клинических исследованиях, которые показали, что более интенсивное снижение САД в этом возрасте приводит к значительному снижению риска развития сердечно-сосудистых осложнений, включая инфаркт миокарда, инсульт и сердечную недостаточность. При этом снижение САД до такого уровня должно осуществляться с учётом индивидуальных особенностей пациента и переносимости терапии, чтобы минимизировать риск </w:t>
      </w:r>
      <w:r w:rsidRPr="003B37B6">
        <w:rPr>
          <w:i/>
          <w:iCs/>
        </w:rPr>
        <w:lastRenderedPageBreak/>
        <w:t>побочных эффектов, таких как гипотензия или ухудшение функции почек.</w:t>
      </w:r>
    </w:p>
    <w:p w14:paraId="6DED19DB" w14:textId="5F17BF80" w:rsidR="00474109" w:rsidRPr="003B37B6" w:rsidRDefault="00474109" w:rsidP="00B84F88">
      <w:pPr>
        <w:pStyle w:val="11"/>
        <w:numPr>
          <w:ilvl w:val="0"/>
          <w:numId w:val="16"/>
        </w:numPr>
        <w:tabs>
          <w:tab w:val="left" w:pos="1373"/>
        </w:tabs>
        <w:ind w:firstLine="600"/>
        <w:jc w:val="both"/>
        <w:rPr>
          <w:sz w:val="24"/>
          <w:szCs w:val="24"/>
        </w:rPr>
      </w:pPr>
      <w:r w:rsidRPr="003B37B6">
        <w:rPr>
          <w:rStyle w:val="ac"/>
          <w:rFonts w:eastAsiaTheme="majorEastAsia"/>
          <w:sz w:val="24"/>
          <w:szCs w:val="24"/>
        </w:rPr>
        <w:t>Пациентам 65-79 лет без старческой астении, получающим антигипертензивную</w:t>
      </w:r>
      <w:r w:rsidRPr="003B37B6">
        <w:rPr>
          <w:sz w:val="24"/>
          <w:szCs w:val="24"/>
        </w:rPr>
        <w:t xml:space="preserve"> </w:t>
      </w:r>
      <w:r w:rsidRPr="003B37B6">
        <w:rPr>
          <w:rStyle w:val="ac"/>
          <w:rFonts w:eastAsiaTheme="majorEastAsia"/>
          <w:sz w:val="24"/>
          <w:szCs w:val="24"/>
        </w:rPr>
        <w:t>терапию, вне зависимости от уровня СС риска и наличия ССЗ рекомендуется снижать САД первично до целевых значений &lt;140 мм рт. ст., а при условии хорошей переносимости до &lt;130 мм рт.</w:t>
      </w:r>
      <w:r w:rsidR="00396CDE" w:rsidRPr="003B37B6">
        <w:rPr>
          <w:rStyle w:val="ac"/>
          <w:rFonts w:eastAsiaTheme="majorEastAsia"/>
          <w:sz w:val="24"/>
          <w:szCs w:val="24"/>
        </w:rPr>
        <w:t xml:space="preserve"> </w:t>
      </w:r>
      <w:r w:rsidRPr="003B37B6">
        <w:rPr>
          <w:rStyle w:val="ac"/>
          <w:rFonts w:eastAsiaTheme="majorEastAsia"/>
          <w:sz w:val="24"/>
          <w:szCs w:val="24"/>
        </w:rPr>
        <w:t>ст. [120, 121, 129, 132, 133].</w:t>
      </w:r>
    </w:p>
    <w:p w14:paraId="3C05DD78" w14:textId="228B8FC8" w:rsidR="00474109" w:rsidRPr="003B37B6" w:rsidRDefault="003D51B3" w:rsidP="00474109">
      <w:pPr>
        <w:pStyle w:val="11"/>
        <w:ind w:firstLine="600"/>
        <w:jc w:val="both"/>
        <w:rPr>
          <w:rStyle w:val="ac"/>
          <w:rFonts w:eastAsiaTheme="majorEastAsia"/>
          <w:b/>
          <w:bCs/>
          <w:sz w:val="24"/>
          <w:szCs w:val="24"/>
        </w:rPr>
      </w:pPr>
      <w:r w:rsidRPr="003B37B6">
        <w:rPr>
          <w:rStyle w:val="ac"/>
          <w:rFonts w:eastAsiaTheme="majorEastAsia"/>
          <w:b/>
          <w:bCs/>
          <w:sz w:val="24"/>
          <w:szCs w:val="24"/>
        </w:rPr>
        <w:t>Уровень убедительности рекомендаций</w:t>
      </w:r>
      <w:r w:rsidR="003D1033" w:rsidRPr="003B37B6">
        <w:rPr>
          <w:rStyle w:val="ac"/>
          <w:rFonts w:eastAsiaTheme="majorEastAsia"/>
          <w:b/>
          <w:bCs/>
          <w:sz w:val="24"/>
          <w:szCs w:val="24"/>
        </w:rPr>
        <w:t xml:space="preserve"> </w:t>
      </w:r>
      <w:r w:rsidR="00474109" w:rsidRPr="003B37B6">
        <w:rPr>
          <w:rStyle w:val="ac"/>
          <w:rFonts w:eastAsiaTheme="majorEastAsia"/>
          <w:b/>
          <w:bCs/>
          <w:sz w:val="24"/>
          <w:szCs w:val="24"/>
          <w:lang w:val="en-US"/>
        </w:rPr>
        <w:t>A</w:t>
      </w:r>
      <w:r w:rsidR="00474109" w:rsidRPr="003B37B6">
        <w:rPr>
          <w:rStyle w:val="ac"/>
          <w:rFonts w:eastAsiaTheme="majorEastAsia"/>
          <w:b/>
          <w:bCs/>
          <w:sz w:val="24"/>
          <w:szCs w:val="24"/>
        </w:rPr>
        <w:t xml:space="preserve">, </w:t>
      </w:r>
      <w:r w:rsidR="003D1033" w:rsidRPr="003B37B6">
        <w:rPr>
          <w:rStyle w:val="ac"/>
          <w:rFonts w:eastAsiaTheme="majorEastAsia"/>
          <w:b/>
          <w:bCs/>
          <w:sz w:val="24"/>
          <w:szCs w:val="24"/>
        </w:rPr>
        <w:t>(</w:t>
      </w:r>
      <w:r w:rsidRPr="003B37B6">
        <w:rPr>
          <w:rStyle w:val="ac"/>
          <w:rFonts w:eastAsiaTheme="majorEastAsia"/>
          <w:b/>
          <w:bCs/>
          <w:sz w:val="24"/>
          <w:szCs w:val="24"/>
        </w:rPr>
        <w:t>Уровень достоверности доказательств</w:t>
      </w:r>
      <w:r w:rsidR="00474109" w:rsidRPr="003B37B6">
        <w:rPr>
          <w:rStyle w:val="ac"/>
          <w:rFonts w:eastAsiaTheme="majorEastAsia"/>
          <w:b/>
          <w:bCs/>
          <w:sz w:val="24"/>
          <w:szCs w:val="24"/>
        </w:rPr>
        <w:t xml:space="preserve"> 1</w:t>
      </w:r>
      <w:r w:rsidR="00E777CD" w:rsidRPr="003B37B6">
        <w:rPr>
          <w:rStyle w:val="ac"/>
          <w:rFonts w:eastAsiaTheme="majorEastAsia"/>
          <w:b/>
          <w:bCs/>
          <w:sz w:val="24"/>
          <w:szCs w:val="24"/>
        </w:rPr>
        <w:t xml:space="preserve">); ЕОК/ЕОАГ </w:t>
      </w:r>
      <w:r w:rsidR="00E777CD" w:rsidRPr="003B37B6">
        <w:rPr>
          <w:rStyle w:val="ac"/>
          <w:rFonts w:eastAsiaTheme="majorEastAsia"/>
          <w:b/>
          <w:bCs/>
          <w:sz w:val="24"/>
          <w:szCs w:val="24"/>
          <w:lang w:val="en-US"/>
        </w:rPr>
        <w:t>IIB</w:t>
      </w:r>
      <w:r w:rsidR="00396CDE" w:rsidRPr="003B37B6">
        <w:rPr>
          <w:rStyle w:val="ac"/>
          <w:rFonts w:eastAsiaTheme="majorEastAsia"/>
          <w:b/>
          <w:bCs/>
          <w:sz w:val="24"/>
          <w:szCs w:val="24"/>
        </w:rPr>
        <w:t>.</w:t>
      </w:r>
    </w:p>
    <w:p w14:paraId="3A3BC320" w14:textId="77777777" w:rsidR="00E777CD" w:rsidRPr="003B37B6" w:rsidRDefault="00E777CD" w:rsidP="00E777CD">
      <w:pPr>
        <w:pStyle w:val="11"/>
        <w:ind w:firstLine="0"/>
        <w:jc w:val="both"/>
        <w:rPr>
          <w:i/>
          <w:iCs/>
          <w:sz w:val="24"/>
          <w:szCs w:val="24"/>
        </w:rPr>
      </w:pPr>
      <w:r w:rsidRPr="003B37B6">
        <w:rPr>
          <w:rStyle w:val="aff9"/>
          <w:rFonts w:eastAsiaTheme="majorEastAsia"/>
          <w:sz w:val="24"/>
          <w:szCs w:val="24"/>
        </w:rPr>
        <w:t xml:space="preserve">Комментарий: </w:t>
      </w:r>
      <w:r w:rsidRPr="003B37B6">
        <w:rPr>
          <w:i/>
          <w:iCs/>
          <w:sz w:val="24"/>
          <w:szCs w:val="24"/>
        </w:rPr>
        <w:t xml:space="preserve">Рекомендации по снижению систолического артериального давления (САД) у пациентов в возрасте 65–79 лет без признаков старческой астении основываются на данных клинических исследований, которые показали, что достижение целевого уровня САД &lt;140 мм рт. ст. снижает риск сердечно-сосудистых событий. При хорошей переносимости терапии возможно более агрессивное снижение САД до &lt;130 мм рт. ст., что может дополнительно уменьшить риск осложнений, однако требует тщательного контроля за состоянием пациента для предотвращения нежелательных эффектов, таких как гипотензия или ухудшение функции органов-мишеней. </w:t>
      </w:r>
    </w:p>
    <w:p w14:paraId="480E289F" w14:textId="181A0B9A" w:rsidR="00474109" w:rsidRPr="003B37B6" w:rsidRDefault="00474109" w:rsidP="00E777CD">
      <w:pPr>
        <w:pStyle w:val="11"/>
        <w:ind w:firstLine="600"/>
        <w:jc w:val="both"/>
        <w:rPr>
          <w:sz w:val="24"/>
          <w:szCs w:val="24"/>
        </w:rPr>
      </w:pPr>
      <w:r w:rsidRPr="003B37B6">
        <w:rPr>
          <w:rStyle w:val="ac"/>
          <w:rFonts w:eastAsiaTheme="majorEastAsia"/>
          <w:sz w:val="24"/>
          <w:szCs w:val="24"/>
        </w:rPr>
        <w:t>Пациентам 65-79 лет с ИСАГ, рекомендуется снижать САД первично до целевых</w:t>
      </w:r>
      <w:r w:rsidRPr="003B37B6">
        <w:rPr>
          <w:sz w:val="24"/>
          <w:szCs w:val="24"/>
        </w:rPr>
        <w:t xml:space="preserve"> </w:t>
      </w:r>
      <w:r w:rsidRPr="003B37B6">
        <w:rPr>
          <w:rStyle w:val="ac"/>
          <w:rFonts w:eastAsiaTheme="majorEastAsia"/>
          <w:sz w:val="24"/>
          <w:szCs w:val="24"/>
        </w:rPr>
        <w:t>значений 140-150 мм рт. ст., а при условии хорошей переносимости до 130-139 мм рт.ст., но с осторожностью, если исходное ДАД &lt;70 мм рт.ст. [120, 121, 129, 132, 133].</w:t>
      </w:r>
    </w:p>
    <w:p w14:paraId="62394868" w14:textId="2E5F8C57" w:rsidR="00474109" w:rsidRPr="003B37B6" w:rsidRDefault="00474109" w:rsidP="00474109">
      <w:pPr>
        <w:pStyle w:val="11"/>
        <w:ind w:firstLine="600"/>
        <w:jc w:val="both"/>
        <w:rPr>
          <w:rStyle w:val="ac"/>
          <w:rFonts w:eastAsiaTheme="majorEastAsia"/>
          <w:b/>
          <w:bCs/>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E777CD" w:rsidRPr="003B37B6">
        <w:rPr>
          <w:rStyle w:val="ac"/>
          <w:rFonts w:eastAsiaTheme="majorEastAsia"/>
          <w:b/>
          <w:bCs/>
          <w:sz w:val="24"/>
          <w:szCs w:val="24"/>
        </w:rPr>
        <w:t xml:space="preserve"> </w:t>
      </w:r>
      <w:r w:rsidRPr="003B37B6">
        <w:rPr>
          <w:rStyle w:val="ac"/>
          <w:rFonts w:eastAsiaTheme="majorEastAsia"/>
          <w:b/>
          <w:bCs/>
          <w:sz w:val="24"/>
          <w:szCs w:val="24"/>
          <w:lang w:val="en-US"/>
        </w:rPr>
        <w:t>A</w:t>
      </w:r>
      <w:r w:rsidRPr="003B37B6">
        <w:rPr>
          <w:rStyle w:val="ac"/>
          <w:rFonts w:eastAsiaTheme="majorEastAsia"/>
          <w:b/>
          <w:bCs/>
          <w:sz w:val="24"/>
          <w:szCs w:val="24"/>
        </w:rPr>
        <w:t xml:space="preserve">, </w:t>
      </w:r>
      <w:r w:rsidR="00E777CD"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1</w:t>
      </w:r>
      <w:r w:rsidR="00E777CD" w:rsidRPr="003B37B6">
        <w:rPr>
          <w:rStyle w:val="ac"/>
          <w:rFonts w:eastAsiaTheme="majorEastAsia"/>
          <w:b/>
          <w:bCs/>
          <w:sz w:val="24"/>
          <w:szCs w:val="24"/>
        </w:rPr>
        <w:t xml:space="preserve">); ЕОК/ЕОАГ </w:t>
      </w:r>
      <w:r w:rsidR="00E777CD" w:rsidRPr="003B37B6">
        <w:rPr>
          <w:rStyle w:val="ac"/>
          <w:rFonts w:eastAsiaTheme="majorEastAsia"/>
          <w:b/>
          <w:bCs/>
          <w:sz w:val="24"/>
          <w:szCs w:val="24"/>
          <w:lang w:val="en-US"/>
        </w:rPr>
        <w:t>IB</w:t>
      </w:r>
      <w:r w:rsidR="00F566BA" w:rsidRPr="003B37B6">
        <w:rPr>
          <w:rStyle w:val="ac"/>
          <w:rFonts w:eastAsiaTheme="majorEastAsia"/>
          <w:b/>
          <w:bCs/>
          <w:sz w:val="24"/>
          <w:szCs w:val="24"/>
        </w:rPr>
        <w:t>.</w:t>
      </w:r>
    </w:p>
    <w:p w14:paraId="3B729827" w14:textId="0E520436" w:rsidR="00E777CD" w:rsidRPr="003B37B6" w:rsidRDefault="00E777CD" w:rsidP="00474109">
      <w:pPr>
        <w:pStyle w:val="11"/>
        <w:ind w:firstLine="600"/>
        <w:jc w:val="both"/>
        <w:rPr>
          <w:i/>
          <w:iCs/>
          <w:sz w:val="28"/>
          <w:szCs w:val="28"/>
        </w:rPr>
      </w:pPr>
      <w:r w:rsidRPr="003B37B6">
        <w:rPr>
          <w:rStyle w:val="aff9"/>
          <w:rFonts w:eastAsiaTheme="majorEastAsia"/>
          <w:sz w:val="24"/>
          <w:szCs w:val="24"/>
        </w:rPr>
        <w:t xml:space="preserve">Комментарий: </w:t>
      </w:r>
      <w:r w:rsidRPr="003B37B6">
        <w:rPr>
          <w:i/>
          <w:iCs/>
          <w:sz w:val="24"/>
          <w:szCs w:val="24"/>
        </w:rPr>
        <w:t>У пациентов в возрасте 65–79 лет с изолированной систолической артериальной гипертензией (ИСАГ) первичная цель терапии — снижение систолического артериального давления (САД) до диапазона 140–150 мм рт. ст. — обусловлена особенностями патофизиологии данной возрастной группы и риском гипотензивных осложнений при слишком агрессивном снижении давления. При хорошей переносимости возможно более интенсивное снижение САД до 130–139 мм рт. ст., однако с осторожностью, особенно если диастолическое артериальное давление (ДАД) изначально ниже 70 мм рт. ст., чтобы избежать риска ишемических событий, связанных с гипоперфузией.</w:t>
      </w:r>
    </w:p>
    <w:p w14:paraId="4A9BA628" w14:textId="77777777" w:rsidR="00474109" w:rsidRPr="003B37B6" w:rsidRDefault="00474109">
      <w:pPr>
        <w:pStyle w:val="11"/>
        <w:numPr>
          <w:ilvl w:val="0"/>
          <w:numId w:val="16"/>
        </w:numPr>
        <w:tabs>
          <w:tab w:val="left" w:pos="1373"/>
        </w:tabs>
        <w:ind w:firstLine="600"/>
        <w:jc w:val="both"/>
        <w:rPr>
          <w:sz w:val="24"/>
          <w:szCs w:val="24"/>
        </w:rPr>
      </w:pPr>
      <w:r w:rsidRPr="003B37B6">
        <w:rPr>
          <w:rStyle w:val="ac"/>
          <w:rFonts w:eastAsiaTheme="majorEastAsia"/>
          <w:sz w:val="24"/>
          <w:szCs w:val="24"/>
        </w:rPr>
        <w:t>Пациентам ≥80 лет с ИСАГ, рекомендуется снижать САД первично до целевых</w:t>
      </w:r>
    </w:p>
    <w:p w14:paraId="50422758" w14:textId="77777777" w:rsidR="00474109" w:rsidRPr="003B37B6" w:rsidRDefault="00474109" w:rsidP="00474109">
      <w:pPr>
        <w:pStyle w:val="11"/>
        <w:ind w:firstLine="0"/>
        <w:jc w:val="both"/>
        <w:rPr>
          <w:sz w:val="24"/>
          <w:szCs w:val="24"/>
        </w:rPr>
      </w:pPr>
      <w:r w:rsidRPr="003B37B6">
        <w:rPr>
          <w:rStyle w:val="ac"/>
          <w:rFonts w:eastAsiaTheme="majorEastAsia"/>
          <w:sz w:val="24"/>
          <w:szCs w:val="24"/>
        </w:rPr>
        <w:t>значений 140-150 мм рт. ст., а при условии хорошей переносимости до 130-139 мм рт.ст., но с осторожностью, если исходное ДАД &lt;70 мм рт.ст. [120, 121, 129, 132, 133].</w:t>
      </w:r>
    </w:p>
    <w:p w14:paraId="14EC3A81" w14:textId="2297A5E5" w:rsidR="00474109" w:rsidRPr="003B37B6" w:rsidRDefault="003D51B3" w:rsidP="00474109">
      <w:pPr>
        <w:pStyle w:val="11"/>
        <w:ind w:firstLine="600"/>
        <w:jc w:val="both"/>
        <w:rPr>
          <w:sz w:val="24"/>
          <w:szCs w:val="24"/>
        </w:rPr>
      </w:pPr>
      <w:r w:rsidRPr="003B37B6">
        <w:rPr>
          <w:rStyle w:val="ac"/>
          <w:rFonts w:eastAsiaTheme="majorEastAsia"/>
          <w:b/>
          <w:bCs/>
          <w:sz w:val="24"/>
          <w:szCs w:val="24"/>
        </w:rPr>
        <w:t>Уровень убедительности рекомендаций</w:t>
      </w:r>
      <w:r w:rsidR="00E777CD" w:rsidRPr="003B37B6">
        <w:rPr>
          <w:rStyle w:val="ac"/>
          <w:rFonts w:eastAsiaTheme="majorEastAsia"/>
          <w:b/>
          <w:bCs/>
          <w:sz w:val="24"/>
          <w:szCs w:val="24"/>
        </w:rPr>
        <w:t xml:space="preserve"> </w:t>
      </w:r>
      <w:r w:rsidR="00474109" w:rsidRPr="003B37B6">
        <w:rPr>
          <w:rStyle w:val="ac"/>
          <w:rFonts w:eastAsiaTheme="majorEastAsia"/>
          <w:b/>
          <w:bCs/>
          <w:sz w:val="24"/>
          <w:szCs w:val="24"/>
          <w:lang w:val="en-US"/>
        </w:rPr>
        <w:t>A</w:t>
      </w:r>
      <w:r w:rsidR="00474109" w:rsidRPr="003B37B6">
        <w:rPr>
          <w:rStyle w:val="ac"/>
          <w:rFonts w:eastAsiaTheme="majorEastAsia"/>
          <w:b/>
          <w:bCs/>
          <w:sz w:val="24"/>
          <w:szCs w:val="24"/>
        </w:rPr>
        <w:t xml:space="preserve">, </w:t>
      </w:r>
      <w:r w:rsidR="00E777CD" w:rsidRPr="003B37B6">
        <w:rPr>
          <w:rStyle w:val="ac"/>
          <w:rFonts w:eastAsiaTheme="majorEastAsia"/>
          <w:b/>
          <w:bCs/>
          <w:sz w:val="24"/>
          <w:szCs w:val="24"/>
        </w:rPr>
        <w:t>(</w:t>
      </w:r>
      <w:r w:rsidRPr="003B37B6">
        <w:rPr>
          <w:rStyle w:val="ac"/>
          <w:rFonts w:eastAsiaTheme="majorEastAsia"/>
          <w:b/>
          <w:bCs/>
          <w:sz w:val="24"/>
          <w:szCs w:val="24"/>
        </w:rPr>
        <w:t>Уровень достоверности доказательств</w:t>
      </w:r>
      <w:r w:rsidR="00474109" w:rsidRPr="003B37B6">
        <w:rPr>
          <w:rStyle w:val="ac"/>
          <w:rFonts w:eastAsiaTheme="majorEastAsia"/>
          <w:b/>
          <w:bCs/>
          <w:sz w:val="24"/>
          <w:szCs w:val="24"/>
        </w:rPr>
        <w:t xml:space="preserve"> 1)</w:t>
      </w:r>
      <w:r w:rsidR="00E777CD" w:rsidRPr="003B37B6">
        <w:rPr>
          <w:rStyle w:val="ac"/>
          <w:rFonts w:eastAsiaTheme="majorEastAsia"/>
          <w:b/>
          <w:bCs/>
          <w:sz w:val="24"/>
          <w:szCs w:val="24"/>
        </w:rPr>
        <w:t xml:space="preserve">; ЕОК/ЕОАГ </w:t>
      </w:r>
      <w:r w:rsidR="00E777CD" w:rsidRPr="003B37B6">
        <w:rPr>
          <w:rStyle w:val="ac"/>
          <w:rFonts w:eastAsiaTheme="majorEastAsia"/>
          <w:b/>
          <w:bCs/>
          <w:sz w:val="24"/>
          <w:szCs w:val="24"/>
          <w:lang w:val="en-US"/>
        </w:rPr>
        <w:t>IB</w:t>
      </w:r>
      <w:r w:rsidR="00F566BA" w:rsidRPr="003B37B6">
        <w:rPr>
          <w:rStyle w:val="ac"/>
          <w:rFonts w:eastAsiaTheme="majorEastAsia"/>
          <w:b/>
          <w:bCs/>
          <w:sz w:val="24"/>
          <w:szCs w:val="24"/>
        </w:rPr>
        <w:t>.</w:t>
      </w:r>
    </w:p>
    <w:p w14:paraId="458D310B" w14:textId="77777777" w:rsidR="00474109" w:rsidRPr="003B37B6" w:rsidRDefault="00474109" w:rsidP="00474109">
      <w:pPr>
        <w:pStyle w:val="11"/>
        <w:ind w:firstLine="620"/>
        <w:jc w:val="both"/>
        <w:rPr>
          <w:sz w:val="24"/>
          <w:szCs w:val="24"/>
        </w:rPr>
      </w:pPr>
      <w:r w:rsidRPr="003B37B6">
        <w:rPr>
          <w:rStyle w:val="ac"/>
          <w:rFonts w:eastAsiaTheme="majorEastAsia"/>
          <w:b/>
          <w:bCs/>
          <w:i/>
          <w:iCs/>
          <w:sz w:val="24"/>
          <w:szCs w:val="24"/>
        </w:rPr>
        <w:lastRenderedPageBreak/>
        <w:t xml:space="preserve">Комментарии. </w:t>
      </w:r>
      <w:r w:rsidRPr="003B37B6">
        <w:rPr>
          <w:rStyle w:val="ac"/>
          <w:rFonts w:eastAsiaTheme="majorEastAsia"/>
          <w:i/>
          <w:iCs/>
          <w:sz w:val="24"/>
          <w:szCs w:val="24"/>
        </w:rPr>
        <w:t>На основании специализированных РКИ у пожилых пациентов с ИСАГ показаны преимущества АК и тиазидные/тиазидоподобных диуретиков, однако, при наличии дополнительных показаний могут использоваться все другие основные классы лекарственных препаратов</w:t>
      </w:r>
      <w:r w:rsidRPr="003B37B6">
        <w:rPr>
          <w:rStyle w:val="ac"/>
          <w:rFonts w:eastAsiaTheme="majorEastAsia"/>
          <w:sz w:val="24"/>
          <w:szCs w:val="24"/>
        </w:rPr>
        <w:t xml:space="preserve"> [134]</w:t>
      </w:r>
      <w:r w:rsidRPr="003B37B6">
        <w:rPr>
          <w:rStyle w:val="ac"/>
          <w:rFonts w:eastAsiaTheme="majorEastAsia"/>
          <w:i/>
          <w:iCs/>
          <w:sz w:val="24"/>
          <w:szCs w:val="24"/>
        </w:rPr>
        <w:t xml:space="preserve">. Большинству пациентов с ИСАГ без синдрома старческой астении рекомендована инициация АГТ с двухкомпонентной комбинации. У большинства пациентов &gt;80 лет и/или с синдромом старческой астении рекомендована инициация АГТ с монотерапии. В целом у пациентов с синдромом старческой астении рекомендован индивидуальный подход </w:t>
      </w:r>
      <w:r w:rsidRPr="003B37B6">
        <w:rPr>
          <w:rStyle w:val="ac"/>
          <w:rFonts w:eastAsiaTheme="majorEastAsia"/>
          <w:sz w:val="24"/>
          <w:szCs w:val="24"/>
        </w:rPr>
        <w:t>[134]</w:t>
      </w:r>
      <w:r w:rsidRPr="003B37B6">
        <w:rPr>
          <w:rStyle w:val="ac"/>
          <w:rFonts w:eastAsiaTheme="majorEastAsia"/>
          <w:i/>
          <w:iCs/>
          <w:sz w:val="24"/>
          <w:szCs w:val="24"/>
        </w:rPr>
        <w:t>.</w:t>
      </w:r>
    </w:p>
    <w:p w14:paraId="549F4617" w14:textId="77777777" w:rsidR="00474109" w:rsidRPr="003B37B6" w:rsidRDefault="00474109">
      <w:pPr>
        <w:pStyle w:val="11"/>
        <w:numPr>
          <w:ilvl w:val="0"/>
          <w:numId w:val="16"/>
        </w:numPr>
        <w:tabs>
          <w:tab w:val="left" w:pos="1373"/>
        </w:tabs>
        <w:ind w:firstLine="600"/>
        <w:jc w:val="both"/>
        <w:rPr>
          <w:sz w:val="24"/>
          <w:szCs w:val="24"/>
        </w:rPr>
      </w:pPr>
      <w:r w:rsidRPr="003B37B6">
        <w:rPr>
          <w:rStyle w:val="ac"/>
          <w:rFonts w:eastAsiaTheme="majorEastAsia"/>
          <w:sz w:val="24"/>
          <w:szCs w:val="24"/>
        </w:rPr>
        <w:t>Всем пациентам с АГ вне зависимости от возраста, уровня риска и наличия</w:t>
      </w:r>
    </w:p>
    <w:p w14:paraId="7D50CB0D" w14:textId="77777777" w:rsidR="00474109" w:rsidRPr="003B37B6" w:rsidRDefault="00474109" w:rsidP="00474109">
      <w:pPr>
        <w:pStyle w:val="11"/>
        <w:ind w:firstLine="0"/>
        <w:jc w:val="both"/>
        <w:rPr>
          <w:sz w:val="24"/>
          <w:szCs w:val="24"/>
        </w:rPr>
      </w:pPr>
      <w:r w:rsidRPr="003B37B6">
        <w:rPr>
          <w:rStyle w:val="ac"/>
          <w:rFonts w:eastAsiaTheme="majorEastAsia"/>
          <w:sz w:val="24"/>
          <w:szCs w:val="24"/>
        </w:rPr>
        <w:t xml:space="preserve">сопутствующих заболеваний рекомендуется снижать ДАД до целевых значений 70–79 мм рт. ст. (таблица П19, Приложение </w:t>
      </w:r>
      <w:r w:rsidR="00FB33EA" w:rsidRPr="003B37B6">
        <w:rPr>
          <w:rStyle w:val="ac"/>
          <w:rFonts w:eastAsiaTheme="majorEastAsia"/>
          <w:sz w:val="24"/>
          <w:szCs w:val="24"/>
        </w:rPr>
        <w:t>А2</w:t>
      </w:r>
      <w:r w:rsidRPr="003B37B6">
        <w:rPr>
          <w:rStyle w:val="ac"/>
          <w:rFonts w:eastAsiaTheme="majorEastAsia"/>
          <w:sz w:val="24"/>
          <w:szCs w:val="24"/>
        </w:rPr>
        <w:t>) [132, 121, 135].</w:t>
      </w:r>
    </w:p>
    <w:p w14:paraId="1F8AA4BD" w14:textId="2EC41630" w:rsidR="00474109" w:rsidRPr="003B37B6" w:rsidRDefault="003D51B3" w:rsidP="00474109">
      <w:pPr>
        <w:pStyle w:val="11"/>
        <w:ind w:firstLine="620"/>
        <w:jc w:val="both"/>
        <w:rPr>
          <w:sz w:val="24"/>
          <w:szCs w:val="24"/>
        </w:rPr>
      </w:pPr>
      <w:r w:rsidRPr="003B37B6">
        <w:rPr>
          <w:rStyle w:val="ac"/>
          <w:rFonts w:eastAsiaTheme="majorEastAsia"/>
          <w:b/>
          <w:bCs/>
          <w:sz w:val="24"/>
          <w:szCs w:val="24"/>
        </w:rPr>
        <w:t>Уровень убедительности рекомендаций</w:t>
      </w:r>
      <w:r w:rsidR="003E345D" w:rsidRPr="003B37B6">
        <w:rPr>
          <w:rStyle w:val="ac"/>
          <w:rFonts w:eastAsiaTheme="majorEastAsia"/>
          <w:b/>
          <w:bCs/>
          <w:sz w:val="24"/>
          <w:szCs w:val="24"/>
        </w:rPr>
        <w:t xml:space="preserve"> </w:t>
      </w:r>
      <w:r w:rsidR="00474109" w:rsidRPr="003B37B6">
        <w:rPr>
          <w:rStyle w:val="ac"/>
          <w:rFonts w:eastAsiaTheme="majorEastAsia"/>
          <w:b/>
          <w:bCs/>
          <w:sz w:val="24"/>
          <w:szCs w:val="24"/>
          <w:lang w:val="en-US"/>
        </w:rPr>
        <w:t>B</w:t>
      </w:r>
      <w:r w:rsidR="00474109" w:rsidRPr="003B37B6">
        <w:rPr>
          <w:rStyle w:val="ac"/>
          <w:rFonts w:eastAsiaTheme="majorEastAsia"/>
          <w:b/>
          <w:bCs/>
          <w:sz w:val="24"/>
          <w:szCs w:val="24"/>
        </w:rPr>
        <w:t xml:space="preserve">, </w:t>
      </w:r>
      <w:r w:rsidR="003E345D" w:rsidRPr="003B37B6">
        <w:rPr>
          <w:rStyle w:val="ac"/>
          <w:rFonts w:eastAsiaTheme="majorEastAsia"/>
          <w:b/>
          <w:bCs/>
          <w:sz w:val="24"/>
          <w:szCs w:val="24"/>
        </w:rPr>
        <w:t>(</w:t>
      </w:r>
      <w:r w:rsidRPr="003B37B6">
        <w:rPr>
          <w:rStyle w:val="ac"/>
          <w:rFonts w:eastAsiaTheme="majorEastAsia"/>
          <w:b/>
          <w:bCs/>
          <w:sz w:val="24"/>
          <w:szCs w:val="24"/>
        </w:rPr>
        <w:t>Уровень достоверности доказательств</w:t>
      </w:r>
      <w:r w:rsidR="00474109" w:rsidRPr="003B37B6">
        <w:rPr>
          <w:rStyle w:val="ac"/>
          <w:rFonts w:eastAsiaTheme="majorEastAsia"/>
          <w:b/>
          <w:bCs/>
          <w:sz w:val="24"/>
          <w:szCs w:val="24"/>
        </w:rPr>
        <w:t xml:space="preserve"> 1)</w:t>
      </w:r>
      <w:r w:rsidR="003E345D" w:rsidRPr="003B37B6">
        <w:rPr>
          <w:rStyle w:val="ac"/>
          <w:rFonts w:eastAsiaTheme="majorEastAsia"/>
          <w:b/>
          <w:bCs/>
          <w:sz w:val="24"/>
          <w:szCs w:val="24"/>
        </w:rPr>
        <w:t xml:space="preserve"> ЕОК/ЕОАГ </w:t>
      </w:r>
      <w:r w:rsidR="003E345D" w:rsidRPr="003B37B6">
        <w:rPr>
          <w:rStyle w:val="ac"/>
          <w:rFonts w:eastAsiaTheme="majorEastAsia"/>
          <w:b/>
          <w:bCs/>
          <w:sz w:val="24"/>
          <w:szCs w:val="24"/>
          <w:lang w:val="en-US"/>
        </w:rPr>
        <w:t>IIaB</w:t>
      </w:r>
      <w:r w:rsidR="00F566BA" w:rsidRPr="003B37B6">
        <w:rPr>
          <w:rStyle w:val="ac"/>
          <w:rFonts w:eastAsiaTheme="majorEastAsia"/>
          <w:b/>
          <w:bCs/>
          <w:sz w:val="24"/>
          <w:szCs w:val="24"/>
        </w:rPr>
        <w:t>.</w:t>
      </w:r>
    </w:p>
    <w:p w14:paraId="24DEB99C" w14:textId="102F8BD3" w:rsidR="001F0CA5" w:rsidRPr="00110A56" w:rsidRDefault="00474109" w:rsidP="009D482E">
      <w:pPr>
        <w:pStyle w:val="11"/>
        <w:ind w:firstLine="620"/>
        <w:jc w:val="both"/>
        <w:rPr>
          <w:rStyle w:val="ac"/>
          <w:sz w:val="24"/>
          <w:szCs w:val="24"/>
        </w:rPr>
      </w:pPr>
      <w:r w:rsidRPr="003B37B6">
        <w:rPr>
          <w:rStyle w:val="ac"/>
          <w:rFonts w:eastAsiaTheme="majorEastAsia"/>
          <w:b/>
          <w:bCs/>
          <w:i/>
          <w:iCs/>
          <w:sz w:val="24"/>
          <w:szCs w:val="24"/>
        </w:rPr>
        <w:t xml:space="preserve">Комментарии. </w:t>
      </w:r>
      <w:r w:rsidRPr="003B37B6">
        <w:rPr>
          <w:rStyle w:val="ac"/>
          <w:rFonts w:eastAsiaTheme="majorEastAsia"/>
          <w:i/>
          <w:iCs/>
          <w:sz w:val="24"/>
          <w:szCs w:val="24"/>
        </w:rPr>
        <w:t xml:space="preserve">Не следует намеренно снижать АД ниже установленной границы безопасности, но необходимо учитывать, что она установлена в связи с результатами исследований, проведенных преимущественно в группах пациентов высокого и очень высокого риска (пожилые с коморбидностью, установленными ССЗ, в том числе — лица с ИБС, заболеванием периферических артерий). Таким образом, в общей популяции пациентов с АГ, </w:t>
      </w:r>
      <w:r w:rsidR="00106A15" w:rsidRPr="003B37B6">
        <w:rPr>
          <w:rStyle w:val="ac"/>
          <w:rFonts w:eastAsiaTheme="majorEastAsia"/>
          <w:i/>
          <w:iCs/>
          <w:sz w:val="24"/>
          <w:szCs w:val="24"/>
        </w:rPr>
        <w:t>вероятно</w:t>
      </w:r>
      <w:r w:rsidRPr="003B37B6">
        <w:rPr>
          <w:rStyle w:val="ac"/>
          <w:rFonts w:eastAsiaTheme="majorEastAsia"/>
          <w:i/>
          <w:iCs/>
          <w:sz w:val="24"/>
          <w:szCs w:val="24"/>
        </w:rPr>
        <w:t xml:space="preserve">, нет необходимости в коррекции лечения при уровне САД &lt;120 мм рт. ст. и ДАД &lt;70 мм рт. ст. при его хорошей переносимости. Целевые значения при терапии, проводимой под контролем методов ДМАД (в том числе активного мониторинга АД при помощи дистанционных технологий) или СМАД, в настоящее время окончательно не установлены. Однако они могут быть оценены исходя из целевых значений для клинического АД и «таблицы соответствия» (таблица П12 </w:t>
      </w:r>
      <w:r w:rsidR="00F566BA" w:rsidRPr="003B37B6">
        <w:rPr>
          <w:rStyle w:val="ac"/>
          <w:rFonts w:eastAsiaTheme="majorEastAsia"/>
          <w:i/>
          <w:iCs/>
          <w:sz w:val="24"/>
          <w:szCs w:val="24"/>
        </w:rPr>
        <w:t>П</w:t>
      </w:r>
      <w:r w:rsidRPr="003B37B6">
        <w:rPr>
          <w:rStyle w:val="ac"/>
          <w:rFonts w:eastAsiaTheme="majorEastAsia"/>
          <w:i/>
          <w:iCs/>
          <w:sz w:val="24"/>
          <w:szCs w:val="24"/>
        </w:rPr>
        <w:t>риложени</w:t>
      </w:r>
      <w:r w:rsidR="00F566BA" w:rsidRPr="003B37B6">
        <w:rPr>
          <w:rStyle w:val="ac"/>
          <w:rFonts w:eastAsiaTheme="majorEastAsia"/>
          <w:i/>
          <w:iCs/>
          <w:sz w:val="24"/>
          <w:szCs w:val="24"/>
        </w:rPr>
        <w:t>я</w:t>
      </w:r>
      <w:r w:rsidRPr="003B37B6">
        <w:rPr>
          <w:rStyle w:val="ac"/>
          <w:rFonts w:eastAsiaTheme="majorEastAsia"/>
          <w:i/>
          <w:iCs/>
          <w:sz w:val="24"/>
          <w:szCs w:val="24"/>
        </w:rPr>
        <w:t xml:space="preserve"> </w:t>
      </w:r>
      <w:r w:rsidR="00FB33EA" w:rsidRPr="003B37B6">
        <w:rPr>
          <w:rStyle w:val="ac"/>
          <w:rFonts w:eastAsiaTheme="majorEastAsia"/>
          <w:i/>
          <w:iCs/>
          <w:sz w:val="24"/>
          <w:szCs w:val="24"/>
        </w:rPr>
        <w:t>А2</w:t>
      </w:r>
      <w:r w:rsidR="00F566BA" w:rsidRPr="003B37B6">
        <w:rPr>
          <w:rStyle w:val="ac"/>
          <w:rFonts w:eastAsiaTheme="majorEastAsia"/>
          <w:i/>
          <w:iCs/>
          <w:sz w:val="24"/>
          <w:szCs w:val="24"/>
        </w:rPr>
        <w:t xml:space="preserve"> к настоящим Клиническим рекомендациям</w:t>
      </w:r>
      <w:r w:rsidRPr="003B37B6">
        <w:rPr>
          <w:rStyle w:val="ac"/>
          <w:rFonts w:eastAsiaTheme="majorEastAsia"/>
          <w:i/>
          <w:iCs/>
          <w:sz w:val="24"/>
          <w:szCs w:val="24"/>
        </w:rPr>
        <w:t xml:space="preserve">), предложенной экспертами </w:t>
      </w:r>
      <w:r w:rsidRPr="003B37B6">
        <w:rPr>
          <w:rStyle w:val="ac"/>
          <w:rFonts w:eastAsiaTheme="majorEastAsia"/>
          <w:i/>
          <w:iCs/>
          <w:sz w:val="24"/>
          <w:szCs w:val="24"/>
          <w:lang w:val="en-US"/>
        </w:rPr>
        <w:t>ACC</w:t>
      </w:r>
      <w:r w:rsidRPr="003B37B6">
        <w:rPr>
          <w:rStyle w:val="ac"/>
          <w:rFonts w:eastAsiaTheme="majorEastAsia"/>
          <w:i/>
          <w:iCs/>
          <w:sz w:val="24"/>
          <w:szCs w:val="24"/>
        </w:rPr>
        <w:t>/</w:t>
      </w:r>
      <w:r w:rsidRPr="003B37B6">
        <w:rPr>
          <w:rStyle w:val="ac"/>
          <w:rFonts w:eastAsiaTheme="majorEastAsia"/>
          <w:i/>
          <w:iCs/>
          <w:sz w:val="24"/>
          <w:szCs w:val="24"/>
          <w:lang w:val="en-US"/>
        </w:rPr>
        <w:t>AHA</w:t>
      </w:r>
      <w:r w:rsidRPr="003B37B6">
        <w:rPr>
          <w:rStyle w:val="ac"/>
          <w:rFonts w:eastAsiaTheme="majorEastAsia"/>
          <w:sz w:val="24"/>
          <w:szCs w:val="24"/>
        </w:rPr>
        <w:t xml:space="preserve"> [136]</w:t>
      </w:r>
      <w:r w:rsidRPr="003B37B6">
        <w:rPr>
          <w:rStyle w:val="ac"/>
          <w:rFonts w:eastAsiaTheme="majorEastAsia"/>
          <w:i/>
          <w:iCs/>
          <w:sz w:val="24"/>
          <w:szCs w:val="24"/>
        </w:rPr>
        <w:t xml:space="preserve">. Снижение интенсивности терапии можно рассмотреть у пациентов ≥80 лет при уровне САД &lt;120 мм рт.ст., при наличии тяжелой ортостатической гипотензии или выраженной </w:t>
      </w:r>
      <w:r w:rsidR="00106A15" w:rsidRPr="003B37B6">
        <w:rPr>
          <w:rStyle w:val="ac"/>
          <w:rFonts w:eastAsiaTheme="majorEastAsia"/>
          <w:i/>
          <w:iCs/>
          <w:sz w:val="24"/>
          <w:szCs w:val="24"/>
        </w:rPr>
        <w:t>старческой</w:t>
      </w:r>
      <w:r w:rsidRPr="003B37B6">
        <w:rPr>
          <w:rStyle w:val="ac"/>
          <w:rFonts w:eastAsiaTheme="majorEastAsia"/>
          <w:i/>
          <w:iCs/>
          <w:sz w:val="24"/>
          <w:szCs w:val="24"/>
        </w:rPr>
        <w:t xml:space="preserve"> астении</w:t>
      </w:r>
      <w:r w:rsidRPr="003B37B6">
        <w:rPr>
          <w:rStyle w:val="ac"/>
          <w:rFonts w:eastAsiaTheme="majorEastAsia"/>
          <w:sz w:val="24"/>
          <w:szCs w:val="24"/>
        </w:rPr>
        <w:t xml:space="preserve"> [137]</w:t>
      </w:r>
      <w:r w:rsidRPr="003B37B6">
        <w:rPr>
          <w:rStyle w:val="ac"/>
          <w:rFonts w:eastAsiaTheme="majorEastAsia"/>
          <w:i/>
          <w:iCs/>
          <w:sz w:val="24"/>
          <w:szCs w:val="24"/>
        </w:rPr>
        <w:t>. У пожилых</w:t>
      </w:r>
      <w:r w:rsidRPr="003B37B6">
        <w:rPr>
          <w:rStyle w:val="ac"/>
          <w:rFonts w:eastAsiaTheme="majorEastAsia"/>
          <w:i/>
          <w:iCs/>
          <w:sz w:val="24"/>
          <w:szCs w:val="24"/>
        </w:rPr>
        <w:tab/>
        <w:t>пациентов необходим регулярный мониторинг наличия</w:t>
      </w:r>
      <w:r w:rsidRPr="003B37B6">
        <w:rPr>
          <w:sz w:val="24"/>
          <w:szCs w:val="24"/>
        </w:rPr>
        <w:t xml:space="preserve"> </w:t>
      </w:r>
      <w:r w:rsidRPr="003B37B6">
        <w:rPr>
          <w:rStyle w:val="ac"/>
          <w:rFonts w:eastAsiaTheme="majorEastAsia"/>
          <w:i/>
          <w:iCs/>
          <w:sz w:val="24"/>
          <w:szCs w:val="24"/>
        </w:rPr>
        <w:t>ортостатической</w:t>
      </w:r>
      <w:r w:rsidRPr="00764BDE">
        <w:rPr>
          <w:rStyle w:val="ac"/>
          <w:rFonts w:eastAsiaTheme="majorEastAsia"/>
          <w:i/>
          <w:iCs/>
          <w:sz w:val="24"/>
          <w:szCs w:val="24"/>
        </w:rPr>
        <w:t xml:space="preserve"> гипотензии</w:t>
      </w:r>
      <w:r w:rsidRPr="00764BDE">
        <w:rPr>
          <w:rStyle w:val="ac"/>
          <w:rFonts w:eastAsiaTheme="majorEastAsia"/>
          <w:i/>
          <w:iCs/>
          <w:sz w:val="24"/>
          <w:szCs w:val="24"/>
        </w:rPr>
        <w:tab/>
        <w:t>даже при отсутствии симптомов, а также оценка</w:t>
      </w:r>
      <w:r>
        <w:rPr>
          <w:sz w:val="24"/>
          <w:szCs w:val="24"/>
        </w:rPr>
        <w:t xml:space="preserve"> </w:t>
      </w:r>
      <w:r w:rsidRPr="00764BDE">
        <w:rPr>
          <w:rStyle w:val="ac"/>
          <w:rFonts w:eastAsiaTheme="majorEastAsia"/>
          <w:i/>
          <w:iCs/>
          <w:sz w:val="24"/>
          <w:szCs w:val="24"/>
        </w:rPr>
        <w:t>функционального статуса и</w:t>
      </w:r>
      <w:r w:rsidRPr="00764BDE">
        <w:rPr>
          <w:rStyle w:val="ac"/>
          <w:rFonts w:eastAsiaTheme="majorEastAsia"/>
          <w:i/>
          <w:iCs/>
          <w:sz w:val="24"/>
          <w:szCs w:val="24"/>
        </w:rPr>
        <w:tab/>
        <w:t>когнитивной функции. При снижении функциональных</w:t>
      </w:r>
      <w:r>
        <w:rPr>
          <w:sz w:val="24"/>
          <w:szCs w:val="24"/>
        </w:rPr>
        <w:t xml:space="preserve"> </w:t>
      </w:r>
      <w:r w:rsidRPr="00764BDE">
        <w:rPr>
          <w:rStyle w:val="ac"/>
          <w:rFonts w:eastAsiaTheme="majorEastAsia"/>
          <w:i/>
          <w:iCs/>
          <w:sz w:val="24"/>
          <w:szCs w:val="24"/>
        </w:rPr>
        <w:t>возможностей, способности к самообслуживанию и/или развитии деменции лечение подбирается индивидуально.</w:t>
      </w:r>
    </w:p>
    <w:p w14:paraId="0F834C13" w14:textId="77777777" w:rsidR="00474109" w:rsidRDefault="00A3212B" w:rsidP="0008732C">
      <w:pPr>
        <w:pStyle w:val="11"/>
        <w:ind w:firstLine="709"/>
        <w:jc w:val="both"/>
        <w:outlineLvl w:val="1"/>
        <w:rPr>
          <w:rStyle w:val="ac"/>
          <w:rFonts w:eastAsiaTheme="majorEastAsia"/>
          <w:i/>
          <w:iCs/>
          <w:sz w:val="24"/>
          <w:szCs w:val="24"/>
        </w:rPr>
      </w:pPr>
      <w:bookmarkStart w:id="31" w:name="_Toc202877441"/>
      <w:r w:rsidRPr="00A3212B">
        <w:rPr>
          <w:rStyle w:val="ac"/>
          <w:b/>
          <w:bCs/>
          <w:sz w:val="24"/>
          <w:szCs w:val="24"/>
          <w:u w:val="single"/>
        </w:rPr>
        <w:t>3.1 Консервативное лечение</w:t>
      </w:r>
      <w:bookmarkEnd w:id="31"/>
      <w:r w:rsidR="00474109" w:rsidRPr="00474109">
        <w:rPr>
          <w:rStyle w:val="ac"/>
          <w:rFonts w:eastAsiaTheme="majorEastAsia"/>
          <w:i/>
          <w:iCs/>
          <w:sz w:val="24"/>
          <w:szCs w:val="24"/>
        </w:rPr>
        <w:t xml:space="preserve"> </w:t>
      </w:r>
    </w:p>
    <w:p w14:paraId="3B0A236F" w14:textId="77777777" w:rsidR="00474109" w:rsidRPr="003B37B6" w:rsidRDefault="00474109" w:rsidP="00975FC5">
      <w:pPr>
        <w:pStyle w:val="11"/>
        <w:ind w:firstLine="600"/>
        <w:jc w:val="both"/>
        <w:rPr>
          <w:sz w:val="24"/>
          <w:szCs w:val="24"/>
        </w:rPr>
      </w:pPr>
      <w:r w:rsidRPr="00764BDE">
        <w:rPr>
          <w:rStyle w:val="ac"/>
          <w:rFonts w:eastAsiaTheme="majorEastAsia"/>
          <w:i/>
          <w:iCs/>
          <w:sz w:val="24"/>
          <w:szCs w:val="24"/>
        </w:rPr>
        <w:t xml:space="preserve">Основой антигипертензивной терапии для снижения АД и уменьшения числа СС </w:t>
      </w:r>
      <w:r w:rsidRPr="003B37B6">
        <w:rPr>
          <w:rStyle w:val="ac"/>
          <w:rFonts w:eastAsiaTheme="majorEastAsia"/>
          <w:i/>
          <w:iCs/>
          <w:sz w:val="24"/>
          <w:szCs w:val="24"/>
        </w:rPr>
        <w:lastRenderedPageBreak/>
        <w:t>событий являются 5 классов АГП: ингибиторы АПФ (ИАПФ), блокаторы рецепторов ангиотензина-</w:t>
      </w:r>
      <w:r w:rsidRPr="003B37B6">
        <w:rPr>
          <w:rStyle w:val="ac"/>
          <w:rFonts w:eastAsiaTheme="majorEastAsia"/>
          <w:i/>
          <w:iCs/>
          <w:sz w:val="24"/>
          <w:szCs w:val="24"/>
          <w:lang w:val="en-US"/>
        </w:rPr>
        <w:t>II</w:t>
      </w:r>
      <w:r w:rsidRPr="003B37B6">
        <w:rPr>
          <w:rStyle w:val="ac"/>
          <w:rFonts w:eastAsiaTheme="majorEastAsia"/>
          <w:i/>
          <w:iCs/>
          <w:sz w:val="24"/>
          <w:szCs w:val="24"/>
        </w:rPr>
        <w:t xml:space="preserve"> (БРА), бета-адреноблокаторы (ББ), блокаторы кальциевых каналов (АК) и диуретики (тиазидные — гидрохлоротиазид**, и тиазидоподобные — хлорталидон и индапамид**).</w:t>
      </w:r>
    </w:p>
    <w:p w14:paraId="0EFE2B73" w14:textId="481A881A" w:rsidR="00474109" w:rsidRPr="003B37B6" w:rsidRDefault="00474109" w:rsidP="00975FC5">
      <w:pPr>
        <w:pStyle w:val="11"/>
        <w:ind w:firstLine="600"/>
        <w:jc w:val="both"/>
        <w:rPr>
          <w:sz w:val="24"/>
          <w:szCs w:val="24"/>
        </w:rPr>
      </w:pPr>
      <w:r w:rsidRPr="003B37B6">
        <w:rPr>
          <w:rStyle w:val="ac"/>
          <w:rFonts w:eastAsiaTheme="majorEastAsia"/>
          <w:i/>
          <w:iCs/>
          <w:sz w:val="24"/>
          <w:szCs w:val="24"/>
        </w:rPr>
        <w:t>Противопоказания к назначению основных АГП суммированы в таблице П20 Приложени</w:t>
      </w:r>
      <w:r w:rsidR="004678DE" w:rsidRPr="003B37B6">
        <w:rPr>
          <w:rStyle w:val="ac"/>
          <w:rFonts w:eastAsiaTheme="majorEastAsia"/>
          <w:i/>
          <w:iCs/>
          <w:sz w:val="24"/>
          <w:szCs w:val="24"/>
        </w:rPr>
        <w:t>я</w:t>
      </w:r>
      <w:r w:rsidRPr="003B37B6">
        <w:rPr>
          <w:rStyle w:val="ac"/>
          <w:rFonts w:eastAsiaTheme="majorEastAsia"/>
          <w:i/>
          <w:iCs/>
          <w:sz w:val="24"/>
          <w:szCs w:val="24"/>
        </w:rPr>
        <w:t xml:space="preserve"> </w:t>
      </w:r>
      <w:r w:rsidR="00FB33EA" w:rsidRPr="003B37B6">
        <w:rPr>
          <w:rStyle w:val="ac"/>
          <w:rFonts w:eastAsiaTheme="majorEastAsia"/>
          <w:i/>
          <w:iCs/>
          <w:sz w:val="24"/>
          <w:szCs w:val="24"/>
        </w:rPr>
        <w:t>А2</w:t>
      </w:r>
      <w:r w:rsidR="004678DE" w:rsidRPr="003B37B6">
        <w:rPr>
          <w:rStyle w:val="ac"/>
          <w:rFonts w:eastAsiaTheme="majorEastAsia"/>
          <w:i/>
          <w:iCs/>
          <w:sz w:val="24"/>
          <w:szCs w:val="24"/>
        </w:rPr>
        <w:t xml:space="preserve"> к настоящим Клиническим рекомендациям</w:t>
      </w:r>
      <w:r w:rsidRPr="003B37B6">
        <w:rPr>
          <w:rStyle w:val="ac"/>
          <w:rFonts w:eastAsiaTheme="majorEastAsia"/>
          <w:i/>
          <w:iCs/>
          <w:sz w:val="24"/>
          <w:szCs w:val="24"/>
        </w:rPr>
        <w:t>.</w:t>
      </w:r>
    </w:p>
    <w:p w14:paraId="47D59140" w14:textId="7F9956EC" w:rsidR="00474109" w:rsidRPr="003B37B6" w:rsidRDefault="00474109" w:rsidP="00975FC5">
      <w:pPr>
        <w:pStyle w:val="11"/>
        <w:tabs>
          <w:tab w:val="left" w:pos="1378"/>
        </w:tabs>
        <w:ind w:firstLine="600"/>
        <w:jc w:val="both"/>
        <w:rPr>
          <w:sz w:val="24"/>
          <w:szCs w:val="24"/>
        </w:rPr>
      </w:pPr>
      <w:r w:rsidRPr="003B37B6">
        <w:rPr>
          <w:rStyle w:val="ac"/>
          <w:rFonts w:eastAsia="Arial"/>
          <w:i/>
          <w:iCs/>
          <w:sz w:val="24"/>
          <w:szCs w:val="24"/>
        </w:rPr>
        <w:t>•</w:t>
      </w:r>
      <w:r w:rsidRPr="003B37B6">
        <w:rPr>
          <w:rStyle w:val="ac"/>
          <w:rFonts w:eastAsiaTheme="majorEastAsia"/>
          <w:sz w:val="24"/>
          <w:szCs w:val="24"/>
        </w:rPr>
        <w:tab/>
        <w:t>Всем пациентам с АГ (кроме пациентов низкого риска с АД</w:t>
      </w:r>
      <w:r w:rsidR="004579C6" w:rsidRPr="003B37B6">
        <w:rPr>
          <w:rStyle w:val="ac"/>
          <w:rFonts w:eastAsiaTheme="majorEastAsia"/>
          <w:sz w:val="24"/>
          <w:szCs w:val="24"/>
        </w:rPr>
        <w:t xml:space="preserve"> </w:t>
      </w:r>
      <w:r w:rsidRPr="003B37B6">
        <w:rPr>
          <w:rStyle w:val="ac"/>
          <w:rFonts w:eastAsiaTheme="majorEastAsia"/>
          <w:sz w:val="24"/>
          <w:szCs w:val="24"/>
        </w:rPr>
        <w:t>&lt;150/90 мм рт. ст.,</w:t>
      </w:r>
    </w:p>
    <w:p w14:paraId="6732201C" w14:textId="2F8AB0E2" w:rsidR="00474109" w:rsidRPr="003B37B6" w:rsidRDefault="00474109" w:rsidP="00975FC5">
      <w:pPr>
        <w:pStyle w:val="11"/>
        <w:ind w:firstLine="0"/>
        <w:jc w:val="both"/>
        <w:rPr>
          <w:sz w:val="24"/>
          <w:szCs w:val="24"/>
        </w:rPr>
      </w:pPr>
      <w:r w:rsidRPr="003B37B6">
        <w:rPr>
          <w:rStyle w:val="ac"/>
          <w:rFonts w:eastAsiaTheme="majorEastAsia"/>
          <w:sz w:val="24"/>
          <w:szCs w:val="24"/>
        </w:rPr>
        <w:t xml:space="preserve">пациентов ≥80 лет, пациентов с синдромом старческой астении) в качестве стартовой терапии рекомендована комбинация АГП, предпочтительно фиксированная, для улучшения приверженности к терапии. Предпочтительные комбинации для большинства пациентов (отдельные клинические ситуации описаны в </w:t>
      </w:r>
      <w:r w:rsidR="00912067" w:rsidRPr="003B37B6">
        <w:rPr>
          <w:rStyle w:val="ac"/>
          <w:rFonts w:eastAsiaTheme="majorEastAsia"/>
          <w:sz w:val="24"/>
          <w:szCs w:val="24"/>
        </w:rPr>
        <w:t>соответствующих</w:t>
      </w:r>
      <w:r w:rsidRPr="003B37B6">
        <w:rPr>
          <w:rStyle w:val="ac"/>
          <w:rFonts w:eastAsiaTheme="majorEastAsia"/>
          <w:sz w:val="24"/>
          <w:szCs w:val="24"/>
        </w:rPr>
        <w:t xml:space="preserve"> разделах) должны включать ингибитор ренин-ангиотензиновой системы (иРААС) (ингибиторы АПФ или БРА) и АК или диуретик (</w:t>
      </w:r>
      <w:r w:rsidR="00893E83" w:rsidRPr="003B37B6">
        <w:rPr>
          <w:rStyle w:val="ac"/>
          <w:rFonts w:eastAsiaTheme="majorEastAsia"/>
          <w:sz w:val="24"/>
          <w:szCs w:val="24"/>
        </w:rPr>
        <w:t xml:space="preserve">главы 2, 5 </w:t>
      </w:r>
      <w:r w:rsidRPr="003B37B6">
        <w:rPr>
          <w:rStyle w:val="ac"/>
          <w:rFonts w:eastAsiaTheme="majorEastAsia"/>
          <w:sz w:val="24"/>
          <w:szCs w:val="24"/>
        </w:rPr>
        <w:t>Приложени</w:t>
      </w:r>
      <w:r w:rsidR="00893E83" w:rsidRPr="003B37B6">
        <w:rPr>
          <w:rStyle w:val="ac"/>
          <w:rFonts w:eastAsiaTheme="majorEastAsia"/>
          <w:sz w:val="24"/>
          <w:szCs w:val="24"/>
        </w:rPr>
        <w:t xml:space="preserve">я </w:t>
      </w:r>
      <w:r w:rsidRPr="003B37B6">
        <w:rPr>
          <w:rStyle w:val="ac"/>
          <w:rFonts w:eastAsiaTheme="majorEastAsia"/>
          <w:sz w:val="24"/>
          <w:szCs w:val="24"/>
        </w:rPr>
        <w:t>Б</w:t>
      </w:r>
      <w:r w:rsidR="00893E83" w:rsidRPr="003B37B6">
        <w:rPr>
          <w:rStyle w:val="ac"/>
          <w:rFonts w:eastAsiaTheme="majorEastAsia"/>
          <w:sz w:val="24"/>
          <w:szCs w:val="24"/>
        </w:rPr>
        <w:t xml:space="preserve"> к настоящим Клиническим рекомендациям</w:t>
      </w:r>
      <w:r w:rsidRPr="003B37B6">
        <w:rPr>
          <w:rStyle w:val="ac"/>
          <w:rFonts w:eastAsiaTheme="majorEastAsia"/>
          <w:sz w:val="24"/>
          <w:szCs w:val="24"/>
        </w:rPr>
        <w:t>) [158, 159, 160, 161, 162].</w:t>
      </w:r>
    </w:p>
    <w:p w14:paraId="0906C68A" w14:textId="446E66EE" w:rsidR="00474109" w:rsidRPr="003B37B6" w:rsidRDefault="003D51B3" w:rsidP="00975FC5">
      <w:pPr>
        <w:pStyle w:val="11"/>
        <w:ind w:firstLine="600"/>
        <w:jc w:val="both"/>
        <w:rPr>
          <w:sz w:val="24"/>
          <w:szCs w:val="24"/>
        </w:rPr>
      </w:pPr>
      <w:r w:rsidRPr="003B37B6">
        <w:rPr>
          <w:rStyle w:val="ac"/>
          <w:rFonts w:eastAsiaTheme="majorEastAsia"/>
          <w:b/>
          <w:bCs/>
          <w:sz w:val="24"/>
          <w:szCs w:val="24"/>
        </w:rPr>
        <w:t>Уровень убедительности рекомендаций</w:t>
      </w:r>
      <w:r w:rsidR="004579C6" w:rsidRPr="003B37B6">
        <w:rPr>
          <w:rStyle w:val="ac"/>
          <w:rFonts w:eastAsiaTheme="majorEastAsia"/>
          <w:b/>
          <w:bCs/>
          <w:sz w:val="24"/>
          <w:szCs w:val="24"/>
        </w:rPr>
        <w:t xml:space="preserve"> </w:t>
      </w:r>
      <w:r w:rsidR="00474109" w:rsidRPr="003B37B6">
        <w:rPr>
          <w:rStyle w:val="ac"/>
          <w:rFonts w:eastAsiaTheme="majorEastAsia"/>
          <w:b/>
          <w:bCs/>
          <w:sz w:val="24"/>
          <w:szCs w:val="24"/>
        </w:rPr>
        <w:t xml:space="preserve">А, </w:t>
      </w:r>
      <w:r w:rsidR="004579C6" w:rsidRPr="003B37B6">
        <w:rPr>
          <w:rStyle w:val="ac"/>
          <w:rFonts w:eastAsiaTheme="majorEastAsia"/>
          <w:b/>
          <w:bCs/>
          <w:sz w:val="24"/>
          <w:szCs w:val="24"/>
        </w:rPr>
        <w:t>(</w:t>
      </w:r>
      <w:r w:rsidRPr="003B37B6">
        <w:rPr>
          <w:rStyle w:val="ac"/>
          <w:rFonts w:eastAsiaTheme="majorEastAsia"/>
          <w:b/>
          <w:bCs/>
          <w:sz w:val="24"/>
          <w:szCs w:val="24"/>
        </w:rPr>
        <w:t>Уровень достоверности доказательств</w:t>
      </w:r>
      <w:r w:rsidR="00474109" w:rsidRPr="003B37B6">
        <w:rPr>
          <w:rStyle w:val="ac"/>
          <w:rFonts w:eastAsiaTheme="majorEastAsia"/>
          <w:b/>
          <w:bCs/>
          <w:sz w:val="24"/>
          <w:szCs w:val="24"/>
        </w:rPr>
        <w:t xml:space="preserve"> 1)</w:t>
      </w:r>
      <w:r w:rsidR="004579C6" w:rsidRPr="003B37B6">
        <w:rPr>
          <w:rStyle w:val="ac"/>
          <w:rFonts w:eastAsiaTheme="majorEastAsia"/>
          <w:b/>
          <w:bCs/>
          <w:sz w:val="24"/>
          <w:szCs w:val="24"/>
        </w:rPr>
        <w:t xml:space="preserve">; ЕОК/ЕОАГ </w:t>
      </w:r>
      <w:r w:rsidR="004579C6" w:rsidRPr="003B37B6">
        <w:rPr>
          <w:rStyle w:val="ac"/>
          <w:rFonts w:eastAsiaTheme="majorEastAsia"/>
          <w:b/>
          <w:bCs/>
          <w:sz w:val="24"/>
          <w:szCs w:val="24"/>
          <w:lang w:val="en-US"/>
        </w:rPr>
        <w:t>IA</w:t>
      </w:r>
      <w:r w:rsidR="00EF1FF5" w:rsidRPr="003B37B6">
        <w:rPr>
          <w:rStyle w:val="ac"/>
          <w:rFonts w:eastAsiaTheme="majorEastAsia"/>
          <w:b/>
          <w:bCs/>
          <w:sz w:val="24"/>
          <w:szCs w:val="24"/>
        </w:rPr>
        <w:t>.</w:t>
      </w:r>
    </w:p>
    <w:p w14:paraId="63FB52FA" w14:textId="77777777" w:rsidR="00474109" w:rsidRPr="003B37B6" w:rsidRDefault="00474109" w:rsidP="00975FC5">
      <w:pPr>
        <w:pStyle w:val="11"/>
        <w:ind w:firstLine="600"/>
        <w:jc w:val="both"/>
        <w:rPr>
          <w:sz w:val="24"/>
          <w:szCs w:val="24"/>
        </w:rPr>
      </w:pPr>
      <w:r w:rsidRPr="003B37B6">
        <w:rPr>
          <w:rStyle w:val="ac"/>
          <w:rFonts w:eastAsiaTheme="majorEastAsia"/>
          <w:b/>
          <w:bCs/>
          <w:sz w:val="24"/>
          <w:szCs w:val="24"/>
        </w:rPr>
        <w:t xml:space="preserve">Комментарии. </w:t>
      </w:r>
      <w:r w:rsidRPr="003B37B6">
        <w:rPr>
          <w:rStyle w:val="ac"/>
          <w:rFonts w:eastAsiaTheme="majorEastAsia"/>
          <w:i/>
          <w:iCs/>
          <w:sz w:val="24"/>
          <w:szCs w:val="24"/>
        </w:rPr>
        <w:t>Многочисленными РКИ показано, что монотерапия эффективно снижает АД лишь у ограниченного числа пациентов АГ, большинству пациентов для контроля АД требуется комбинация как минимум из двух препаратов. Метаанализ более 40 исследований показал, что комбинация двух препаратов из любых двух классов антигипертензивных средств усиливает степень снижения АД намного сильнее, чем повышение дозы одного препарата. Еще одно преимущество комбинированной терапии — возможность физиологического и фармакологического синергизма между препаратами разных классов, что может не только лежать в основе более выраженного снижения АД и лучшей переносимости. Комбинированная терапия позволяет также подавить контррегуляторные механизмы повышения АД. Все преимущества комбинированной терапии присущи только рациональным комбинациям АГП. К ним относятся: ИАПФ + диуретик; БРА + диуретик; ИАПФ + АК; БРА + АК, дигидропиридиновый АК (АТХ «Селективные блокаторы кальциевых каналов с преимущественным действием на сосуды») + ББ, АК + диуретик, ББ + диуретик. На практике могут быть использованы и другие комбинации пяти основных классов антигипертензивных средств при наличии индивидуальных показаний</w:t>
      </w:r>
      <w:r w:rsidRPr="003B37B6">
        <w:rPr>
          <w:rStyle w:val="ac"/>
          <w:rFonts w:eastAsiaTheme="majorEastAsia"/>
          <w:sz w:val="24"/>
          <w:szCs w:val="24"/>
        </w:rPr>
        <w:t xml:space="preserve">. </w:t>
      </w:r>
      <w:r w:rsidRPr="003B37B6">
        <w:rPr>
          <w:rStyle w:val="ac"/>
          <w:rFonts w:eastAsiaTheme="majorEastAsia"/>
          <w:i/>
          <w:iCs/>
          <w:sz w:val="24"/>
          <w:szCs w:val="24"/>
        </w:rPr>
        <w:t>При наличии клинической целесообразности, с учетом особенностей клинического течения заболевания, коморбидной патологии, переносимости лечения и профиля побочных эффектов, а также при наличии предпочтений</w:t>
      </w:r>
      <w:r w:rsidR="00975FC5" w:rsidRPr="003B37B6">
        <w:rPr>
          <w:sz w:val="24"/>
          <w:szCs w:val="24"/>
        </w:rPr>
        <w:t xml:space="preserve"> </w:t>
      </w:r>
      <w:r w:rsidRPr="003B37B6">
        <w:rPr>
          <w:rStyle w:val="ac"/>
          <w:rFonts w:eastAsiaTheme="majorEastAsia"/>
          <w:i/>
          <w:iCs/>
          <w:sz w:val="24"/>
          <w:szCs w:val="24"/>
        </w:rPr>
        <w:t xml:space="preserve">пациента, </w:t>
      </w:r>
      <w:r w:rsidRPr="003B37B6">
        <w:rPr>
          <w:rStyle w:val="ac"/>
          <w:rFonts w:eastAsiaTheme="majorEastAsia"/>
          <w:i/>
          <w:iCs/>
          <w:sz w:val="24"/>
          <w:szCs w:val="24"/>
        </w:rPr>
        <w:lastRenderedPageBreak/>
        <w:t>связанных с его личным позитивным или негативным опытом, и, соответственно с учетом ожидаемой приверженности к лечению врач имеет право назначать любой АГП, который зарегистрирован для лечения АГ в РФ, как в монотерапии, так и в комбинации. При этом отклонение от стандартных схем терапии требует соответствующего объяснения в истории болезни.</w:t>
      </w:r>
    </w:p>
    <w:p w14:paraId="3BAB3F86" w14:textId="77777777" w:rsidR="00474109" w:rsidRPr="003B37B6" w:rsidRDefault="00474109" w:rsidP="00975FC5">
      <w:pPr>
        <w:pStyle w:val="11"/>
        <w:ind w:firstLine="600"/>
        <w:jc w:val="both"/>
        <w:rPr>
          <w:sz w:val="24"/>
          <w:szCs w:val="24"/>
        </w:rPr>
      </w:pPr>
      <w:r w:rsidRPr="003B37B6">
        <w:rPr>
          <w:rStyle w:val="ac"/>
          <w:rFonts w:eastAsiaTheme="majorEastAsia"/>
          <w:i/>
          <w:iCs/>
          <w:sz w:val="24"/>
          <w:szCs w:val="24"/>
        </w:rPr>
        <w:t>К запрещенным комбинациям относится комбинация двух иРААС, АРНИ+ИАПФ, АРНИ+БРА и ББ с недигидропиридиновым АК (селективным блокатором кальциевых каналов с прямым действием на сердце)).</w:t>
      </w:r>
    </w:p>
    <w:p w14:paraId="33B0D770" w14:textId="77777777" w:rsidR="00474109" w:rsidRPr="003B37B6" w:rsidRDefault="00474109" w:rsidP="00975FC5">
      <w:pPr>
        <w:pStyle w:val="11"/>
        <w:ind w:firstLine="600"/>
        <w:jc w:val="both"/>
        <w:rPr>
          <w:sz w:val="24"/>
          <w:szCs w:val="24"/>
        </w:rPr>
      </w:pPr>
      <w:r w:rsidRPr="003B37B6">
        <w:rPr>
          <w:rStyle w:val="ac"/>
          <w:rFonts w:eastAsiaTheme="majorEastAsia"/>
          <w:i/>
          <w:iCs/>
          <w:sz w:val="24"/>
          <w:szCs w:val="24"/>
        </w:rPr>
        <w:t>Фиксированные комбинации повышают приверженность к лечению. Однако такие лекарственные формы не входят в формуляры многих учреждений и в списки жизненно важных лекарственных препаратов, что делает сложным их назначение пациентам в стационаре и льготным категориям пациентов, поэтому если у пациента достигнут целевой уровень АД в пределах установленных значений и наблюдается хорошая приверженность к лечению, то нет необходимости его перевода со свободной на фиксированные комбинации. Свободные комбинации могут быть использованы также по организационным соображениям, в частности с целью обеспечения доступности препаратов для пациента.</w:t>
      </w:r>
    </w:p>
    <w:p w14:paraId="2245C2C6" w14:textId="77777777" w:rsidR="00474109" w:rsidRPr="003B37B6" w:rsidRDefault="00474109" w:rsidP="00975FC5">
      <w:pPr>
        <w:pStyle w:val="11"/>
        <w:ind w:firstLine="600"/>
        <w:jc w:val="both"/>
        <w:rPr>
          <w:sz w:val="24"/>
          <w:szCs w:val="24"/>
        </w:rPr>
      </w:pPr>
      <w:r w:rsidRPr="003B37B6">
        <w:rPr>
          <w:rStyle w:val="ac"/>
          <w:rFonts w:eastAsiaTheme="majorEastAsia"/>
          <w:i/>
          <w:iCs/>
          <w:sz w:val="24"/>
          <w:szCs w:val="24"/>
        </w:rPr>
        <w:t xml:space="preserve">Преимущества вечернего </w:t>
      </w:r>
      <w:r w:rsidR="00975FC5" w:rsidRPr="003B37B6">
        <w:rPr>
          <w:rStyle w:val="ac"/>
          <w:rFonts w:eastAsiaTheme="majorEastAsia"/>
          <w:i/>
          <w:iCs/>
          <w:sz w:val="24"/>
          <w:szCs w:val="24"/>
        </w:rPr>
        <w:t>приёма</w:t>
      </w:r>
      <w:r w:rsidRPr="003B37B6">
        <w:rPr>
          <w:rStyle w:val="ac"/>
          <w:rFonts w:eastAsiaTheme="majorEastAsia"/>
          <w:i/>
          <w:iCs/>
          <w:sz w:val="24"/>
          <w:szCs w:val="24"/>
        </w:rPr>
        <w:t xml:space="preserve"> лекарств в отношении снижения риска неблагоприятных СС событий, продемонстрированные в исследовании </w:t>
      </w:r>
      <w:r w:rsidRPr="003B37B6">
        <w:rPr>
          <w:rStyle w:val="ac"/>
          <w:rFonts w:eastAsiaTheme="majorEastAsia"/>
          <w:i/>
          <w:iCs/>
          <w:sz w:val="24"/>
          <w:szCs w:val="24"/>
          <w:lang w:val="en-US"/>
        </w:rPr>
        <w:t>HYGIA</w:t>
      </w:r>
      <w:r w:rsidRPr="003B37B6">
        <w:rPr>
          <w:rStyle w:val="ac"/>
          <w:rFonts w:eastAsiaTheme="majorEastAsia"/>
          <w:sz w:val="24"/>
          <w:szCs w:val="24"/>
        </w:rPr>
        <w:t xml:space="preserve"> [163]</w:t>
      </w:r>
      <w:r w:rsidRPr="003B37B6">
        <w:rPr>
          <w:rStyle w:val="ac"/>
          <w:rFonts w:eastAsiaTheme="majorEastAsia"/>
          <w:i/>
          <w:iCs/>
          <w:sz w:val="24"/>
          <w:szCs w:val="24"/>
        </w:rPr>
        <w:t xml:space="preserve">, не подтверждаются другими крупными проспективными исследованиями </w:t>
      </w:r>
      <w:r w:rsidRPr="003B37B6">
        <w:rPr>
          <w:rStyle w:val="ac"/>
          <w:rFonts w:eastAsiaTheme="majorEastAsia"/>
          <w:i/>
          <w:iCs/>
          <w:sz w:val="24"/>
          <w:szCs w:val="24"/>
          <w:lang w:val="en-US"/>
        </w:rPr>
        <w:t>HARMONY</w:t>
      </w:r>
      <w:r w:rsidRPr="003B37B6">
        <w:rPr>
          <w:rStyle w:val="ac"/>
          <w:rFonts w:eastAsiaTheme="majorEastAsia"/>
          <w:sz w:val="24"/>
          <w:szCs w:val="24"/>
        </w:rPr>
        <w:t xml:space="preserve"> [164] </w:t>
      </w:r>
      <w:r w:rsidRPr="003B37B6">
        <w:rPr>
          <w:rStyle w:val="ac"/>
          <w:rFonts w:eastAsiaTheme="majorEastAsia"/>
          <w:i/>
          <w:iCs/>
          <w:sz w:val="24"/>
          <w:szCs w:val="24"/>
        </w:rPr>
        <w:t xml:space="preserve">и </w:t>
      </w:r>
      <w:r w:rsidRPr="003B37B6">
        <w:rPr>
          <w:rStyle w:val="ac"/>
          <w:rFonts w:eastAsiaTheme="majorEastAsia"/>
          <w:i/>
          <w:iCs/>
          <w:sz w:val="24"/>
          <w:szCs w:val="24"/>
          <w:lang w:val="en-US"/>
        </w:rPr>
        <w:t>TIME</w:t>
      </w:r>
      <w:r w:rsidRPr="003B37B6">
        <w:rPr>
          <w:rStyle w:val="ac"/>
          <w:rFonts w:eastAsiaTheme="majorEastAsia"/>
          <w:sz w:val="24"/>
          <w:szCs w:val="24"/>
        </w:rPr>
        <w:t xml:space="preserve"> [165]</w:t>
      </w:r>
      <w:r w:rsidRPr="003B37B6">
        <w:rPr>
          <w:rStyle w:val="ac"/>
          <w:rFonts w:eastAsiaTheme="majorEastAsia"/>
          <w:i/>
          <w:iCs/>
          <w:sz w:val="24"/>
          <w:szCs w:val="24"/>
        </w:rPr>
        <w:t xml:space="preserve">, в которых перенос </w:t>
      </w:r>
      <w:r w:rsidR="00975FC5" w:rsidRPr="003B37B6">
        <w:rPr>
          <w:rStyle w:val="ac"/>
          <w:rFonts w:eastAsiaTheme="majorEastAsia"/>
          <w:i/>
          <w:iCs/>
          <w:sz w:val="24"/>
          <w:szCs w:val="24"/>
        </w:rPr>
        <w:t>приёма</w:t>
      </w:r>
      <w:r w:rsidRPr="003B37B6">
        <w:rPr>
          <w:rStyle w:val="ac"/>
          <w:rFonts w:eastAsiaTheme="majorEastAsia"/>
          <w:i/>
          <w:iCs/>
          <w:sz w:val="24"/>
          <w:szCs w:val="24"/>
        </w:rPr>
        <w:t xml:space="preserve"> стандартной антигипертензивной терапии на вечер не улучшает исходы АГ, включая сердечно-сосудистую смерть, госпитализации по поводу нефатального ИМ, нефатального инсульта по сравнению с утренним приемом. Кроме того, в исследовании </w:t>
      </w:r>
      <w:r w:rsidRPr="003B37B6">
        <w:rPr>
          <w:rStyle w:val="ac"/>
          <w:rFonts w:eastAsiaTheme="majorEastAsia"/>
          <w:i/>
          <w:iCs/>
          <w:sz w:val="24"/>
          <w:szCs w:val="24"/>
          <w:lang w:val="en-US"/>
        </w:rPr>
        <w:t>TIME</w:t>
      </w:r>
      <w:r w:rsidRPr="003B37B6">
        <w:rPr>
          <w:rStyle w:val="ac"/>
          <w:rFonts w:eastAsiaTheme="majorEastAsia"/>
          <w:i/>
          <w:iCs/>
          <w:sz w:val="24"/>
          <w:szCs w:val="24"/>
        </w:rPr>
        <w:t xml:space="preserve"> прием препаратов в утренние часы ассоциировался с более высокой приверженностью. Вечерний прием АГП не опасен. Пациентам можно рекомендовать принимать АГП утром или вечером, поскольку время приема не влияет на сердечно-сосудистые исходы, но влияет на приверженность.</w:t>
      </w:r>
    </w:p>
    <w:p w14:paraId="694DECA9" w14:textId="77777777" w:rsidR="00474109" w:rsidRPr="003B37B6" w:rsidRDefault="00474109" w:rsidP="00975FC5">
      <w:pPr>
        <w:pStyle w:val="11"/>
        <w:ind w:firstLine="600"/>
        <w:jc w:val="both"/>
        <w:rPr>
          <w:sz w:val="24"/>
          <w:szCs w:val="24"/>
        </w:rPr>
      </w:pPr>
      <w:r w:rsidRPr="003B37B6">
        <w:rPr>
          <w:rStyle w:val="ac"/>
          <w:rFonts w:eastAsiaTheme="majorEastAsia"/>
          <w:i/>
          <w:iCs/>
          <w:sz w:val="24"/>
          <w:szCs w:val="24"/>
        </w:rPr>
        <w:t>Шаги АГТ предполагают возможность или использования более высоких дозировок в комбинации, или переход на альтернативную двухкомпонентную комбинацию с применением препаратов с другим механизмом действия, или сразу переход на 3-компонентную схему лечения. Оба подхода допустимы на этапе 2-компонентной схемы, но они должны обеспечить достижение целевого АД &lt;140/90 мм рт.ст. в течение 3 месяцев, а при условии хорошей переносимости АД &lt;130/80 мм рт.ст. с шагом титрации дозы приблизительно 2-4 недели.</w:t>
      </w:r>
    </w:p>
    <w:p w14:paraId="6D7CFB37" w14:textId="77777777" w:rsidR="00474109" w:rsidRPr="003B37B6" w:rsidRDefault="00474109" w:rsidP="00975FC5">
      <w:pPr>
        <w:pStyle w:val="11"/>
        <w:ind w:firstLine="620"/>
        <w:jc w:val="both"/>
        <w:rPr>
          <w:sz w:val="24"/>
          <w:szCs w:val="24"/>
        </w:rPr>
      </w:pPr>
      <w:r w:rsidRPr="003B37B6">
        <w:rPr>
          <w:rStyle w:val="ac"/>
          <w:rFonts w:eastAsiaTheme="majorEastAsia"/>
          <w:i/>
          <w:iCs/>
          <w:sz w:val="24"/>
          <w:szCs w:val="24"/>
        </w:rPr>
        <w:lastRenderedPageBreak/>
        <w:t>Следует подчеркнуть, что в реальной практике на 1 шаге терапии необходимо назначать препараты в оптимальных терапевтических дозах, которые могут обеспечить достижение целевого АД в указанные сроки. В этом случае при недостижении целевого АД рациональным будет переход на следующий шаг. До перехода на 4-компонентную схему необходимо использование трех препаратов в максимальных дозах при хорошей переносимости.</w:t>
      </w:r>
    </w:p>
    <w:p w14:paraId="6EBE556E" w14:textId="77777777" w:rsidR="00474109" w:rsidRPr="003B37B6" w:rsidRDefault="00474109" w:rsidP="00975FC5">
      <w:pPr>
        <w:pStyle w:val="11"/>
        <w:ind w:firstLine="620"/>
        <w:jc w:val="both"/>
        <w:rPr>
          <w:sz w:val="24"/>
          <w:szCs w:val="24"/>
        </w:rPr>
      </w:pPr>
      <w:r w:rsidRPr="003B37B6">
        <w:rPr>
          <w:rStyle w:val="ac"/>
          <w:rFonts w:eastAsiaTheme="majorEastAsia"/>
          <w:i/>
          <w:iCs/>
          <w:sz w:val="24"/>
          <w:szCs w:val="24"/>
        </w:rPr>
        <w:t>У 15–20% пациентов контроль АД может быть не достигнут при использовании 3 препаратов. В этом случае используется комбинация из 4 и более АГП. Однако в случаях резистентной АГ при добавлении каждого нового препарата необходимо контролировать их эффективность, и неэффективные АГП следует отменять, а не сохранять в рамках постепенного усиления многокомпонентной АГТ.</w:t>
      </w:r>
    </w:p>
    <w:p w14:paraId="16E03EE5" w14:textId="77777777" w:rsidR="00474109" w:rsidRPr="003B37B6" w:rsidRDefault="00474109" w:rsidP="00975FC5">
      <w:pPr>
        <w:pStyle w:val="11"/>
        <w:ind w:firstLine="620"/>
        <w:jc w:val="both"/>
        <w:rPr>
          <w:sz w:val="24"/>
          <w:szCs w:val="24"/>
        </w:rPr>
      </w:pPr>
      <w:r w:rsidRPr="003B37B6">
        <w:rPr>
          <w:rStyle w:val="ac"/>
          <w:rFonts w:eastAsiaTheme="majorEastAsia"/>
          <w:i/>
          <w:iCs/>
          <w:sz w:val="24"/>
          <w:szCs w:val="24"/>
        </w:rPr>
        <w:t>К рекомендуемым комбинациям трех АГП относятся: ИАПФ + АК + диуретик; БРА + АК + диуретик.</w:t>
      </w:r>
    </w:p>
    <w:p w14:paraId="33D99A41" w14:textId="175D3A61" w:rsidR="00474109" w:rsidRPr="003B37B6" w:rsidRDefault="00474109" w:rsidP="00975FC5">
      <w:pPr>
        <w:pStyle w:val="11"/>
        <w:ind w:firstLine="620"/>
        <w:jc w:val="both"/>
        <w:rPr>
          <w:sz w:val="24"/>
          <w:szCs w:val="24"/>
        </w:rPr>
      </w:pPr>
      <w:r w:rsidRPr="003B37B6">
        <w:rPr>
          <w:rStyle w:val="ac"/>
          <w:rFonts w:eastAsiaTheme="majorEastAsia"/>
          <w:i/>
          <w:iCs/>
          <w:sz w:val="24"/>
          <w:szCs w:val="24"/>
        </w:rPr>
        <w:t>По показаниям, при наличии особых условий можно использовать и другие комбинации: ИАПФ + дигидропиридиновый АК (производные дигидропиридина) (АТХ «Селективные блокаторы кальциевых каналов с преимущественным действием на сосуды») + ББ; БРА + дигидропиридиновый АК (производные дигидропиридина) (АТХ «Селективные блокаторы кальциевых каналов с преимущественным действием на сосуды») + ББ; ИАПФ + диуретик + ББ; БРА + диуретик + ББ (</w:t>
      </w:r>
      <w:r w:rsidR="007F584D" w:rsidRPr="003B37B6">
        <w:rPr>
          <w:rStyle w:val="ac"/>
          <w:rFonts w:eastAsiaTheme="majorEastAsia"/>
          <w:i/>
          <w:iCs/>
          <w:sz w:val="24"/>
          <w:szCs w:val="24"/>
        </w:rPr>
        <w:t>главы 4. 5 Приложения Б к настоящим Клиническим рекомендациям</w:t>
      </w:r>
      <w:r w:rsidRPr="003B37B6">
        <w:rPr>
          <w:rStyle w:val="ac"/>
          <w:rFonts w:eastAsiaTheme="majorEastAsia"/>
          <w:i/>
          <w:iCs/>
          <w:sz w:val="24"/>
          <w:szCs w:val="24"/>
        </w:rPr>
        <w:t>); дигидропиридиновый АК (производные дигидропиридина) (АТХ «Селективные блокаторы кальциевых каналов с преимущественным действием на сосуды») + диуретик + ББ.</w:t>
      </w:r>
    </w:p>
    <w:p w14:paraId="3DFF78E5" w14:textId="77777777" w:rsidR="00975FC5" w:rsidRPr="003B37B6" w:rsidRDefault="00474109" w:rsidP="00975FC5">
      <w:pPr>
        <w:pStyle w:val="11"/>
        <w:ind w:firstLine="709"/>
        <w:jc w:val="both"/>
        <w:rPr>
          <w:rStyle w:val="ac"/>
          <w:rFonts w:eastAsiaTheme="majorEastAsia"/>
          <w:sz w:val="24"/>
          <w:szCs w:val="24"/>
        </w:rPr>
      </w:pPr>
      <w:r w:rsidRPr="003B37B6">
        <w:rPr>
          <w:rStyle w:val="ac"/>
          <w:rFonts w:eastAsiaTheme="majorEastAsia"/>
          <w:i/>
          <w:iCs/>
          <w:sz w:val="24"/>
          <w:szCs w:val="24"/>
        </w:rPr>
        <w:t xml:space="preserve">Целевые уровни АД являются рекомендованными для достижения в каждой подгруппе пациентов, но важнейшим принципом их достижения является соблюдение безопасности и сохранения качества жизни пациента. Поэтому скорость достижения целевых значений и степень снижения АД может быть скорректирована у конкретного пациента в зависимости от конкретной клинической ситуации. При этом плохая переносимость снижения АД может быть основанием для более медленной титрации доз и числа назначаемых препаратов, равно как и при хорошей переносимости АД, может быть снижено до более низких значений, чем рекомендовано в среднем. Недостижение целевого АД в указанные сроки не является ошибочным, если это продиктовано клинической необходимостью. Если врач считает, что препятствием к достижению целевого АД является плохая приверженность пациента, это должно находить отражение в медицинской документации и должны быть предприняты и зафиксированы </w:t>
      </w:r>
      <w:r w:rsidRPr="003B37B6">
        <w:rPr>
          <w:rStyle w:val="ac"/>
          <w:rFonts w:eastAsiaTheme="majorEastAsia"/>
          <w:i/>
          <w:iCs/>
          <w:sz w:val="24"/>
          <w:szCs w:val="24"/>
        </w:rPr>
        <w:lastRenderedPageBreak/>
        <w:t>меры по повышению приверженности. В этих случаях недостижение целевого уровня не должно считаться дефектом оказания помощи.</w:t>
      </w:r>
      <w:r w:rsidR="00975FC5" w:rsidRPr="003B37B6">
        <w:rPr>
          <w:rStyle w:val="ac"/>
          <w:rFonts w:eastAsiaTheme="majorEastAsia"/>
          <w:sz w:val="24"/>
          <w:szCs w:val="24"/>
        </w:rPr>
        <w:t xml:space="preserve"> </w:t>
      </w:r>
    </w:p>
    <w:p w14:paraId="0CCDB566" w14:textId="55591C72" w:rsidR="00975FC5" w:rsidRPr="003B37B6" w:rsidRDefault="001C7B9E" w:rsidP="00975FC5">
      <w:pPr>
        <w:pStyle w:val="11"/>
        <w:ind w:firstLine="620"/>
        <w:jc w:val="both"/>
        <w:rPr>
          <w:sz w:val="24"/>
          <w:szCs w:val="24"/>
        </w:rPr>
      </w:pPr>
      <w:r w:rsidRPr="003B37B6">
        <w:rPr>
          <w:rStyle w:val="ac"/>
          <w:rFonts w:eastAsiaTheme="majorEastAsia"/>
          <w:sz w:val="24"/>
          <w:szCs w:val="24"/>
        </w:rPr>
        <w:t>•</w:t>
      </w:r>
      <w:r w:rsidRPr="003B37B6">
        <w:rPr>
          <w:rStyle w:val="ac"/>
          <w:rFonts w:eastAsiaTheme="majorEastAsia"/>
          <w:sz w:val="24"/>
          <w:szCs w:val="24"/>
        </w:rPr>
        <w:tab/>
      </w:r>
      <w:r w:rsidRPr="003B37B6">
        <w:rPr>
          <w:rStyle w:val="ac"/>
          <w:rFonts w:eastAsiaTheme="majorEastAsia"/>
          <w:sz w:val="24"/>
          <w:szCs w:val="24"/>
        </w:rPr>
        <w:tab/>
      </w:r>
      <w:r w:rsidR="00975FC5" w:rsidRPr="003B37B6">
        <w:rPr>
          <w:rStyle w:val="ac"/>
          <w:rFonts w:eastAsiaTheme="majorEastAsia"/>
          <w:sz w:val="24"/>
          <w:szCs w:val="24"/>
        </w:rPr>
        <w:t>Пациентам, не достигшим целевого АД на фоне двойной комбинированной</w:t>
      </w:r>
      <w:r w:rsidR="00975FC5" w:rsidRPr="003B37B6">
        <w:rPr>
          <w:sz w:val="24"/>
          <w:szCs w:val="24"/>
        </w:rPr>
        <w:t xml:space="preserve"> </w:t>
      </w:r>
      <w:r w:rsidR="00975FC5" w:rsidRPr="003B37B6">
        <w:rPr>
          <w:rStyle w:val="ac"/>
          <w:rFonts w:eastAsiaTheme="majorEastAsia"/>
          <w:sz w:val="24"/>
          <w:szCs w:val="24"/>
        </w:rPr>
        <w:t>терапии, рекомендуется тройная комбинация, как правило, иРААС с АК и тиазидным/тиазидоподобным диуретиком, предпочтительно в форме фиксированной комбинации (</w:t>
      </w:r>
      <w:r w:rsidR="00EF1FF5" w:rsidRPr="003B37B6">
        <w:rPr>
          <w:rStyle w:val="ac"/>
          <w:rFonts w:eastAsiaTheme="majorEastAsia"/>
          <w:sz w:val="24"/>
          <w:szCs w:val="24"/>
        </w:rPr>
        <w:t xml:space="preserve">главы 2, 5 </w:t>
      </w:r>
      <w:r w:rsidR="00975FC5" w:rsidRPr="003B37B6">
        <w:rPr>
          <w:rStyle w:val="ac"/>
          <w:rFonts w:eastAsiaTheme="majorEastAsia"/>
          <w:sz w:val="24"/>
          <w:szCs w:val="24"/>
        </w:rPr>
        <w:t>Приложени</w:t>
      </w:r>
      <w:r w:rsidR="00EF1FF5" w:rsidRPr="003B37B6">
        <w:rPr>
          <w:rStyle w:val="ac"/>
          <w:rFonts w:eastAsiaTheme="majorEastAsia"/>
          <w:sz w:val="24"/>
          <w:szCs w:val="24"/>
        </w:rPr>
        <w:t>я</w:t>
      </w:r>
      <w:r w:rsidR="00975FC5" w:rsidRPr="003B37B6">
        <w:rPr>
          <w:rStyle w:val="ac"/>
          <w:rFonts w:eastAsiaTheme="majorEastAsia"/>
          <w:sz w:val="24"/>
          <w:szCs w:val="24"/>
        </w:rPr>
        <w:t xml:space="preserve"> Б</w:t>
      </w:r>
      <w:r w:rsidR="00EF1FF5" w:rsidRPr="003B37B6">
        <w:rPr>
          <w:rStyle w:val="ac"/>
          <w:rFonts w:eastAsiaTheme="majorEastAsia"/>
          <w:sz w:val="24"/>
          <w:szCs w:val="24"/>
        </w:rPr>
        <w:t xml:space="preserve"> к настоящим Клиническим рекомендациям</w:t>
      </w:r>
      <w:r w:rsidR="00975FC5" w:rsidRPr="003B37B6">
        <w:rPr>
          <w:rStyle w:val="ac"/>
          <w:rFonts w:eastAsiaTheme="majorEastAsia"/>
          <w:sz w:val="24"/>
          <w:szCs w:val="24"/>
        </w:rPr>
        <w:t>) [166, 167].</w:t>
      </w:r>
    </w:p>
    <w:p w14:paraId="4AB4B31D" w14:textId="43C661D7" w:rsidR="00975FC5" w:rsidRPr="00975FC5" w:rsidRDefault="00975FC5" w:rsidP="00975FC5">
      <w:pPr>
        <w:pStyle w:val="11"/>
        <w:ind w:firstLine="620"/>
        <w:jc w:val="both"/>
        <w:rPr>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912067" w:rsidRPr="003B37B6">
        <w:rPr>
          <w:rStyle w:val="ac"/>
          <w:rFonts w:eastAsiaTheme="majorEastAsia"/>
          <w:b/>
          <w:bCs/>
          <w:sz w:val="24"/>
          <w:szCs w:val="24"/>
        </w:rPr>
        <w:t xml:space="preserve"> </w:t>
      </w:r>
      <w:r w:rsidRPr="003B37B6">
        <w:rPr>
          <w:rStyle w:val="ac"/>
          <w:rFonts w:eastAsiaTheme="majorEastAsia"/>
          <w:b/>
          <w:bCs/>
          <w:sz w:val="24"/>
          <w:szCs w:val="24"/>
        </w:rPr>
        <w:t xml:space="preserve">В, </w:t>
      </w:r>
      <w:r w:rsidR="00912067"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1)</w:t>
      </w:r>
      <w:r w:rsidR="00912067" w:rsidRPr="003B37B6">
        <w:rPr>
          <w:rStyle w:val="ac"/>
          <w:rFonts w:eastAsiaTheme="majorEastAsia"/>
          <w:b/>
          <w:bCs/>
          <w:sz w:val="24"/>
          <w:szCs w:val="24"/>
        </w:rPr>
        <w:t>; ЕОК/ЕОАГ IА</w:t>
      </w:r>
      <w:r w:rsidR="00C30F7C" w:rsidRPr="003B37B6">
        <w:rPr>
          <w:rStyle w:val="ac"/>
          <w:rFonts w:eastAsiaTheme="majorEastAsia"/>
          <w:b/>
          <w:bCs/>
          <w:sz w:val="24"/>
          <w:szCs w:val="24"/>
        </w:rPr>
        <w:t>.</w:t>
      </w:r>
    </w:p>
    <w:p w14:paraId="11484E0F" w14:textId="55E86998" w:rsidR="00975FC5" w:rsidRPr="00975FC5" w:rsidRDefault="00975FC5" w:rsidP="00975FC5">
      <w:pPr>
        <w:pStyle w:val="11"/>
        <w:spacing w:after="40"/>
        <w:ind w:firstLine="620"/>
        <w:jc w:val="both"/>
        <w:rPr>
          <w:sz w:val="24"/>
          <w:szCs w:val="24"/>
        </w:rPr>
      </w:pPr>
      <w:r w:rsidRPr="00975FC5">
        <w:rPr>
          <w:rStyle w:val="ac"/>
          <w:rFonts w:eastAsiaTheme="majorEastAsia"/>
          <w:b/>
          <w:bCs/>
          <w:sz w:val="24"/>
          <w:szCs w:val="24"/>
        </w:rPr>
        <w:t xml:space="preserve">Комментарии. </w:t>
      </w:r>
      <w:r w:rsidRPr="00975FC5">
        <w:rPr>
          <w:rStyle w:val="ac"/>
          <w:rFonts w:eastAsiaTheme="majorEastAsia"/>
          <w:i/>
          <w:iCs/>
          <w:sz w:val="24"/>
          <w:szCs w:val="24"/>
        </w:rPr>
        <w:t xml:space="preserve">Пациентам с АГ, не достигшим целевого АД на фоне тройной полнодозовой комбинированной терапии, рекомендуется продлить лечение в соответствии с рекомендациями для резистентной </w:t>
      </w:r>
      <w:proofErr w:type="gramStart"/>
      <w:r w:rsidRPr="00975FC5">
        <w:rPr>
          <w:rStyle w:val="ac"/>
          <w:rFonts w:eastAsiaTheme="majorEastAsia"/>
          <w:i/>
          <w:iCs/>
          <w:sz w:val="24"/>
          <w:szCs w:val="24"/>
        </w:rPr>
        <w:t xml:space="preserve">АГ </w:t>
      </w:r>
      <w:r w:rsidR="003B37B6">
        <w:rPr>
          <w:rStyle w:val="ac"/>
          <w:rFonts w:eastAsiaTheme="majorEastAsia"/>
          <w:i/>
          <w:iCs/>
          <w:sz w:val="24"/>
          <w:szCs w:val="24"/>
        </w:rPr>
        <w:t>.</w:t>
      </w:r>
      <w:proofErr w:type="gramEnd"/>
    </w:p>
    <w:p w14:paraId="1DE745DB" w14:textId="77777777" w:rsidR="00975FC5" w:rsidRPr="00975FC5" w:rsidRDefault="00975FC5" w:rsidP="00975FC5">
      <w:pPr>
        <w:pStyle w:val="11"/>
        <w:tabs>
          <w:tab w:val="left" w:pos="1393"/>
        </w:tabs>
        <w:ind w:firstLine="620"/>
        <w:jc w:val="both"/>
        <w:rPr>
          <w:sz w:val="24"/>
          <w:szCs w:val="24"/>
        </w:rPr>
      </w:pPr>
      <w:r w:rsidRPr="00975FC5">
        <w:rPr>
          <w:rStyle w:val="ac"/>
          <w:rFonts w:eastAsia="Arial"/>
          <w:sz w:val="24"/>
          <w:szCs w:val="24"/>
        </w:rPr>
        <w:t>•</w:t>
      </w:r>
      <w:r w:rsidRPr="00975FC5">
        <w:rPr>
          <w:rStyle w:val="ac"/>
          <w:rFonts w:eastAsia="Arial"/>
          <w:sz w:val="24"/>
          <w:szCs w:val="24"/>
        </w:rPr>
        <w:tab/>
      </w:r>
      <w:r w:rsidRPr="00975FC5">
        <w:rPr>
          <w:rStyle w:val="ac"/>
          <w:rFonts w:eastAsiaTheme="majorEastAsia"/>
          <w:sz w:val="24"/>
          <w:szCs w:val="24"/>
        </w:rPr>
        <w:t>Всем пациентам с АГ не рекомендуется назначение комбинации двух иРААС</w:t>
      </w:r>
    </w:p>
    <w:p w14:paraId="4C6FA312" w14:textId="77777777" w:rsidR="00975FC5" w:rsidRPr="00975FC5" w:rsidRDefault="00975FC5" w:rsidP="00975FC5">
      <w:pPr>
        <w:pStyle w:val="11"/>
        <w:ind w:firstLine="0"/>
        <w:jc w:val="both"/>
        <w:rPr>
          <w:sz w:val="24"/>
          <w:szCs w:val="24"/>
        </w:rPr>
      </w:pPr>
      <w:r w:rsidRPr="00975FC5">
        <w:rPr>
          <w:rStyle w:val="ac"/>
          <w:rFonts w:eastAsiaTheme="majorEastAsia"/>
          <w:sz w:val="24"/>
          <w:szCs w:val="24"/>
        </w:rPr>
        <w:t>вследствие повышенного риска развития гиперкалиемии, гипотензии и ухудшения функции почек [27, 168, 169, 170].</w:t>
      </w:r>
    </w:p>
    <w:p w14:paraId="71CFD270" w14:textId="5E1E73F3" w:rsidR="001C7B9E" w:rsidRDefault="00975FC5" w:rsidP="001C7B9E">
      <w:pPr>
        <w:pStyle w:val="11"/>
        <w:ind w:firstLine="620"/>
        <w:jc w:val="both"/>
        <w:rPr>
          <w:sz w:val="24"/>
          <w:szCs w:val="24"/>
        </w:rPr>
      </w:pPr>
      <w:r w:rsidRPr="00975FC5">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912067">
        <w:rPr>
          <w:rStyle w:val="ac"/>
          <w:rFonts w:eastAsiaTheme="majorEastAsia"/>
          <w:b/>
          <w:bCs/>
          <w:sz w:val="24"/>
          <w:szCs w:val="24"/>
        </w:rPr>
        <w:t xml:space="preserve"> </w:t>
      </w:r>
      <w:r w:rsidRPr="00975FC5">
        <w:rPr>
          <w:rStyle w:val="ac"/>
          <w:rFonts w:eastAsiaTheme="majorEastAsia"/>
          <w:b/>
          <w:bCs/>
          <w:sz w:val="24"/>
          <w:szCs w:val="24"/>
          <w:lang w:val="en-US"/>
        </w:rPr>
        <w:t>A</w:t>
      </w:r>
      <w:r w:rsidRPr="00975FC5">
        <w:rPr>
          <w:rStyle w:val="ac"/>
          <w:rFonts w:eastAsiaTheme="majorEastAsia"/>
          <w:b/>
          <w:bCs/>
          <w:sz w:val="24"/>
          <w:szCs w:val="24"/>
        </w:rPr>
        <w:t xml:space="preserve">, </w:t>
      </w:r>
      <w:r w:rsidR="00912067" w:rsidRPr="00975FC5">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975FC5">
        <w:rPr>
          <w:rStyle w:val="ac"/>
          <w:rFonts w:eastAsiaTheme="majorEastAsia"/>
          <w:b/>
          <w:bCs/>
          <w:sz w:val="24"/>
          <w:szCs w:val="24"/>
        </w:rPr>
        <w:t xml:space="preserve"> 1)</w:t>
      </w:r>
      <w:bookmarkStart w:id="32" w:name="bookmark24"/>
      <w:r w:rsidR="00912067">
        <w:rPr>
          <w:rStyle w:val="ac"/>
          <w:rFonts w:eastAsiaTheme="majorEastAsia"/>
          <w:b/>
          <w:bCs/>
          <w:sz w:val="24"/>
          <w:szCs w:val="24"/>
        </w:rPr>
        <w:t xml:space="preserve">; </w:t>
      </w:r>
      <w:r w:rsidR="00912067" w:rsidRPr="00975FC5">
        <w:rPr>
          <w:rStyle w:val="ac"/>
          <w:rFonts w:eastAsiaTheme="majorEastAsia"/>
          <w:b/>
          <w:bCs/>
          <w:sz w:val="24"/>
          <w:szCs w:val="24"/>
        </w:rPr>
        <w:t>ЕОК/ЕОАГ IIIА</w:t>
      </w:r>
      <w:r w:rsidR="00C30F7C">
        <w:rPr>
          <w:rStyle w:val="ac"/>
          <w:rFonts w:eastAsiaTheme="majorEastAsia"/>
          <w:b/>
          <w:bCs/>
          <w:sz w:val="24"/>
          <w:szCs w:val="24"/>
        </w:rPr>
        <w:t>.</w:t>
      </w:r>
    </w:p>
    <w:p w14:paraId="4CC8F7EA" w14:textId="77777777" w:rsidR="00975FC5" w:rsidRPr="001C7B9E" w:rsidRDefault="00975FC5" w:rsidP="001C7B9E">
      <w:pPr>
        <w:pStyle w:val="11"/>
        <w:ind w:firstLine="0"/>
        <w:jc w:val="center"/>
        <w:rPr>
          <w:sz w:val="24"/>
          <w:szCs w:val="24"/>
        </w:rPr>
      </w:pPr>
      <w:r w:rsidRPr="001C7B9E">
        <w:rPr>
          <w:rStyle w:val="ac"/>
          <w:rFonts w:eastAsiaTheme="majorEastAsia"/>
          <w:b/>
          <w:bCs/>
          <w:sz w:val="24"/>
          <w:szCs w:val="24"/>
        </w:rPr>
        <w:t>Лекарственные средства для лечения артериальной гипертензии</w:t>
      </w:r>
      <w:bookmarkEnd w:id="32"/>
    </w:p>
    <w:p w14:paraId="54DBB522" w14:textId="77777777" w:rsidR="00975FC5" w:rsidRPr="001C7B9E" w:rsidRDefault="00975FC5" w:rsidP="00975FC5">
      <w:pPr>
        <w:pStyle w:val="11"/>
        <w:ind w:firstLine="620"/>
        <w:jc w:val="both"/>
        <w:rPr>
          <w:sz w:val="24"/>
          <w:szCs w:val="24"/>
        </w:rPr>
      </w:pPr>
      <w:r w:rsidRPr="001C7B9E">
        <w:rPr>
          <w:rStyle w:val="ac"/>
          <w:rFonts w:eastAsiaTheme="majorEastAsia"/>
          <w:sz w:val="24"/>
          <w:szCs w:val="24"/>
        </w:rPr>
        <w:t>Важно соблюдение принципов ВОЗ по ответственному применению лекарственных средств, которые подразумевают выполнение следующих требований [171]: состояние пациента правильно диагностировано; наиболее подходящее лекарство назначается в правильной дозе и форме для данного конкретного пациента; пациент (и система здравоохранения) могут позволить себе это лекарство и обеспечить его прием в течение достаточного времени; пациент хорошо информирован о лекарстве, понимает важность назначенного лечения и принимает лекарства как требуется; приверженность и компетентность врачей, медсестер, фармацевтов и пациентов, а также политиков и профессиональных ассоциаций.</w:t>
      </w:r>
    </w:p>
    <w:p w14:paraId="0BC0AD20" w14:textId="77777777" w:rsidR="00975FC5" w:rsidRPr="001C7B9E" w:rsidRDefault="00975FC5" w:rsidP="00975FC5">
      <w:pPr>
        <w:pStyle w:val="11"/>
        <w:ind w:firstLine="620"/>
        <w:jc w:val="both"/>
        <w:rPr>
          <w:sz w:val="24"/>
          <w:szCs w:val="24"/>
        </w:rPr>
      </w:pPr>
      <w:r w:rsidRPr="001C7B9E">
        <w:rPr>
          <w:rStyle w:val="ac"/>
          <w:rFonts w:eastAsiaTheme="majorEastAsia"/>
          <w:sz w:val="24"/>
          <w:szCs w:val="24"/>
        </w:rPr>
        <w:t xml:space="preserve">Индивидуально подобранная антигипертензивная терапия с </w:t>
      </w:r>
      <w:r w:rsidR="001C7B9E" w:rsidRPr="001C7B9E">
        <w:rPr>
          <w:rStyle w:val="ac"/>
          <w:rFonts w:eastAsiaTheme="majorEastAsia"/>
          <w:sz w:val="24"/>
          <w:szCs w:val="24"/>
        </w:rPr>
        <w:t>учётом</w:t>
      </w:r>
      <w:r w:rsidRPr="001C7B9E">
        <w:rPr>
          <w:rStyle w:val="ac"/>
          <w:rFonts w:eastAsiaTheme="majorEastAsia"/>
          <w:sz w:val="24"/>
          <w:szCs w:val="24"/>
        </w:rPr>
        <w:t xml:space="preserve"> предпочтений пациентов, при ее высокой эффективности и хорошей переносимости может быть продолжена.</w:t>
      </w:r>
    </w:p>
    <w:p w14:paraId="79BE5AF2" w14:textId="54F994EA" w:rsidR="00975FC5" w:rsidRPr="001C7B9E" w:rsidRDefault="00C117C5" w:rsidP="001C7B9E">
      <w:pPr>
        <w:pStyle w:val="11"/>
        <w:ind w:firstLine="0"/>
        <w:jc w:val="center"/>
        <w:rPr>
          <w:sz w:val="24"/>
          <w:szCs w:val="24"/>
        </w:rPr>
      </w:pPr>
      <w:r w:rsidRPr="001C7B9E">
        <w:rPr>
          <w:rStyle w:val="ac"/>
          <w:rFonts w:eastAsiaTheme="majorEastAsia"/>
          <w:b/>
          <w:bCs/>
          <w:sz w:val="24"/>
          <w:szCs w:val="24"/>
        </w:rPr>
        <w:t>ОСНОВНЫЕ КЛАССЫ АНТИГИПЕРТЕНЗИВНЫХ СРЕДСТВ</w:t>
      </w:r>
      <w:r>
        <w:rPr>
          <w:rStyle w:val="ac"/>
          <w:rFonts w:eastAsiaTheme="majorEastAsia"/>
          <w:b/>
          <w:bCs/>
          <w:sz w:val="24"/>
          <w:szCs w:val="24"/>
        </w:rPr>
        <w:t>.</w:t>
      </w:r>
    </w:p>
    <w:p w14:paraId="16B3EA35" w14:textId="77777777" w:rsidR="00975FC5" w:rsidRPr="001C7B9E" w:rsidRDefault="00975FC5" w:rsidP="001C7B9E">
      <w:pPr>
        <w:pStyle w:val="11"/>
        <w:ind w:firstLine="0"/>
        <w:jc w:val="center"/>
        <w:rPr>
          <w:sz w:val="24"/>
          <w:szCs w:val="24"/>
        </w:rPr>
      </w:pPr>
      <w:r w:rsidRPr="001C7B9E">
        <w:rPr>
          <w:rStyle w:val="ac"/>
          <w:rFonts w:eastAsiaTheme="majorEastAsia"/>
          <w:b/>
          <w:bCs/>
          <w:sz w:val="24"/>
          <w:szCs w:val="24"/>
        </w:rPr>
        <w:t xml:space="preserve">Средства, </w:t>
      </w:r>
      <w:r w:rsidR="00003692" w:rsidRPr="001C7B9E">
        <w:rPr>
          <w:rStyle w:val="ac"/>
          <w:rFonts w:eastAsiaTheme="majorEastAsia"/>
          <w:b/>
          <w:bCs/>
          <w:sz w:val="24"/>
          <w:szCs w:val="24"/>
        </w:rPr>
        <w:t>действующие</w:t>
      </w:r>
      <w:r w:rsidRPr="001C7B9E">
        <w:rPr>
          <w:rStyle w:val="ac"/>
          <w:rFonts w:eastAsiaTheme="majorEastAsia"/>
          <w:b/>
          <w:bCs/>
          <w:sz w:val="24"/>
          <w:szCs w:val="24"/>
        </w:rPr>
        <w:t xml:space="preserve"> на ренин-ангиотензиновую систему</w:t>
      </w:r>
    </w:p>
    <w:p w14:paraId="0EE62546" w14:textId="77777777" w:rsidR="00D42025" w:rsidRDefault="00975FC5" w:rsidP="00D42025">
      <w:pPr>
        <w:pStyle w:val="11"/>
        <w:ind w:firstLine="0"/>
        <w:jc w:val="center"/>
        <w:rPr>
          <w:sz w:val="24"/>
          <w:szCs w:val="24"/>
        </w:rPr>
      </w:pPr>
      <w:r w:rsidRPr="001C7B9E">
        <w:rPr>
          <w:rStyle w:val="ac"/>
          <w:rFonts w:eastAsiaTheme="majorEastAsia"/>
          <w:b/>
          <w:bCs/>
          <w:sz w:val="24"/>
          <w:szCs w:val="24"/>
        </w:rPr>
        <w:t xml:space="preserve">Ингибиторы ангиотензинпревращающего фермента (АПФ) (ИАПФ) и антагонисты рецепторов ангиотензина </w:t>
      </w:r>
      <w:r w:rsidRPr="001C7B9E">
        <w:rPr>
          <w:rStyle w:val="ac"/>
          <w:rFonts w:eastAsiaTheme="majorEastAsia"/>
          <w:b/>
          <w:bCs/>
          <w:sz w:val="24"/>
          <w:szCs w:val="24"/>
          <w:lang w:val="en-US"/>
        </w:rPr>
        <w:t>II</w:t>
      </w:r>
      <w:r w:rsidRPr="001C7B9E">
        <w:rPr>
          <w:rStyle w:val="ac"/>
          <w:rFonts w:eastAsiaTheme="majorEastAsia"/>
          <w:b/>
          <w:bCs/>
          <w:sz w:val="24"/>
          <w:szCs w:val="24"/>
        </w:rPr>
        <w:t xml:space="preserve"> (БРА)</w:t>
      </w:r>
    </w:p>
    <w:p w14:paraId="3E7B2BD0" w14:textId="6484492E" w:rsidR="001C7B9E" w:rsidRPr="001C7B9E" w:rsidRDefault="00D42025" w:rsidP="00D42025">
      <w:pPr>
        <w:pStyle w:val="11"/>
        <w:ind w:firstLine="0"/>
        <w:jc w:val="both"/>
        <w:rPr>
          <w:sz w:val="24"/>
          <w:szCs w:val="24"/>
        </w:rPr>
      </w:pPr>
      <w:r>
        <w:rPr>
          <w:rStyle w:val="ac"/>
          <w:rFonts w:eastAsiaTheme="majorEastAsia"/>
          <w:sz w:val="24"/>
          <w:szCs w:val="24"/>
        </w:rPr>
        <w:lastRenderedPageBreak/>
        <w:tab/>
      </w:r>
      <w:r w:rsidR="00975FC5" w:rsidRPr="001C7B9E">
        <w:rPr>
          <w:rStyle w:val="ac"/>
          <w:rFonts w:eastAsiaTheme="majorEastAsia"/>
          <w:sz w:val="24"/>
          <w:szCs w:val="24"/>
        </w:rPr>
        <w:t>ИАПФ и БРА — среди наиболее часто используемых классов АГП, обладающие сходной эффективностью в отношении сердечно-сосудистых осложнений и смертности по сравнению как друг с другом, так и с другими классами АГП [120, 172, 173]. БРА по сравнению с другим</w:t>
      </w:r>
      <w:r w:rsidR="001C7B9E" w:rsidRPr="001C7B9E">
        <w:rPr>
          <w:rStyle w:val="ac"/>
          <w:rFonts w:eastAsiaTheme="majorEastAsia"/>
          <w:sz w:val="24"/>
          <w:szCs w:val="24"/>
        </w:rPr>
        <w:t xml:space="preserve"> классами характеризуются более низкой частотой отмены из-за побочных эффектов, сопоставимой с плацебо [174, 175].</w:t>
      </w:r>
    </w:p>
    <w:p w14:paraId="164CA9F3" w14:textId="77777777" w:rsidR="001C7B9E" w:rsidRPr="001C7B9E" w:rsidRDefault="001C7B9E" w:rsidP="00D42025">
      <w:pPr>
        <w:pStyle w:val="11"/>
        <w:ind w:firstLine="600"/>
        <w:jc w:val="both"/>
        <w:rPr>
          <w:sz w:val="24"/>
          <w:szCs w:val="24"/>
        </w:rPr>
      </w:pPr>
      <w:r w:rsidRPr="001C7B9E">
        <w:rPr>
          <w:rStyle w:val="ac"/>
          <w:rFonts w:eastAsiaTheme="majorEastAsia"/>
          <w:sz w:val="24"/>
          <w:szCs w:val="24"/>
        </w:rPr>
        <w:t>ИАПФ и БРА снижают альбуминурию в большей степени, чем другие АГП, и эффективно замедляют прогрессирование диабетической и недиабетической ХБП [176]. По данным метаанализов, иРААС — единственные из всех АГП, доказанно снижающие риск терминальной ХБП.</w:t>
      </w:r>
    </w:p>
    <w:p w14:paraId="16208B86" w14:textId="77777777" w:rsidR="001C7B9E" w:rsidRPr="001C7B9E" w:rsidRDefault="001C7B9E" w:rsidP="001C7B9E">
      <w:pPr>
        <w:pStyle w:val="11"/>
        <w:ind w:firstLine="600"/>
        <w:jc w:val="both"/>
        <w:rPr>
          <w:sz w:val="24"/>
          <w:szCs w:val="24"/>
        </w:rPr>
      </w:pPr>
      <w:r w:rsidRPr="001C7B9E">
        <w:rPr>
          <w:rStyle w:val="ac"/>
          <w:rFonts w:eastAsiaTheme="majorEastAsia"/>
          <w:sz w:val="24"/>
          <w:szCs w:val="24"/>
        </w:rPr>
        <w:t>ИАПФ и БРА эффективно предотвращают или приводят к обратному развитию ПОМ (ГЛЖ, ремоделирование мелких артерий) на фоне соответствующего снижения АД [172]. Оба препарата снижают риск пароксизмов ФП, что может быть обусловлено улучшением функции ЛЖ и более эффективным регрессом структурных изменений ЛЖ [172]. ИАПФ и БРА показаны пациентам с перенесенным ИМ, ХСНнФВ.</w:t>
      </w:r>
    </w:p>
    <w:p w14:paraId="799548A7" w14:textId="77777777" w:rsidR="001C7B9E" w:rsidRPr="001C7B9E" w:rsidRDefault="001C7B9E" w:rsidP="001C7B9E">
      <w:pPr>
        <w:pStyle w:val="11"/>
        <w:ind w:firstLine="600"/>
        <w:jc w:val="both"/>
        <w:rPr>
          <w:sz w:val="24"/>
          <w:szCs w:val="24"/>
        </w:rPr>
      </w:pPr>
      <w:r w:rsidRPr="001C7B9E">
        <w:rPr>
          <w:rStyle w:val="ac"/>
          <w:rFonts w:eastAsiaTheme="majorEastAsia"/>
          <w:sz w:val="24"/>
          <w:szCs w:val="24"/>
        </w:rPr>
        <w:t>ИАПФ ассоциированы с умеренным повышением риска ангионевротического отека, особенно у представителей негроидной расы. У таких пациентов следует отдавать предпочтение БРА.</w:t>
      </w:r>
    </w:p>
    <w:p w14:paraId="6F11189D" w14:textId="77777777" w:rsidR="001C7B9E" w:rsidRPr="001C7B9E" w:rsidRDefault="001C7B9E" w:rsidP="001C7B9E">
      <w:pPr>
        <w:pStyle w:val="11"/>
        <w:ind w:firstLine="709"/>
        <w:jc w:val="both"/>
        <w:rPr>
          <w:sz w:val="24"/>
          <w:szCs w:val="24"/>
        </w:rPr>
      </w:pPr>
      <w:r w:rsidRPr="001C7B9E">
        <w:rPr>
          <w:rStyle w:val="ac"/>
          <w:rFonts w:eastAsiaTheme="majorEastAsia"/>
          <w:sz w:val="24"/>
          <w:szCs w:val="24"/>
        </w:rPr>
        <w:t>Для всех пациентов с АГ в связи с наличием абсолютных противопоказаний не рекомендуется назначение ИАПФ и БРА при высокой гиперкалиемии (≥5,5 ммоль/л), двухстороннем стенозе почечных артерий, стенозе почечной артерии единственной почки, у беременных и кормящих женщин и ангионевротическом отеке в анамнезе.</w:t>
      </w:r>
    </w:p>
    <w:p w14:paraId="7DEA393D" w14:textId="77777777" w:rsidR="001C7B9E" w:rsidRPr="001C7B9E" w:rsidRDefault="001C7B9E" w:rsidP="001C7B9E">
      <w:pPr>
        <w:pStyle w:val="11"/>
        <w:ind w:firstLine="0"/>
        <w:jc w:val="center"/>
        <w:rPr>
          <w:sz w:val="24"/>
          <w:szCs w:val="24"/>
        </w:rPr>
      </w:pPr>
      <w:r w:rsidRPr="001C7B9E">
        <w:rPr>
          <w:rStyle w:val="ac"/>
          <w:rFonts w:eastAsiaTheme="majorEastAsia"/>
          <w:b/>
          <w:bCs/>
          <w:sz w:val="24"/>
          <w:szCs w:val="24"/>
        </w:rPr>
        <w:t>Блокаторы кальциевых каналов</w:t>
      </w:r>
    </w:p>
    <w:p w14:paraId="1DA2E341" w14:textId="77777777" w:rsidR="001C7B9E" w:rsidRPr="001C7B9E" w:rsidRDefault="001C7B9E" w:rsidP="001C7B9E">
      <w:pPr>
        <w:pStyle w:val="11"/>
        <w:ind w:firstLine="709"/>
        <w:jc w:val="both"/>
        <w:rPr>
          <w:sz w:val="24"/>
          <w:szCs w:val="24"/>
        </w:rPr>
      </w:pPr>
      <w:r w:rsidRPr="001C7B9E">
        <w:rPr>
          <w:rStyle w:val="ac"/>
          <w:rFonts w:eastAsiaTheme="majorEastAsia"/>
          <w:sz w:val="24"/>
          <w:szCs w:val="24"/>
        </w:rPr>
        <w:t>Все АК метаболически нейтральны и не оказывают отрицательного действия на углеводный, липидный и пуриновый обмен. Помимо антигипертензивного, они оказывают антиангинальное и органопротективное действие, тормозят агрегацию тромбоцитов. В целом их влияние на СС риск схоже с другими классами АГП [120, 172]. При этом АК обладают большим эффектом в отношении профилактики инсультов, чем этого можно было ожидать только от антигипертензивного эффекта, однако они менее эффективны в отношении профилактики СНнФВ [120, 172].</w:t>
      </w:r>
    </w:p>
    <w:p w14:paraId="0CF50577" w14:textId="77777777" w:rsidR="001C7B9E" w:rsidRPr="001C7B9E" w:rsidRDefault="001C7B9E" w:rsidP="001C7B9E">
      <w:pPr>
        <w:pStyle w:val="11"/>
        <w:ind w:firstLine="709"/>
        <w:jc w:val="both"/>
        <w:rPr>
          <w:sz w:val="24"/>
          <w:szCs w:val="24"/>
        </w:rPr>
      </w:pPr>
      <w:r w:rsidRPr="001C7B9E">
        <w:rPr>
          <w:rStyle w:val="ac"/>
          <w:rFonts w:eastAsiaTheme="majorEastAsia"/>
          <w:sz w:val="24"/>
          <w:szCs w:val="24"/>
        </w:rPr>
        <w:t>Не рекомендуется (абсолютное противопоказание) назначение</w:t>
      </w:r>
      <w:r>
        <w:rPr>
          <w:rStyle w:val="ac"/>
          <w:rFonts w:eastAsiaTheme="majorEastAsia"/>
          <w:sz w:val="24"/>
          <w:szCs w:val="24"/>
        </w:rPr>
        <w:t xml:space="preserve"> </w:t>
      </w:r>
      <w:r w:rsidRPr="001C7B9E">
        <w:rPr>
          <w:rStyle w:val="ac"/>
          <w:rFonts w:eastAsiaTheme="majorEastAsia"/>
          <w:sz w:val="24"/>
          <w:szCs w:val="24"/>
        </w:rPr>
        <w:t>недигидропиридиновых АК при атриовентрикулярной блокаде 2–3-й степени, ХСН с низкой ФВ ЛЖ. Для дигидропиридиновых АК (производные дигидропиридина) (АТХ «Селективные блокаторы кальциевых каналов с преимущественным действием на сосуды») абсолютных противопоказаний нет.</w:t>
      </w:r>
    </w:p>
    <w:p w14:paraId="2EDF5955" w14:textId="77777777" w:rsidR="001C7B9E" w:rsidRPr="001C7B9E" w:rsidRDefault="001C7B9E" w:rsidP="001C7B9E">
      <w:pPr>
        <w:pStyle w:val="11"/>
        <w:ind w:firstLine="0"/>
        <w:jc w:val="center"/>
        <w:rPr>
          <w:sz w:val="24"/>
          <w:szCs w:val="24"/>
        </w:rPr>
      </w:pPr>
      <w:r w:rsidRPr="001C7B9E">
        <w:rPr>
          <w:rStyle w:val="ac"/>
          <w:rFonts w:eastAsiaTheme="majorEastAsia"/>
          <w:b/>
          <w:bCs/>
          <w:sz w:val="24"/>
          <w:szCs w:val="24"/>
        </w:rPr>
        <w:lastRenderedPageBreak/>
        <w:t>Тиазидные диуретики (тиазиды) и тиазидоподобные диуретики</w:t>
      </w:r>
    </w:p>
    <w:p w14:paraId="4972E712" w14:textId="77777777" w:rsidR="001C7B9E" w:rsidRPr="001C7B9E" w:rsidRDefault="001C7B9E" w:rsidP="001C7B9E">
      <w:pPr>
        <w:pStyle w:val="11"/>
        <w:ind w:firstLine="600"/>
        <w:jc w:val="both"/>
        <w:rPr>
          <w:sz w:val="24"/>
          <w:szCs w:val="24"/>
        </w:rPr>
      </w:pPr>
      <w:r w:rsidRPr="001C7B9E">
        <w:rPr>
          <w:rStyle w:val="ac"/>
          <w:rFonts w:eastAsiaTheme="majorEastAsia"/>
          <w:sz w:val="24"/>
          <w:szCs w:val="24"/>
        </w:rPr>
        <w:t>Диуретики оказывают выраженный антигипертензивный эффект и остаются</w:t>
      </w:r>
      <w:r>
        <w:rPr>
          <w:sz w:val="24"/>
          <w:szCs w:val="24"/>
        </w:rPr>
        <w:t xml:space="preserve"> </w:t>
      </w:r>
      <w:r w:rsidRPr="001C7B9E">
        <w:rPr>
          <w:rStyle w:val="ac"/>
          <w:rFonts w:eastAsiaTheme="majorEastAsia"/>
          <w:sz w:val="24"/>
          <w:szCs w:val="24"/>
        </w:rPr>
        <w:t>краеугольным камнем антигипертензивной терапии. Их эффективность в предотвращении всех вариантов СС осложнений и смертности подтверждена в РКИ и метаанализах [120, 172]. Диуретики более эффективно предотвращают СН, чем другие классы препаратов [120, 172]. В настоящее время ведутся дискуссии о том, следует ли предпочесть тиазидоподобные диуретики классическим тиазидным диуретикам, хотя их превосходство не было подтверждено в РКИ с прямым сравнением. Прямое сравнение в отношении снижения риска СС исходов у пожилых мужчин гидрохлоротиазида** и хлорталидона не выявило различия между препаратами [177]. Метаанализ плацебо-контролируемых РКИ показал сходные эффекты трех типов диуретиков на СС исходы [120, 172, 178, 179]. В связи с отсутствием прямых сравнительных исследований и с учетом того, что гидрохлоротиазид** является компонентом многих фиксированных комбинаций, можно рекомендовать равноценное использование тиазидов, хлорталидона и индапамида**.</w:t>
      </w:r>
    </w:p>
    <w:p w14:paraId="58178B88" w14:textId="77777777" w:rsidR="001C7B9E" w:rsidRPr="001C7B9E" w:rsidRDefault="001C7B9E" w:rsidP="001C7B9E">
      <w:pPr>
        <w:pStyle w:val="11"/>
        <w:ind w:firstLine="600"/>
        <w:jc w:val="both"/>
        <w:rPr>
          <w:sz w:val="24"/>
          <w:szCs w:val="24"/>
        </w:rPr>
      </w:pPr>
      <w:r w:rsidRPr="001C7B9E">
        <w:rPr>
          <w:rStyle w:val="ac"/>
          <w:rFonts w:eastAsiaTheme="majorEastAsia"/>
          <w:sz w:val="24"/>
          <w:szCs w:val="24"/>
        </w:rPr>
        <w:t>И тиазидные, и тиазидоподобные диуретики снижают уровень сывороточного калия [174, 180]. Они также могут способствовать повышению инсулинорезистентности и риска развития СД. Недавно проведенные исследования показали, что снизить негативное влияние тиазидов на метаболизм глюкозы можно добавлением калийсберегающего диуретика [181]. Антигипертензивная эффективность тиазидных и тиазидоподобных диуретиков перевешивает потенциальные метаболические нежелательные эффекты. В частности, при ожирении, при котором наблюдается нарушение водно-солевого обмена, тиазидные и тиазидоподобные диуретики могут быть особенно эффективны [182]. На основании действующих инструкций к лекарственным препаратам тиазидные и тиазидоподобные диуретики следует применять с осторожностью при гиперурикемии и подагре. Таким пациентам на фоне приема данных препаратов следует мониторировать уровень мочевой кислоты, так как прием диуретиков приводит к повышению ее сывороточной концентрации в дозозависимой манере [183]. Транзиторное повышение мочевой кислоты не требует отмены диуретика.</w:t>
      </w:r>
    </w:p>
    <w:p w14:paraId="1A50D320" w14:textId="77777777" w:rsidR="001C7B9E" w:rsidRPr="001C7B9E" w:rsidRDefault="001C7B9E">
      <w:pPr>
        <w:pStyle w:val="11"/>
        <w:numPr>
          <w:ilvl w:val="0"/>
          <w:numId w:val="18"/>
        </w:numPr>
        <w:tabs>
          <w:tab w:val="left" w:pos="1373"/>
        </w:tabs>
        <w:ind w:firstLine="600"/>
        <w:jc w:val="both"/>
        <w:rPr>
          <w:rStyle w:val="ac"/>
        </w:rPr>
      </w:pPr>
      <w:r w:rsidRPr="001C7B9E">
        <w:rPr>
          <w:rStyle w:val="ac"/>
          <w:rFonts w:eastAsiaTheme="majorEastAsia"/>
          <w:sz w:val="24"/>
          <w:szCs w:val="24"/>
        </w:rPr>
        <w:t>И тиазидные, и тиазидоподобные диуретики характеризуются снижением антигипертензивной эффективности при СКФ менее 45 мл/мин/1,73 м</w:t>
      </w:r>
      <w:r w:rsidRPr="001C7B9E">
        <w:rPr>
          <w:rStyle w:val="ac"/>
          <w:rFonts w:eastAsiaTheme="majorEastAsia"/>
          <w:sz w:val="24"/>
          <w:szCs w:val="24"/>
          <w:vertAlign w:val="superscript"/>
        </w:rPr>
        <w:t>2</w:t>
      </w:r>
      <w:r w:rsidRPr="001C7B9E">
        <w:rPr>
          <w:rStyle w:val="ac"/>
          <w:rFonts w:eastAsiaTheme="majorEastAsia"/>
          <w:sz w:val="24"/>
          <w:szCs w:val="24"/>
        </w:rPr>
        <w:t>, а при СКФ менее 30 мл/мин/1,73 м</w:t>
      </w:r>
      <w:r w:rsidRPr="001C7B9E">
        <w:rPr>
          <w:rStyle w:val="ac"/>
          <w:rFonts w:eastAsiaTheme="majorEastAsia"/>
          <w:sz w:val="24"/>
          <w:szCs w:val="24"/>
          <w:vertAlign w:val="superscript"/>
        </w:rPr>
        <w:t>2</w:t>
      </w:r>
      <w:r w:rsidRPr="001C7B9E">
        <w:rPr>
          <w:rStyle w:val="ac"/>
          <w:rFonts w:eastAsiaTheme="majorEastAsia"/>
          <w:sz w:val="24"/>
          <w:szCs w:val="24"/>
        </w:rPr>
        <w:t xml:space="preserve"> препараты становятся неэффективными. Тиазидные/тиазидоподобные диуретики противовоказаны при почечной недостаточности с клиренсом креатинина менее 30 мл/мин. В этом случае в качестве альтернативы следует использовать «петлевые» диуретики. В индивидуальном порядке назначение петлевых диуретиков можно </w:t>
      </w:r>
      <w:r w:rsidRPr="001C7B9E">
        <w:rPr>
          <w:rStyle w:val="ac"/>
          <w:rFonts w:eastAsiaTheme="majorEastAsia"/>
          <w:sz w:val="24"/>
          <w:szCs w:val="24"/>
        </w:rPr>
        <w:lastRenderedPageBreak/>
        <w:t>рассматривать при СКФ &lt;45 мл/мин/1,73 м</w:t>
      </w:r>
      <w:r w:rsidRPr="001C7B9E">
        <w:rPr>
          <w:rStyle w:val="ac"/>
          <w:rFonts w:eastAsiaTheme="majorEastAsia"/>
          <w:sz w:val="24"/>
          <w:szCs w:val="24"/>
          <w:vertAlign w:val="superscript"/>
        </w:rPr>
        <w:t>2.</w:t>
      </w:r>
      <w:r w:rsidRPr="001C7B9E">
        <w:rPr>
          <w:rStyle w:val="ac"/>
          <w:rFonts w:eastAsiaTheme="majorEastAsia"/>
        </w:rPr>
        <w:t xml:space="preserve"> </w:t>
      </w:r>
    </w:p>
    <w:p w14:paraId="29C029A0" w14:textId="77777777" w:rsidR="001C7B9E" w:rsidRPr="001C7B9E" w:rsidRDefault="001C7B9E">
      <w:pPr>
        <w:pStyle w:val="11"/>
        <w:numPr>
          <w:ilvl w:val="0"/>
          <w:numId w:val="18"/>
        </w:numPr>
        <w:tabs>
          <w:tab w:val="left" w:pos="1373"/>
        </w:tabs>
        <w:ind w:firstLine="600"/>
        <w:jc w:val="both"/>
        <w:rPr>
          <w:sz w:val="24"/>
          <w:szCs w:val="24"/>
        </w:rPr>
      </w:pPr>
      <w:r w:rsidRPr="001C7B9E">
        <w:rPr>
          <w:rStyle w:val="ac"/>
          <w:rFonts w:eastAsiaTheme="majorEastAsia"/>
          <w:sz w:val="24"/>
          <w:szCs w:val="24"/>
        </w:rPr>
        <w:t>У пациентов, не достигших целевого АД при приеме моно- или комбинированной</w:t>
      </w:r>
      <w:r>
        <w:rPr>
          <w:sz w:val="24"/>
          <w:szCs w:val="24"/>
        </w:rPr>
        <w:t xml:space="preserve"> </w:t>
      </w:r>
      <w:r w:rsidRPr="001C7B9E">
        <w:rPr>
          <w:rStyle w:val="ac"/>
          <w:rFonts w:eastAsiaTheme="majorEastAsia"/>
          <w:sz w:val="24"/>
          <w:szCs w:val="24"/>
        </w:rPr>
        <w:t>АГТ, не включавшей диуретики, рекомендуется назначение низких доз тиазидных или тиазидоподобных диуретиков в составе комбинированной терапии с БРА или ИАПФ и АК для усиления антигипертензивной эффективности и достижения целевого АД [184, 185, 186, 12, 187, 188].</w:t>
      </w:r>
    </w:p>
    <w:p w14:paraId="4C099F0A" w14:textId="7AE3E3CC" w:rsidR="001C7B9E" w:rsidRPr="00366142" w:rsidRDefault="001C7B9E" w:rsidP="00366142">
      <w:pPr>
        <w:pStyle w:val="11"/>
        <w:ind w:firstLine="567"/>
        <w:jc w:val="both"/>
        <w:rPr>
          <w:sz w:val="24"/>
          <w:szCs w:val="24"/>
        </w:rPr>
      </w:pPr>
      <w:r w:rsidRPr="001C7B9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C117C5">
        <w:rPr>
          <w:rStyle w:val="ac"/>
          <w:rFonts w:eastAsiaTheme="majorEastAsia"/>
          <w:b/>
          <w:bCs/>
          <w:sz w:val="24"/>
          <w:szCs w:val="24"/>
        </w:rPr>
        <w:t xml:space="preserve"> </w:t>
      </w:r>
      <w:r w:rsidRPr="001C7B9E">
        <w:rPr>
          <w:rStyle w:val="ac"/>
          <w:rFonts w:eastAsiaTheme="majorEastAsia"/>
          <w:b/>
          <w:bCs/>
          <w:sz w:val="24"/>
          <w:szCs w:val="24"/>
        </w:rPr>
        <w:t xml:space="preserve">А, </w:t>
      </w:r>
      <w:r w:rsidR="00C117C5" w:rsidRPr="001C7B9E">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1C7B9E">
        <w:rPr>
          <w:rStyle w:val="ac"/>
          <w:rFonts w:eastAsiaTheme="majorEastAsia"/>
          <w:b/>
          <w:bCs/>
          <w:sz w:val="24"/>
          <w:szCs w:val="24"/>
        </w:rPr>
        <w:t xml:space="preserve"> 1)</w:t>
      </w:r>
      <w:r w:rsidR="00C117C5">
        <w:rPr>
          <w:rStyle w:val="ac"/>
          <w:rFonts w:eastAsiaTheme="majorEastAsia"/>
          <w:b/>
          <w:bCs/>
          <w:sz w:val="24"/>
          <w:szCs w:val="24"/>
        </w:rPr>
        <w:t xml:space="preserve">; </w:t>
      </w:r>
      <w:r w:rsidR="00C117C5" w:rsidRPr="001C7B9E">
        <w:rPr>
          <w:rStyle w:val="ac"/>
          <w:rFonts w:eastAsiaTheme="majorEastAsia"/>
          <w:b/>
          <w:bCs/>
          <w:sz w:val="24"/>
          <w:szCs w:val="24"/>
        </w:rPr>
        <w:t xml:space="preserve">ЕОК/ЕОАГ </w:t>
      </w:r>
      <w:r w:rsidR="00C117C5" w:rsidRPr="001C7B9E">
        <w:rPr>
          <w:rStyle w:val="ac"/>
          <w:rFonts w:eastAsiaTheme="majorEastAsia"/>
          <w:b/>
          <w:bCs/>
          <w:sz w:val="24"/>
          <w:szCs w:val="24"/>
          <w:lang w:val="en-US"/>
        </w:rPr>
        <w:t>IB</w:t>
      </w:r>
      <w:r w:rsidR="00366142">
        <w:rPr>
          <w:rStyle w:val="ac"/>
          <w:rFonts w:eastAsiaTheme="majorEastAsia"/>
          <w:b/>
          <w:bCs/>
          <w:sz w:val="24"/>
          <w:szCs w:val="24"/>
        </w:rPr>
        <w:t>.</w:t>
      </w:r>
    </w:p>
    <w:p w14:paraId="28271A27" w14:textId="26511577" w:rsidR="001C7B9E" w:rsidRPr="003B37B6" w:rsidRDefault="001C7B9E" w:rsidP="001C7B9E">
      <w:pPr>
        <w:pStyle w:val="11"/>
        <w:ind w:firstLine="620"/>
        <w:jc w:val="both"/>
        <w:rPr>
          <w:sz w:val="24"/>
          <w:szCs w:val="24"/>
        </w:rPr>
      </w:pPr>
      <w:r w:rsidRPr="001C7B9E">
        <w:rPr>
          <w:rStyle w:val="ac"/>
          <w:rFonts w:eastAsiaTheme="majorEastAsia"/>
          <w:b/>
          <w:bCs/>
          <w:sz w:val="24"/>
          <w:szCs w:val="24"/>
        </w:rPr>
        <w:t xml:space="preserve">Комментарии. </w:t>
      </w:r>
      <w:r w:rsidRPr="001C7B9E">
        <w:rPr>
          <w:rStyle w:val="ac"/>
          <w:rFonts w:eastAsiaTheme="majorEastAsia"/>
          <w:i/>
          <w:iCs/>
          <w:sz w:val="24"/>
          <w:szCs w:val="24"/>
        </w:rPr>
        <w:t xml:space="preserve">Тиазидные и тиазидоподобные диуретики рекомендуются при ХБП в </w:t>
      </w:r>
      <w:r w:rsidRPr="003B37B6">
        <w:rPr>
          <w:rStyle w:val="ac"/>
          <w:rFonts w:eastAsiaTheme="majorEastAsia"/>
          <w:i/>
          <w:iCs/>
          <w:sz w:val="24"/>
          <w:szCs w:val="24"/>
        </w:rPr>
        <w:t>качестве терапии первых шагов, если расчетная СКФ составляет &gt;30 мл/мин/1,73 м</w:t>
      </w:r>
      <w:r w:rsidRPr="003B37B6">
        <w:rPr>
          <w:rStyle w:val="ac"/>
          <w:rFonts w:eastAsiaTheme="majorEastAsia"/>
          <w:i/>
          <w:iCs/>
          <w:sz w:val="24"/>
          <w:szCs w:val="24"/>
          <w:vertAlign w:val="superscript"/>
        </w:rPr>
        <w:t>2</w:t>
      </w:r>
      <w:r w:rsidRPr="003B37B6">
        <w:rPr>
          <w:rStyle w:val="ac"/>
          <w:rFonts w:eastAsiaTheme="majorEastAsia"/>
          <w:i/>
          <w:iCs/>
          <w:sz w:val="24"/>
          <w:szCs w:val="24"/>
        </w:rPr>
        <w:t>. При резистентной АГ и СКФ &lt;30 мл/мин/1,73 м</w:t>
      </w:r>
      <w:r w:rsidRPr="003B37B6">
        <w:rPr>
          <w:rStyle w:val="ac"/>
          <w:rFonts w:eastAsiaTheme="majorEastAsia"/>
          <w:i/>
          <w:iCs/>
          <w:sz w:val="24"/>
          <w:szCs w:val="24"/>
          <w:vertAlign w:val="superscript"/>
        </w:rPr>
        <w:t>2</w:t>
      </w:r>
      <w:r w:rsidRPr="003B37B6">
        <w:rPr>
          <w:rStyle w:val="ac"/>
          <w:rFonts w:eastAsiaTheme="majorEastAsia"/>
          <w:i/>
          <w:iCs/>
          <w:sz w:val="24"/>
          <w:szCs w:val="24"/>
        </w:rPr>
        <w:t xml:space="preserve"> одним из вариантов 4 шага терапии является добавление хлорталидона или другого тиазидного или тиазидоподобного диуретика</w:t>
      </w:r>
      <w:r w:rsidRPr="003B37B6">
        <w:rPr>
          <w:rStyle w:val="ac"/>
          <w:rFonts w:eastAsiaTheme="majorEastAsia"/>
          <w:sz w:val="24"/>
          <w:szCs w:val="24"/>
        </w:rPr>
        <w:t xml:space="preserve"> [189]</w:t>
      </w:r>
      <w:r w:rsidRPr="003B37B6">
        <w:rPr>
          <w:rStyle w:val="ac"/>
          <w:rFonts w:eastAsiaTheme="majorEastAsia"/>
          <w:i/>
          <w:iCs/>
          <w:sz w:val="24"/>
          <w:szCs w:val="24"/>
        </w:rPr>
        <w:t>. (</w:t>
      </w:r>
      <w:r w:rsidR="0075205E" w:rsidRPr="003B37B6">
        <w:rPr>
          <w:rStyle w:val="ac"/>
          <w:rFonts w:eastAsiaTheme="majorEastAsia"/>
          <w:i/>
          <w:iCs/>
          <w:sz w:val="24"/>
          <w:szCs w:val="24"/>
        </w:rPr>
        <w:t xml:space="preserve">глава 3 </w:t>
      </w:r>
      <w:r w:rsidRPr="003B37B6">
        <w:rPr>
          <w:rStyle w:val="ac"/>
          <w:rFonts w:eastAsiaTheme="majorEastAsia"/>
          <w:i/>
          <w:iCs/>
          <w:sz w:val="24"/>
          <w:szCs w:val="24"/>
        </w:rPr>
        <w:t>Приложени</w:t>
      </w:r>
      <w:r w:rsidR="0075205E" w:rsidRPr="003B37B6">
        <w:rPr>
          <w:rStyle w:val="ac"/>
          <w:rFonts w:eastAsiaTheme="majorEastAsia"/>
          <w:i/>
          <w:iCs/>
          <w:sz w:val="24"/>
          <w:szCs w:val="24"/>
        </w:rPr>
        <w:t>я</w:t>
      </w:r>
      <w:r w:rsidRPr="003B37B6">
        <w:rPr>
          <w:rStyle w:val="ac"/>
          <w:rFonts w:eastAsiaTheme="majorEastAsia"/>
          <w:i/>
          <w:iCs/>
          <w:sz w:val="24"/>
          <w:szCs w:val="24"/>
        </w:rPr>
        <w:t xml:space="preserve"> Б</w:t>
      </w:r>
      <w:r w:rsidR="0075205E" w:rsidRPr="003B37B6">
        <w:rPr>
          <w:rStyle w:val="ac"/>
          <w:rFonts w:eastAsiaTheme="majorEastAsia"/>
          <w:i/>
          <w:iCs/>
          <w:sz w:val="24"/>
          <w:szCs w:val="24"/>
        </w:rPr>
        <w:t xml:space="preserve"> к настоящим Клиническим рекомендациям</w:t>
      </w:r>
      <w:r w:rsidRPr="003B37B6">
        <w:rPr>
          <w:rStyle w:val="ac"/>
          <w:rFonts w:eastAsiaTheme="majorEastAsia"/>
          <w:i/>
          <w:iCs/>
          <w:sz w:val="24"/>
          <w:szCs w:val="24"/>
        </w:rPr>
        <w:t>)</w:t>
      </w:r>
    </w:p>
    <w:p w14:paraId="7F2303A2" w14:textId="77777777" w:rsidR="001C7B9E" w:rsidRPr="003B37B6" w:rsidRDefault="001C7B9E" w:rsidP="001C7B9E">
      <w:pPr>
        <w:pStyle w:val="11"/>
        <w:ind w:firstLine="620"/>
        <w:jc w:val="both"/>
        <w:rPr>
          <w:sz w:val="24"/>
          <w:szCs w:val="24"/>
        </w:rPr>
      </w:pPr>
      <w:r w:rsidRPr="003B37B6">
        <w:rPr>
          <w:rStyle w:val="ac"/>
          <w:rFonts w:eastAsiaTheme="majorEastAsia"/>
          <w:b/>
          <w:bCs/>
          <w:i/>
          <w:iCs/>
          <w:sz w:val="24"/>
          <w:szCs w:val="24"/>
        </w:rPr>
        <w:t xml:space="preserve">Бета-адреноблокаторы. </w:t>
      </w:r>
      <w:r w:rsidRPr="003B37B6">
        <w:rPr>
          <w:rStyle w:val="ac"/>
          <w:rFonts w:eastAsiaTheme="majorEastAsia"/>
          <w:i/>
          <w:iCs/>
          <w:sz w:val="24"/>
          <w:szCs w:val="24"/>
        </w:rPr>
        <w:t xml:space="preserve">АГЭ ББ обусловлена их способностью блокировать в1- и в2- адренорецепторы и уменьшать адренергическое влияние на сердце (снижение частоты и силы сердечных сокращений), а также снижать секрецию ренина (блокада </w:t>
      </w:r>
      <w:r w:rsidRPr="003B37B6">
        <w:rPr>
          <w:rStyle w:val="ac"/>
          <w:rFonts w:eastAsiaTheme="majorEastAsia"/>
          <w:i/>
          <w:iCs/>
          <w:sz w:val="24"/>
          <w:szCs w:val="24"/>
          <w:lang w:val="en-US"/>
        </w:rPr>
        <w:t>fii</w:t>
      </w:r>
      <w:r w:rsidRPr="003B37B6">
        <w:rPr>
          <w:rStyle w:val="ac"/>
          <w:rFonts w:eastAsiaTheme="majorEastAsia"/>
          <w:i/>
          <w:iCs/>
          <w:sz w:val="24"/>
          <w:szCs w:val="24"/>
        </w:rPr>
        <w:t>-рецепторов юкстагломерулярного аппарата).</w:t>
      </w:r>
    </w:p>
    <w:p w14:paraId="7D4F6A44" w14:textId="2D861704" w:rsidR="001C7B9E" w:rsidRPr="003B37B6" w:rsidRDefault="001C7B9E">
      <w:pPr>
        <w:pStyle w:val="11"/>
        <w:numPr>
          <w:ilvl w:val="0"/>
          <w:numId w:val="18"/>
        </w:numPr>
        <w:tabs>
          <w:tab w:val="left" w:pos="1373"/>
        </w:tabs>
        <w:ind w:firstLine="600"/>
        <w:jc w:val="both"/>
        <w:rPr>
          <w:sz w:val="24"/>
          <w:szCs w:val="24"/>
        </w:rPr>
      </w:pPr>
      <w:r w:rsidRPr="003B37B6">
        <w:rPr>
          <w:rStyle w:val="ac"/>
          <w:rFonts w:eastAsiaTheme="majorEastAsia"/>
          <w:sz w:val="24"/>
          <w:szCs w:val="24"/>
        </w:rPr>
        <w:t>ББ рекомендованы в качестве антигипертензивной терапии при наличии особых</w:t>
      </w:r>
      <w:r w:rsidRPr="003B37B6">
        <w:rPr>
          <w:sz w:val="24"/>
          <w:szCs w:val="24"/>
        </w:rPr>
        <w:t xml:space="preserve"> </w:t>
      </w:r>
      <w:r w:rsidRPr="003B37B6">
        <w:rPr>
          <w:rStyle w:val="ac"/>
          <w:rFonts w:eastAsiaTheme="majorEastAsia"/>
          <w:sz w:val="24"/>
          <w:szCs w:val="24"/>
        </w:rPr>
        <w:t>клинических ситуаций: например, стенокардии, перенесенного инфаркта миокарда, сердечной недостаточности и для контроля ЧСС при ФП (</w:t>
      </w:r>
      <w:r w:rsidR="007F584D" w:rsidRPr="003B37B6">
        <w:rPr>
          <w:rStyle w:val="ac"/>
          <w:rFonts w:eastAsiaTheme="majorEastAsia"/>
          <w:i/>
          <w:iCs/>
          <w:sz w:val="24"/>
          <w:szCs w:val="24"/>
        </w:rPr>
        <w:t>главы 4, 5 Приложения Б к настоящим Клиническим рекомендациям</w:t>
      </w:r>
      <w:r w:rsidR="007F584D" w:rsidRPr="003B37B6">
        <w:rPr>
          <w:rStyle w:val="ac"/>
          <w:rFonts w:eastAsiaTheme="majorEastAsia"/>
          <w:sz w:val="24"/>
          <w:szCs w:val="24"/>
        </w:rPr>
        <w:t>)</w:t>
      </w:r>
      <w:r w:rsidRPr="003B37B6">
        <w:rPr>
          <w:rStyle w:val="ac"/>
          <w:rFonts w:eastAsiaTheme="majorEastAsia"/>
          <w:sz w:val="24"/>
          <w:szCs w:val="24"/>
        </w:rPr>
        <w:t xml:space="preserve"> [27].</w:t>
      </w:r>
    </w:p>
    <w:p w14:paraId="6AAC9BD3" w14:textId="3729961E" w:rsidR="001C7B9E" w:rsidRPr="003B37B6" w:rsidRDefault="001C7B9E" w:rsidP="001C7B9E">
      <w:pPr>
        <w:pStyle w:val="11"/>
        <w:ind w:firstLine="620"/>
        <w:jc w:val="both"/>
        <w:rPr>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2A341A" w:rsidRPr="003B37B6">
        <w:rPr>
          <w:rStyle w:val="ac"/>
          <w:rFonts w:eastAsiaTheme="majorEastAsia"/>
          <w:b/>
          <w:bCs/>
          <w:sz w:val="24"/>
          <w:szCs w:val="24"/>
        </w:rPr>
        <w:t xml:space="preserve"> </w:t>
      </w:r>
      <w:r w:rsidRPr="003B37B6">
        <w:rPr>
          <w:rStyle w:val="ac"/>
          <w:rFonts w:eastAsiaTheme="majorEastAsia"/>
          <w:b/>
          <w:bCs/>
          <w:sz w:val="24"/>
          <w:szCs w:val="24"/>
        </w:rPr>
        <w:t xml:space="preserve">С, </w:t>
      </w:r>
      <w:r w:rsidR="002A341A"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5)</w:t>
      </w:r>
      <w:r w:rsidR="002A341A" w:rsidRPr="003B37B6">
        <w:rPr>
          <w:rStyle w:val="ac"/>
          <w:rFonts w:eastAsiaTheme="majorEastAsia"/>
          <w:b/>
          <w:bCs/>
          <w:sz w:val="24"/>
          <w:szCs w:val="24"/>
        </w:rPr>
        <w:t xml:space="preserve">; ЕОК ЕОАГ </w:t>
      </w:r>
      <w:r w:rsidR="002A341A" w:rsidRPr="003B37B6">
        <w:rPr>
          <w:rStyle w:val="ac"/>
          <w:rFonts w:eastAsiaTheme="majorEastAsia"/>
          <w:b/>
          <w:bCs/>
          <w:sz w:val="24"/>
          <w:szCs w:val="24"/>
          <w:lang w:val="en-US"/>
        </w:rPr>
        <w:t>IA</w:t>
      </w:r>
      <w:r w:rsidR="00366142" w:rsidRPr="003B37B6">
        <w:rPr>
          <w:rStyle w:val="ac"/>
          <w:rFonts w:eastAsiaTheme="majorEastAsia"/>
          <w:b/>
          <w:bCs/>
          <w:sz w:val="24"/>
          <w:szCs w:val="24"/>
        </w:rPr>
        <w:t>.</w:t>
      </w:r>
    </w:p>
    <w:p w14:paraId="7AE2E7DB" w14:textId="77777777" w:rsidR="001C7B9E" w:rsidRPr="001C7B9E" w:rsidRDefault="001C7B9E" w:rsidP="001C7B9E">
      <w:pPr>
        <w:pStyle w:val="11"/>
        <w:ind w:firstLine="620"/>
        <w:jc w:val="both"/>
        <w:rPr>
          <w:sz w:val="24"/>
          <w:szCs w:val="24"/>
        </w:rPr>
      </w:pPr>
      <w:r w:rsidRPr="003B37B6">
        <w:rPr>
          <w:rStyle w:val="ac"/>
          <w:rFonts w:eastAsiaTheme="majorEastAsia"/>
          <w:b/>
          <w:bCs/>
          <w:sz w:val="24"/>
          <w:szCs w:val="24"/>
        </w:rPr>
        <w:t xml:space="preserve">Комментарии. </w:t>
      </w:r>
      <w:r w:rsidRPr="003B37B6">
        <w:rPr>
          <w:rStyle w:val="ac"/>
          <w:rFonts w:eastAsiaTheme="majorEastAsia"/>
          <w:i/>
          <w:iCs/>
          <w:sz w:val="24"/>
          <w:szCs w:val="24"/>
        </w:rPr>
        <w:t>ББ — один из пяти основных классов АГП. Предпочтительными</w:t>
      </w:r>
      <w:r w:rsidRPr="001C7B9E">
        <w:rPr>
          <w:rStyle w:val="ac"/>
          <w:rFonts w:eastAsiaTheme="majorEastAsia"/>
          <w:i/>
          <w:iCs/>
          <w:sz w:val="24"/>
          <w:szCs w:val="24"/>
        </w:rPr>
        <w:t xml:space="preserve"> ситуациями для их назначения являются симптомная стенокардия напряжения, перенесенный ИМ, ХСН с низкой фракцией выброса, ФП, аневризма аорты, контроль ЧСС, а также лечение АГ у женщин детородного возраста, особенно планирующих беременность. ББ — гетерогенный класс препаратов. В отдельных исследованиях продемонстрированы неодинаковые эффекты классических и вазодилатирующих ББ в отношении центрального АД, артериальной ригидности, риска развития СД, исходов при ХСН. РКИ по сопоставлению эффективности ББ с разными свойствами у пациентов с АГ не проводились. У физически активных пациентов и при наличии у них МС, НТГ рекомендованы ББ с вазодилатирующим эффектом, не оказывающие отрицательного влияния на инсулинорезистетность.</w:t>
      </w:r>
    </w:p>
    <w:p w14:paraId="6DE5C693" w14:textId="77777777" w:rsidR="001C7B9E" w:rsidRPr="001C7B9E" w:rsidRDefault="001C7B9E" w:rsidP="001C7B9E">
      <w:pPr>
        <w:pStyle w:val="11"/>
        <w:ind w:firstLine="0"/>
        <w:jc w:val="both"/>
        <w:rPr>
          <w:sz w:val="24"/>
          <w:szCs w:val="24"/>
        </w:rPr>
      </w:pPr>
      <w:r w:rsidRPr="001C7B9E">
        <w:rPr>
          <w:rStyle w:val="ac"/>
          <w:rFonts w:eastAsiaTheme="majorEastAsia"/>
          <w:i/>
          <w:iCs/>
          <w:sz w:val="24"/>
          <w:szCs w:val="24"/>
        </w:rPr>
        <w:lastRenderedPageBreak/>
        <w:t>В многоцентровых исследованиях была показана несколько меньшая эффективность ББ по предупреждению инсульта в сравнении с другими АГП</w:t>
      </w:r>
      <w:r w:rsidRPr="001C7B9E">
        <w:rPr>
          <w:rStyle w:val="ac"/>
          <w:rFonts w:eastAsiaTheme="majorEastAsia"/>
          <w:sz w:val="24"/>
          <w:szCs w:val="24"/>
        </w:rPr>
        <w:t xml:space="preserve"> [190]</w:t>
      </w:r>
      <w:r w:rsidRPr="001C7B9E">
        <w:rPr>
          <w:rStyle w:val="ac"/>
          <w:rFonts w:eastAsiaTheme="majorEastAsia"/>
          <w:i/>
          <w:iCs/>
          <w:sz w:val="24"/>
          <w:szCs w:val="24"/>
        </w:rPr>
        <w:t>. Однако все эти данные были получены при анализе исследований, где применялся атенолол**. В отношении небиволола, карведилола** и селективных ББ (бисопролол** и метопролол** замедленного высвобождения) нет данных по влиянию на жесткие конечные точки</w:t>
      </w:r>
      <w:r w:rsidRPr="001C7B9E">
        <w:rPr>
          <w:rStyle w:val="ac"/>
          <w:rFonts w:eastAsiaTheme="majorEastAsia"/>
          <w:sz w:val="24"/>
          <w:szCs w:val="24"/>
        </w:rPr>
        <w:t xml:space="preserve"> [172, 191]</w:t>
      </w:r>
      <w:r w:rsidRPr="001C7B9E">
        <w:rPr>
          <w:rStyle w:val="ac"/>
          <w:rFonts w:eastAsiaTheme="majorEastAsia"/>
          <w:i/>
          <w:iCs/>
          <w:sz w:val="24"/>
          <w:szCs w:val="24"/>
        </w:rPr>
        <w:t>.</w:t>
      </w:r>
    </w:p>
    <w:p w14:paraId="22FFE5B9" w14:textId="77777777" w:rsidR="001C7B9E" w:rsidRPr="001C7B9E" w:rsidRDefault="001C7B9E" w:rsidP="001C7B9E">
      <w:pPr>
        <w:pStyle w:val="11"/>
        <w:ind w:firstLine="600"/>
        <w:jc w:val="both"/>
        <w:rPr>
          <w:sz w:val="24"/>
          <w:szCs w:val="24"/>
        </w:rPr>
      </w:pPr>
      <w:r w:rsidRPr="001C7B9E">
        <w:rPr>
          <w:rStyle w:val="ac"/>
          <w:rFonts w:eastAsiaTheme="majorEastAsia"/>
          <w:i/>
          <w:iCs/>
          <w:sz w:val="24"/>
          <w:szCs w:val="24"/>
        </w:rPr>
        <w:t>Абсолютное противопоказание для назначения ББ — синоатриальная, атриовентрикулярная блокада 2-3-й степени, синдром слабости синусового узла и бронхиальная астма.</w:t>
      </w:r>
    </w:p>
    <w:p w14:paraId="4E1CA879" w14:textId="77777777" w:rsidR="001C7B9E" w:rsidRPr="00675452" w:rsidRDefault="001C7B9E" w:rsidP="00675452">
      <w:pPr>
        <w:pStyle w:val="11"/>
        <w:ind w:firstLine="0"/>
        <w:jc w:val="center"/>
        <w:rPr>
          <w:sz w:val="24"/>
          <w:szCs w:val="24"/>
        </w:rPr>
      </w:pPr>
      <w:r w:rsidRPr="00675452">
        <w:rPr>
          <w:rStyle w:val="ac"/>
          <w:rFonts w:eastAsiaTheme="majorEastAsia"/>
          <w:b/>
          <w:bCs/>
          <w:sz w:val="24"/>
          <w:szCs w:val="24"/>
        </w:rPr>
        <w:t>Новые классы антигипертензивных средств</w:t>
      </w:r>
    </w:p>
    <w:p w14:paraId="3C7801A0" w14:textId="386CD21A" w:rsidR="001C7B9E" w:rsidRPr="00675452" w:rsidRDefault="001C7B9E" w:rsidP="00EB0223">
      <w:pPr>
        <w:pStyle w:val="11"/>
        <w:ind w:firstLine="567"/>
        <w:jc w:val="both"/>
        <w:rPr>
          <w:sz w:val="24"/>
          <w:szCs w:val="24"/>
        </w:rPr>
      </w:pPr>
      <w:r w:rsidRPr="00675452">
        <w:rPr>
          <w:rStyle w:val="ac"/>
          <w:rFonts w:eastAsiaTheme="majorEastAsia"/>
          <w:sz w:val="24"/>
          <w:szCs w:val="24"/>
        </w:rPr>
        <w:t>Показание АГ зарегистрировано в ограниченном количестве стран</w:t>
      </w:r>
      <w:r w:rsidR="00EB0223">
        <w:rPr>
          <w:rStyle w:val="ac"/>
          <w:rFonts w:eastAsiaTheme="majorEastAsia"/>
          <w:sz w:val="24"/>
          <w:szCs w:val="24"/>
        </w:rPr>
        <w:t>.</w:t>
      </w:r>
    </w:p>
    <w:p w14:paraId="62E31E88" w14:textId="77777777" w:rsidR="001C7B9E" w:rsidRPr="00675452" w:rsidRDefault="001C7B9E" w:rsidP="001C7B9E">
      <w:pPr>
        <w:pStyle w:val="11"/>
        <w:ind w:firstLine="600"/>
        <w:jc w:val="both"/>
        <w:rPr>
          <w:sz w:val="24"/>
          <w:szCs w:val="24"/>
        </w:rPr>
      </w:pPr>
      <w:r w:rsidRPr="00675452">
        <w:rPr>
          <w:rStyle w:val="ac"/>
          <w:rFonts w:eastAsiaTheme="majorEastAsia"/>
          <w:b/>
          <w:bCs/>
          <w:sz w:val="24"/>
          <w:szCs w:val="24"/>
        </w:rPr>
        <w:t xml:space="preserve">Антагонисты рецепторов ангиотензина </w:t>
      </w:r>
      <w:r w:rsidRPr="00675452">
        <w:rPr>
          <w:rStyle w:val="ac"/>
          <w:rFonts w:eastAsiaTheme="majorEastAsia"/>
          <w:b/>
          <w:bCs/>
          <w:sz w:val="24"/>
          <w:szCs w:val="24"/>
          <w:lang w:val="en-US"/>
        </w:rPr>
        <w:t>II</w:t>
      </w:r>
      <w:r w:rsidRPr="00675452">
        <w:rPr>
          <w:rStyle w:val="ac"/>
          <w:rFonts w:eastAsiaTheme="majorEastAsia"/>
          <w:b/>
          <w:bCs/>
          <w:sz w:val="24"/>
          <w:szCs w:val="24"/>
        </w:rPr>
        <w:t xml:space="preserve"> в комбинации с другими средствами (ангиотензиновых рецепторов и неприлизина ингибиторы, АРНИ) </w:t>
      </w:r>
      <w:r w:rsidRPr="00675452">
        <w:rPr>
          <w:rStyle w:val="ac"/>
          <w:rFonts w:eastAsiaTheme="majorEastAsia"/>
          <w:sz w:val="24"/>
          <w:szCs w:val="24"/>
        </w:rPr>
        <w:t>представитель класса - валсартан+сакубитрил **.</w:t>
      </w:r>
    </w:p>
    <w:p w14:paraId="3E172538" w14:textId="77777777" w:rsidR="001C7B9E" w:rsidRPr="00675452" w:rsidRDefault="001C7B9E" w:rsidP="001C7B9E">
      <w:pPr>
        <w:pStyle w:val="11"/>
        <w:ind w:firstLine="600"/>
        <w:jc w:val="both"/>
        <w:rPr>
          <w:sz w:val="24"/>
          <w:szCs w:val="24"/>
        </w:rPr>
      </w:pPr>
      <w:r w:rsidRPr="00675452">
        <w:rPr>
          <w:rStyle w:val="ac"/>
          <w:rFonts w:eastAsiaTheme="majorEastAsia"/>
          <w:sz w:val="24"/>
          <w:szCs w:val="24"/>
        </w:rPr>
        <w:t>Препарат представляет собой надмолекулярный комплекс с двойным механизмом действия: валсартан обеспечивает блокаду АТ1 рецепторов и уменьшает гиперактивацию РААС, сакубитрил блокирует фермент неприлизин (нейтральная эндопептидаза), который разрушает натрийуретические пептиды (НУП). Таким образом, блокада РААС при одновременной активации системы НУП обеспечивает дополнительное снижение АД на любом шаге антигипертензивной терапии и может оказывать дополнительные органопротективные свойства, в частности, уменьшение жесткости крупных артерий при систолической АГ, дополнительный краткосрочный натрийурез/диурез [192, 193].</w:t>
      </w:r>
    </w:p>
    <w:p w14:paraId="18FB98B5" w14:textId="77777777" w:rsidR="001C7B9E" w:rsidRPr="00675452" w:rsidRDefault="001C7B9E" w:rsidP="001C7B9E">
      <w:pPr>
        <w:pStyle w:val="11"/>
        <w:ind w:firstLine="600"/>
        <w:jc w:val="both"/>
        <w:rPr>
          <w:sz w:val="24"/>
          <w:szCs w:val="24"/>
        </w:rPr>
      </w:pPr>
      <w:r w:rsidRPr="00675452">
        <w:rPr>
          <w:rStyle w:val="ac"/>
          <w:rFonts w:eastAsiaTheme="majorEastAsia"/>
          <w:sz w:val="24"/>
          <w:szCs w:val="24"/>
        </w:rPr>
        <w:t xml:space="preserve">В соответствии с инструкцией по медицинскому применению, препарат можно использовать в режиме монотерапии или в комбинации с другими гипотензивными средствами, кроме ИАПФ и БРА. Однако, он не является полным эквивалентом монотерапии, поскольку имеет двойной механизм действия и превосходит по силе эффекта блокаторы рецепторов к ангиотензину </w:t>
      </w:r>
      <w:r w:rsidRPr="00675452">
        <w:rPr>
          <w:rStyle w:val="ac"/>
          <w:rFonts w:eastAsiaTheme="majorEastAsia"/>
          <w:sz w:val="24"/>
          <w:szCs w:val="24"/>
          <w:lang w:val="en-US"/>
        </w:rPr>
        <w:t>II</w:t>
      </w:r>
      <w:r w:rsidRPr="00675452">
        <w:rPr>
          <w:rStyle w:val="ac"/>
          <w:rFonts w:eastAsiaTheme="majorEastAsia"/>
          <w:sz w:val="24"/>
          <w:szCs w:val="24"/>
        </w:rPr>
        <w:t xml:space="preserve">. В то же время, препарат не может рассматриваться и как фиксированная комбинация, поскольку </w:t>
      </w:r>
      <w:r w:rsidR="00675452" w:rsidRPr="00675452">
        <w:rPr>
          <w:rStyle w:val="ac"/>
          <w:rFonts w:eastAsiaTheme="majorEastAsia"/>
          <w:sz w:val="24"/>
          <w:szCs w:val="24"/>
        </w:rPr>
        <w:t>предстаёт</w:t>
      </w:r>
      <w:r w:rsidRPr="00675452">
        <w:rPr>
          <w:rStyle w:val="ac"/>
          <w:rFonts w:eastAsiaTheme="majorEastAsia"/>
          <w:sz w:val="24"/>
          <w:szCs w:val="24"/>
        </w:rPr>
        <w:t xml:space="preserve"> собой надмолекулярный комплекс [194]. Препарат может быть успешно использован в ситуации, когда БРА недостаточно эффективны. Валсартан+сакубутрил** может применяться как альтернатива БРА у больных с резистентной АГ, когда стандартные подходы в виде сочетания БРА, АК и диуретиков с добавлением спиронолактона** исчерпаны [195].</w:t>
      </w:r>
    </w:p>
    <w:p w14:paraId="071E168C" w14:textId="77777777" w:rsidR="002D69BC" w:rsidRDefault="001C7B9E" w:rsidP="002D69BC">
      <w:pPr>
        <w:pStyle w:val="11"/>
        <w:ind w:firstLine="620"/>
        <w:jc w:val="both"/>
        <w:rPr>
          <w:rStyle w:val="ac"/>
          <w:rFonts w:eastAsiaTheme="majorEastAsia"/>
          <w:i/>
          <w:iCs/>
        </w:rPr>
      </w:pPr>
      <w:r w:rsidRPr="00675452">
        <w:rPr>
          <w:rStyle w:val="ac"/>
          <w:rFonts w:eastAsiaTheme="majorEastAsia"/>
          <w:sz w:val="24"/>
          <w:szCs w:val="24"/>
        </w:rPr>
        <w:t>По данным мета-анализов РКИ, валсартан+сакубитрил** обеспечивает более выраженный антигипертензивный эффект, чем БРА в отношении клинического и суточного АД [196, 197, 198]. В РКИ</w:t>
      </w:r>
      <w:r w:rsidRPr="00675452">
        <w:rPr>
          <w:rStyle w:val="ac"/>
          <w:rFonts w:eastAsiaTheme="majorEastAsia"/>
          <w:sz w:val="24"/>
          <w:szCs w:val="24"/>
          <w:lang w:val="en-US"/>
        </w:rPr>
        <w:t>PARAMETER</w:t>
      </w:r>
      <w:r w:rsidRPr="00675452">
        <w:rPr>
          <w:rStyle w:val="ac"/>
          <w:rFonts w:eastAsiaTheme="majorEastAsia"/>
          <w:sz w:val="24"/>
          <w:szCs w:val="24"/>
        </w:rPr>
        <w:t xml:space="preserve"> показано, что валсартан+сакубитрил** оказывает </w:t>
      </w:r>
      <w:r w:rsidRPr="00675452">
        <w:rPr>
          <w:rStyle w:val="ac"/>
          <w:rFonts w:eastAsiaTheme="majorEastAsia"/>
          <w:sz w:val="24"/>
          <w:szCs w:val="24"/>
        </w:rPr>
        <w:lastRenderedPageBreak/>
        <w:t>влияние на такой важный патогенетический компонент АГ, как жесткость крупных сосудов: при сравнении с БРА в группе АРНИ наблюдалось более выраженное снижение ЦСАД, ЦПД, а также САДпс и ПД при отсутствии значимых различий по влиянию на ЦДАД и ДАДпс [193].</w:t>
      </w:r>
      <w:r w:rsidR="002D69BC" w:rsidRPr="002D69BC">
        <w:rPr>
          <w:rStyle w:val="ac"/>
          <w:rFonts w:eastAsiaTheme="majorEastAsia"/>
          <w:i/>
          <w:iCs/>
        </w:rPr>
        <w:t xml:space="preserve"> </w:t>
      </w:r>
    </w:p>
    <w:p w14:paraId="2853B494" w14:textId="77777777" w:rsidR="002D69BC" w:rsidRPr="002D69BC" w:rsidRDefault="002D69BC" w:rsidP="002D69BC">
      <w:pPr>
        <w:pStyle w:val="11"/>
        <w:ind w:firstLine="620"/>
        <w:jc w:val="both"/>
        <w:rPr>
          <w:sz w:val="24"/>
          <w:szCs w:val="24"/>
        </w:rPr>
      </w:pPr>
      <w:r w:rsidRPr="002D69BC">
        <w:rPr>
          <w:rStyle w:val="ac"/>
          <w:rFonts w:eastAsiaTheme="majorEastAsia"/>
          <w:sz w:val="24"/>
          <w:szCs w:val="24"/>
        </w:rPr>
        <w:t>Валсартан+сакубитрил** можно комбинировать с АК, диуретиками и ББ [192, 199]. Комбинация валсартан+сакубитрил** с иРААС является нерациональной, т.к. в состав АРНИ входит БРА (валсартан). Совместное применение с ИАПФ может привести к увеличению риска возникновения отека Квинке и, следовательно, запрещено. Валсартан+сакубитрил** можно применять лишь спустя 36 часов после окончания терапии ИАПФ.</w:t>
      </w:r>
    </w:p>
    <w:p w14:paraId="2E4362B1" w14:textId="77777777" w:rsidR="002D69BC" w:rsidRPr="002D69BC" w:rsidRDefault="002D69BC" w:rsidP="002D69BC">
      <w:pPr>
        <w:pStyle w:val="11"/>
        <w:tabs>
          <w:tab w:val="left" w:pos="1393"/>
        </w:tabs>
        <w:ind w:firstLine="620"/>
        <w:jc w:val="both"/>
        <w:rPr>
          <w:sz w:val="24"/>
          <w:szCs w:val="24"/>
        </w:rPr>
      </w:pPr>
      <w:r w:rsidRPr="002D69BC">
        <w:rPr>
          <w:rStyle w:val="ac"/>
          <w:rFonts w:eastAsia="Arial"/>
          <w:sz w:val="24"/>
          <w:szCs w:val="24"/>
        </w:rPr>
        <w:t>•</w:t>
      </w:r>
      <w:r w:rsidRPr="002D69BC">
        <w:rPr>
          <w:rStyle w:val="ac"/>
          <w:rFonts w:eastAsia="Arial"/>
          <w:sz w:val="24"/>
          <w:szCs w:val="24"/>
        </w:rPr>
        <w:tab/>
      </w:r>
      <w:r w:rsidRPr="002D69BC">
        <w:rPr>
          <w:rStyle w:val="ac"/>
          <w:rFonts w:eastAsiaTheme="majorEastAsia"/>
          <w:sz w:val="24"/>
          <w:szCs w:val="24"/>
        </w:rPr>
        <w:t>АРНИ могут быть рекомендованы в качестве антигипертензивной терапии у</w:t>
      </w:r>
    </w:p>
    <w:p w14:paraId="6A2DDA5E" w14:textId="77777777" w:rsidR="002D69BC" w:rsidRPr="002D69BC" w:rsidRDefault="002D69BC" w:rsidP="002D69BC">
      <w:pPr>
        <w:pStyle w:val="11"/>
        <w:ind w:firstLine="0"/>
        <w:jc w:val="both"/>
        <w:rPr>
          <w:sz w:val="24"/>
          <w:szCs w:val="24"/>
        </w:rPr>
      </w:pPr>
      <w:r w:rsidRPr="002D69BC">
        <w:rPr>
          <w:rStyle w:val="ac"/>
          <w:rFonts w:eastAsiaTheme="majorEastAsia"/>
          <w:sz w:val="24"/>
          <w:szCs w:val="24"/>
        </w:rPr>
        <w:t>пациентов с АГ и ХСН ниже нормальной ФВ для снижения риска СС событий и госпитализаций по причине СН [200].</w:t>
      </w:r>
    </w:p>
    <w:p w14:paraId="7C1F3F95" w14:textId="5155187A" w:rsidR="002D69BC" w:rsidRPr="002D69BC" w:rsidRDefault="003D51B3" w:rsidP="002D69BC">
      <w:pPr>
        <w:pStyle w:val="11"/>
        <w:ind w:firstLine="620"/>
        <w:jc w:val="both"/>
        <w:rPr>
          <w:sz w:val="24"/>
          <w:szCs w:val="24"/>
        </w:rPr>
      </w:pPr>
      <w:r>
        <w:rPr>
          <w:rStyle w:val="ac"/>
          <w:rFonts w:eastAsiaTheme="majorEastAsia"/>
          <w:b/>
          <w:bCs/>
          <w:sz w:val="24"/>
          <w:szCs w:val="24"/>
        </w:rPr>
        <w:t>Уровень убедительности рекомендаций</w:t>
      </w:r>
      <w:r w:rsidR="0051422C">
        <w:rPr>
          <w:rStyle w:val="ac"/>
          <w:rFonts w:eastAsiaTheme="majorEastAsia"/>
          <w:b/>
          <w:bCs/>
          <w:sz w:val="24"/>
          <w:szCs w:val="24"/>
        </w:rPr>
        <w:t xml:space="preserve"> </w:t>
      </w:r>
      <w:r w:rsidR="002D69BC" w:rsidRPr="002D69BC">
        <w:rPr>
          <w:rStyle w:val="ac"/>
          <w:rFonts w:eastAsiaTheme="majorEastAsia"/>
          <w:b/>
          <w:bCs/>
          <w:sz w:val="24"/>
          <w:szCs w:val="24"/>
        </w:rPr>
        <w:t xml:space="preserve">В, </w:t>
      </w:r>
      <w:r w:rsidR="0051422C" w:rsidRPr="002D69BC">
        <w:rPr>
          <w:rStyle w:val="ac"/>
          <w:rFonts w:eastAsiaTheme="majorEastAsia"/>
          <w:b/>
          <w:bCs/>
          <w:sz w:val="24"/>
          <w:szCs w:val="24"/>
        </w:rPr>
        <w:t>(</w:t>
      </w:r>
      <w:r>
        <w:rPr>
          <w:rStyle w:val="ac"/>
          <w:rFonts w:eastAsiaTheme="majorEastAsia"/>
          <w:b/>
          <w:bCs/>
          <w:sz w:val="24"/>
          <w:szCs w:val="24"/>
        </w:rPr>
        <w:t>Уровень достоверности доказательств</w:t>
      </w:r>
      <w:r w:rsidR="002D69BC" w:rsidRPr="002D69BC">
        <w:rPr>
          <w:rStyle w:val="ac"/>
          <w:rFonts w:eastAsiaTheme="majorEastAsia"/>
          <w:b/>
          <w:bCs/>
          <w:sz w:val="24"/>
          <w:szCs w:val="24"/>
        </w:rPr>
        <w:t xml:space="preserve"> 2)</w:t>
      </w:r>
      <w:r w:rsidR="0051422C">
        <w:rPr>
          <w:rStyle w:val="ac"/>
          <w:rFonts w:eastAsiaTheme="majorEastAsia"/>
          <w:b/>
          <w:bCs/>
          <w:sz w:val="24"/>
          <w:szCs w:val="24"/>
        </w:rPr>
        <w:t xml:space="preserve">; </w:t>
      </w:r>
      <w:r w:rsidR="0051422C" w:rsidRPr="002D69BC">
        <w:rPr>
          <w:rStyle w:val="ac"/>
          <w:rFonts w:eastAsiaTheme="majorEastAsia"/>
          <w:b/>
          <w:bCs/>
          <w:sz w:val="24"/>
          <w:szCs w:val="24"/>
        </w:rPr>
        <w:t>ЕОК ЕОАГ IВ</w:t>
      </w:r>
      <w:r w:rsidR="002E47DC">
        <w:rPr>
          <w:rStyle w:val="ac"/>
          <w:rFonts w:eastAsiaTheme="majorEastAsia"/>
          <w:b/>
          <w:bCs/>
          <w:sz w:val="24"/>
          <w:szCs w:val="24"/>
        </w:rPr>
        <w:t>.</w:t>
      </w:r>
    </w:p>
    <w:p w14:paraId="55D7257F" w14:textId="1D00C505" w:rsidR="002D69BC" w:rsidRPr="002D69BC" w:rsidRDefault="002D69BC" w:rsidP="002D69BC">
      <w:pPr>
        <w:pStyle w:val="11"/>
        <w:ind w:firstLine="620"/>
        <w:jc w:val="both"/>
        <w:rPr>
          <w:i/>
          <w:iCs/>
          <w:sz w:val="24"/>
          <w:szCs w:val="24"/>
        </w:rPr>
      </w:pPr>
      <w:r w:rsidRPr="002D69BC">
        <w:rPr>
          <w:rStyle w:val="ac"/>
          <w:rFonts w:eastAsiaTheme="majorEastAsia"/>
          <w:b/>
          <w:bCs/>
          <w:sz w:val="24"/>
          <w:szCs w:val="24"/>
        </w:rPr>
        <w:t>Комментарии</w:t>
      </w:r>
      <w:r w:rsidRPr="002D69BC">
        <w:rPr>
          <w:rStyle w:val="ac"/>
          <w:rFonts w:eastAsiaTheme="majorEastAsia"/>
          <w:sz w:val="24"/>
          <w:szCs w:val="24"/>
        </w:rPr>
        <w:t xml:space="preserve">. </w:t>
      </w:r>
      <w:r w:rsidRPr="002D69BC">
        <w:rPr>
          <w:rStyle w:val="ac"/>
          <w:rFonts w:eastAsiaTheme="majorEastAsia"/>
          <w:i/>
          <w:iCs/>
          <w:sz w:val="24"/>
          <w:szCs w:val="24"/>
        </w:rPr>
        <w:t xml:space="preserve">Поскольку основные преимущества данного класса препаратов показаны при ХСН, его назначение при сочетании АГ и ХСН </w:t>
      </w:r>
      <w:r w:rsidR="0051422C" w:rsidRPr="002D69BC">
        <w:rPr>
          <w:rStyle w:val="ac"/>
          <w:rFonts w:eastAsiaTheme="majorEastAsia"/>
          <w:i/>
          <w:iCs/>
          <w:sz w:val="24"/>
          <w:szCs w:val="24"/>
        </w:rPr>
        <w:t>соответствуют</w:t>
      </w:r>
      <w:r w:rsidRPr="002D69BC">
        <w:rPr>
          <w:rStyle w:val="ac"/>
          <w:rFonts w:eastAsiaTheme="majorEastAsia"/>
          <w:i/>
          <w:iCs/>
          <w:sz w:val="24"/>
          <w:szCs w:val="24"/>
        </w:rPr>
        <w:t xml:space="preserve"> клиническим рекомендациям по лечению ХСН.</w:t>
      </w:r>
    </w:p>
    <w:p w14:paraId="39C66868" w14:textId="77777777" w:rsidR="002D69BC" w:rsidRPr="002D69BC" w:rsidRDefault="002D69BC" w:rsidP="002D69BC">
      <w:pPr>
        <w:pStyle w:val="11"/>
        <w:ind w:firstLine="620"/>
        <w:jc w:val="both"/>
        <w:rPr>
          <w:i/>
          <w:iCs/>
          <w:sz w:val="24"/>
          <w:szCs w:val="24"/>
        </w:rPr>
      </w:pPr>
      <w:r w:rsidRPr="002D69BC">
        <w:rPr>
          <w:rStyle w:val="ac"/>
          <w:rFonts w:eastAsiaTheme="majorEastAsia"/>
          <w:i/>
          <w:iCs/>
          <w:sz w:val="24"/>
          <w:szCs w:val="24"/>
        </w:rPr>
        <w:t>Максимальное снижение риска СС событий и госпитализации по причине ХСН отмечено у пациентов с ФВ ниже нормальной (62</w:t>
      </w:r>
      <w:r w:rsidRPr="002D69BC">
        <w:rPr>
          <w:rStyle w:val="ac"/>
          <w:rFonts w:eastAsia="Arial"/>
          <w:i/>
          <w:iCs/>
          <w:sz w:val="24"/>
          <w:szCs w:val="24"/>
        </w:rPr>
        <w:t>±</w:t>
      </w:r>
      <w:r w:rsidRPr="002D69BC">
        <w:rPr>
          <w:rStyle w:val="ac"/>
          <w:rFonts w:eastAsiaTheme="majorEastAsia"/>
          <w:i/>
          <w:iCs/>
          <w:sz w:val="24"/>
          <w:szCs w:val="24"/>
        </w:rPr>
        <w:t>5 % для мужчин и 64</w:t>
      </w:r>
      <w:r w:rsidRPr="002D69BC">
        <w:rPr>
          <w:rStyle w:val="ac"/>
          <w:rFonts w:eastAsia="Arial"/>
          <w:i/>
          <w:iCs/>
          <w:sz w:val="24"/>
          <w:szCs w:val="24"/>
        </w:rPr>
        <w:t>±</w:t>
      </w:r>
      <w:r w:rsidRPr="002D69BC">
        <w:rPr>
          <w:rStyle w:val="ac"/>
          <w:rFonts w:eastAsiaTheme="majorEastAsia"/>
          <w:i/>
          <w:iCs/>
          <w:sz w:val="24"/>
          <w:szCs w:val="24"/>
        </w:rPr>
        <w:t xml:space="preserve">5% для женщин) [200]. В исследовании </w:t>
      </w:r>
      <w:r w:rsidRPr="002D69BC">
        <w:rPr>
          <w:rStyle w:val="ac"/>
          <w:rFonts w:eastAsiaTheme="majorEastAsia"/>
          <w:i/>
          <w:iCs/>
          <w:sz w:val="24"/>
          <w:szCs w:val="24"/>
          <w:lang w:val="en-US"/>
        </w:rPr>
        <w:t>PARADIGM</w:t>
      </w:r>
      <w:r w:rsidRPr="002D69BC">
        <w:rPr>
          <w:rStyle w:val="ac"/>
          <w:rFonts w:eastAsiaTheme="majorEastAsia"/>
          <w:i/>
          <w:iCs/>
          <w:sz w:val="24"/>
          <w:szCs w:val="24"/>
        </w:rPr>
        <w:t>-</w:t>
      </w:r>
      <w:r w:rsidRPr="002D69BC">
        <w:rPr>
          <w:rStyle w:val="ac"/>
          <w:rFonts w:eastAsiaTheme="majorEastAsia"/>
          <w:i/>
          <w:iCs/>
          <w:sz w:val="24"/>
          <w:szCs w:val="24"/>
          <w:lang w:val="en-US"/>
        </w:rPr>
        <w:t>HF</w:t>
      </w:r>
      <w:r w:rsidRPr="002D69BC">
        <w:rPr>
          <w:rStyle w:val="ac"/>
          <w:rFonts w:eastAsiaTheme="majorEastAsia"/>
          <w:i/>
          <w:iCs/>
          <w:sz w:val="24"/>
          <w:szCs w:val="24"/>
        </w:rPr>
        <w:t xml:space="preserve"> у пациентов с ХСНнФВ валсартан+сакубитрил** показал выраженное снижение риска ССС, ОС, госпитализации по причине ХСН [201]. Данный эффект не зависел от уровня исходного АД и сохранялся в подгруппе с АД более 140 и 90 мм рт.ст. [202]. В объединенном анализе исследований </w:t>
      </w:r>
      <w:r w:rsidRPr="002D69BC">
        <w:rPr>
          <w:rStyle w:val="ac"/>
          <w:rFonts w:eastAsiaTheme="majorEastAsia"/>
          <w:i/>
          <w:iCs/>
          <w:sz w:val="24"/>
          <w:szCs w:val="24"/>
          <w:lang w:val="en-US"/>
        </w:rPr>
        <w:t>PARADIGM</w:t>
      </w:r>
      <w:r w:rsidRPr="002D69BC">
        <w:rPr>
          <w:rStyle w:val="ac"/>
          <w:rFonts w:eastAsiaTheme="majorEastAsia"/>
          <w:i/>
          <w:iCs/>
          <w:sz w:val="24"/>
          <w:szCs w:val="24"/>
        </w:rPr>
        <w:t>-</w:t>
      </w:r>
      <w:r w:rsidRPr="002D69BC">
        <w:rPr>
          <w:rStyle w:val="ac"/>
          <w:rFonts w:eastAsiaTheme="majorEastAsia"/>
          <w:i/>
          <w:iCs/>
          <w:sz w:val="24"/>
          <w:szCs w:val="24"/>
          <w:lang w:val="en-US"/>
        </w:rPr>
        <w:t>HF</w:t>
      </w:r>
      <w:r w:rsidRPr="002D69BC">
        <w:rPr>
          <w:rStyle w:val="ac"/>
          <w:rFonts w:eastAsiaTheme="majorEastAsia"/>
          <w:i/>
          <w:iCs/>
          <w:sz w:val="24"/>
          <w:szCs w:val="24"/>
        </w:rPr>
        <w:t xml:space="preserve"> и </w:t>
      </w:r>
      <w:r w:rsidRPr="002D69BC">
        <w:rPr>
          <w:rStyle w:val="ac"/>
          <w:rFonts w:eastAsiaTheme="majorEastAsia"/>
          <w:i/>
          <w:iCs/>
          <w:sz w:val="24"/>
          <w:szCs w:val="24"/>
          <w:lang w:val="en-US"/>
        </w:rPr>
        <w:t>PARAGON</w:t>
      </w:r>
      <w:r w:rsidRPr="002D69BC">
        <w:rPr>
          <w:rStyle w:val="ac"/>
          <w:rFonts w:eastAsiaTheme="majorEastAsia"/>
          <w:i/>
          <w:iCs/>
          <w:sz w:val="24"/>
          <w:szCs w:val="24"/>
        </w:rPr>
        <w:t>-</w:t>
      </w:r>
      <w:r w:rsidRPr="002D69BC">
        <w:rPr>
          <w:rStyle w:val="ac"/>
          <w:rFonts w:eastAsiaTheme="majorEastAsia"/>
          <w:i/>
          <w:iCs/>
          <w:sz w:val="24"/>
          <w:szCs w:val="24"/>
          <w:lang w:val="en-US"/>
        </w:rPr>
        <w:t>HF</w:t>
      </w:r>
      <w:r w:rsidRPr="002D69BC">
        <w:rPr>
          <w:rStyle w:val="ac"/>
          <w:rFonts w:eastAsiaTheme="majorEastAsia"/>
          <w:i/>
          <w:iCs/>
          <w:sz w:val="24"/>
          <w:szCs w:val="24"/>
        </w:rPr>
        <w:t xml:space="preserve"> было показано снижение риска ССС, ОС и госпитализации по причине ХСН в группе валсартан+сакубитрил** по сравнению с группой ИАФП для пациентов с ФВ ЛЖ менее 50% [200]. АРНИ не рекомендуется для рутинного применения при АГ, но может рассматриваться как препарат резерва, например, для применения при резистентной гипертензии и при неэффективности остальных препаратов [195] и при наличии преимущественных клинических ситуаций для его назначения.</w:t>
      </w:r>
    </w:p>
    <w:p w14:paraId="0BA02D82" w14:textId="77777777" w:rsidR="002D69BC" w:rsidRPr="002D69BC" w:rsidRDefault="002D69BC" w:rsidP="00151F88">
      <w:pPr>
        <w:pStyle w:val="11"/>
        <w:ind w:firstLine="0"/>
        <w:jc w:val="center"/>
        <w:rPr>
          <w:sz w:val="24"/>
          <w:szCs w:val="24"/>
        </w:rPr>
      </w:pPr>
      <w:r w:rsidRPr="002D69BC">
        <w:rPr>
          <w:rStyle w:val="ac"/>
          <w:rFonts w:eastAsiaTheme="majorEastAsia"/>
          <w:b/>
          <w:bCs/>
          <w:sz w:val="24"/>
          <w:szCs w:val="24"/>
        </w:rPr>
        <w:t>Другие (дополнительные) классы АГП</w:t>
      </w:r>
    </w:p>
    <w:p w14:paraId="1AFE91E5" w14:textId="77777777" w:rsidR="002D69BC" w:rsidRPr="002D69BC" w:rsidRDefault="002D69BC" w:rsidP="002D69BC">
      <w:pPr>
        <w:pStyle w:val="11"/>
        <w:ind w:firstLine="620"/>
        <w:jc w:val="both"/>
        <w:rPr>
          <w:sz w:val="24"/>
          <w:szCs w:val="24"/>
        </w:rPr>
      </w:pPr>
      <w:r w:rsidRPr="002D69BC">
        <w:rPr>
          <w:rStyle w:val="ac"/>
          <w:rFonts w:eastAsiaTheme="majorEastAsia"/>
          <w:sz w:val="24"/>
          <w:szCs w:val="24"/>
        </w:rPr>
        <w:t xml:space="preserve">В целом АГП, не относящиеся к пяти основным классам (например, препараты центрального действия, альфа-адреноблокаторы), не рекомендуются для рутинного применения при АГ, но остаются препаратами резерва, например, для применения при </w:t>
      </w:r>
      <w:r w:rsidRPr="002D69BC">
        <w:rPr>
          <w:rStyle w:val="ac"/>
          <w:rFonts w:eastAsiaTheme="majorEastAsia"/>
          <w:sz w:val="24"/>
          <w:szCs w:val="24"/>
        </w:rPr>
        <w:lastRenderedPageBreak/>
        <w:t>резистентной гипертензии при неэффективности или плохой переносимости основных препаратов [27].</w:t>
      </w:r>
    </w:p>
    <w:p w14:paraId="332FC47A" w14:textId="77777777" w:rsidR="002D69BC" w:rsidRPr="002D69BC" w:rsidRDefault="002D69BC" w:rsidP="002D69BC">
      <w:pPr>
        <w:pStyle w:val="11"/>
        <w:ind w:firstLine="0"/>
        <w:jc w:val="center"/>
        <w:rPr>
          <w:sz w:val="24"/>
          <w:szCs w:val="24"/>
        </w:rPr>
      </w:pPr>
      <w:r w:rsidRPr="002D69BC">
        <w:rPr>
          <w:rStyle w:val="ac"/>
          <w:rFonts w:eastAsiaTheme="majorEastAsia"/>
          <w:b/>
          <w:bCs/>
          <w:sz w:val="24"/>
          <w:szCs w:val="24"/>
        </w:rPr>
        <w:t>Антагонисты альдостерона (антагонисты минералокортикоидных рецепторов)</w:t>
      </w:r>
    </w:p>
    <w:p w14:paraId="4A913E55" w14:textId="77777777" w:rsidR="00151F88" w:rsidRPr="00151F88" w:rsidRDefault="002D69BC" w:rsidP="00151F88">
      <w:pPr>
        <w:pStyle w:val="11"/>
        <w:ind w:firstLine="0"/>
        <w:jc w:val="both"/>
        <w:rPr>
          <w:sz w:val="24"/>
          <w:szCs w:val="24"/>
        </w:rPr>
      </w:pPr>
      <w:r w:rsidRPr="002D69BC">
        <w:rPr>
          <w:rStyle w:val="ac"/>
          <w:rFonts w:eastAsiaTheme="majorEastAsia"/>
          <w:sz w:val="24"/>
          <w:szCs w:val="24"/>
        </w:rPr>
        <w:t xml:space="preserve">Антигипертензивный эффект антагонистов альдостерона (антагонистов минералокортикоидных рецепторов (АМКР)) (спиронолактон**) связан с тем, что они, имея стероидную структуру, конкурентно по отношению к альдостерону, связываются с его </w:t>
      </w:r>
      <w:r w:rsidR="00151F88" w:rsidRPr="00151F88">
        <w:rPr>
          <w:rStyle w:val="ac"/>
          <w:rFonts w:eastAsiaTheme="majorEastAsia"/>
          <w:sz w:val="24"/>
          <w:szCs w:val="24"/>
        </w:rPr>
        <w:t>рецепторами, блокируя биологические эффекты альдостерона.</w:t>
      </w:r>
    </w:p>
    <w:p w14:paraId="41111DB1" w14:textId="77777777" w:rsidR="00151F88" w:rsidRPr="00151F88" w:rsidRDefault="00151F88" w:rsidP="00151F88">
      <w:pPr>
        <w:pStyle w:val="11"/>
        <w:ind w:firstLine="620"/>
        <w:jc w:val="both"/>
        <w:rPr>
          <w:sz w:val="24"/>
          <w:szCs w:val="24"/>
        </w:rPr>
      </w:pPr>
      <w:r w:rsidRPr="00151F88">
        <w:rPr>
          <w:rStyle w:val="ac"/>
          <w:rFonts w:eastAsiaTheme="majorEastAsia"/>
          <w:sz w:val="24"/>
          <w:szCs w:val="24"/>
        </w:rPr>
        <w:t>Cпиронолактон** оказывает положительный эффект при сердечной недостаточности и резистентной АГ. Для лечения АГ используются низкие суточные дозы АМКР (25–50 мг). Не рекомендуется (абсолютное противопоказание) назначение АМКР при нарушении функции почек с СКФ &lt;30 мл/мин/1,73 м</w:t>
      </w:r>
      <w:r w:rsidRPr="00151F88">
        <w:rPr>
          <w:rStyle w:val="ac"/>
          <w:rFonts w:eastAsiaTheme="majorEastAsia"/>
          <w:sz w:val="24"/>
          <w:szCs w:val="24"/>
          <w:vertAlign w:val="superscript"/>
        </w:rPr>
        <w:t>2</w:t>
      </w:r>
      <w:r w:rsidRPr="00151F88">
        <w:rPr>
          <w:rStyle w:val="ac"/>
          <w:rFonts w:eastAsiaTheme="majorEastAsia"/>
          <w:sz w:val="24"/>
          <w:szCs w:val="24"/>
        </w:rPr>
        <w:t xml:space="preserve"> из-за повышения риска гиперкалиемии и ухудшения функции почек.</w:t>
      </w:r>
    </w:p>
    <w:p w14:paraId="48ACEED6" w14:textId="77777777" w:rsidR="00151F88" w:rsidRPr="00151F88" w:rsidRDefault="00151F88" w:rsidP="00151F88">
      <w:pPr>
        <w:pStyle w:val="11"/>
        <w:ind w:firstLine="620"/>
        <w:jc w:val="both"/>
        <w:rPr>
          <w:sz w:val="24"/>
          <w:szCs w:val="24"/>
        </w:rPr>
      </w:pPr>
      <w:r w:rsidRPr="00151F88">
        <w:rPr>
          <w:rStyle w:val="ac"/>
          <w:rFonts w:eastAsiaTheme="majorEastAsia"/>
          <w:b/>
          <w:bCs/>
          <w:sz w:val="24"/>
          <w:szCs w:val="24"/>
        </w:rPr>
        <w:t xml:space="preserve">Агонисты имидазолиновых рецепторов </w:t>
      </w:r>
      <w:r w:rsidRPr="00151F88">
        <w:rPr>
          <w:rStyle w:val="ac"/>
          <w:rFonts w:eastAsiaTheme="majorEastAsia"/>
          <w:sz w:val="24"/>
          <w:szCs w:val="24"/>
        </w:rPr>
        <w:t xml:space="preserve">(моксонидин**) стимулируют имидазолиновые рецепторы, расположенные в вентролатеральном отделе продолговатого мозга. Исследование </w:t>
      </w:r>
      <w:r w:rsidRPr="00151F88">
        <w:rPr>
          <w:rStyle w:val="ac"/>
          <w:rFonts w:eastAsiaTheme="majorEastAsia"/>
          <w:sz w:val="24"/>
          <w:szCs w:val="24"/>
          <w:lang w:val="en-US"/>
        </w:rPr>
        <w:t>ALMAZ</w:t>
      </w:r>
      <w:r w:rsidRPr="00151F88">
        <w:rPr>
          <w:rStyle w:val="ac"/>
          <w:rFonts w:eastAsiaTheme="majorEastAsia"/>
          <w:sz w:val="24"/>
          <w:szCs w:val="24"/>
        </w:rPr>
        <w:t xml:space="preserve"> показало, что моксонидин** повышает чувствительность тканей к инсулину у пациентов с избыточной массой тела, мягкой АГ, инсулинорезистентностью и нарушением углеводного обмена [203]. Ряд РКИ продемонстрировал, что добавление моксонидина** к АГТ у пациентов с АГ и метаболическими нарушениями улучшает показатели контроля АД и метаболических параметров у этой группы пациентов [204, 205, 206]. Назначение агонистов имидазолиновых рецепторов на более ранних этапах должно быть обосновано лечащим врачом. Не рекомендовано (абсолютное противопоказание) назначение агонистов имидазолиновых рецепторов при синдроме слабости синусового узла, синоатриальной, атриовентрикулярной блокаде 2–3-й степени, выраженной брадикардии с ЧСС менее 50 в минуту, острой и хронической СН.</w:t>
      </w:r>
    </w:p>
    <w:p w14:paraId="2D5351EC" w14:textId="40B97BAD" w:rsidR="00151F88" w:rsidRDefault="00151F88" w:rsidP="002230C2">
      <w:pPr>
        <w:pStyle w:val="11"/>
        <w:ind w:firstLine="620"/>
        <w:jc w:val="both"/>
        <w:rPr>
          <w:rStyle w:val="ac"/>
          <w:rFonts w:eastAsiaTheme="majorEastAsia"/>
          <w:sz w:val="24"/>
          <w:szCs w:val="24"/>
        </w:rPr>
      </w:pPr>
      <w:r w:rsidRPr="00151F88">
        <w:rPr>
          <w:rStyle w:val="ac"/>
          <w:rFonts w:eastAsiaTheme="majorEastAsia"/>
          <w:b/>
          <w:bCs/>
          <w:sz w:val="24"/>
          <w:szCs w:val="24"/>
        </w:rPr>
        <w:t>Альфа-адреноблокаторы</w:t>
      </w:r>
      <w:r w:rsidRPr="00151F88">
        <w:rPr>
          <w:rStyle w:val="ac"/>
          <w:rFonts w:eastAsiaTheme="majorEastAsia"/>
          <w:sz w:val="24"/>
          <w:szCs w:val="24"/>
        </w:rPr>
        <w:t xml:space="preserve">. Альфа-адреноблокаторы улучшают углеводный и липидный обмены, повышают чувствительность тканей к инсулину, улучшают почечную гемодинамику. Ввиду того, что эти препараты вызывают постуральную гипотензию, их с осторожностью применяют у пациентов с диабетической нейропатией и у пациентов старше 65 лет. Препарат принимают с осторожностью при ХСН. Предпочтительным показанием для этого класса препаратов является наличие у пациентов с АГ доброкачественной гиперплазии предстательной железы. Альфа-адреноблокаторы рекомендуются при резистентной </w:t>
      </w:r>
      <w:r w:rsidR="0051422C" w:rsidRPr="00151F88">
        <w:rPr>
          <w:rStyle w:val="ac"/>
          <w:rFonts w:eastAsiaTheme="majorEastAsia"/>
          <w:sz w:val="24"/>
          <w:szCs w:val="24"/>
        </w:rPr>
        <w:t>АГ,</w:t>
      </w:r>
      <w:r w:rsidRPr="00151F88">
        <w:rPr>
          <w:rStyle w:val="ac"/>
          <w:rFonts w:eastAsiaTheme="majorEastAsia"/>
          <w:sz w:val="24"/>
          <w:szCs w:val="24"/>
        </w:rPr>
        <w:t xml:space="preserve"> в качестве четвертого препарата к комбинации ИАПФ/БРА, АК, диуретика (при непереносимости спиронолактона**) [207, 208, 209].</w:t>
      </w:r>
    </w:p>
    <w:p w14:paraId="707A9DD4" w14:textId="77777777" w:rsidR="00291E63" w:rsidRPr="00291E63" w:rsidRDefault="00291E63" w:rsidP="00291E63">
      <w:pPr>
        <w:pStyle w:val="11"/>
        <w:tabs>
          <w:tab w:val="left" w:pos="1106"/>
        </w:tabs>
        <w:ind w:firstLine="0"/>
        <w:jc w:val="center"/>
        <w:rPr>
          <w:sz w:val="24"/>
          <w:szCs w:val="24"/>
        </w:rPr>
      </w:pPr>
      <w:bookmarkStart w:id="33" w:name="bookmark26"/>
      <w:r w:rsidRPr="00291E63">
        <w:rPr>
          <w:rStyle w:val="ac"/>
          <w:rFonts w:eastAsiaTheme="majorEastAsia"/>
          <w:b/>
          <w:bCs/>
          <w:sz w:val="24"/>
          <w:szCs w:val="24"/>
        </w:rPr>
        <w:lastRenderedPageBreak/>
        <w:t>Лечение артериальной гипертензии в отдельных клинических ситуациях</w:t>
      </w:r>
      <w:bookmarkEnd w:id="33"/>
    </w:p>
    <w:p w14:paraId="2B05B8B7" w14:textId="77777777" w:rsidR="00291E63" w:rsidRPr="002230C2" w:rsidRDefault="00291E63" w:rsidP="00291E63">
      <w:pPr>
        <w:pStyle w:val="11"/>
        <w:tabs>
          <w:tab w:val="left" w:pos="1288"/>
        </w:tabs>
        <w:ind w:firstLine="0"/>
        <w:jc w:val="center"/>
        <w:rPr>
          <w:sz w:val="24"/>
          <w:szCs w:val="24"/>
        </w:rPr>
      </w:pPr>
      <w:bookmarkStart w:id="34" w:name="bookmark27"/>
      <w:bookmarkStart w:id="35" w:name="_Hlk206159251"/>
      <w:r w:rsidRPr="002230C2">
        <w:rPr>
          <w:rStyle w:val="ac"/>
          <w:rFonts w:eastAsiaTheme="majorEastAsia"/>
          <w:b/>
          <w:bCs/>
          <w:sz w:val="24"/>
          <w:szCs w:val="24"/>
        </w:rPr>
        <w:t>Артериальная гипертензия и сахарный диабет</w:t>
      </w:r>
      <w:bookmarkEnd w:id="34"/>
    </w:p>
    <w:bookmarkEnd w:id="35"/>
    <w:p w14:paraId="158C1123" w14:textId="77777777" w:rsidR="00291E63" w:rsidRPr="003421F6" w:rsidRDefault="00291E63">
      <w:pPr>
        <w:pStyle w:val="11"/>
        <w:numPr>
          <w:ilvl w:val="0"/>
          <w:numId w:val="19"/>
        </w:numPr>
        <w:tabs>
          <w:tab w:val="left" w:pos="1394"/>
        </w:tabs>
        <w:ind w:firstLine="620"/>
        <w:jc w:val="both"/>
        <w:rPr>
          <w:sz w:val="24"/>
          <w:szCs w:val="24"/>
        </w:rPr>
      </w:pPr>
      <w:r w:rsidRPr="002230C2">
        <w:rPr>
          <w:rStyle w:val="ac"/>
          <w:rFonts w:eastAsiaTheme="majorEastAsia"/>
          <w:sz w:val="24"/>
          <w:szCs w:val="24"/>
        </w:rPr>
        <w:t>Пациентам с АГ в сочетании с СД рекомендуется начинать антигипертензивную</w:t>
      </w:r>
      <w:r w:rsidR="003421F6">
        <w:rPr>
          <w:sz w:val="24"/>
          <w:szCs w:val="24"/>
        </w:rPr>
        <w:t xml:space="preserve"> </w:t>
      </w:r>
      <w:r w:rsidRPr="003421F6">
        <w:rPr>
          <w:rStyle w:val="ac"/>
          <w:rFonts w:eastAsiaTheme="majorEastAsia"/>
          <w:sz w:val="24"/>
          <w:szCs w:val="24"/>
        </w:rPr>
        <w:t>терапию при значениях АД, измеренного в медицинском учреждении ≥140/90 мм рт. ст. [132, 222, 223, 224].</w:t>
      </w:r>
    </w:p>
    <w:p w14:paraId="397A1839" w14:textId="4898ECAB" w:rsidR="00291E63" w:rsidRDefault="00291E63" w:rsidP="00291E63">
      <w:pPr>
        <w:pStyle w:val="11"/>
        <w:ind w:firstLine="620"/>
        <w:jc w:val="both"/>
        <w:rPr>
          <w:rStyle w:val="ac"/>
          <w:rFonts w:eastAsiaTheme="majorEastAsia"/>
          <w:b/>
          <w:bCs/>
          <w:sz w:val="24"/>
          <w:szCs w:val="24"/>
        </w:rPr>
      </w:pPr>
      <w:r w:rsidRPr="002230C2">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51422C">
        <w:rPr>
          <w:rStyle w:val="ac"/>
          <w:rFonts w:eastAsiaTheme="majorEastAsia"/>
          <w:b/>
          <w:bCs/>
          <w:sz w:val="24"/>
          <w:szCs w:val="24"/>
        </w:rPr>
        <w:t xml:space="preserve"> </w:t>
      </w:r>
      <w:r w:rsidRPr="002230C2">
        <w:rPr>
          <w:rStyle w:val="ac"/>
          <w:rFonts w:eastAsiaTheme="majorEastAsia"/>
          <w:b/>
          <w:bCs/>
          <w:sz w:val="24"/>
          <w:szCs w:val="24"/>
        </w:rPr>
        <w:t xml:space="preserve">А, </w:t>
      </w:r>
      <w:r w:rsidR="0051422C" w:rsidRPr="002230C2">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2230C2">
        <w:rPr>
          <w:rStyle w:val="ac"/>
          <w:rFonts w:eastAsiaTheme="majorEastAsia"/>
          <w:b/>
          <w:bCs/>
          <w:sz w:val="24"/>
          <w:szCs w:val="24"/>
        </w:rPr>
        <w:t xml:space="preserve"> 1)</w:t>
      </w:r>
      <w:r w:rsidR="0051422C">
        <w:rPr>
          <w:rStyle w:val="ac"/>
          <w:rFonts w:eastAsiaTheme="majorEastAsia"/>
          <w:b/>
          <w:bCs/>
          <w:sz w:val="24"/>
          <w:szCs w:val="24"/>
        </w:rPr>
        <w:t>;</w:t>
      </w:r>
      <w:r w:rsidR="0051422C" w:rsidRPr="0051422C">
        <w:rPr>
          <w:rStyle w:val="ac"/>
          <w:rFonts w:eastAsiaTheme="majorEastAsia"/>
          <w:b/>
          <w:bCs/>
          <w:sz w:val="24"/>
          <w:szCs w:val="24"/>
        </w:rPr>
        <w:t xml:space="preserve"> </w:t>
      </w:r>
      <w:r w:rsidR="0051422C" w:rsidRPr="002230C2">
        <w:rPr>
          <w:rStyle w:val="ac"/>
          <w:rFonts w:eastAsiaTheme="majorEastAsia"/>
          <w:b/>
          <w:bCs/>
          <w:sz w:val="24"/>
          <w:szCs w:val="24"/>
        </w:rPr>
        <w:t>ЕОК/ЕОАГ IА</w:t>
      </w:r>
      <w:r w:rsidR="002E47DC">
        <w:rPr>
          <w:rStyle w:val="ac"/>
          <w:rFonts w:eastAsiaTheme="majorEastAsia"/>
          <w:b/>
          <w:bCs/>
          <w:sz w:val="24"/>
          <w:szCs w:val="24"/>
        </w:rPr>
        <w:t>.</w:t>
      </w:r>
    </w:p>
    <w:p w14:paraId="55F6A533" w14:textId="1C860732" w:rsidR="0051422C" w:rsidRPr="0051422C" w:rsidRDefault="0051422C" w:rsidP="00291E63">
      <w:pPr>
        <w:pStyle w:val="11"/>
        <w:ind w:firstLine="620"/>
        <w:jc w:val="both"/>
        <w:rPr>
          <w:i/>
          <w:iCs/>
          <w:sz w:val="28"/>
          <w:szCs w:val="28"/>
        </w:rPr>
      </w:pPr>
      <w:r w:rsidRPr="0051422C">
        <w:rPr>
          <w:rStyle w:val="aff9"/>
          <w:rFonts w:eastAsiaTheme="majorEastAsia"/>
          <w:sz w:val="24"/>
          <w:szCs w:val="24"/>
        </w:rPr>
        <w:t>Комментарий:</w:t>
      </w:r>
      <w:r>
        <w:rPr>
          <w:rStyle w:val="aff9"/>
          <w:rFonts w:eastAsiaTheme="majorEastAsia"/>
          <w:sz w:val="24"/>
          <w:szCs w:val="24"/>
        </w:rPr>
        <w:t xml:space="preserve"> </w:t>
      </w:r>
      <w:r w:rsidRPr="0051422C">
        <w:rPr>
          <w:i/>
          <w:iCs/>
          <w:sz w:val="24"/>
          <w:szCs w:val="24"/>
        </w:rPr>
        <w:t>У пациентов с артериальной гипертензией (АГ) в сочетании с сахарным диабетом (СД) раннее начало антигипертензивной терапии при уровне артериального давления (АД) ≥140/90 мм рт. ст., измеренном в медицинском учреждении, направлено на снижение риска развития сердечно-сосудистых осложнений и прогрессирования диабетической нефропатии. Данный порог соответствует международным рекомендациям и подтверждается высоким уровнем доказательств, что обосновывает необходимость своевременного контроля и лечения АГ у пациентов с СД для улучшения прогноза и предотвращения осложнений.</w:t>
      </w:r>
    </w:p>
    <w:p w14:paraId="1C001881" w14:textId="77777777" w:rsidR="00291E63" w:rsidRPr="002230C2" w:rsidRDefault="00291E63">
      <w:pPr>
        <w:pStyle w:val="11"/>
        <w:numPr>
          <w:ilvl w:val="0"/>
          <w:numId w:val="19"/>
        </w:numPr>
        <w:tabs>
          <w:tab w:val="left" w:pos="1394"/>
        </w:tabs>
        <w:ind w:firstLine="620"/>
        <w:jc w:val="both"/>
        <w:rPr>
          <w:sz w:val="24"/>
          <w:szCs w:val="24"/>
        </w:rPr>
      </w:pPr>
      <w:r w:rsidRPr="002230C2">
        <w:rPr>
          <w:rStyle w:val="ac"/>
          <w:rFonts w:eastAsiaTheme="majorEastAsia"/>
          <w:sz w:val="24"/>
          <w:szCs w:val="24"/>
        </w:rPr>
        <w:t>Пациентам с АГ в сочетании с СД, получающим АГП, в связи с доказанными</w:t>
      </w:r>
    </w:p>
    <w:p w14:paraId="4AB8BF84" w14:textId="77777777" w:rsidR="00291E63" w:rsidRPr="00291E63" w:rsidRDefault="00291E63" w:rsidP="00046EFC">
      <w:pPr>
        <w:pStyle w:val="11"/>
        <w:tabs>
          <w:tab w:val="left" w:pos="788"/>
        </w:tabs>
        <w:ind w:firstLine="0"/>
        <w:jc w:val="both"/>
        <w:rPr>
          <w:sz w:val="24"/>
          <w:szCs w:val="24"/>
        </w:rPr>
      </w:pPr>
      <w:r w:rsidRPr="002230C2">
        <w:rPr>
          <w:rStyle w:val="ac"/>
          <w:rFonts w:eastAsiaTheme="majorEastAsia"/>
          <w:sz w:val="24"/>
          <w:szCs w:val="24"/>
        </w:rPr>
        <w:t>преимуществами в снижении СС риска рекомендуется:</w:t>
      </w:r>
      <w:r w:rsidRPr="00291E63">
        <w:rPr>
          <w:rStyle w:val="ac"/>
          <w:rFonts w:eastAsiaTheme="majorEastAsia"/>
        </w:rPr>
        <w:t xml:space="preserve"> </w:t>
      </w:r>
      <w:r w:rsidRPr="00291E63">
        <w:rPr>
          <w:rStyle w:val="ac"/>
          <w:rFonts w:eastAsiaTheme="majorEastAsia"/>
          <w:sz w:val="24"/>
          <w:szCs w:val="24"/>
        </w:rPr>
        <w:t>в качестве целевого уровня снижать САД до значений 130 мм рт. ст. и ниже при хорошей переносимости, но не ниже 120 мм рт. ст. [132, 222, 223, 224].</w:t>
      </w:r>
    </w:p>
    <w:p w14:paraId="2C97FCB4" w14:textId="2DBC28A0" w:rsidR="00291E63" w:rsidRDefault="00291E63" w:rsidP="00291E63">
      <w:pPr>
        <w:pStyle w:val="11"/>
        <w:ind w:firstLine="600"/>
        <w:jc w:val="both"/>
        <w:rPr>
          <w:rStyle w:val="ac"/>
          <w:rFonts w:eastAsiaTheme="majorEastAsia"/>
          <w:b/>
          <w:bCs/>
          <w:sz w:val="24"/>
          <w:szCs w:val="24"/>
        </w:rPr>
      </w:pPr>
      <w:r w:rsidRPr="00291E63">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046EFC">
        <w:rPr>
          <w:rStyle w:val="ac"/>
          <w:rFonts w:eastAsiaTheme="majorEastAsia"/>
          <w:b/>
          <w:bCs/>
          <w:sz w:val="24"/>
          <w:szCs w:val="24"/>
        </w:rPr>
        <w:t xml:space="preserve"> </w:t>
      </w:r>
      <w:r w:rsidRPr="00291E63">
        <w:rPr>
          <w:rStyle w:val="ac"/>
          <w:rFonts w:eastAsiaTheme="majorEastAsia"/>
          <w:b/>
          <w:bCs/>
          <w:sz w:val="24"/>
          <w:szCs w:val="24"/>
        </w:rPr>
        <w:t xml:space="preserve">А, </w:t>
      </w:r>
      <w:r w:rsidR="00046EFC" w:rsidRPr="00291E63">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291E63">
        <w:rPr>
          <w:rStyle w:val="ac"/>
          <w:rFonts w:eastAsiaTheme="majorEastAsia"/>
          <w:b/>
          <w:bCs/>
          <w:sz w:val="24"/>
          <w:szCs w:val="24"/>
        </w:rPr>
        <w:t xml:space="preserve"> 1)</w:t>
      </w:r>
      <w:r w:rsidR="00046EFC">
        <w:rPr>
          <w:rStyle w:val="ac"/>
          <w:rFonts w:eastAsiaTheme="majorEastAsia"/>
          <w:b/>
          <w:bCs/>
          <w:sz w:val="24"/>
          <w:szCs w:val="24"/>
        </w:rPr>
        <w:t>;</w:t>
      </w:r>
      <w:r w:rsidR="00046EFC" w:rsidRPr="00046EFC">
        <w:rPr>
          <w:rStyle w:val="ac"/>
          <w:rFonts w:eastAsiaTheme="majorEastAsia"/>
          <w:b/>
          <w:bCs/>
          <w:sz w:val="24"/>
          <w:szCs w:val="24"/>
        </w:rPr>
        <w:t xml:space="preserve"> </w:t>
      </w:r>
      <w:r w:rsidR="00046EFC" w:rsidRPr="00291E63">
        <w:rPr>
          <w:rStyle w:val="ac"/>
          <w:rFonts w:eastAsiaTheme="majorEastAsia"/>
          <w:b/>
          <w:bCs/>
          <w:sz w:val="24"/>
          <w:szCs w:val="24"/>
        </w:rPr>
        <w:t>ЕОК/ЕОАГ IА</w:t>
      </w:r>
      <w:r w:rsidR="002E47DC">
        <w:rPr>
          <w:rStyle w:val="ac"/>
          <w:rFonts w:eastAsiaTheme="majorEastAsia"/>
          <w:b/>
          <w:bCs/>
          <w:sz w:val="24"/>
          <w:szCs w:val="24"/>
        </w:rPr>
        <w:t>.</w:t>
      </w:r>
    </w:p>
    <w:p w14:paraId="429F3F7E" w14:textId="7D8BD29B" w:rsidR="00046EFC" w:rsidRPr="00046EFC" w:rsidRDefault="00046EFC" w:rsidP="00291E63">
      <w:pPr>
        <w:pStyle w:val="11"/>
        <w:ind w:firstLine="600"/>
        <w:jc w:val="both"/>
        <w:rPr>
          <w:i/>
          <w:iCs/>
          <w:sz w:val="28"/>
          <w:szCs w:val="28"/>
        </w:rPr>
      </w:pPr>
      <w:r w:rsidRPr="00046EFC">
        <w:rPr>
          <w:rStyle w:val="aff9"/>
          <w:rFonts w:eastAsiaTheme="majorEastAsia"/>
          <w:sz w:val="24"/>
          <w:szCs w:val="24"/>
        </w:rPr>
        <w:t>Комментари</w:t>
      </w:r>
      <w:r>
        <w:rPr>
          <w:rStyle w:val="aff9"/>
          <w:rFonts w:eastAsiaTheme="majorEastAsia"/>
          <w:sz w:val="24"/>
          <w:szCs w:val="24"/>
        </w:rPr>
        <w:t>и</w:t>
      </w:r>
      <w:r w:rsidRPr="00046EFC">
        <w:rPr>
          <w:rStyle w:val="aff9"/>
          <w:rFonts w:eastAsiaTheme="majorEastAsia"/>
          <w:i/>
          <w:iCs/>
          <w:sz w:val="24"/>
          <w:szCs w:val="24"/>
        </w:rPr>
        <w:t xml:space="preserve">: </w:t>
      </w:r>
      <w:r w:rsidRPr="00046EFC">
        <w:rPr>
          <w:i/>
          <w:iCs/>
          <w:sz w:val="24"/>
          <w:szCs w:val="24"/>
        </w:rPr>
        <w:t>У пациентов с артериальной гипертензией (АГ) и сахарным диабетом (СД), уже получающих антигипертензивную терапию (АГП), снижение систолического артериального давления (САД) до целевого уровня ≤130 мм рт. ст. связано с доказанным снижением сердечно-сосудистого риска и замедлением прогрессирования диабетических осложнений. В то же время не рекомендуется снижать САД ниже 120 мм рт. ст. во избежание потенциальных осложнений, таких как гипотензия и ухудшение перфузии органов. Такой баланс обеспечивает оптимальное соотношение пользы и риска, при условии хорошей переносимости терапии.</w:t>
      </w:r>
    </w:p>
    <w:p w14:paraId="5DC63F62" w14:textId="77777777" w:rsidR="00291E63" w:rsidRPr="00291E63" w:rsidRDefault="00291E63">
      <w:pPr>
        <w:pStyle w:val="11"/>
        <w:numPr>
          <w:ilvl w:val="0"/>
          <w:numId w:val="19"/>
        </w:numPr>
        <w:tabs>
          <w:tab w:val="left" w:pos="788"/>
        </w:tabs>
        <w:ind w:firstLine="600"/>
        <w:jc w:val="both"/>
        <w:rPr>
          <w:sz w:val="24"/>
          <w:szCs w:val="24"/>
        </w:rPr>
      </w:pPr>
      <w:r w:rsidRPr="00291E63">
        <w:rPr>
          <w:rStyle w:val="ac"/>
          <w:rFonts w:eastAsiaTheme="majorEastAsia"/>
          <w:sz w:val="24"/>
          <w:szCs w:val="24"/>
        </w:rPr>
        <w:t>целевой уровень ДАД у всех пациентов с АГ и СД составляет &lt;80 мм рт. ст., но не ниже 70 мм рт. ст. [27].</w:t>
      </w:r>
    </w:p>
    <w:p w14:paraId="197A8312" w14:textId="7BB4B54F" w:rsidR="00291E63" w:rsidRDefault="003D51B3" w:rsidP="00291E63">
      <w:pPr>
        <w:pStyle w:val="11"/>
        <w:spacing w:after="40"/>
        <w:ind w:firstLine="600"/>
        <w:jc w:val="both"/>
        <w:rPr>
          <w:rStyle w:val="ac"/>
          <w:rFonts w:eastAsiaTheme="majorEastAsia"/>
          <w:b/>
          <w:bCs/>
          <w:sz w:val="24"/>
          <w:szCs w:val="24"/>
        </w:rPr>
      </w:pPr>
      <w:r>
        <w:rPr>
          <w:rStyle w:val="ac"/>
          <w:rFonts w:eastAsiaTheme="majorEastAsia"/>
          <w:b/>
          <w:bCs/>
          <w:sz w:val="24"/>
          <w:szCs w:val="24"/>
        </w:rPr>
        <w:t>Уровень убедительности рекомендаций</w:t>
      </w:r>
      <w:r w:rsidR="00046EFC">
        <w:rPr>
          <w:rStyle w:val="ac"/>
          <w:rFonts w:eastAsiaTheme="majorEastAsia"/>
          <w:b/>
          <w:bCs/>
          <w:sz w:val="24"/>
          <w:szCs w:val="24"/>
        </w:rPr>
        <w:t xml:space="preserve"> </w:t>
      </w:r>
      <w:r w:rsidR="00046EFC" w:rsidRPr="00291E63">
        <w:rPr>
          <w:rStyle w:val="ac"/>
          <w:rFonts w:eastAsiaTheme="majorEastAsia"/>
          <w:b/>
          <w:bCs/>
          <w:sz w:val="24"/>
          <w:szCs w:val="24"/>
        </w:rPr>
        <w:t>С</w:t>
      </w:r>
      <w:r w:rsidR="00046EFC">
        <w:rPr>
          <w:rStyle w:val="ac"/>
          <w:rFonts w:eastAsiaTheme="majorEastAsia"/>
          <w:b/>
          <w:bCs/>
          <w:sz w:val="24"/>
          <w:szCs w:val="24"/>
        </w:rPr>
        <w:t xml:space="preserve"> </w:t>
      </w:r>
      <w:r w:rsidR="00046EFC" w:rsidRPr="00291E63">
        <w:rPr>
          <w:rStyle w:val="ac"/>
          <w:rFonts w:eastAsiaTheme="majorEastAsia"/>
          <w:b/>
          <w:bCs/>
          <w:sz w:val="24"/>
          <w:szCs w:val="24"/>
        </w:rPr>
        <w:t>(</w:t>
      </w:r>
      <w:r>
        <w:rPr>
          <w:rStyle w:val="ac"/>
          <w:rFonts w:eastAsiaTheme="majorEastAsia"/>
          <w:b/>
          <w:bCs/>
          <w:sz w:val="24"/>
          <w:szCs w:val="24"/>
        </w:rPr>
        <w:t>Уровень достоверности доказательств</w:t>
      </w:r>
      <w:r w:rsidR="00291E63" w:rsidRPr="00291E63">
        <w:rPr>
          <w:rStyle w:val="ac"/>
          <w:rFonts w:eastAsiaTheme="majorEastAsia"/>
          <w:b/>
          <w:bCs/>
          <w:sz w:val="24"/>
          <w:szCs w:val="24"/>
        </w:rPr>
        <w:t xml:space="preserve"> 5)</w:t>
      </w:r>
      <w:r w:rsidR="00046EFC">
        <w:rPr>
          <w:rStyle w:val="ac"/>
          <w:rFonts w:eastAsiaTheme="majorEastAsia"/>
          <w:b/>
          <w:bCs/>
          <w:sz w:val="24"/>
          <w:szCs w:val="24"/>
        </w:rPr>
        <w:t>;</w:t>
      </w:r>
      <w:r w:rsidR="002E47DC">
        <w:rPr>
          <w:rStyle w:val="ac"/>
          <w:rFonts w:eastAsiaTheme="majorEastAsia"/>
          <w:b/>
          <w:bCs/>
          <w:sz w:val="24"/>
          <w:szCs w:val="24"/>
        </w:rPr>
        <w:t xml:space="preserve"> </w:t>
      </w:r>
      <w:r w:rsidR="00046EFC" w:rsidRPr="00291E63">
        <w:rPr>
          <w:rStyle w:val="ac"/>
          <w:rFonts w:eastAsiaTheme="majorEastAsia"/>
          <w:b/>
          <w:bCs/>
          <w:sz w:val="24"/>
          <w:szCs w:val="24"/>
        </w:rPr>
        <w:t>ЕОК/ЕОАГ IС</w:t>
      </w:r>
      <w:r w:rsidR="002E47DC">
        <w:rPr>
          <w:rStyle w:val="ac"/>
          <w:rFonts w:eastAsiaTheme="majorEastAsia"/>
          <w:b/>
          <w:bCs/>
          <w:sz w:val="24"/>
          <w:szCs w:val="24"/>
        </w:rPr>
        <w:t>.</w:t>
      </w:r>
    </w:p>
    <w:p w14:paraId="497422EB" w14:textId="14F31BA5" w:rsidR="00046EFC" w:rsidRPr="003B37B6" w:rsidRDefault="00046EFC" w:rsidP="00291E63">
      <w:pPr>
        <w:pStyle w:val="11"/>
        <w:spacing w:after="40"/>
        <w:ind w:firstLine="600"/>
        <w:jc w:val="both"/>
        <w:rPr>
          <w:i/>
          <w:iCs/>
          <w:sz w:val="24"/>
          <w:szCs w:val="24"/>
        </w:rPr>
      </w:pPr>
      <w:r w:rsidRPr="00046EFC">
        <w:rPr>
          <w:rStyle w:val="aff9"/>
          <w:rFonts w:eastAsiaTheme="majorEastAsia"/>
          <w:sz w:val="24"/>
          <w:szCs w:val="24"/>
        </w:rPr>
        <w:t>Комментари</w:t>
      </w:r>
      <w:r>
        <w:rPr>
          <w:rStyle w:val="aff9"/>
          <w:rFonts w:eastAsiaTheme="majorEastAsia"/>
          <w:sz w:val="24"/>
          <w:szCs w:val="24"/>
        </w:rPr>
        <w:t>и</w:t>
      </w:r>
      <w:r w:rsidRPr="00046EFC">
        <w:rPr>
          <w:rStyle w:val="aff9"/>
          <w:rFonts w:eastAsiaTheme="majorEastAsia"/>
          <w:sz w:val="24"/>
          <w:szCs w:val="24"/>
        </w:rPr>
        <w:t>:</w:t>
      </w:r>
      <w:r>
        <w:rPr>
          <w:sz w:val="24"/>
          <w:szCs w:val="24"/>
        </w:rPr>
        <w:t xml:space="preserve"> </w:t>
      </w:r>
      <w:r w:rsidRPr="00046EFC">
        <w:rPr>
          <w:i/>
          <w:iCs/>
          <w:sz w:val="24"/>
          <w:szCs w:val="24"/>
        </w:rPr>
        <w:t xml:space="preserve">Для всех пациентов с артериальной гипертензией (АГ) и сахарным </w:t>
      </w:r>
      <w:r w:rsidRPr="00046EFC">
        <w:rPr>
          <w:i/>
          <w:iCs/>
          <w:sz w:val="24"/>
          <w:szCs w:val="24"/>
        </w:rPr>
        <w:lastRenderedPageBreak/>
        <w:t xml:space="preserve">диабетом (СД) целевым уровнем диастолического артериального давления (ДАД) является значение ниже 80 мм рт. ст., что способствует снижению риска сердечно-сосудистых </w:t>
      </w:r>
      <w:r w:rsidRPr="003B37B6">
        <w:rPr>
          <w:i/>
          <w:iCs/>
          <w:sz w:val="24"/>
          <w:szCs w:val="24"/>
        </w:rPr>
        <w:t>осложнений и улучшению прогноза. При этом не рекомендуется снижать ДАД ниже 70 мм рт. ст., чтобы избежать риска гипоперфузии органов и связанных с этим осложнений, особенно у пациентов с сопутствующими сосудистыми нарушениями. Данная рекомендация основана на балансе эффективности и безопасности антигипертензивной терапии.</w:t>
      </w:r>
    </w:p>
    <w:p w14:paraId="0C0315AB" w14:textId="601BA21E" w:rsidR="00291E63" w:rsidRPr="003B37B6" w:rsidRDefault="00291E63">
      <w:pPr>
        <w:pStyle w:val="11"/>
        <w:numPr>
          <w:ilvl w:val="0"/>
          <w:numId w:val="19"/>
        </w:numPr>
        <w:tabs>
          <w:tab w:val="left" w:pos="1347"/>
        </w:tabs>
        <w:ind w:firstLine="600"/>
        <w:jc w:val="both"/>
        <w:rPr>
          <w:sz w:val="24"/>
          <w:szCs w:val="24"/>
        </w:rPr>
      </w:pPr>
      <w:r w:rsidRPr="003B37B6">
        <w:rPr>
          <w:rStyle w:val="ac"/>
          <w:rFonts w:eastAsiaTheme="majorEastAsia"/>
          <w:sz w:val="24"/>
          <w:szCs w:val="24"/>
        </w:rPr>
        <w:t>Всем пациентам с АГ и СД рекомендуется начинать лечение с комбинации иРААС</w:t>
      </w:r>
      <w:r w:rsidRPr="003B37B6">
        <w:rPr>
          <w:sz w:val="24"/>
          <w:szCs w:val="24"/>
        </w:rPr>
        <w:t xml:space="preserve"> </w:t>
      </w:r>
      <w:r w:rsidRPr="003B37B6">
        <w:rPr>
          <w:rStyle w:val="ac"/>
          <w:rFonts w:eastAsiaTheme="majorEastAsia"/>
          <w:sz w:val="24"/>
          <w:szCs w:val="24"/>
        </w:rPr>
        <w:t>с АК или тиазидным/тиазидоподобным диуретиком в связи с наилучшим влиянием этих комбинаций на частоту достижения целевого АД и снижение СС риска, а также нефропротективным потенциалом иРААС (</w:t>
      </w:r>
      <w:r w:rsidR="00EF1FF5" w:rsidRPr="003B37B6">
        <w:rPr>
          <w:rStyle w:val="ac"/>
          <w:rFonts w:eastAsiaTheme="majorEastAsia"/>
          <w:sz w:val="24"/>
          <w:szCs w:val="24"/>
        </w:rPr>
        <w:t xml:space="preserve">глава 2 </w:t>
      </w:r>
      <w:r w:rsidRPr="003B37B6">
        <w:rPr>
          <w:rStyle w:val="ac"/>
          <w:rFonts w:eastAsiaTheme="majorEastAsia"/>
          <w:sz w:val="24"/>
          <w:szCs w:val="24"/>
        </w:rPr>
        <w:t>Приложени</w:t>
      </w:r>
      <w:r w:rsidR="00EF1FF5" w:rsidRPr="003B37B6">
        <w:rPr>
          <w:rStyle w:val="ac"/>
          <w:rFonts w:eastAsiaTheme="majorEastAsia"/>
          <w:sz w:val="24"/>
          <w:szCs w:val="24"/>
        </w:rPr>
        <w:t>я</w:t>
      </w:r>
      <w:r w:rsidRPr="003B37B6">
        <w:rPr>
          <w:rStyle w:val="ac"/>
          <w:rFonts w:eastAsiaTheme="majorEastAsia"/>
          <w:sz w:val="24"/>
          <w:szCs w:val="24"/>
        </w:rPr>
        <w:t xml:space="preserve"> Б</w:t>
      </w:r>
      <w:r w:rsidR="00EF1FF5" w:rsidRPr="003B37B6">
        <w:rPr>
          <w:rStyle w:val="ac"/>
          <w:rFonts w:eastAsiaTheme="majorEastAsia"/>
          <w:sz w:val="24"/>
          <w:szCs w:val="24"/>
        </w:rPr>
        <w:t xml:space="preserve"> к настоящим Клиническим рекомендациям</w:t>
      </w:r>
      <w:r w:rsidRPr="003B37B6">
        <w:rPr>
          <w:rStyle w:val="ac"/>
          <w:rFonts w:eastAsiaTheme="majorEastAsia"/>
          <w:sz w:val="24"/>
          <w:szCs w:val="24"/>
        </w:rPr>
        <w:t>) [132, 222, 223, 224].</w:t>
      </w:r>
    </w:p>
    <w:p w14:paraId="6D630993" w14:textId="15963605" w:rsidR="00291E63" w:rsidRPr="003B37B6" w:rsidRDefault="00291E63" w:rsidP="00291E63">
      <w:pPr>
        <w:pStyle w:val="11"/>
        <w:ind w:firstLine="600"/>
        <w:jc w:val="both"/>
        <w:rPr>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A474AE" w:rsidRPr="003B37B6">
        <w:rPr>
          <w:rStyle w:val="ac"/>
          <w:rFonts w:eastAsiaTheme="majorEastAsia"/>
          <w:b/>
          <w:bCs/>
          <w:sz w:val="24"/>
          <w:szCs w:val="24"/>
        </w:rPr>
        <w:t xml:space="preserve"> </w:t>
      </w:r>
      <w:r w:rsidRPr="003B37B6">
        <w:rPr>
          <w:rStyle w:val="ac"/>
          <w:rFonts w:eastAsiaTheme="majorEastAsia"/>
          <w:b/>
          <w:bCs/>
          <w:sz w:val="24"/>
          <w:szCs w:val="24"/>
        </w:rPr>
        <w:t xml:space="preserve">А, </w:t>
      </w:r>
      <w:r w:rsidR="00A474AE"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2)</w:t>
      </w:r>
      <w:r w:rsidR="00A474AE" w:rsidRPr="003B37B6">
        <w:rPr>
          <w:rStyle w:val="ac"/>
          <w:rFonts w:eastAsiaTheme="majorEastAsia"/>
          <w:b/>
          <w:bCs/>
          <w:sz w:val="24"/>
          <w:szCs w:val="24"/>
        </w:rPr>
        <w:t>; ЕОК/ЕОАГ IА</w:t>
      </w:r>
      <w:r w:rsidR="00AB30C8" w:rsidRPr="003B37B6">
        <w:rPr>
          <w:rStyle w:val="ac"/>
          <w:rFonts w:eastAsiaTheme="majorEastAsia"/>
          <w:b/>
          <w:bCs/>
          <w:sz w:val="24"/>
          <w:szCs w:val="24"/>
        </w:rPr>
        <w:t>.</w:t>
      </w:r>
    </w:p>
    <w:p w14:paraId="0B733F0C" w14:textId="77777777" w:rsidR="00631C38" w:rsidRPr="003B37B6" w:rsidRDefault="00291E63" w:rsidP="00631C38">
      <w:pPr>
        <w:pStyle w:val="11"/>
        <w:ind w:firstLine="600"/>
        <w:jc w:val="both"/>
        <w:rPr>
          <w:sz w:val="24"/>
          <w:szCs w:val="24"/>
        </w:rPr>
      </w:pPr>
      <w:r w:rsidRPr="003B37B6">
        <w:rPr>
          <w:rStyle w:val="ac"/>
          <w:rFonts w:eastAsiaTheme="majorEastAsia"/>
          <w:b/>
          <w:bCs/>
          <w:sz w:val="24"/>
          <w:szCs w:val="24"/>
        </w:rPr>
        <w:t xml:space="preserve">Комментарии. </w:t>
      </w:r>
      <w:r w:rsidRPr="003B37B6">
        <w:rPr>
          <w:rStyle w:val="ac"/>
          <w:rFonts w:eastAsiaTheme="majorEastAsia"/>
          <w:i/>
          <w:iCs/>
          <w:sz w:val="24"/>
          <w:szCs w:val="24"/>
        </w:rPr>
        <w:t>Сочетание СД и АГ заслуживает особого внимания, поскольку оба заболевания существенно увеличивают риск развития микро- и макрососудистых поражений, включая диабетическую нефропатию, инсульт, ИБС, ИМ, ХСН, атеросклероз периферических артерий, и способствуют увеличению СС смертности. При лечении пациентов АГ с СД необходимо контролировать все имеющиеся у пациента ФР, включая дислипидемию (назначение гиполипидемической терапии). Развитие диабетической нефропатии сопровождается очень высоким риском развития ССО, при этом необходимы контроль АД и уменьшение протеинурии до минимально возможных значений.</w:t>
      </w:r>
      <w:bookmarkStart w:id="36" w:name="bookmark28"/>
    </w:p>
    <w:p w14:paraId="5F465F89" w14:textId="77777777" w:rsidR="00396D6C" w:rsidRPr="003B37B6" w:rsidRDefault="00396D6C" w:rsidP="00631C38">
      <w:pPr>
        <w:pStyle w:val="11"/>
        <w:ind w:firstLine="600"/>
        <w:jc w:val="center"/>
        <w:rPr>
          <w:sz w:val="24"/>
          <w:szCs w:val="24"/>
        </w:rPr>
      </w:pPr>
      <w:bookmarkStart w:id="37" w:name="_Hlk206159206"/>
      <w:r w:rsidRPr="003B37B6">
        <w:rPr>
          <w:rStyle w:val="ac"/>
          <w:rFonts w:eastAsiaTheme="majorEastAsia"/>
          <w:b/>
          <w:bCs/>
          <w:sz w:val="24"/>
          <w:szCs w:val="24"/>
        </w:rPr>
        <w:t>Артериальная гипертензия и хроническая болезнь почек</w:t>
      </w:r>
      <w:bookmarkEnd w:id="36"/>
    </w:p>
    <w:bookmarkEnd w:id="37"/>
    <w:p w14:paraId="29CC031B" w14:textId="1C9CAD20" w:rsidR="00631C38" w:rsidRPr="003B37B6" w:rsidRDefault="00396D6C">
      <w:pPr>
        <w:pStyle w:val="11"/>
        <w:numPr>
          <w:ilvl w:val="0"/>
          <w:numId w:val="20"/>
        </w:numPr>
        <w:tabs>
          <w:tab w:val="left" w:pos="1347"/>
        </w:tabs>
        <w:spacing w:after="40"/>
        <w:ind w:firstLine="600"/>
        <w:jc w:val="both"/>
        <w:rPr>
          <w:sz w:val="24"/>
          <w:szCs w:val="24"/>
        </w:rPr>
      </w:pPr>
      <w:r w:rsidRPr="003B37B6">
        <w:rPr>
          <w:rStyle w:val="ac"/>
          <w:rFonts w:eastAsiaTheme="majorEastAsia"/>
          <w:sz w:val="24"/>
          <w:szCs w:val="24"/>
        </w:rPr>
        <w:t>Пациентам с ХБП рекомендуется начинать лечение (изменение образа жизни и</w:t>
      </w:r>
      <w:r w:rsidR="00631C38" w:rsidRPr="003B37B6">
        <w:rPr>
          <w:sz w:val="24"/>
          <w:szCs w:val="24"/>
        </w:rPr>
        <w:t xml:space="preserve"> </w:t>
      </w:r>
      <w:r w:rsidRPr="003B37B6">
        <w:rPr>
          <w:rStyle w:val="ac"/>
          <w:rFonts w:eastAsiaTheme="majorEastAsia"/>
          <w:sz w:val="24"/>
          <w:szCs w:val="24"/>
        </w:rPr>
        <w:t>лекарственную терапию) вне зависимости от наличия сахарного диабета при уровне АД,</w:t>
      </w:r>
      <w:r w:rsidR="00631C38" w:rsidRPr="003B37B6">
        <w:rPr>
          <w:rStyle w:val="ac"/>
          <w:rFonts w:eastAsiaTheme="majorEastAsia"/>
          <w:sz w:val="24"/>
          <w:szCs w:val="24"/>
        </w:rPr>
        <w:t xml:space="preserve"> </w:t>
      </w:r>
      <w:r w:rsidRPr="003B37B6">
        <w:rPr>
          <w:rStyle w:val="ac"/>
          <w:rFonts w:eastAsiaTheme="majorEastAsia"/>
          <w:sz w:val="24"/>
          <w:szCs w:val="24"/>
        </w:rPr>
        <w:t>измеренного в медицинском учреждении, ≥140/90 мм рт. ст. (</w:t>
      </w:r>
      <w:r w:rsidR="0075205E" w:rsidRPr="003B37B6">
        <w:rPr>
          <w:rStyle w:val="ac"/>
          <w:rFonts w:eastAsiaTheme="majorEastAsia"/>
          <w:i/>
          <w:iCs/>
          <w:sz w:val="24"/>
          <w:szCs w:val="24"/>
        </w:rPr>
        <w:t>глава 3 Приложения Б к настоящим Клиническим рекомендациям</w:t>
      </w:r>
      <w:r w:rsidRPr="003B37B6">
        <w:rPr>
          <w:rStyle w:val="ac"/>
          <w:rFonts w:eastAsiaTheme="majorEastAsia"/>
          <w:sz w:val="24"/>
          <w:szCs w:val="24"/>
        </w:rPr>
        <w:t>) [225, 226].</w:t>
      </w:r>
    </w:p>
    <w:p w14:paraId="129FF1B6" w14:textId="38540C7A" w:rsidR="00396D6C" w:rsidRDefault="00396D6C" w:rsidP="002E47DC">
      <w:pPr>
        <w:pStyle w:val="11"/>
        <w:tabs>
          <w:tab w:val="left" w:pos="1347"/>
        </w:tabs>
        <w:spacing w:after="40"/>
        <w:ind w:firstLine="567"/>
        <w:jc w:val="both"/>
        <w:rPr>
          <w:rStyle w:val="ac"/>
          <w:rFonts w:eastAsiaTheme="majorEastAsia"/>
          <w:b/>
          <w:bCs/>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A474AE" w:rsidRPr="003B37B6">
        <w:rPr>
          <w:rStyle w:val="ac"/>
          <w:rFonts w:eastAsiaTheme="majorEastAsia"/>
          <w:b/>
          <w:bCs/>
          <w:sz w:val="24"/>
          <w:szCs w:val="24"/>
        </w:rPr>
        <w:t xml:space="preserve"> </w:t>
      </w:r>
      <w:r w:rsidRPr="003B37B6">
        <w:rPr>
          <w:rStyle w:val="ac"/>
          <w:rFonts w:eastAsiaTheme="majorEastAsia"/>
          <w:b/>
          <w:bCs/>
          <w:sz w:val="24"/>
          <w:szCs w:val="24"/>
        </w:rPr>
        <w:t xml:space="preserve">В, </w:t>
      </w:r>
      <w:r w:rsidR="00A474AE"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w:t>
      </w:r>
      <w:r w:rsidR="003D51B3">
        <w:rPr>
          <w:rStyle w:val="ac"/>
          <w:rFonts w:eastAsiaTheme="majorEastAsia"/>
          <w:b/>
          <w:bCs/>
          <w:sz w:val="24"/>
          <w:szCs w:val="24"/>
        </w:rPr>
        <w:t xml:space="preserve"> доказательств</w:t>
      </w:r>
      <w:r w:rsidRPr="00631C38">
        <w:rPr>
          <w:rStyle w:val="ac"/>
          <w:rFonts w:eastAsiaTheme="majorEastAsia"/>
          <w:b/>
          <w:bCs/>
          <w:sz w:val="24"/>
          <w:szCs w:val="24"/>
        </w:rPr>
        <w:t xml:space="preserve"> 1)</w:t>
      </w:r>
      <w:r w:rsidR="00A474AE">
        <w:rPr>
          <w:rStyle w:val="ac"/>
          <w:rFonts w:eastAsiaTheme="majorEastAsia"/>
          <w:b/>
          <w:bCs/>
          <w:sz w:val="24"/>
          <w:szCs w:val="24"/>
        </w:rPr>
        <w:t xml:space="preserve">; </w:t>
      </w:r>
      <w:r w:rsidR="00A474AE" w:rsidRPr="00631C38">
        <w:rPr>
          <w:rStyle w:val="ac"/>
          <w:rFonts w:eastAsiaTheme="majorEastAsia"/>
          <w:b/>
          <w:bCs/>
          <w:sz w:val="24"/>
          <w:szCs w:val="24"/>
        </w:rPr>
        <w:t>ЕОК/ЕОАГ IА</w:t>
      </w:r>
      <w:r w:rsidR="002E47DC">
        <w:rPr>
          <w:rStyle w:val="ac"/>
          <w:rFonts w:eastAsiaTheme="majorEastAsia"/>
          <w:b/>
          <w:bCs/>
          <w:sz w:val="24"/>
          <w:szCs w:val="24"/>
        </w:rPr>
        <w:t>.</w:t>
      </w:r>
    </w:p>
    <w:p w14:paraId="2F56EFD5" w14:textId="77777777" w:rsidR="00A474AE" w:rsidRDefault="00A474AE" w:rsidP="00A474AE">
      <w:pPr>
        <w:pStyle w:val="11"/>
        <w:tabs>
          <w:tab w:val="left" w:pos="1347"/>
        </w:tabs>
        <w:spacing w:after="40"/>
        <w:ind w:firstLine="0"/>
        <w:jc w:val="both"/>
        <w:rPr>
          <w:i/>
          <w:iCs/>
          <w:sz w:val="24"/>
          <w:szCs w:val="24"/>
        </w:rPr>
      </w:pPr>
      <w:r w:rsidRPr="00A474AE">
        <w:rPr>
          <w:rStyle w:val="aff9"/>
          <w:rFonts w:eastAsiaTheme="majorEastAsia"/>
          <w:sz w:val="24"/>
          <w:szCs w:val="24"/>
        </w:rPr>
        <w:t>Комментари</w:t>
      </w:r>
      <w:r>
        <w:rPr>
          <w:rStyle w:val="aff9"/>
          <w:rFonts w:eastAsiaTheme="majorEastAsia"/>
          <w:sz w:val="24"/>
          <w:szCs w:val="24"/>
        </w:rPr>
        <w:t>и</w:t>
      </w:r>
      <w:r w:rsidRPr="00A474AE">
        <w:rPr>
          <w:rStyle w:val="aff9"/>
          <w:rFonts w:eastAsiaTheme="majorEastAsia"/>
          <w:sz w:val="24"/>
          <w:szCs w:val="24"/>
        </w:rPr>
        <w:t>:</w:t>
      </w:r>
      <w:r>
        <w:rPr>
          <w:rStyle w:val="aff9"/>
          <w:rFonts w:eastAsiaTheme="majorEastAsia"/>
          <w:sz w:val="24"/>
          <w:szCs w:val="24"/>
        </w:rPr>
        <w:t xml:space="preserve"> </w:t>
      </w:r>
      <w:r w:rsidRPr="00A474AE">
        <w:rPr>
          <w:i/>
          <w:iCs/>
          <w:sz w:val="24"/>
          <w:szCs w:val="24"/>
        </w:rPr>
        <w:t xml:space="preserve">У пациентов с хронической болезнью почек (ХБП) начало лечения артериальной гипертензии рекомендуется при уровне артериального давления (АД) ≥140/90 мм рт. ст., независимо от наличия сахарного диабета. Это связано с высокой вероятностью прогрессирования почечной патологии и развитием сердечно-сосудистых осложнений при недостаточном контроле АД. Включение как немедикаментозных </w:t>
      </w:r>
      <w:r w:rsidRPr="00A474AE">
        <w:rPr>
          <w:i/>
          <w:iCs/>
          <w:sz w:val="24"/>
          <w:szCs w:val="24"/>
        </w:rPr>
        <w:lastRenderedPageBreak/>
        <w:t xml:space="preserve">(изменение образа жизни), так и лекарственных методов терапии обеспечивает комплексный подход, направленный на снижение риска ухудшения функции почек и улучшение общего прогноза пациентов с ХБП. </w:t>
      </w:r>
    </w:p>
    <w:p w14:paraId="6CAA152C" w14:textId="0C4FC687" w:rsidR="00396D6C" w:rsidRPr="00631C38" w:rsidRDefault="00396D6C" w:rsidP="0026698B">
      <w:pPr>
        <w:pStyle w:val="11"/>
        <w:tabs>
          <w:tab w:val="left" w:pos="1347"/>
        </w:tabs>
        <w:spacing w:after="40"/>
        <w:ind w:firstLine="567"/>
        <w:jc w:val="both"/>
        <w:rPr>
          <w:sz w:val="24"/>
          <w:szCs w:val="24"/>
        </w:rPr>
      </w:pPr>
      <w:r w:rsidRPr="00631C38">
        <w:rPr>
          <w:rStyle w:val="ac"/>
          <w:rFonts w:eastAsiaTheme="majorEastAsia"/>
          <w:sz w:val="24"/>
          <w:szCs w:val="24"/>
        </w:rPr>
        <w:t>Пациентам с диабетической и недиабетической ХБП рекомендуется в качестве</w:t>
      </w:r>
      <w:r w:rsidR="0026698B">
        <w:rPr>
          <w:rStyle w:val="ac"/>
          <w:rFonts w:eastAsiaTheme="majorEastAsia"/>
          <w:sz w:val="24"/>
          <w:szCs w:val="24"/>
        </w:rPr>
        <w:t xml:space="preserve"> </w:t>
      </w:r>
      <w:r w:rsidRPr="00631C38">
        <w:rPr>
          <w:rStyle w:val="ac"/>
          <w:rFonts w:eastAsiaTheme="majorEastAsia"/>
          <w:sz w:val="24"/>
          <w:szCs w:val="24"/>
        </w:rPr>
        <w:t>первичной цели снижать АД до значений &lt;140/80 мм рт.</w:t>
      </w:r>
      <w:r w:rsidR="007B1B6A">
        <w:rPr>
          <w:rStyle w:val="ac"/>
          <w:rFonts w:eastAsiaTheme="majorEastAsia"/>
          <w:sz w:val="24"/>
          <w:szCs w:val="24"/>
        </w:rPr>
        <w:t xml:space="preserve"> </w:t>
      </w:r>
      <w:r w:rsidRPr="00631C38">
        <w:rPr>
          <w:rStyle w:val="ac"/>
          <w:rFonts w:eastAsiaTheme="majorEastAsia"/>
          <w:sz w:val="24"/>
          <w:szCs w:val="24"/>
        </w:rPr>
        <w:t>ст., далее большинству при хорошей переносимости, снижать САД, измеренное в условиях медицинского учреждения стандартизованным методом, до значений 130 мм рт. ст. и ниже в связи с доказанными преимуществами в снижении риска сердечно-сосудистых событий [227, 228, 229, 74, 230].</w:t>
      </w:r>
    </w:p>
    <w:p w14:paraId="53FB1D3D" w14:textId="6B7FEC67" w:rsidR="00396D6C" w:rsidRPr="00631C38" w:rsidRDefault="003D51B3" w:rsidP="00631C38">
      <w:pPr>
        <w:pStyle w:val="11"/>
        <w:ind w:firstLine="600"/>
        <w:jc w:val="both"/>
        <w:rPr>
          <w:sz w:val="24"/>
          <w:szCs w:val="24"/>
        </w:rPr>
      </w:pPr>
      <w:r>
        <w:rPr>
          <w:rStyle w:val="ac"/>
          <w:rFonts w:eastAsiaTheme="majorEastAsia"/>
          <w:b/>
          <w:bCs/>
          <w:sz w:val="24"/>
          <w:szCs w:val="24"/>
        </w:rPr>
        <w:t>Уровень убедительности рекомендаций</w:t>
      </w:r>
      <w:r w:rsidR="00A474AE">
        <w:rPr>
          <w:rStyle w:val="ac"/>
          <w:rFonts w:eastAsiaTheme="majorEastAsia"/>
          <w:b/>
          <w:bCs/>
          <w:sz w:val="24"/>
          <w:szCs w:val="24"/>
        </w:rPr>
        <w:t xml:space="preserve"> </w:t>
      </w:r>
      <w:r w:rsidR="00396D6C" w:rsidRPr="00631C38">
        <w:rPr>
          <w:rStyle w:val="ac"/>
          <w:rFonts w:eastAsiaTheme="majorEastAsia"/>
          <w:b/>
          <w:bCs/>
          <w:sz w:val="24"/>
          <w:szCs w:val="24"/>
          <w:lang w:val="en-US"/>
        </w:rPr>
        <w:t>B</w:t>
      </w:r>
      <w:r w:rsidR="00396D6C" w:rsidRPr="00631C38">
        <w:rPr>
          <w:rStyle w:val="ac"/>
          <w:rFonts w:eastAsiaTheme="majorEastAsia"/>
          <w:b/>
          <w:bCs/>
          <w:sz w:val="24"/>
          <w:szCs w:val="24"/>
        </w:rPr>
        <w:t xml:space="preserve">, </w:t>
      </w:r>
      <w:r w:rsidR="00A474AE" w:rsidRPr="00631C38">
        <w:rPr>
          <w:rStyle w:val="ac"/>
          <w:rFonts w:eastAsiaTheme="majorEastAsia"/>
          <w:b/>
          <w:bCs/>
          <w:sz w:val="24"/>
          <w:szCs w:val="24"/>
        </w:rPr>
        <w:t>(</w:t>
      </w:r>
      <w:r>
        <w:rPr>
          <w:rStyle w:val="ac"/>
          <w:rFonts w:eastAsiaTheme="majorEastAsia"/>
          <w:b/>
          <w:bCs/>
          <w:sz w:val="24"/>
          <w:szCs w:val="24"/>
        </w:rPr>
        <w:t>Уровень достоверности доказательств</w:t>
      </w:r>
      <w:r w:rsidR="00396D6C" w:rsidRPr="00631C38">
        <w:rPr>
          <w:rStyle w:val="ac"/>
          <w:rFonts w:eastAsiaTheme="majorEastAsia"/>
          <w:b/>
          <w:bCs/>
          <w:sz w:val="24"/>
          <w:szCs w:val="24"/>
        </w:rPr>
        <w:t xml:space="preserve"> 2)</w:t>
      </w:r>
      <w:r w:rsidR="00A474AE">
        <w:rPr>
          <w:rStyle w:val="ac"/>
          <w:rFonts w:eastAsiaTheme="majorEastAsia"/>
          <w:b/>
          <w:bCs/>
          <w:sz w:val="24"/>
          <w:szCs w:val="24"/>
        </w:rPr>
        <w:t>;</w:t>
      </w:r>
      <w:r w:rsidR="00A474AE" w:rsidRPr="00A474AE">
        <w:rPr>
          <w:rStyle w:val="ac"/>
          <w:rFonts w:eastAsiaTheme="majorEastAsia"/>
          <w:b/>
          <w:bCs/>
          <w:sz w:val="24"/>
          <w:szCs w:val="24"/>
        </w:rPr>
        <w:t xml:space="preserve"> </w:t>
      </w:r>
      <w:r w:rsidR="00A474AE" w:rsidRPr="00631C38">
        <w:rPr>
          <w:rStyle w:val="ac"/>
          <w:rFonts w:eastAsiaTheme="majorEastAsia"/>
          <w:b/>
          <w:bCs/>
          <w:sz w:val="24"/>
          <w:szCs w:val="24"/>
        </w:rPr>
        <w:t>ЕОК/ЕОАГ IА</w:t>
      </w:r>
      <w:r w:rsidR="0026698B">
        <w:rPr>
          <w:rStyle w:val="ac"/>
          <w:rFonts w:eastAsiaTheme="majorEastAsia"/>
          <w:b/>
          <w:bCs/>
          <w:sz w:val="24"/>
          <w:szCs w:val="24"/>
        </w:rPr>
        <w:t>.</w:t>
      </w:r>
    </w:p>
    <w:p w14:paraId="639D887F" w14:textId="77777777" w:rsidR="00396D6C" w:rsidRPr="00631C38" w:rsidRDefault="00396D6C" w:rsidP="007B1B6A">
      <w:pPr>
        <w:pStyle w:val="11"/>
        <w:spacing w:after="40"/>
        <w:ind w:firstLine="600"/>
        <w:jc w:val="both"/>
        <w:rPr>
          <w:sz w:val="24"/>
          <w:szCs w:val="24"/>
        </w:rPr>
      </w:pPr>
      <w:r w:rsidRPr="00631C38">
        <w:rPr>
          <w:rStyle w:val="ac"/>
          <w:rFonts w:eastAsiaTheme="majorEastAsia"/>
          <w:b/>
          <w:bCs/>
          <w:sz w:val="24"/>
          <w:szCs w:val="24"/>
        </w:rPr>
        <w:t xml:space="preserve">Комментарии. </w:t>
      </w:r>
      <w:r w:rsidRPr="00631C38">
        <w:rPr>
          <w:rStyle w:val="ac"/>
          <w:rFonts w:eastAsiaTheme="majorEastAsia"/>
          <w:i/>
          <w:iCs/>
          <w:sz w:val="24"/>
          <w:szCs w:val="24"/>
        </w:rPr>
        <w:t>Выбор целевого уровня САД ниже 130 мм рт. ст., измеренного стандартизованным методом в условиях медицинского учреждения,</w:t>
      </w:r>
      <w:r w:rsidR="007B1B6A">
        <w:rPr>
          <w:rStyle w:val="ac"/>
          <w:rFonts w:eastAsiaTheme="majorEastAsia"/>
          <w:i/>
          <w:iCs/>
          <w:sz w:val="24"/>
          <w:szCs w:val="24"/>
        </w:rPr>
        <w:t xml:space="preserve"> </w:t>
      </w:r>
      <w:r w:rsidRPr="00631C38">
        <w:rPr>
          <w:rStyle w:val="ac"/>
          <w:rFonts w:eastAsiaTheme="majorEastAsia"/>
          <w:i/>
          <w:iCs/>
          <w:sz w:val="24"/>
          <w:szCs w:val="24"/>
        </w:rPr>
        <w:t xml:space="preserve">в значительной степени основан на данных исследования </w:t>
      </w:r>
      <w:r w:rsidRPr="00631C38">
        <w:rPr>
          <w:rStyle w:val="ac"/>
          <w:rFonts w:eastAsiaTheme="majorEastAsia"/>
          <w:i/>
          <w:iCs/>
          <w:sz w:val="24"/>
          <w:szCs w:val="24"/>
          <w:lang w:val="en-US"/>
        </w:rPr>
        <w:t>SPRINT</w:t>
      </w:r>
      <w:r w:rsidRPr="00631C38">
        <w:rPr>
          <w:rStyle w:val="ac"/>
          <w:rFonts w:eastAsiaTheme="majorEastAsia"/>
          <w:i/>
          <w:iCs/>
          <w:sz w:val="24"/>
          <w:szCs w:val="24"/>
        </w:rPr>
        <w:t xml:space="preserve"> о снижении количества сердечно-сосудистых событий и смертности от всех причин у больных ХБП при САД &lt;120 мм рт. ст., хотя значимого ренопротекторного эффекта при этом уровне САД выявлено не было</w:t>
      </w:r>
      <w:r w:rsidRPr="00631C38">
        <w:rPr>
          <w:rStyle w:val="ac"/>
          <w:rFonts w:eastAsiaTheme="majorEastAsia"/>
          <w:sz w:val="24"/>
          <w:szCs w:val="24"/>
        </w:rPr>
        <w:t xml:space="preserve"> [227, 228, 229, 74]</w:t>
      </w:r>
      <w:r w:rsidRPr="00631C38">
        <w:rPr>
          <w:rStyle w:val="ac"/>
          <w:rFonts w:eastAsiaTheme="majorEastAsia"/>
          <w:i/>
          <w:iCs/>
          <w:sz w:val="24"/>
          <w:szCs w:val="24"/>
        </w:rPr>
        <w:t>. Результаты мета-анализов крупных РКИ по лечению АГ также подтверждают преимущества достижения более низкого уровня целевого АД при недиабетической и диабетической ХБП</w:t>
      </w:r>
      <w:r w:rsidRPr="00631C38">
        <w:rPr>
          <w:rStyle w:val="ac"/>
          <w:rFonts w:eastAsiaTheme="majorEastAsia"/>
          <w:sz w:val="24"/>
          <w:szCs w:val="24"/>
        </w:rPr>
        <w:t xml:space="preserve"> [231, 232, 233, 234]</w:t>
      </w:r>
      <w:r w:rsidRPr="00631C38">
        <w:rPr>
          <w:rStyle w:val="ac"/>
          <w:rFonts w:eastAsiaTheme="majorEastAsia"/>
          <w:i/>
          <w:iCs/>
          <w:sz w:val="24"/>
          <w:szCs w:val="24"/>
        </w:rPr>
        <w:t xml:space="preserve">. Для некоторых больных ХБП доказательства в пользу стратегии интенсивного снижения АД менее убедительны, однако это не означает, что интенсивное снижение САД не оправдано, а только отражает отсутствие данных РКИ. Это пациенты с СД, 4 и 5 стадией ХБП, больные с САД 120-129 мм рт. ст., с высокой протеинурией, очень низким ДАД (&lt;50 мм рт. ст.), изолированной офисной АГ и пациенты крайних возрастных групп (&gt;90 лет и &lt;50 лет), АГ с высокими цифрами АД (пациенты с САД ≥180 мм рт. ст. без терапии или на монотерапии или САД ≥180 мм рт. ст., принимающие более 4 АГП, т.к. такие пациенты не включались в исследование </w:t>
      </w:r>
      <w:r w:rsidRPr="00631C38">
        <w:rPr>
          <w:rStyle w:val="ac"/>
          <w:rFonts w:eastAsiaTheme="majorEastAsia"/>
          <w:i/>
          <w:iCs/>
          <w:sz w:val="24"/>
          <w:szCs w:val="24"/>
          <w:lang w:val="en-US"/>
        </w:rPr>
        <w:t>SPRINT</w:t>
      </w:r>
      <w:r w:rsidRPr="00631C38">
        <w:rPr>
          <w:rStyle w:val="ac"/>
          <w:rFonts w:eastAsiaTheme="majorEastAsia"/>
          <w:i/>
          <w:iCs/>
          <w:sz w:val="24"/>
          <w:szCs w:val="24"/>
        </w:rPr>
        <w:t>). Если пациент плохо переносит даже медленное, постепенное снижение САД до целевых значений, следует поддерживать САД на максимально низком, но переносимом для данного пациента уровне.</w:t>
      </w:r>
    </w:p>
    <w:p w14:paraId="2D8A5A16" w14:textId="77777777" w:rsidR="00396D6C" w:rsidRPr="00631C38" w:rsidRDefault="00396D6C">
      <w:pPr>
        <w:pStyle w:val="11"/>
        <w:numPr>
          <w:ilvl w:val="0"/>
          <w:numId w:val="20"/>
        </w:numPr>
        <w:tabs>
          <w:tab w:val="left" w:pos="1395"/>
        </w:tabs>
        <w:ind w:firstLine="620"/>
        <w:jc w:val="both"/>
        <w:rPr>
          <w:sz w:val="24"/>
          <w:szCs w:val="24"/>
        </w:rPr>
      </w:pPr>
      <w:r w:rsidRPr="00631C38">
        <w:rPr>
          <w:rStyle w:val="ac"/>
          <w:rFonts w:eastAsiaTheme="majorEastAsia"/>
          <w:sz w:val="24"/>
          <w:szCs w:val="24"/>
        </w:rPr>
        <w:t>иРААС рекомендуются в качестве компонента терапевтической стратегии при</w:t>
      </w:r>
    </w:p>
    <w:p w14:paraId="2FAED1B0" w14:textId="77777777" w:rsidR="00396D6C" w:rsidRPr="00631C38" w:rsidRDefault="00396D6C" w:rsidP="00631C38">
      <w:pPr>
        <w:pStyle w:val="11"/>
        <w:ind w:firstLine="0"/>
        <w:jc w:val="both"/>
        <w:rPr>
          <w:sz w:val="24"/>
          <w:szCs w:val="24"/>
        </w:rPr>
      </w:pPr>
      <w:r w:rsidRPr="00631C38">
        <w:rPr>
          <w:rStyle w:val="ac"/>
          <w:rFonts w:eastAsiaTheme="majorEastAsia"/>
          <w:sz w:val="24"/>
          <w:szCs w:val="24"/>
        </w:rPr>
        <w:t>наличии альбуминурии высокой степени или протеинурии, как более эффективные препараты для уменьшения выраженности альбуминурии [226, 235].</w:t>
      </w:r>
    </w:p>
    <w:p w14:paraId="60AF22A7" w14:textId="0CCB9CEE" w:rsidR="00396D6C" w:rsidRPr="00631C38" w:rsidRDefault="00396D6C" w:rsidP="00631C38">
      <w:pPr>
        <w:pStyle w:val="11"/>
        <w:spacing w:after="40"/>
        <w:ind w:firstLine="620"/>
        <w:jc w:val="both"/>
        <w:rPr>
          <w:sz w:val="24"/>
          <w:szCs w:val="24"/>
        </w:rPr>
      </w:pPr>
      <w:r w:rsidRPr="00631C38">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A474AE">
        <w:rPr>
          <w:rStyle w:val="ac"/>
          <w:rFonts w:eastAsiaTheme="majorEastAsia"/>
          <w:b/>
          <w:bCs/>
          <w:sz w:val="24"/>
          <w:szCs w:val="24"/>
        </w:rPr>
        <w:t xml:space="preserve"> </w:t>
      </w:r>
      <w:r w:rsidRPr="00631C38">
        <w:rPr>
          <w:rStyle w:val="ac"/>
          <w:rFonts w:eastAsiaTheme="majorEastAsia"/>
          <w:b/>
          <w:bCs/>
          <w:sz w:val="24"/>
          <w:szCs w:val="24"/>
        </w:rPr>
        <w:t xml:space="preserve">А, </w:t>
      </w:r>
      <w:r w:rsidR="00A474AE" w:rsidRPr="00631C38">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631C38">
        <w:rPr>
          <w:rStyle w:val="ac"/>
          <w:rFonts w:eastAsiaTheme="majorEastAsia"/>
          <w:b/>
          <w:bCs/>
          <w:sz w:val="24"/>
          <w:szCs w:val="24"/>
        </w:rPr>
        <w:t xml:space="preserve"> 1)</w:t>
      </w:r>
      <w:r w:rsidR="00A474AE">
        <w:rPr>
          <w:rStyle w:val="ac"/>
          <w:rFonts w:eastAsiaTheme="majorEastAsia"/>
          <w:b/>
          <w:bCs/>
          <w:sz w:val="24"/>
          <w:szCs w:val="24"/>
        </w:rPr>
        <w:t>;</w:t>
      </w:r>
      <w:r w:rsidR="00A474AE" w:rsidRPr="00A474AE">
        <w:rPr>
          <w:rStyle w:val="ac"/>
          <w:rFonts w:eastAsiaTheme="majorEastAsia"/>
          <w:b/>
          <w:bCs/>
          <w:sz w:val="24"/>
          <w:szCs w:val="24"/>
        </w:rPr>
        <w:t xml:space="preserve"> </w:t>
      </w:r>
      <w:r w:rsidR="00A474AE" w:rsidRPr="00631C38">
        <w:rPr>
          <w:rStyle w:val="ac"/>
          <w:rFonts w:eastAsiaTheme="majorEastAsia"/>
          <w:b/>
          <w:bCs/>
          <w:sz w:val="24"/>
          <w:szCs w:val="24"/>
        </w:rPr>
        <w:t>ЕОК/ЕОАГ IА</w:t>
      </w:r>
      <w:r w:rsidR="0026698B">
        <w:rPr>
          <w:rStyle w:val="ac"/>
          <w:rFonts w:eastAsiaTheme="majorEastAsia"/>
          <w:b/>
          <w:bCs/>
          <w:sz w:val="24"/>
          <w:szCs w:val="24"/>
        </w:rPr>
        <w:t>.</w:t>
      </w:r>
    </w:p>
    <w:p w14:paraId="39D15914" w14:textId="77777777" w:rsidR="00396D6C" w:rsidRPr="00631C38" w:rsidRDefault="00396D6C">
      <w:pPr>
        <w:pStyle w:val="11"/>
        <w:numPr>
          <w:ilvl w:val="0"/>
          <w:numId w:val="20"/>
        </w:numPr>
        <w:tabs>
          <w:tab w:val="left" w:pos="1395"/>
        </w:tabs>
        <w:ind w:firstLine="620"/>
        <w:jc w:val="both"/>
        <w:rPr>
          <w:sz w:val="24"/>
          <w:szCs w:val="24"/>
        </w:rPr>
      </w:pPr>
      <w:r w:rsidRPr="00631C38">
        <w:rPr>
          <w:rStyle w:val="ac"/>
          <w:rFonts w:eastAsiaTheme="majorEastAsia"/>
          <w:sz w:val="24"/>
          <w:szCs w:val="24"/>
        </w:rPr>
        <w:t>Всем пациентам с АГ и ХБП в качестве начальной терапии рекомендуется</w:t>
      </w:r>
    </w:p>
    <w:p w14:paraId="2F532A23" w14:textId="0798A7F5" w:rsidR="00396D6C" w:rsidRPr="003B37B6" w:rsidRDefault="00396D6C" w:rsidP="00631C38">
      <w:pPr>
        <w:pStyle w:val="11"/>
        <w:ind w:firstLine="0"/>
        <w:jc w:val="both"/>
        <w:rPr>
          <w:sz w:val="24"/>
          <w:szCs w:val="24"/>
        </w:rPr>
      </w:pPr>
      <w:r w:rsidRPr="003B37B6">
        <w:rPr>
          <w:rStyle w:val="ac"/>
          <w:rFonts w:eastAsiaTheme="majorEastAsia"/>
          <w:sz w:val="24"/>
          <w:szCs w:val="24"/>
        </w:rPr>
        <w:lastRenderedPageBreak/>
        <w:t>комбинация иРААС с АК или диуретиком (при ХБП 4 и 5 стадии – с петлевым диуретиком) (</w:t>
      </w:r>
      <w:r w:rsidR="0075205E" w:rsidRPr="003B37B6">
        <w:rPr>
          <w:rStyle w:val="ac"/>
          <w:rFonts w:eastAsiaTheme="majorEastAsia"/>
          <w:sz w:val="24"/>
          <w:szCs w:val="24"/>
        </w:rPr>
        <w:t>глава 3 Приложения Б к настоящим Клиническим рекомендациям</w:t>
      </w:r>
      <w:r w:rsidRPr="003B37B6">
        <w:rPr>
          <w:rStyle w:val="ac"/>
          <w:rFonts w:eastAsiaTheme="majorEastAsia"/>
          <w:sz w:val="24"/>
          <w:szCs w:val="24"/>
        </w:rPr>
        <w:t>) в связи с наилучшим влиянием данных комбинаций на частоту достижения целевого АД и снижение СС риска [236, 12, 237, 238, 239, 240]</w:t>
      </w:r>
    </w:p>
    <w:p w14:paraId="24843A56" w14:textId="7A500849" w:rsidR="00396D6C" w:rsidRPr="003B37B6" w:rsidRDefault="00396D6C" w:rsidP="00631C38">
      <w:pPr>
        <w:pStyle w:val="11"/>
        <w:ind w:firstLine="620"/>
        <w:jc w:val="both"/>
        <w:rPr>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A474AE" w:rsidRPr="003B37B6">
        <w:rPr>
          <w:rStyle w:val="ac"/>
          <w:rFonts w:eastAsiaTheme="majorEastAsia"/>
          <w:b/>
          <w:bCs/>
          <w:sz w:val="24"/>
          <w:szCs w:val="24"/>
        </w:rPr>
        <w:t xml:space="preserve"> </w:t>
      </w:r>
      <w:r w:rsidRPr="003B37B6">
        <w:rPr>
          <w:rStyle w:val="ac"/>
          <w:rFonts w:eastAsiaTheme="majorEastAsia"/>
          <w:b/>
          <w:bCs/>
          <w:sz w:val="24"/>
          <w:szCs w:val="24"/>
        </w:rPr>
        <w:t xml:space="preserve">А, </w:t>
      </w:r>
      <w:r w:rsidR="00A474AE"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1</w:t>
      </w:r>
      <w:r w:rsidR="00A474AE" w:rsidRPr="003B37B6">
        <w:rPr>
          <w:rStyle w:val="ac"/>
          <w:rFonts w:eastAsiaTheme="majorEastAsia"/>
          <w:b/>
          <w:bCs/>
          <w:sz w:val="24"/>
          <w:szCs w:val="24"/>
        </w:rPr>
        <w:t>); ЕОК/ЕОАГ IА</w:t>
      </w:r>
      <w:r w:rsidR="0026698B" w:rsidRPr="003B37B6">
        <w:rPr>
          <w:rStyle w:val="ac"/>
          <w:rFonts w:eastAsiaTheme="majorEastAsia"/>
          <w:b/>
          <w:bCs/>
          <w:sz w:val="24"/>
          <w:szCs w:val="24"/>
        </w:rPr>
        <w:t>.</w:t>
      </w:r>
    </w:p>
    <w:p w14:paraId="7FBEC2DD" w14:textId="77777777" w:rsidR="00396D6C" w:rsidRPr="003B37B6" w:rsidRDefault="00396D6C" w:rsidP="00631C38">
      <w:pPr>
        <w:pStyle w:val="11"/>
        <w:ind w:firstLine="620"/>
        <w:jc w:val="both"/>
        <w:rPr>
          <w:sz w:val="24"/>
          <w:szCs w:val="24"/>
        </w:rPr>
      </w:pPr>
      <w:r w:rsidRPr="003B37B6">
        <w:rPr>
          <w:rStyle w:val="ac"/>
          <w:rFonts w:eastAsiaTheme="majorEastAsia"/>
          <w:b/>
          <w:bCs/>
          <w:sz w:val="24"/>
          <w:szCs w:val="24"/>
        </w:rPr>
        <w:t xml:space="preserve">Комментарии. </w:t>
      </w:r>
      <w:r w:rsidRPr="003B37B6">
        <w:rPr>
          <w:rStyle w:val="ac"/>
          <w:rFonts w:eastAsiaTheme="majorEastAsia"/>
          <w:i/>
          <w:iCs/>
          <w:sz w:val="24"/>
          <w:szCs w:val="24"/>
        </w:rPr>
        <w:t>АГ является важнейшим фактором риска развития и прогрессирования хронической болезни почек (ХБП) любой этиологии; адекватный контроль АД замедляет ее развитие. В свою очередь, ХБП является важным независимым фактором риска развития и прогрессирования ССЗ, в том числе фатальных.</w:t>
      </w:r>
    </w:p>
    <w:p w14:paraId="54469F61" w14:textId="408D2883" w:rsidR="007B1B6A" w:rsidRPr="003B37B6" w:rsidRDefault="00396D6C" w:rsidP="007B1B6A">
      <w:pPr>
        <w:pStyle w:val="11"/>
        <w:ind w:firstLine="0"/>
        <w:jc w:val="both"/>
        <w:rPr>
          <w:sz w:val="24"/>
          <w:szCs w:val="24"/>
        </w:rPr>
      </w:pPr>
      <w:r w:rsidRPr="003B37B6">
        <w:rPr>
          <w:rStyle w:val="ac"/>
          <w:rFonts w:eastAsiaTheme="majorEastAsia"/>
          <w:i/>
          <w:iCs/>
          <w:sz w:val="24"/>
          <w:szCs w:val="24"/>
        </w:rPr>
        <w:t>Стратегия назначения диуретиков отличается у пациентов 1-3 и 4-5 стадий ХБП</w:t>
      </w:r>
      <w:r w:rsidRPr="003B37B6">
        <w:rPr>
          <w:rStyle w:val="ac"/>
          <w:rFonts w:eastAsiaTheme="majorEastAsia"/>
          <w:sz w:val="24"/>
          <w:szCs w:val="24"/>
        </w:rPr>
        <w:t xml:space="preserve"> [12] </w:t>
      </w:r>
      <w:r w:rsidRPr="003B37B6">
        <w:rPr>
          <w:rStyle w:val="ac"/>
          <w:rFonts w:eastAsiaTheme="majorEastAsia"/>
          <w:i/>
          <w:iCs/>
          <w:sz w:val="24"/>
          <w:szCs w:val="24"/>
        </w:rPr>
        <w:t>при уровне СКФ &gt;30 мл/мин/1,73 м</w:t>
      </w:r>
      <w:r w:rsidRPr="003B37B6">
        <w:rPr>
          <w:rStyle w:val="ac"/>
          <w:rFonts w:eastAsiaTheme="majorEastAsia"/>
          <w:i/>
          <w:iCs/>
          <w:sz w:val="24"/>
          <w:szCs w:val="24"/>
          <w:vertAlign w:val="superscript"/>
        </w:rPr>
        <w:t>2</w:t>
      </w:r>
      <w:r w:rsidRPr="003B37B6">
        <w:rPr>
          <w:rStyle w:val="ac"/>
          <w:rFonts w:eastAsiaTheme="majorEastAsia"/>
          <w:i/>
          <w:iCs/>
          <w:sz w:val="24"/>
          <w:szCs w:val="24"/>
        </w:rPr>
        <w:t xml:space="preserve"> предпочтительны тиазидные или тиазидоподобные диуретики; у пациентов с СКФ &lt;45 мл/мин/1,73 м</w:t>
      </w:r>
      <w:r w:rsidRPr="003B37B6">
        <w:rPr>
          <w:rStyle w:val="ac"/>
          <w:rFonts w:eastAsiaTheme="majorEastAsia"/>
          <w:i/>
          <w:iCs/>
          <w:sz w:val="24"/>
          <w:szCs w:val="24"/>
          <w:vertAlign w:val="superscript"/>
        </w:rPr>
        <w:t>2</w:t>
      </w:r>
      <w:r w:rsidRPr="003B37B6">
        <w:rPr>
          <w:rStyle w:val="ac"/>
          <w:rFonts w:eastAsiaTheme="majorEastAsia"/>
          <w:i/>
          <w:iCs/>
          <w:sz w:val="24"/>
          <w:szCs w:val="24"/>
        </w:rPr>
        <w:t xml:space="preserve"> в индивидуальном порядке возможно назначение петлевых диуретиков; при СКФ &lt;30 мл/мин/1,73 м</w:t>
      </w:r>
      <w:r w:rsidRPr="003B37B6">
        <w:rPr>
          <w:rStyle w:val="ac"/>
          <w:rFonts w:eastAsiaTheme="majorEastAsia"/>
          <w:i/>
          <w:iCs/>
          <w:sz w:val="24"/>
          <w:szCs w:val="24"/>
          <w:vertAlign w:val="superscript"/>
        </w:rPr>
        <w:t>2</w:t>
      </w:r>
      <w:r w:rsidRPr="003B37B6">
        <w:rPr>
          <w:rStyle w:val="ac"/>
          <w:rFonts w:eastAsiaTheme="majorEastAsia"/>
          <w:i/>
          <w:iCs/>
          <w:sz w:val="24"/>
          <w:szCs w:val="24"/>
        </w:rPr>
        <w:t xml:space="preserve"> назначаются петлевые диуретики. При недостижении целевого АД на фоне тройной комбинации, одним из вариантов на следующем</w:t>
      </w:r>
      <w:r w:rsidR="007B1B6A" w:rsidRPr="003B37B6">
        <w:rPr>
          <w:rStyle w:val="ac"/>
          <w:rFonts w:eastAsiaTheme="majorEastAsia"/>
          <w:i/>
          <w:iCs/>
        </w:rPr>
        <w:t xml:space="preserve"> </w:t>
      </w:r>
      <w:r w:rsidR="007B1B6A" w:rsidRPr="003B37B6">
        <w:rPr>
          <w:rStyle w:val="ac"/>
          <w:rFonts w:eastAsiaTheme="majorEastAsia"/>
          <w:i/>
          <w:iCs/>
          <w:sz w:val="24"/>
          <w:szCs w:val="24"/>
        </w:rPr>
        <w:t>шаге терапии у пациентов с СКФ &gt;30 мл/мин/1,73 м</w:t>
      </w:r>
      <w:r w:rsidR="007B1B6A" w:rsidRPr="003B37B6">
        <w:rPr>
          <w:rStyle w:val="ac"/>
          <w:rFonts w:eastAsiaTheme="majorEastAsia"/>
          <w:i/>
          <w:iCs/>
          <w:sz w:val="24"/>
          <w:szCs w:val="24"/>
          <w:vertAlign w:val="superscript"/>
        </w:rPr>
        <w:t>2</w:t>
      </w:r>
      <w:r w:rsidR="007B1B6A" w:rsidRPr="003B37B6">
        <w:rPr>
          <w:rStyle w:val="ac"/>
          <w:rFonts w:eastAsiaTheme="majorEastAsia"/>
          <w:i/>
          <w:iCs/>
          <w:sz w:val="24"/>
          <w:szCs w:val="24"/>
        </w:rPr>
        <w:t xml:space="preserve"> является добавление спиронолактона** под контролем функции почек и уровня калия, а у пациентов с ХБП 4-5 стадий - добавление хлорталидона или другого Т/ТП диуретика</w:t>
      </w:r>
      <w:r w:rsidR="007B1B6A" w:rsidRPr="003B37B6">
        <w:rPr>
          <w:rStyle w:val="ac"/>
          <w:rFonts w:eastAsiaTheme="majorEastAsia"/>
          <w:sz w:val="24"/>
          <w:szCs w:val="24"/>
        </w:rPr>
        <w:t xml:space="preserve"> [189, 241]</w:t>
      </w:r>
      <w:r w:rsidR="007B1B6A" w:rsidRPr="003B37B6">
        <w:rPr>
          <w:rStyle w:val="ac"/>
          <w:rFonts w:eastAsiaTheme="majorEastAsia"/>
          <w:i/>
          <w:iCs/>
          <w:sz w:val="24"/>
          <w:szCs w:val="24"/>
        </w:rPr>
        <w:t>. (</w:t>
      </w:r>
      <w:r w:rsidR="0075205E" w:rsidRPr="003B37B6">
        <w:rPr>
          <w:rStyle w:val="ac"/>
          <w:rFonts w:eastAsiaTheme="majorEastAsia"/>
          <w:i/>
          <w:iCs/>
          <w:sz w:val="24"/>
          <w:szCs w:val="24"/>
        </w:rPr>
        <w:t>глава 3 Приложения Б к настоящим Клиническим рекомендациям</w:t>
      </w:r>
      <w:r w:rsidR="007B1B6A" w:rsidRPr="003B37B6">
        <w:rPr>
          <w:rStyle w:val="ac"/>
          <w:rFonts w:eastAsiaTheme="majorEastAsia"/>
          <w:i/>
          <w:iCs/>
          <w:sz w:val="24"/>
          <w:szCs w:val="24"/>
        </w:rPr>
        <w:t>)</w:t>
      </w:r>
      <w:r w:rsidR="0075205E" w:rsidRPr="003B37B6">
        <w:rPr>
          <w:rStyle w:val="ac"/>
          <w:rFonts w:eastAsiaTheme="majorEastAsia"/>
          <w:i/>
          <w:iCs/>
          <w:sz w:val="24"/>
          <w:szCs w:val="24"/>
        </w:rPr>
        <w:t>.</w:t>
      </w:r>
    </w:p>
    <w:p w14:paraId="345D3943" w14:textId="77777777" w:rsidR="007B1B6A" w:rsidRPr="003B37B6" w:rsidRDefault="007B1B6A" w:rsidP="007B1B6A">
      <w:pPr>
        <w:pStyle w:val="11"/>
        <w:ind w:firstLine="600"/>
        <w:jc w:val="both"/>
        <w:rPr>
          <w:sz w:val="24"/>
          <w:szCs w:val="24"/>
        </w:rPr>
      </w:pPr>
      <w:r w:rsidRPr="003B37B6">
        <w:rPr>
          <w:rStyle w:val="ac"/>
          <w:rFonts w:eastAsiaTheme="majorEastAsia"/>
          <w:i/>
          <w:iCs/>
          <w:sz w:val="24"/>
          <w:szCs w:val="24"/>
        </w:rPr>
        <w:t>У пациентов, получающих почечную заместительную терапию гемодиализом, АГ существенно влияет на выживаемость. Для ведения таких пациентов крайне важно точное и правильное измерение АД на периферических артериях, однако АД до сеанса гемодиализа может не отражать средний уровень АД, так как большие колебания натрия и воды в организме способствуют большей вариабельности АД. Доказано, что АД, измеренное методом ДМАД (в том числе активного мониторинга АД при помощи дистанционных технологий), более информативно, чем показатели АД перед сеансом гемодиализа.</w:t>
      </w:r>
    </w:p>
    <w:p w14:paraId="776A7DD4" w14:textId="77777777" w:rsidR="007B1B6A" w:rsidRPr="003B37B6" w:rsidRDefault="007B1B6A" w:rsidP="007B1B6A">
      <w:pPr>
        <w:pStyle w:val="11"/>
        <w:ind w:firstLine="600"/>
        <w:jc w:val="both"/>
        <w:rPr>
          <w:sz w:val="24"/>
          <w:szCs w:val="24"/>
        </w:rPr>
      </w:pPr>
      <w:r w:rsidRPr="003B37B6">
        <w:rPr>
          <w:rStyle w:val="ac"/>
          <w:rFonts w:eastAsiaTheme="majorEastAsia"/>
          <w:i/>
          <w:iCs/>
          <w:sz w:val="24"/>
          <w:szCs w:val="24"/>
        </w:rPr>
        <w:t>У пациентов с терминальной стадией ХБП, находящихся на диализе, снижение САД и ДАД сопровождается уменьшением частоты СС осложнений и общей смертности. Пациентам, находящимся на гемодиализе, можно назначать все АГП, при этом их дозы зависят от стабильности гемодинамики и способности конкретного препарата проходить через диализные мембраны. Петлевые диуретики — препараты выбора среди диуретиков при терминальной ХБП.</w:t>
      </w:r>
    </w:p>
    <w:p w14:paraId="4B6A1A96" w14:textId="77777777" w:rsidR="007B1B6A" w:rsidRPr="003B37B6" w:rsidRDefault="007B1B6A" w:rsidP="007B1B6A">
      <w:pPr>
        <w:pStyle w:val="11"/>
        <w:ind w:firstLine="600"/>
        <w:jc w:val="both"/>
        <w:rPr>
          <w:sz w:val="24"/>
          <w:szCs w:val="24"/>
        </w:rPr>
      </w:pPr>
      <w:r w:rsidRPr="003B37B6">
        <w:rPr>
          <w:rStyle w:val="ac"/>
          <w:rFonts w:eastAsiaTheme="majorEastAsia"/>
          <w:i/>
          <w:iCs/>
          <w:sz w:val="24"/>
          <w:szCs w:val="24"/>
        </w:rPr>
        <w:t>В качестве целевых значений САД у лиц с повышенным</w:t>
      </w:r>
      <w:r w:rsidRPr="007B1B6A">
        <w:rPr>
          <w:rStyle w:val="ac"/>
          <w:rFonts w:eastAsiaTheme="majorEastAsia"/>
          <w:i/>
          <w:iCs/>
          <w:sz w:val="24"/>
          <w:szCs w:val="24"/>
        </w:rPr>
        <w:t xml:space="preserve"> АД и ХБП экспертами </w:t>
      </w:r>
      <w:r w:rsidRPr="007B1B6A">
        <w:rPr>
          <w:rStyle w:val="ac"/>
          <w:rFonts w:eastAsiaTheme="majorEastAsia"/>
          <w:i/>
          <w:iCs/>
          <w:sz w:val="24"/>
          <w:szCs w:val="24"/>
          <w:lang w:val="en-US"/>
        </w:rPr>
        <w:t>KDIGO</w:t>
      </w:r>
      <w:r w:rsidRPr="007B1B6A">
        <w:rPr>
          <w:rStyle w:val="ac"/>
          <w:rFonts w:eastAsiaTheme="majorEastAsia"/>
          <w:i/>
          <w:iCs/>
          <w:sz w:val="24"/>
          <w:szCs w:val="24"/>
        </w:rPr>
        <w:t xml:space="preserve"> </w:t>
      </w:r>
      <w:r w:rsidRPr="007B1B6A">
        <w:rPr>
          <w:rStyle w:val="ac"/>
          <w:rFonts w:eastAsiaTheme="majorEastAsia"/>
          <w:i/>
          <w:iCs/>
          <w:sz w:val="24"/>
          <w:szCs w:val="24"/>
        </w:rPr>
        <w:lastRenderedPageBreak/>
        <w:t>2021 предложен уровень &lt;120 мм рт ст, при условии его хорошей переносимости, при отсутствии постуральной гипотензии и без ограничения ожидаемой продолжительности жизни</w:t>
      </w:r>
      <w:r w:rsidRPr="007B1B6A">
        <w:rPr>
          <w:rStyle w:val="ac"/>
          <w:rFonts w:eastAsiaTheme="majorEastAsia"/>
          <w:sz w:val="24"/>
          <w:szCs w:val="24"/>
        </w:rPr>
        <w:t xml:space="preserve"> [229].</w:t>
      </w:r>
      <w:r w:rsidRPr="007B1B6A">
        <w:rPr>
          <w:rStyle w:val="ac"/>
          <w:rFonts w:eastAsiaTheme="majorEastAsia"/>
          <w:i/>
          <w:iCs/>
          <w:sz w:val="24"/>
          <w:szCs w:val="24"/>
        </w:rPr>
        <w:t xml:space="preserve"> Необходимо контролировать уровни АД, креатинина и калия в течение 2-4 недель после начала использования или повышения дозы иРААС. Следует рассмотреть отмену/снижение дозы иРААС при снижении СКФ более чем, на 30% в течение 4 недель от начала лечения или увеличения дозы. Следует рассмотреть отмену/снижение дозы иРААС у пациентов с гипотензией, гиперкалиемией, а также у пациентов с ХБП 5 стадии с СКФ &lt;</w:t>
      </w:r>
      <w:r w:rsidRPr="003B37B6">
        <w:rPr>
          <w:rStyle w:val="ac"/>
          <w:rFonts w:eastAsiaTheme="majorEastAsia"/>
          <w:i/>
          <w:iCs/>
          <w:sz w:val="24"/>
          <w:szCs w:val="24"/>
        </w:rPr>
        <w:t>15мл/мин/1,73м</w:t>
      </w:r>
      <w:r w:rsidRPr="003B37B6">
        <w:rPr>
          <w:rStyle w:val="ac"/>
          <w:rFonts w:eastAsiaTheme="majorEastAsia"/>
          <w:i/>
          <w:iCs/>
          <w:sz w:val="24"/>
          <w:szCs w:val="24"/>
          <w:vertAlign w:val="superscript"/>
        </w:rPr>
        <w:t xml:space="preserve">2 </w:t>
      </w:r>
      <w:r w:rsidRPr="003B37B6">
        <w:rPr>
          <w:rStyle w:val="ac"/>
          <w:rFonts w:eastAsiaTheme="majorEastAsia"/>
          <w:i/>
          <w:iCs/>
          <w:sz w:val="24"/>
          <w:szCs w:val="24"/>
        </w:rPr>
        <w:t>на фоне лечения иРААС.</w:t>
      </w:r>
    </w:p>
    <w:p w14:paraId="408ACDF9" w14:textId="77777777" w:rsidR="007B1B6A" w:rsidRPr="003B37B6" w:rsidRDefault="007B1B6A" w:rsidP="007B1B6A">
      <w:pPr>
        <w:pStyle w:val="11"/>
        <w:ind w:firstLine="600"/>
        <w:jc w:val="both"/>
        <w:rPr>
          <w:sz w:val="24"/>
          <w:szCs w:val="24"/>
        </w:rPr>
      </w:pPr>
      <w:r w:rsidRPr="003B37B6">
        <w:rPr>
          <w:rStyle w:val="ac"/>
          <w:rFonts w:eastAsiaTheme="majorEastAsia"/>
          <w:i/>
          <w:iCs/>
          <w:sz w:val="24"/>
          <w:szCs w:val="24"/>
        </w:rPr>
        <w:t>При использовании АМКР, особенно в комбинации с иРААС, необходим более тщательный контроль функции почек и уровня калия (опасность гиперкалиемии).</w:t>
      </w:r>
    </w:p>
    <w:p w14:paraId="280CAF5C" w14:textId="40F134C2" w:rsidR="007B1B6A" w:rsidRPr="003B37B6" w:rsidRDefault="007B1B6A" w:rsidP="007B1B6A">
      <w:pPr>
        <w:pStyle w:val="11"/>
        <w:ind w:firstLine="600"/>
        <w:jc w:val="both"/>
        <w:rPr>
          <w:rFonts w:eastAsiaTheme="majorEastAsia"/>
          <w:i/>
          <w:iCs/>
          <w:sz w:val="24"/>
          <w:szCs w:val="24"/>
        </w:rPr>
      </w:pPr>
      <w:r w:rsidRPr="003B37B6">
        <w:rPr>
          <w:rStyle w:val="ac"/>
          <w:rFonts w:eastAsiaTheme="majorEastAsia"/>
          <w:i/>
          <w:iCs/>
          <w:sz w:val="24"/>
          <w:szCs w:val="24"/>
        </w:rPr>
        <w:t>Для снижения риска прогрессирования почечной патологии, смерти от сердечно</w:t>
      </w:r>
      <w:r w:rsidRPr="003B37B6">
        <w:rPr>
          <w:rStyle w:val="ac"/>
          <w:rFonts w:eastAsiaTheme="majorEastAsia"/>
          <w:i/>
          <w:iCs/>
          <w:sz w:val="24"/>
          <w:szCs w:val="24"/>
        </w:rPr>
        <w:softHyphen/>
        <w:t>сосудистых и ренальных осложнений пациентам с диабетической и недиабетической ХБП следует рассмотреть назначение иНГЛТ-2</w:t>
      </w:r>
      <w:r w:rsidRPr="003B37B6">
        <w:rPr>
          <w:rStyle w:val="ac"/>
          <w:rFonts w:eastAsiaTheme="majorEastAsia"/>
          <w:sz w:val="24"/>
          <w:szCs w:val="24"/>
        </w:rPr>
        <w:t xml:space="preserve"> [242, 243] </w:t>
      </w:r>
      <w:r w:rsidRPr="003B37B6">
        <w:rPr>
          <w:rStyle w:val="ac"/>
          <w:rFonts w:eastAsiaTheme="majorEastAsia"/>
          <w:i/>
          <w:iCs/>
          <w:sz w:val="24"/>
          <w:szCs w:val="24"/>
        </w:rPr>
        <w:t>(</w:t>
      </w:r>
      <w:r w:rsidR="0075205E" w:rsidRPr="003B37B6">
        <w:rPr>
          <w:rStyle w:val="ac"/>
          <w:rFonts w:eastAsiaTheme="majorEastAsia"/>
          <w:i/>
          <w:iCs/>
          <w:sz w:val="24"/>
          <w:szCs w:val="24"/>
        </w:rPr>
        <w:t>глава 3 Приложения Б к настоящим Клиническим рекомендациям</w:t>
      </w:r>
      <w:r w:rsidRPr="003B37B6">
        <w:rPr>
          <w:rStyle w:val="ac"/>
          <w:rFonts w:eastAsiaTheme="majorEastAsia"/>
          <w:i/>
          <w:iCs/>
          <w:sz w:val="24"/>
          <w:szCs w:val="24"/>
        </w:rPr>
        <w:t>). Финеренон может быть назначен пациентам с диабетической нефропатией и альбуминурией ≥30 мг/г при уровне СКФ &gt;25 мл/мин/1,73 м</w:t>
      </w:r>
      <w:r w:rsidRPr="003B37B6">
        <w:rPr>
          <w:rStyle w:val="ac"/>
          <w:rFonts w:eastAsiaTheme="majorEastAsia"/>
          <w:i/>
          <w:iCs/>
          <w:sz w:val="24"/>
          <w:szCs w:val="24"/>
          <w:vertAlign w:val="superscript"/>
        </w:rPr>
        <w:t>2</w:t>
      </w:r>
      <w:r w:rsidRPr="003B37B6">
        <w:rPr>
          <w:rStyle w:val="ac"/>
          <w:rFonts w:eastAsiaTheme="majorEastAsia"/>
          <w:i/>
          <w:iCs/>
          <w:sz w:val="24"/>
          <w:szCs w:val="24"/>
        </w:rPr>
        <w:t xml:space="preserve"> и калия &lt;5 ммоль/л для уменьшения выраженности альбуминурии</w:t>
      </w:r>
      <w:r w:rsidRPr="003B37B6">
        <w:rPr>
          <w:rStyle w:val="ac"/>
          <w:rFonts w:eastAsiaTheme="majorEastAsia"/>
          <w:sz w:val="24"/>
          <w:szCs w:val="24"/>
        </w:rPr>
        <w:t xml:space="preserve"> [244, 245]</w:t>
      </w:r>
      <w:r w:rsidRPr="003B37B6">
        <w:rPr>
          <w:rStyle w:val="ac"/>
          <w:rFonts w:eastAsiaTheme="majorEastAsia"/>
          <w:i/>
          <w:iCs/>
          <w:sz w:val="24"/>
          <w:szCs w:val="24"/>
        </w:rPr>
        <w:t>.</w:t>
      </w:r>
    </w:p>
    <w:p w14:paraId="09B03777" w14:textId="70FC09AA" w:rsidR="00B73674" w:rsidRPr="003B37B6" w:rsidRDefault="007B1B6A" w:rsidP="00E1121C">
      <w:pPr>
        <w:pStyle w:val="11"/>
        <w:tabs>
          <w:tab w:val="left" w:pos="1308"/>
        </w:tabs>
        <w:ind w:firstLine="0"/>
        <w:jc w:val="center"/>
        <w:rPr>
          <w:sz w:val="24"/>
          <w:szCs w:val="24"/>
        </w:rPr>
      </w:pPr>
      <w:bookmarkStart w:id="38" w:name="bookmark29"/>
      <w:r w:rsidRPr="003B37B6">
        <w:rPr>
          <w:rStyle w:val="ac"/>
          <w:rFonts w:eastAsiaTheme="majorEastAsia"/>
          <w:b/>
          <w:bCs/>
          <w:sz w:val="24"/>
          <w:szCs w:val="24"/>
        </w:rPr>
        <w:t>Артериальная гипертензия и ишемическая болезнь сердца</w:t>
      </w:r>
      <w:bookmarkEnd w:id="38"/>
      <w:r w:rsidR="00A474AE" w:rsidRPr="003B37B6">
        <w:rPr>
          <w:rStyle w:val="ac"/>
          <w:rFonts w:eastAsiaTheme="majorEastAsia"/>
          <w:b/>
          <w:bCs/>
          <w:sz w:val="24"/>
          <w:szCs w:val="24"/>
        </w:rPr>
        <w:t>.</w:t>
      </w:r>
    </w:p>
    <w:p w14:paraId="484C77F1" w14:textId="77777777" w:rsidR="007B1B6A" w:rsidRPr="003B37B6" w:rsidRDefault="007B1B6A" w:rsidP="00E1121C">
      <w:pPr>
        <w:pStyle w:val="11"/>
        <w:tabs>
          <w:tab w:val="left" w:pos="1308"/>
        </w:tabs>
        <w:ind w:firstLine="0"/>
        <w:rPr>
          <w:sz w:val="24"/>
          <w:szCs w:val="24"/>
        </w:rPr>
      </w:pPr>
      <w:r w:rsidRPr="003B37B6">
        <w:rPr>
          <w:rStyle w:val="ac"/>
          <w:rFonts w:eastAsiaTheme="majorEastAsia"/>
          <w:sz w:val="24"/>
          <w:szCs w:val="24"/>
        </w:rPr>
        <w:t>Пациентам с АГ в сочетании с ИБС рекомендуется:</w:t>
      </w:r>
    </w:p>
    <w:p w14:paraId="38A23CBB" w14:textId="77777777" w:rsidR="007B1B6A" w:rsidRPr="003B37B6" w:rsidRDefault="007B1B6A">
      <w:pPr>
        <w:pStyle w:val="11"/>
        <w:numPr>
          <w:ilvl w:val="0"/>
          <w:numId w:val="21"/>
        </w:numPr>
        <w:tabs>
          <w:tab w:val="left" w:pos="1264"/>
        </w:tabs>
        <w:ind w:firstLine="580"/>
        <w:jc w:val="both"/>
        <w:rPr>
          <w:sz w:val="24"/>
          <w:szCs w:val="24"/>
        </w:rPr>
      </w:pPr>
      <w:r w:rsidRPr="003B37B6">
        <w:rPr>
          <w:rStyle w:val="ac"/>
          <w:rFonts w:eastAsiaTheme="majorEastAsia"/>
          <w:sz w:val="24"/>
          <w:szCs w:val="24"/>
        </w:rPr>
        <w:t>У взрослых пациентов с АГ и ИБС медикаментозное лечение следует начинать в</w:t>
      </w:r>
      <w:r w:rsidR="00B73674" w:rsidRPr="003B37B6">
        <w:rPr>
          <w:sz w:val="24"/>
          <w:szCs w:val="24"/>
        </w:rPr>
        <w:t xml:space="preserve"> </w:t>
      </w:r>
      <w:r w:rsidRPr="003B37B6">
        <w:rPr>
          <w:rStyle w:val="ac"/>
          <w:rFonts w:eastAsiaTheme="majorEastAsia"/>
          <w:sz w:val="24"/>
          <w:szCs w:val="24"/>
        </w:rPr>
        <w:t>диапазоне высокого нормального АД (САД ≥130 или ДАД ≥80 мм рт.ст.) [176, 246] для снижения риска СС катастроф и смертности.</w:t>
      </w:r>
    </w:p>
    <w:p w14:paraId="4300A627" w14:textId="160570B8" w:rsidR="007B1B6A" w:rsidRPr="003B37B6" w:rsidRDefault="007B1B6A" w:rsidP="007B1B6A">
      <w:pPr>
        <w:pStyle w:val="11"/>
        <w:ind w:firstLine="580"/>
        <w:jc w:val="both"/>
        <w:rPr>
          <w:rStyle w:val="ac"/>
          <w:rFonts w:eastAsiaTheme="majorEastAsia"/>
          <w:b/>
          <w:bCs/>
          <w:sz w:val="24"/>
          <w:szCs w:val="24"/>
        </w:rPr>
      </w:pPr>
      <w:r w:rsidRPr="003B37B6">
        <w:rPr>
          <w:rStyle w:val="ac"/>
          <w:rFonts w:eastAsiaTheme="majorEastAsia"/>
          <w:b/>
          <w:bCs/>
          <w:sz w:val="24"/>
          <w:szCs w:val="24"/>
        </w:rPr>
        <w:t>ЕОАГ IА (</w:t>
      </w:r>
      <w:r w:rsidR="003D51B3" w:rsidRPr="003B37B6">
        <w:rPr>
          <w:rStyle w:val="ac"/>
          <w:rFonts w:eastAsiaTheme="majorEastAsia"/>
          <w:b/>
          <w:bCs/>
          <w:sz w:val="24"/>
          <w:szCs w:val="24"/>
        </w:rPr>
        <w:t>Уровень убедительности рекомендаций</w:t>
      </w:r>
      <w:r w:rsidR="0026698B" w:rsidRPr="003B37B6">
        <w:rPr>
          <w:rStyle w:val="ac"/>
          <w:rFonts w:eastAsiaTheme="majorEastAsia"/>
          <w:b/>
          <w:bCs/>
          <w:sz w:val="24"/>
          <w:szCs w:val="24"/>
        </w:rPr>
        <w:t xml:space="preserve"> </w:t>
      </w:r>
      <w:r w:rsidRPr="003B37B6">
        <w:rPr>
          <w:rStyle w:val="ac"/>
          <w:rFonts w:eastAsiaTheme="majorEastAsia"/>
          <w:b/>
          <w:bCs/>
          <w:sz w:val="24"/>
          <w:szCs w:val="24"/>
        </w:rPr>
        <w:t xml:space="preserve">А, </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1)</w:t>
      </w:r>
      <w:r w:rsidR="0026698B" w:rsidRPr="003B37B6">
        <w:rPr>
          <w:rStyle w:val="ac"/>
          <w:rFonts w:eastAsiaTheme="majorEastAsia"/>
          <w:b/>
          <w:bCs/>
          <w:sz w:val="24"/>
          <w:szCs w:val="24"/>
        </w:rPr>
        <w:t>.</w:t>
      </w:r>
    </w:p>
    <w:p w14:paraId="4A6EBA65" w14:textId="54AB8C29" w:rsidR="00A474AE" w:rsidRPr="003B37B6" w:rsidRDefault="00A474AE" w:rsidP="007B1B6A">
      <w:pPr>
        <w:pStyle w:val="11"/>
        <w:ind w:firstLine="580"/>
        <w:jc w:val="both"/>
        <w:rPr>
          <w:i/>
          <w:iCs/>
          <w:sz w:val="28"/>
          <w:szCs w:val="28"/>
        </w:rPr>
      </w:pPr>
      <w:r w:rsidRPr="003B37B6">
        <w:rPr>
          <w:rStyle w:val="aff9"/>
          <w:rFonts w:eastAsiaTheme="majorEastAsia"/>
          <w:sz w:val="24"/>
          <w:szCs w:val="24"/>
        </w:rPr>
        <w:t xml:space="preserve">Комментарии: </w:t>
      </w:r>
      <w:r w:rsidRPr="003B37B6">
        <w:rPr>
          <w:i/>
          <w:iCs/>
          <w:sz w:val="24"/>
          <w:szCs w:val="24"/>
        </w:rPr>
        <w:t>У взрослых пациентов с артериальной гипертензией (АГ) и ишемической болезнью сердца (ИБС) раннее начало медикаментозного лечения при уровне систолического артериального давления (САД) ≥130 мм рт. ст. или диастолического артериального давления (ДАД) ≥80 мм рт. ст. (высокое нормальное АД) направлено на снижение риска сердечно-сосудистых катастроф и смертности.</w:t>
      </w:r>
    </w:p>
    <w:p w14:paraId="0AF3064E" w14:textId="56EB679F" w:rsidR="00B73674" w:rsidRPr="003B37B6" w:rsidRDefault="007B1B6A" w:rsidP="00A474AE">
      <w:pPr>
        <w:pStyle w:val="11"/>
        <w:ind w:firstLine="580"/>
        <w:jc w:val="both"/>
        <w:rPr>
          <w:sz w:val="24"/>
          <w:szCs w:val="24"/>
        </w:rPr>
      </w:pPr>
      <w:r w:rsidRPr="003B37B6">
        <w:rPr>
          <w:rStyle w:val="ac"/>
          <w:rFonts w:eastAsiaTheme="majorEastAsia"/>
          <w:sz w:val="24"/>
          <w:szCs w:val="24"/>
        </w:rPr>
        <w:t>Пациентам моложе 65 лет, получающим антигипертензивную терапию, в связи с</w:t>
      </w:r>
      <w:r w:rsidR="00B73674" w:rsidRPr="003B37B6">
        <w:rPr>
          <w:sz w:val="24"/>
          <w:szCs w:val="24"/>
        </w:rPr>
        <w:t xml:space="preserve"> </w:t>
      </w:r>
      <w:r w:rsidRPr="003B37B6">
        <w:rPr>
          <w:rStyle w:val="ac"/>
          <w:rFonts w:eastAsiaTheme="majorEastAsia"/>
          <w:sz w:val="24"/>
          <w:szCs w:val="24"/>
        </w:rPr>
        <w:t>доказанными преимуществами в снижении риска СС событий рекомендуется снижать САД до</w:t>
      </w:r>
      <w:r w:rsidR="00B73674" w:rsidRPr="003B37B6">
        <w:rPr>
          <w:rStyle w:val="ac"/>
          <w:rFonts w:eastAsiaTheme="majorEastAsia"/>
          <w:sz w:val="24"/>
          <w:szCs w:val="24"/>
        </w:rPr>
        <w:t xml:space="preserve"> целевого уровня ≤130 мм рт. ст. при хорошей переносимости, но не &lt;120 мм рт. ст. (</w:t>
      </w:r>
      <w:r w:rsidR="00535F5B" w:rsidRPr="003B37B6">
        <w:rPr>
          <w:rStyle w:val="ac"/>
          <w:rFonts w:eastAsiaTheme="majorEastAsia"/>
          <w:sz w:val="24"/>
          <w:szCs w:val="24"/>
        </w:rPr>
        <w:t>глава 4 Приложения Б к настоящим Клиническим рекомендациям</w:t>
      </w:r>
      <w:r w:rsidR="00B73674" w:rsidRPr="003B37B6">
        <w:rPr>
          <w:rStyle w:val="ac"/>
          <w:rFonts w:eastAsiaTheme="majorEastAsia"/>
          <w:sz w:val="24"/>
          <w:szCs w:val="24"/>
        </w:rPr>
        <w:t>) [247, 248, 249].</w:t>
      </w:r>
    </w:p>
    <w:p w14:paraId="10218625" w14:textId="57879BD7" w:rsidR="00101960" w:rsidRDefault="00B73674" w:rsidP="00101960">
      <w:pPr>
        <w:pStyle w:val="11"/>
        <w:ind w:firstLine="580"/>
        <w:jc w:val="both"/>
        <w:rPr>
          <w:rStyle w:val="ac"/>
          <w:rFonts w:eastAsiaTheme="majorEastAsia"/>
          <w:b/>
          <w:bCs/>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101960" w:rsidRPr="003B37B6">
        <w:rPr>
          <w:rStyle w:val="ac"/>
          <w:rFonts w:eastAsiaTheme="majorEastAsia"/>
          <w:b/>
          <w:bCs/>
          <w:sz w:val="24"/>
          <w:szCs w:val="24"/>
        </w:rPr>
        <w:t xml:space="preserve"> </w:t>
      </w:r>
      <w:r w:rsidRPr="003B37B6">
        <w:rPr>
          <w:rStyle w:val="ac"/>
          <w:rFonts w:eastAsiaTheme="majorEastAsia"/>
          <w:b/>
          <w:bCs/>
          <w:sz w:val="24"/>
          <w:szCs w:val="24"/>
        </w:rPr>
        <w:t xml:space="preserve">А, </w:t>
      </w:r>
      <w:r w:rsidR="00101960"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1)</w:t>
      </w:r>
      <w:r w:rsidR="00101960" w:rsidRPr="003B37B6">
        <w:rPr>
          <w:rStyle w:val="ac"/>
          <w:rFonts w:eastAsiaTheme="majorEastAsia"/>
          <w:b/>
          <w:bCs/>
          <w:sz w:val="24"/>
          <w:szCs w:val="24"/>
        </w:rPr>
        <w:t>; ЕОК/ЕОАГ IА</w:t>
      </w:r>
      <w:r w:rsidR="00AC286F" w:rsidRPr="003B37B6">
        <w:rPr>
          <w:rStyle w:val="ac"/>
          <w:rFonts w:eastAsiaTheme="majorEastAsia"/>
          <w:b/>
          <w:bCs/>
          <w:sz w:val="24"/>
          <w:szCs w:val="24"/>
        </w:rPr>
        <w:t>.</w:t>
      </w:r>
    </w:p>
    <w:p w14:paraId="07DE6BF9" w14:textId="681CB16E" w:rsidR="00367F3C" w:rsidRDefault="00101960" w:rsidP="00367F3C">
      <w:pPr>
        <w:pStyle w:val="11"/>
        <w:ind w:firstLine="580"/>
        <w:jc w:val="both"/>
        <w:rPr>
          <w:i/>
          <w:iCs/>
          <w:sz w:val="24"/>
          <w:szCs w:val="24"/>
        </w:rPr>
      </w:pPr>
      <w:r w:rsidRPr="00101960">
        <w:rPr>
          <w:rStyle w:val="aff9"/>
          <w:rFonts w:eastAsiaTheme="majorEastAsia"/>
          <w:sz w:val="24"/>
          <w:szCs w:val="24"/>
        </w:rPr>
        <w:lastRenderedPageBreak/>
        <w:t>Комментари</w:t>
      </w:r>
      <w:r w:rsidR="00367F3C">
        <w:rPr>
          <w:rStyle w:val="aff9"/>
          <w:rFonts w:eastAsiaTheme="majorEastAsia"/>
          <w:sz w:val="24"/>
          <w:szCs w:val="24"/>
        </w:rPr>
        <w:t>и</w:t>
      </w:r>
      <w:r w:rsidRPr="00101960">
        <w:rPr>
          <w:rStyle w:val="aff9"/>
          <w:rFonts w:eastAsiaTheme="majorEastAsia"/>
          <w:sz w:val="24"/>
          <w:szCs w:val="24"/>
        </w:rPr>
        <w:t>:</w:t>
      </w:r>
      <w:r w:rsidRPr="00101960">
        <w:rPr>
          <w:sz w:val="24"/>
          <w:szCs w:val="24"/>
        </w:rPr>
        <w:t xml:space="preserve"> </w:t>
      </w:r>
      <w:r w:rsidRPr="00101960">
        <w:rPr>
          <w:i/>
          <w:iCs/>
          <w:sz w:val="24"/>
          <w:szCs w:val="24"/>
        </w:rPr>
        <w:t xml:space="preserve">Пациентам моложе 65 лет, получающим антигипертензивную терапию, рекомендуется снижать систолическое артериальное давление (САД) до целевого уровня ≤130 мм рт. ст., что подтверждается доказательствами снижения риска сердечно-сосудистых событий при таком контроле. При этом важно избегать снижения САД ниже 120 мм рт. ст. во избежание потенциальных осложнений, связанных с гипотензией. </w:t>
      </w:r>
    </w:p>
    <w:p w14:paraId="139E1CAD" w14:textId="2B2585BD" w:rsidR="00B73674" w:rsidRPr="007B1B6A" w:rsidRDefault="00B73674" w:rsidP="00AC286F">
      <w:pPr>
        <w:pStyle w:val="11"/>
        <w:ind w:firstLine="580"/>
        <w:jc w:val="both"/>
        <w:rPr>
          <w:sz w:val="24"/>
          <w:szCs w:val="24"/>
        </w:rPr>
      </w:pPr>
      <w:r w:rsidRPr="007B1B6A">
        <w:rPr>
          <w:rStyle w:val="ac"/>
          <w:rFonts w:eastAsiaTheme="majorEastAsia"/>
          <w:sz w:val="24"/>
          <w:szCs w:val="24"/>
        </w:rPr>
        <w:t>У пожилых пациентов с АГ 65-79 лет рекомендовано снижать САД до целевых</w:t>
      </w:r>
      <w:r w:rsidR="00AC286F">
        <w:rPr>
          <w:rStyle w:val="ac"/>
          <w:rFonts w:eastAsiaTheme="majorEastAsia"/>
          <w:sz w:val="24"/>
          <w:szCs w:val="24"/>
        </w:rPr>
        <w:t xml:space="preserve"> </w:t>
      </w:r>
      <w:r w:rsidRPr="007B1B6A">
        <w:rPr>
          <w:rStyle w:val="ac"/>
          <w:rFonts w:eastAsiaTheme="majorEastAsia"/>
          <w:sz w:val="24"/>
          <w:szCs w:val="24"/>
        </w:rPr>
        <w:t>значений 130–139 мм рт. ст., а при хорошей переносимости – до &lt;130 мм рт.ст. [247, 248,</w:t>
      </w:r>
      <w:r>
        <w:rPr>
          <w:rStyle w:val="ac"/>
          <w:rFonts w:eastAsiaTheme="majorEastAsia"/>
          <w:sz w:val="24"/>
          <w:szCs w:val="24"/>
        </w:rPr>
        <w:t xml:space="preserve"> </w:t>
      </w:r>
      <w:r w:rsidRPr="007B1B6A">
        <w:rPr>
          <w:rStyle w:val="ac"/>
          <w:rFonts w:eastAsiaTheme="majorEastAsia"/>
          <w:sz w:val="24"/>
          <w:szCs w:val="24"/>
        </w:rPr>
        <w:t>249].</w:t>
      </w:r>
    </w:p>
    <w:p w14:paraId="33BEC954" w14:textId="5FE81B59" w:rsidR="00B73674" w:rsidRDefault="003D51B3" w:rsidP="00B73674">
      <w:pPr>
        <w:pStyle w:val="11"/>
        <w:ind w:firstLine="580"/>
        <w:jc w:val="both"/>
        <w:rPr>
          <w:rStyle w:val="ac"/>
          <w:rFonts w:eastAsiaTheme="majorEastAsia"/>
          <w:b/>
          <w:bCs/>
          <w:sz w:val="24"/>
          <w:szCs w:val="24"/>
        </w:rPr>
      </w:pPr>
      <w:r>
        <w:rPr>
          <w:rStyle w:val="ac"/>
          <w:rFonts w:eastAsiaTheme="majorEastAsia"/>
          <w:b/>
          <w:bCs/>
          <w:sz w:val="24"/>
          <w:szCs w:val="24"/>
        </w:rPr>
        <w:t>Уровень убедительности рекомендаций</w:t>
      </w:r>
      <w:r w:rsidR="00101960">
        <w:rPr>
          <w:rStyle w:val="ac"/>
          <w:rFonts w:eastAsiaTheme="majorEastAsia"/>
          <w:b/>
          <w:bCs/>
          <w:sz w:val="24"/>
          <w:szCs w:val="24"/>
        </w:rPr>
        <w:t xml:space="preserve"> </w:t>
      </w:r>
      <w:r w:rsidR="00B73674" w:rsidRPr="007B1B6A">
        <w:rPr>
          <w:rStyle w:val="ac"/>
          <w:rFonts w:eastAsiaTheme="majorEastAsia"/>
          <w:b/>
          <w:bCs/>
          <w:sz w:val="24"/>
          <w:szCs w:val="24"/>
        </w:rPr>
        <w:t>А,</w:t>
      </w:r>
      <w:r w:rsidR="00101960" w:rsidRPr="00101960">
        <w:rPr>
          <w:rStyle w:val="ac"/>
          <w:rFonts w:eastAsiaTheme="majorEastAsia"/>
          <w:b/>
          <w:bCs/>
          <w:sz w:val="24"/>
          <w:szCs w:val="24"/>
        </w:rPr>
        <w:t xml:space="preserve"> </w:t>
      </w:r>
      <w:r w:rsidR="00101960" w:rsidRPr="007B1B6A">
        <w:rPr>
          <w:rStyle w:val="ac"/>
          <w:rFonts w:eastAsiaTheme="majorEastAsia"/>
          <w:b/>
          <w:bCs/>
          <w:sz w:val="24"/>
          <w:szCs w:val="24"/>
        </w:rPr>
        <w:t>(Уровень</w:t>
      </w:r>
      <w:r>
        <w:rPr>
          <w:rStyle w:val="ac"/>
          <w:rFonts w:eastAsiaTheme="majorEastAsia"/>
          <w:b/>
          <w:bCs/>
          <w:sz w:val="24"/>
          <w:szCs w:val="24"/>
        </w:rPr>
        <w:t xml:space="preserve"> достоверности доказательств</w:t>
      </w:r>
      <w:r w:rsidR="00B73674" w:rsidRPr="007B1B6A">
        <w:rPr>
          <w:rStyle w:val="ac"/>
          <w:rFonts w:eastAsiaTheme="majorEastAsia"/>
          <w:b/>
          <w:bCs/>
          <w:sz w:val="24"/>
          <w:szCs w:val="24"/>
        </w:rPr>
        <w:t xml:space="preserve"> 1)</w:t>
      </w:r>
      <w:r w:rsidR="00101960">
        <w:rPr>
          <w:rStyle w:val="ac"/>
          <w:rFonts w:eastAsiaTheme="majorEastAsia"/>
          <w:b/>
          <w:bCs/>
          <w:sz w:val="24"/>
          <w:szCs w:val="24"/>
        </w:rPr>
        <w:t xml:space="preserve">; </w:t>
      </w:r>
      <w:r w:rsidR="00101960" w:rsidRPr="007B1B6A">
        <w:rPr>
          <w:rStyle w:val="ac"/>
          <w:rFonts w:eastAsiaTheme="majorEastAsia"/>
          <w:b/>
          <w:bCs/>
          <w:sz w:val="24"/>
          <w:szCs w:val="24"/>
        </w:rPr>
        <w:t>ЕОК/ЕОАГ IА</w:t>
      </w:r>
      <w:r w:rsidR="00AC286F">
        <w:rPr>
          <w:rStyle w:val="ac"/>
          <w:rFonts w:eastAsiaTheme="majorEastAsia"/>
          <w:b/>
          <w:bCs/>
          <w:sz w:val="24"/>
          <w:szCs w:val="24"/>
        </w:rPr>
        <w:t>.</w:t>
      </w:r>
    </w:p>
    <w:p w14:paraId="22D02115" w14:textId="2FCFB130" w:rsidR="00367F3C" w:rsidRPr="00367F3C" w:rsidRDefault="00367F3C" w:rsidP="00B73674">
      <w:pPr>
        <w:pStyle w:val="11"/>
        <w:ind w:firstLine="580"/>
        <w:jc w:val="both"/>
        <w:rPr>
          <w:i/>
          <w:iCs/>
          <w:sz w:val="28"/>
          <w:szCs w:val="28"/>
        </w:rPr>
      </w:pPr>
      <w:r w:rsidRPr="00367F3C">
        <w:rPr>
          <w:rStyle w:val="aff9"/>
          <w:rFonts w:eastAsiaTheme="majorEastAsia"/>
          <w:sz w:val="24"/>
          <w:szCs w:val="24"/>
        </w:rPr>
        <w:t xml:space="preserve">Комментарии: </w:t>
      </w:r>
      <w:r w:rsidRPr="00367F3C">
        <w:rPr>
          <w:i/>
          <w:iCs/>
          <w:sz w:val="24"/>
          <w:szCs w:val="24"/>
        </w:rPr>
        <w:t>У пожилых пациентов с артериальной гипертензией в возрасте 65–79 лет рекомендовано снижать систолическое артериальное давление (САД) до целевого диапазона 130–139 мм рт. ст., что отражает компромисс между эффективным контролем давления и снижением риска нежелательных эффектов терапии. При хорошей переносимости возможно более интенсивное снижение САД до уровня &lt;130 мм рт. ст., что дополнительно снижает риск сердечно-сосудистых осложнений.</w:t>
      </w:r>
    </w:p>
    <w:p w14:paraId="393E62FF" w14:textId="77777777" w:rsidR="00B73674" w:rsidRPr="007B1B6A" w:rsidRDefault="00B73674">
      <w:pPr>
        <w:pStyle w:val="11"/>
        <w:numPr>
          <w:ilvl w:val="0"/>
          <w:numId w:val="21"/>
        </w:numPr>
        <w:tabs>
          <w:tab w:val="left" w:pos="1264"/>
        </w:tabs>
        <w:ind w:firstLine="580"/>
        <w:jc w:val="both"/>
        <w:rPr>
          <w:sz w:val="24"/>
          <w:szCs w:val="24"/>
        </w:rPr>
      </w:pPr>
      <w:r w:rsidRPr="007B1B6A">
        <w:rPr>
          <w:rStyle w:val="ac"/>
          <w:rFonts w:eastAsiaTheme="majorEastAsia"/>
          <w:sz w:val="24"/>
          <w:szCs w:val="24"/>
        </w:rPr>
        <w:t>У пожилых пациентов с АГ 65-79 лет рекомендовано снижать ДАД до целевых</w:t>
      </w:r>
    </w:p>
    <w:p w14:paraId="2968B56B" w14:textId="77777777" w:rsidR="00B73674" w:rsidRPr="007B1B6A" w:rsidRDefault="00B73674" w:rsidP="00B73674">
      <w:pPr>
        <w:pStyle w:val="11"/>
        <w:ind w:firstLine="0"/>
        <w:jc w:val="both"/>
        <w:rPr>
          <w:sz w:val="24"/>
          <w:szCs w:val="24"/>
        </w:rPr>
      </w:pPr>
      <w:r w:rsidRPr="007B1B6A">
        <w:rPr>
          <w:rStyle w:val="ac"/>
          <w:rFonts w:eastAsiaTheme="majorEastAsia"/>
          <w:sz w:val="24"/>
          <w:szCs w:val="24"/>
        </w:rPr>
        <w:t>значений &lt;80 мм рт. ст., но не &lt;70 мм рт. ст. [248].</w:t>
      </w:r>
    </w:p>
    <w:p w14:paraId="3104891D" w14:textId="666E18CB" w:rsidR="00B73674" w:rsidRDefault="00B73674" w:rsidP="00B73674">
      <w:pPr>
        <w:pStyle w:val="11"/>
        <w:ind w:firstLine="580"/>
        <w:jc w:val="both"/>
        <w:rPr>
          <w:rStyle w:val="ac"/>
          <w:rFonts w:eastAsiaTheme="majorEastAsia"/>
          <w:b/>
          <w:bCs/>
          <w:sz w:val="24"/>
          <w:szCs w:val="24"/>
        </w:rPr>
      </w:pPr>
      <w:r w:rsidRPr="007B1B6A">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367F3C">
        <w:rPr>
          <w:rStyle w:val="ac"/>
          <w:rFonts w:eastAsiaTheme="majorEastAsia"/>
          <w:b/>
          <w:bCs/>
          <w:sz w:val="24"/>
          <w:szCs w:val="24"/>
        </w:rPr>
        <w:t xml:space="preserve"> </w:t>
      </w:r>
      <w:r w:rsidRPr="007B1B6A">
        <w:rPr>
          <w:rStyle w:val="ac"/>
          <w:rFonts w:eastAsiaTheme="majorEastAsia"/>
          <w:b/>
          <w:bCs/>
          <w:sz w:val="24"/>
          <w:szCs w:val="24"/>
          <w:lang w:val="en-US"/>
        </w:rPr>
        <w:t>C</w:t>
      </w:r>
      <w:r w:rsidRPr="007B1B6A">
        <w:rPr>
          <w:rStyle w:val="ac"/>
          <w:rFonts w:eastAsiaTheme="majorEastAsia"/>
          <w:b/>
          <w:bCs/>
          <w:sz w:val="24"/>
          <w:szCs w:val="24"/>
        </w:rPr>
        <w:t xml:space="preserve">, </w:t>
      </w:r>
      <w:r w:rsidR="00367F3C" w:rsidRPr="007B1B6A">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7B1B6A">
        <w:rPr>
          <w:rStyle w:val="ac"/>
          <w:rFonts w:eastAsiaTheme="majorEastAsia"/>
          <w:b/>
          <w:bCs/>
          <w:sz w:val="24"/>
          <w:szCs w:val="24"/>
        </w:rPr>
        <w:t xml:space="preserve"> 4</w:t>
      </w:r>
      <w:r w:rsidR="00367F3C" w:rsidRPr="007B1B6A">
        <w:rPr>
          <w:rStyle w:val="ac"/>
          <w:rFonts w:eastAsiaTheme="majorEastAsia"/>
          <w:b/>
          <w:bCs/>
          <w:sz w:val="24"/>
          <w:szCs w:val="24"/>
        </w:rPr>
        <w:t>)</w:t>
      </w:r>
      <w:r w:rsidR="00367F3C" w:rsidRPr="00367F3C">
        <w:rPr>
          <w:rStyle w:val="ac"/>
          <w:rFonts w:eastAsiaTheme="majorEastAsia"/>
          <w:b/>
          <w:bCs/>
          <w:sz w:val="24"/>
          <w:szCs w:val="24"/>
        </w:rPr>
        <w:t>;</w:t>
      </w:r>
      <w:r w:rsidR="00367F3C">
        <w:rPr>
          <w:rStyle w:val="ac"/>
          <w:rFonts w:eastAsiaTheme="majorEastAsia"/>
          <w:b/>
          <w:bCs/>
          <w:sz w:val="24"/>
          <w:szCs w:val="24"/>
        </w:rPr>
        <w:t xml:space="preserve"> </w:t>
      </w:r>
      <w:r w:rsidR="00367F3C" w:rsidRPr="007B1B6A">
        <w:rPr>
          <w:rStyle w:val="ac"/>
          <w:rFonts w:eastAsiaTheme="majorEastAsia"/>
          <w:b/>
          <w:bCs/>
          <w:sz w:val="24"/>
          <w:szCs w:val="24"/>
        </w:rPr>
        <w:t>ЕОК/ЕОАГ IА</w:t>
      </w:r>
      <w:r w:rsidR="00AC286F">
        <w:rPr>
          <w:rStyle w:val="ac"/>
          <w:rFonts w:eastAsiaTheme="majorEastAsia"/>
          <w:b/>
          <w:bCs/>
          <w:sz w:val="24"/>
          <w:szCs w:val="24"/>
        </w:rPr>
        <w:t>.</w:t>
      </w:r>
    </w:p>
    <w:p w14:paraId="0B665AE4" w14:textId="77777777" w:rsidR="00367F3C" w:rsidRDefault="00367F3C" w:rsidP="00367F3C">
      <w:pPr>
        <w:pStyle w:val="11"/>
        <w:ind w:firstLine="580"/>
        <w:jc w:val="both"/>
        <w:rPr>
          <w:i/>
          <w:iCs/>
          <w:sz w:val="24"/>
          <w:szCs w:val="24"/>
        </w:rPr>
      </w:pPr>
      <w:r w:rsidRPr="00367F3C">
        <w:rPr>
          <w:rStyle w:val="aff9"/>
          <w:rFonts w:eastAsiaTheme="majorEastAsia"/>
          <w:sz w:val="24"/>
          <w:szCs w:val="24"/>
        </w:rPr>
        <w:t>Комментарий:</w:t>
      </w:r>
      <w:r w:rsidRPr="00367F3C">
        <w:rPr>
          <w:sz w:val="24"/>
          <w:szCs w:val="24"/>
        </w:rPr>
        <w:t xml:space="preserve"> </w:t>
      </w:r>
      <w:r w:rsidRPr="00367F3C">
        <w:rPr>
          <w:i/>
          <w:iCs/>
          <w:sz w:val="24"/>
          <w:szCs w:val="24"/>
        </w:rPr>
        <w:t>У пожилых пациентов с артериальной гипертензией в возрасте 65–79 лет рекомендуется снижать диастолическое артериальное давление (ДАД) до уровня ниже 80 мм рт. ст., чтобы эффективно снизить риск сердечно-сосудистых осложнений. При этом важно избегать снижения ДАД ниже 70 мм рт. ст., поскольку слишком низкие значения могут привести к гипоперфузии органов и возникновению осложнений, особенно у пожилых пациентов с сопутствующими заболеваниями</w:t>
      </w:r>
    </w:p>
    <w:p w14:paraId="067B9D97" w14:textId="077AD908" w:rsidR="00B73674" w:rsidRPr="007B1B6A" w:rsidRDefault="00B73674" w:rsidP="00AC286F">
      <w:pPr>
        <w:pStyle w:val="11"/>
        <w:ind w:firstLine="580"/>
        <w:jc w:val="both"/>
        <w:rPr>
          <w:sz w:val="24"/>
          <w:szCs w:val="24"/>
        </w:rPr>
      </w:pPr>
      <w:r w:rsidRPr="007B1B6A">
        <w:rPr>
          <w:rStyle w:val="ac"/>
          <w:rFonts w:eastAsiaTheme="majorEastAsia"/>
          <w:sz w:val="24"/>
          <w:szCs w:val="24"/>
        </w:rPr>
        <w:t>Пациентам с АГ и ИБС рекомендуется применять препараты с документально</w:t>
      </w:r>
      <w:r w:rsidR="00AC286F">
        <w:rPr>
          <w:rStyle w:val="ac"/>
          <w:rFonts w:eastAsiaTheme="majorEastAsia"/>
          <w:sz w:val="24"/>
          <w:szCs w:val="24"/>
        </w:rPr>
        <w:t xml:space="preserve"> </w:t>
      </w:r>
      <w:r w:rsidRPr="007B1B6A">
        <w:rPr>
          <w:rStyle w:val="ac"/>
          <w:rFonts w:eastAsiaTheme="majorEastAsia"/>
          <w:sz w:val="24"/>
          <w:szCs w:val="24"/>
        </w:rPr>
        <w:t>подтверждёнными благоприятными эффектами при ИБС, такие как ИАПФ (БРА, если они не переносятся) и ББ [250, 251, 252].</w:t>
      </w:r>
    </w:p>
    <w:p w14:paraId="31810556" w14:textId="0EE4BCCF" w:rsidR="00367F3C" w:rsidRDefault="00B73674" w:rsidP="00367F3C">
      <w:pPr>
        <w:pStyle w:val="11"/>
        <w:ind w:firstLine="580"/>
        <w:jc w:val="both"/>
        <w:rPr>
          <w:rStyle w:val="ac"/>
          <w:rFonts w:eastAsiaTheme="majorEastAsia"/>
          <w:b/>
          <w:bCs/>
          <w:sz w:val="24"/>
          <w:szCs w:val="24"/>
        </w:rPr>
      </w:pPr>
      <w:r w:rsidRPr="007B1B6A">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367F3C">
        <w:rPr>
          <w:rStyle w:val="ac"/>
          <w:rFonts w:eastAsiaTheme="majorEastAsia"/>
          <w:b/>
          <w:bCs/>
          <w:sz w:val="24"/>
          <w:szCs w:val="24"/>
        </w:rPr>
        <w:t xml:space="preserve"> </w:t>
      </w:r>
      <w:r w:rsidRPr="007B1B6A">
        <w:rPr>
          <w:rStyle w:val="ac"/>
          <w:rFonts w:eastAsiaTheme="majorEastAsia"/>
          <w:b/>
          <w:bCs/>
          <w:sz w:val="24"/>
          <w:szCs w:val="24"/>
        </w:rPr>
        <w:t xml:space="preserve">А, </w:t>
      </w:r>
      <w:r w:rsidR="00367F3C" w:rsidRPr="007B1B6A">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7B1B6A">
        <w:rPr>
          <w:rStyle w:val="ac"/>
          <w:rFonts w:eastAsiaTheme="majorEastAsia"/>
          <w:b/>
          <w:bCs/>
          <w:sz w:val="24"/>
          <w:szCs w:val="24"/>
        </w:rPr>
        <w:t xml:space="preserve"> 1)</w:t>
      </w:r>
      <w:r w:rsidR="00367F3C">
        <w:rPr>
          <w:rStyle w:val="ac"/>
          <w:rFonts w:eastAsiaTheme="majorEastAsia"/>
          <w:b/>
          <w:bCs/>
          <w:sz w:val="24"/>
          <w:szCs w:val="24"/>
        </w:rPr>
        <w:t>;</w:t>
      </w:r>
      <w:r w:rsidR="00367F3C" w:rsidRPr="00367F3C">
        <w:rPr>
          <w:rStyle w:val="ac"/>
          <w:rFonts w:eastAsiaTheme="majorEastAsia"/>
          <w:b/>
          <w:bCs/>
          <w:sz w:val="24"/>
          <w:szCs w:val="24"/>
        </w:rPr>
        <w:t xml:space="preserve"> </w:t>
      </w:r>
      <w:r w:rsidR="00367F3C" w:rsidRPr="007B1B6A">
        <w:rPr>
          <w:rStyle w:val="ac"/>
          <w:rFonts w:eastAsiaTheme="majorEastAsia"/>
          <w:b/>
          <w:bCs/>
          <w:sz w:val="24"/>
          <w:szCs w:val="24"/>
        </w:rPr>
        <w:t>ЕОАГ IА</w:t>
      </w:r>
      <w:r w:rsidR="00AC286F">
        <w:rPr>
          <w:rStyle w:val="ac"/>
          <w:rFonts w:eastAsiaTheme="majorEastAsia"/>
          <w:b/>
          <w:bCs/>
          <w:sz w:val="24"/>
          <w:szCs w:val="24"/>
        </w:rPr>
        <w:t>.</w:t>
      </w:r>
    </w:p>
    <w:p w14:paraId="2FE61BE8" w14:textId="67EE06A0" w:rsidR="00367F3C" w:rsidRPr="003B37B6" w:rsidRDefault="00367F3C" w:rsidP="00367F3C">
      <w:pPr>
        <w:pStyle w:val="11"/>
        <w:ind w:firstLine="580"/>
        <w:jc w:val="both"/>
        <w:rPr>
          <w:rFonts w:eastAsiaTheme="majorEastAsia"/>
          <w:b/>
          <w:bCs/>
          <w:i/>
          <w:iCs/>
          <w:sz w:val="24"/>
          <w:szCs w:val="24"/>
        </w:rPr>
      </w:pPr>
      <w:r w:rsidRPr="00367F3C">
        <w:rPr>
          <w:b/>
          <w:bCs/>
          <w:kern w:val="0"/>
          <w:sz w:val="24"/>
          <w:szCs w:val="24"/>
          <w:lang w:eastAsia="ru-RU"/>
        </w:rPr>
        <w:t>Комментари</w:t>
      </w:r>
      <w:r>
        <w:rPr>
          <w:b/>
          <w:bCs/>
          <w:kern w:val="0"/>
          <w:sz w:val="24"/>
          <w:szCs w:val="24"/>
          <w:lang w:eastAsia="ru-RU"/>
        </w:rPr>
        <w:t>и</w:t>
      </w:r>
      <w:r w:rsidRPr="00367F3C">
        <w:rPr>
          <w:b/>
          <w:bCs/>
          <w:kern w:val="0"/>
          <w:sz w:val="24"/>
          <w:szCs w:val="24"/>
          <w:lang w:eastAsia="ru-RU"/>
        </w:rPr>
        <w:t>:</w:t>
      </w:r>
      <w:r>
        <w:rPr>
          <w:b/>
          <w:bCs/>
          <w:kern w:val="0"/>
          <w:sz w:val="24"/>
          <w:szCs w:val="24"/>
          <w:lang w:eastAsia="ru-RU"/>
        </w:rPr>
        <w:t xml:space="preserve"> </w:t>
      </w:r>
      <w:r w:rsidRPr="00367F3C">
        <w:rPr>
          <w:i/>
          <w:iCs/>
          <w:kern w:val="0"/>
          <w:sz w:val="24"/>
          <w:szCs w:val="24"/>
          <w:lang w:eastAsia="ru-RU"/>
        </w:rPr>
        <w:t xml:space="preserve">У пациентов с артериальной гипертензией (АГ) и ишемической болезнью сердца (ИБС) применение препаратов с доказанной эффективностью при ИБС, </w:t>
      </w:r>
      <w:r w:rsidRPr="00367F3C">
        <w:rPr>
          <w:i/>
          <w:iCs/>
          <w:kern w:val="0"/>
          <w:sz w:val="24"/>
          <w:szCs w:val="24"/>
          <w:lang w:eastAsia="ru-RU"/>
        </w:rPr>
        <w:lastRenderedPageBreak/>
        <w:t xml:space="preserve">таких как ингибиторы ангиотензин-превращающего фермента (ИАПФ), блокаторы рецепторов ангиотензина (БРА) при непереносимости ИАПФ и бета-блокаторы (ББ), является важным элементом терапии. Эти лекарственные средства не только снижают артериальное давление, но и оказывают кардиопротективное действие, уменьшая риск инфаркта миокарда, сердечной недостаточности и других сердечно-сосудистых </w:t>
      </w:r>
      <w:r w:rsidRPr="003B37B6">
        <w:rPr>
          <w:i/>
          <w:iCs/>
          <w:kern w:val="0"/>
          <w:sz w:val="24"/>
          <w:szCs w:val="24"/>
          <w:lang w:eastAsia="ru-RU"/>
        </w:rPr>
        <w:t>осложнений. Выбор препарата должен учитывать индивидуальные особенности пациента, сопутствующие заболевания и переносимость терапии.</w:t>
      </w:r>
    </w:p>
    <w:p w14:paraId="33B1884B" w14:textId="350AAD58" w:rsidR="00B73674" w:rsidRPr="003B37B6" w:rsidRDefault="00B73674" w:rsidP="00367F3C">
      <w:pPr>
        <w:pStyle w:val="11"/>
        <w:numPr>
          <w:ilvl w:val="0"/>
          <w:numId w:val="21"/>
        </w:numPr>
        <w:tabs>
          <w:tab w:val="left" w:pos="1264"/>
        </w:tabs>
        <w:ind w:firstLine="580"/>
        <w:jc w:val="both"/>
        <w:rPr>
          <w:sz w:val="24"/>
          <w:szCs w:val="24"/>
        </w:rPr>
      </w:pPr>
      <w:r w:rsidRPr="003B37B6">
        <w:rPr>
          <w:rStyle w:val="ac"/>
          <w:rFonts w:eastAsiaTheme="majorEastAsia"/>
          <w:sz w:val="24"/>
          <w:szCs w:val="24"/>
        </w:rPr>
        <w:t>Пациентам с АГ и симптомами стенокардии рекомендуется назначение ББ и/или АК.</w:t>
      </w:r>
      <w:r w:rsidRPr="003B37B6">
        <w:rPr>
          <w:sz w:val="24"/>
          <w:szCs w:val="24"/>
        </w:rPr>
        <w:t xml:space="preserve"> </w:t>
      </w:r>
      <w:r w:rsidRPr="003B37B6">
        <w:rPr>
          <w:rStyle w:val="ac"/>
          <w:rFonts w:eastAsiaTheme="majorEastAsia"/>
          <w:sz w:val="24"/>
          <w:szCs w:val="24"/>
        </w:rPr>
        <w:t>[249] (</w:t>
      </w:r>
      <w:r w:rsidR="00535F5B" w:rsidRPr="003B37B6">
        <w:rPr>
          <w:rStyle w:val="ac"/>
          <w:rFonts w:eastAsiaTheme="majorEastAsia"/>
          <w:sz w:val="24"/>
          <w:szCs w:val="24"/>
        </w:rPr>
        <w:t>глава 4 Приложения Б к настоящим Клиническим рекомендациям</w:t>
      </w:r>
      <w:r w:rsidRPr="003B37B6">
        <w:rPr>
          <w:rStyle w:val="ac"/>
          <w:rFonts w:eastAsiaTheme="majorEastAsia"/>
          <w:sz w:val="24"/>
          <w:szCs w:val="24"/>
        </w:rPr>
        <w:t>)</w:t>
      </w:r>
      <w:r w:rsidR="00535F5B" w:rsidRPr="003B37B6">
        <w:rPr>
          <w:rStyle w:val="ac"/>
          <w:rFonts w:eastAsiaTheme="majorEastAsia"/>
          <w:sz w:val="24"/>
          <w:szCs w:val="24"/>
        </w:rPr>
        <w:t>.</w:t>
      </w:r>
    </w:p>
    <w:p w14:paraId="3CC664B6" w14:textId="782C0DD0" w:rsidR="00B73674" w:rsidRPr="003B37B6" w:rsidRDefault="00B73674" w:rsidP="00B73674">
      <w:pPr>
        <w:pStyle w:val="11"/>
        <w:ind w:firstLine="580"/>
        <w:jc w:val="both"/>
        <w:rPr>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397F16" w:rsidRPr="003B37B6">
        <w:rPr>
          <w:rStyle w:val="ac"/>
          <w:rFonts w:eastAsiaTheme="majorEastAsia"/>
          <w:b/>
          <w:bCs/>
          <w:sz w:val="24"/>
          <w:szCs w:val="24"/>
        </w:rPr>
        <w:t xml:space="preserve"> </w:t>
      </w:r>
      <w:r w:rsidRPr="003B37B6">
        <w:rPr>
          <w:rStyle w:val="ac"/>
          <w:rFonts w:eastAsiaTheme="majorEastAsia"/>
          <w:b/>
          <w:bCs/>
          <w:sz w:val="24"/>
          <w:szCs w:val="24"/>
        </w:rPr>
        <w:t xml:space="preserve">А, </w:t>
      </w:r>
      <w:r w:rsidR="00083F5A"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1)</w:t>
      </w:r>
      <w:r w:rsidR="00397F16" w:rsidRPr="003B37B6">
        <w:rPr>
          <w:rStyle w:val="ac"/>
          <w:rFonts w:eastAsiaTheme="majorEastAsia"/>
          <w:b/>
          <w:bCs/>
          <w:sz w:val="24"/>
          <w:szCs w:val="24"/>
        </w:rPr>
        <w:t>; ЕОК/ЕОАГ IА</w:t>
      </w:r>
      <w:r w:rsidR="00AC286F" w:rsidRPr="003B37B6">
        <w:rPr>
          <w:rStyle w:val="ac"/>
          <w:rFonts w:eastAsiaTheme="majorEastAsia"/>
          <w:b/>
          <w:bCs/>
          <w:sz w:val="24"/>
          <w:szCs w:val="24"/>
        </w:rPr>
        <w:t>.</w:t>
      </w:r>
    </w:p>
    <w:p w14:paraId="22126E30" w14:textId="77777777" w:rsidR="00B73674" w:rsidRPr="003B37B6" w:rsidRDefault="00B73674" w:rsidP="00B73674">
      <w:pPr>
        <w:pStyle w:val="11"/>
        <w:ind w:firstLine="580"/>
        <w:jc w:val="both"/>
        <w:rPr>
          <w:sz w:val="24"/>
          <w:szCs w:val="24"/>
        </w:rPr>
      </w:pPr>
      <w:r w:rsidRPr="003B37B6">
        <w:rPr>
          <w:rStyle w:val="ac"/>
          <w:rFonts w:eastAsiaTheme="majorEastAsia"/>
          <w:b/>
          <w:bCs/>
          <w:i/>
          <w:iCs/>
          <w:sz w:val="24"/>
          <w:szCs w:val="24"/>
        </w:rPr>
        <w:t xml:space="preserve">Комментарии: </w:t>
      </w:r>
      <w:r w:rsidRPr="003B37B6">
        <w:rPr>
          <w:rStyle w:val="ac"/>
          <w:rFonts w:eastAsiaTheme="majorEastAsia"/>
          <w:i/>
          <w:iCs/>
          <w:sz w:val="24"/>
          <w:szCs w:val="24"/>
        </w:rPr>
        <w:t xml:space="preserve">ББ обычно не следует комбинировать с недигидропиридиновыми АК (например, дилтиазем или верапамил**). У пациентов с очень низкой частотой сердечных сокращений </w:t>
      </w:r>
      <w:proofErr w:type="gramStart"/>
      <w:r w:rsidRPr="003B37B6">
        <w:rPr>
          <w:rStyle w:val="ac"/>
          <w:rFonts w:eastAsiaTheme="majorEastAsia"/>
          <w:i/>
          <w:iCs/>
          <w:sz w:val="24"/>
          <w:szCs w:val="24"/>
        </w:rPr>
        <w:t>(&lt; 50</w:t>
      </w:r>
      <w:proofErr w:type="gramEnd"/>
      <w:r w:rsidRPr="003B37B6">
        <w:rPr>
          <w:rStyle w:val="ac"/>
          <w:rFonts w:eastAsiaTheme="majorEastAsia"/>
          <w:i/>
          <w:iCs/>
          <w:sz w:val="24"/>
          <w:szCs w:val="24"/>
        </w:rPr>
        <w:t xml:space="preserve"> ударов в минуту) ББ или недигидропиридиновые АК не должны быть инициированы</w:t>
      </w:r>
      <w:r w:rsidRPr="003B37B6">
        <w:rPr>
          <w:rStyle w:val="ac"/>
          <w:rFonts w:eastAsiaTheme="majorEastAsia"/>
          <w:sz w:val="24"/>
          <w:szCs w:val="24"/>
        </w:rPr>
        <w:t xml:space="preserve"> [12]</w:t>
      </w:r>
      <w:r w:rsidRPr="003B37B6">
        <w:rPr>
          <w:rStyle w:val="ac"/>
          <w:rFonts w:eastAsiaTheme="majorEastAsia"/>
          <w:i/>
          <w:iCs/>
          <w:sz w:val="24"/>
          <w:szCs w:val="24"/>
        </w:rPr>
        <w:t>.</w:t>
      </w:r>
    </w:p>
    <w:p w14:paraId="3819F9A2" w14:textId="77777777" w:rsidR="00B73674" w:rsidRPr="003B37B6" w:rsidRDefault="00B73674">
      <w:pPr>
        <w:pStyle w:val="11"/>
        <w:numPr>
          <w:ilvl w:val="0"/>
          <w:numId w:val="21"/>
        </w:numPr>
        <w:tabs>
          <w:tab w:val="left" w:pos="1264"/>
        </w:tabs>
        <w:ind w:firstLine="580"/>
        <w:jc w:val="both"/>
        <w:rPr>
          <w:sz w:val="24"/>
          <w:szCs w:val="24"/>
        </w:rPr>
      </w:pPr>
      <w:r w:rsidRPr="003B37B6">
        <w:rPr>
          <w:rStyle w:val="ac"/>
          <w:rFonts w:eastAsiaTheme="majorEastAsia"/>
          <w:sz w:val="24"/>
          <w:szCs w:val="24"/>
        </w:rPr>
        <w:t>Пациентам с АГ и ГЛЖ в сочетании с ишемией миокарда и отсутствием</w:t>
      </w:r>
      <w:r w:rsidRPr="003B37B6">
        <w:rPr>
          <w:sz w:val="24"/>
          <w:szCs w:val="24"/>
        </w:rPr>
        <w:t xml:space="preserve"> </w:t>
      </w:r>
      <w:r w:rsidRPr="003B37B6">
        <w:rPr>
          <w:rStyle w:val="ac"/>
          <w:rFonts w:eastAsiaTheme="majorEastAsia"/>
          <w:sz w:val="24"/>
          <w:szCs w:val="24"/>
        </w:rPr>
        <w:t>обструктивной болезни коронарных артерий (</w:t>
      </w:r>
      <w:r w:rsidRPr="003B37B6">
        <w:rPr>
          <w:rStyle w:val="ac"/>
          <w:rFonts w:eastAsiaTheme="majorEastAsia"/>
          <w:sz w:val="24"/>
          <w:szCs w:val="24"/>
          <w:lang w:val="en-US"/>
        </w:rPr>
        <w:t>INOCA</w:t>
      </w:r>
      <w:r w:rsidRPr="003B37B6">
        <w:rPr>
          <w:rStyle w:val="ac"/>
          <w:rFonts w:eastAsiaTheme="majorEastAsia"/>
          <w:sz w:val="24"/>
          <w:szCs w:val="24"/>
        </w:rPr>
        <w:t>), включая пациентов с инфарктом миокарда без обструктивной болезни коронарных артерий (</w:t>
      </w:r>
      <w:r w:rsidRPr="003B37B6">
        <w:rPr>
          <w:rStyle w:val="ac"/>
          <w:rFonts w:eastAsiaTheme="majorEastAsia"/>
          <w:sz w:val="24"/>
          <w:szCs w:val="24"/>
          <w:lang w:val="en-US"/>
        </w:rPr>
        <w:t>MINOCA</w:t>
      </w:r>
      <w:r w:rsidRPr="003B37B6">
        <w:rPr>
          <w:rStyle w:val="ac"/>
          <w:rFonts w:eastAsiaTheme="majorEastAsia"/>
          <w:sz w:val="24"/>
          <w:szCs w:val="24"/>
        </w:rPr>
        <w:t>) рекомендовано лечение</w:t>
      </w:r>
      <w:r w:rsidRPr="003B37B6">
        <w:rPr>
          <w:sz w:val="24"/>
          <w:szCs w:val="24"/>
        </w:rPr>
        <w:t xml:space="preserve"> </w:t>
      </w:r>
      <w:r w:rsidRPr="003B37B6">
        <w:rPr>
          <w:rStyle w:val="ac"/>
          <w:rFonts w:eastAsiaTheme="majorEastAsia"/>
          <w:sz w:val="24"/>
          <w:szCs w:val="24"/>
        </w:rPr>
        <w:t>иРААС, ББ, АК для снижения риска развития сердечной недостаточности и снижения СС риска [253, 254, 12, 255, 99]</w:t>
      </w:r>
    </w:p>
    <w:p w14:paraId="20B6E905" w14:textId="1B79685F" w:rsidR="00083F5A" w:rsidRPr="003B37B6" w:rsidRDefault="003D51B3" w:rsidP="00AC286F">
      <w:pPr>
        <w:pStyle w:val="11"/>
        <w:tabs>
          <w:tab w:val="left" w:pos="1264"/>
        </w:tabs>
        <w:ind w:firstLine="709"/>
        <w:jc w:val="both"/>
        <w:rPr>
          <w:rStyle w:val="ac"/>
          <w:rFonts w:eastAsiaTheme="majorEastAsia"/>
          <w:b/>
          <w:bCs/>
          <w:sz w:val="24"/>
          <w:szCs w:val="24"/>
        </w:rPr>
      </w:pPr>
      <w:r w:rsidRPr="003B37B6">
        <w:rPr>
          <w:rStyle w:val="ac"/>
          <w:rFonts w:eastAsiaTheme="majorEastAsia"/>
          <w:b/>
          <w:bCs/>
          <w:sz w:val="24"/>
          <w:szCs w:val="24"/>
        </w:rPr>
        <w:t>Уровень убедительности рекомендаций</w:t>
      </w:r>
      <w:r w:rsidR="00083F5A" w:rsidRPr="003B37B6">
        <w:rPr>
          <w:rStyle w:val="ac"/>
          <w:rFonts w:eastAsiaTheme="majorEastAsia"/>
          <w:b/>
          <w:bCs/>
          <w:sz w:val="24"/>
          <w:szCs w:val="24"/>
        </w:rPr>
        <w:t xml:space="preserve"> </w:t>
      </w:r>
      <w:r w:rsidR="00B73674" w:rsidRPr="003B37B6">
        <w:rPr>
          <w:rStyle w:val="ac"/>
          <w:rFonts w:eastAsiaTheme="majorEastAsia"/>
          <w:b/>
          <w:bCs/>
          <w:sz w:val="24"/>
          <w:szCs w:val="24"/>
          <w:lang w:val="en-US"/>
        </w:rPr>
        <w:t>B</w:t>
      </w:r>
      <w:r w:rsidR="00B73674" w:rsidRPr="003B37B6">
        <w:rPr>
          <w:rStyle w:val="ac"/>
          <w:rFonts w:eastAsiaTheme="majorEastAsia"/>
          <w:b/>
          <w:bCs/>
          <w:sz w:val="24"/>
          <w:szCs w:val="24"/>
        </w:rPr>
        <w:t xml:space="preserve">, </w:t>
      </w:r>
      <w:r w:rsidR="00083F5A" w:rsidRPr="003B37B6">
        <w:rPr>
          <w:rStyle w:val="ac"/>
          <w:rFonts w:eastAsiaTheme="majorEastAsia"/>
          <w:b/>
          <w:bCs/>
          <w:sz w:val="24"/>
          <w:szCs w:val="24"/>
        </w:rPr>
        <w:t>(</w:t>
      </w:r>
      <w:r w:rsidRPr="003B37B6">
        <w:rPr>
          <w:rStyle w:val="ac"/>
          <w:rFonts w:eastAsiaTheme="majorEastAsia"/>
          <w:b/>
          <w:bCs/>
          <w:sz w:val="24"/>
          <w:szCs w:val="24"/>
        </w:rPr>
        <w:t>Уровень достоверности доказательств</w:t>
      </w:r>
      <w:r w:rsidR="00B73674" w:rsidRPr="003B37B6">
        <w:rPr>
          <w:rStyle w:val="ac"/>
          <w:rFonts w:eastAsiaTheme="majorEastAsia"/>
          <w:b/>
          <w:bCs/>
          <w:sz w:val="24"/>
          <w:szCs w:val="24"/>
        </w:rPr>
        <w:t xml:space="preserve"> 2)</w:t>
      </w:r>
      <w:r w:rsidR="00083F5A" w:rsidRPr="003B37B6">
        <w:rPr>
          <w:rStyle w:val="ac"/>
          <w:rFonts w:eastAsiaTheme="majorEastAsia"/>
          <w:b/>
          <w:bCs/>
          <w:sz w:val="24"/>
          <w:szCs w:val="24"/>
        </w:rPr>
        <w:t xml:space="preserve">; ЕОАГ </w:t>
      </w:r>
      <w:r w:rsidR="00083F5A" w:rsidRPr="003B37B6">
        <w:rPr>
          <w:rStyle w:val="ac"/>
          <w:rFonts w:eastAsiaTheme="majorEastAsia"/>
          <w:b/>
          <w:bCs/>
          <w:sz w:val="24"/>
          <w:szCs w:val="24"/>
          <w:lang w:val="en-US"/>
        </w:rPr>
        <w:t>IIB</w:t>
      </w:r>
      <w:r w:rsidR="00AC286F" w:rsidRPr="003B37B6">
        <w:rPr>
          <w:rStyle w:val="ac"/>
          <w:rFonts w:eastAsiaTheme="majorEastAsia"/>
          <w:b/>
          <w:bCs/>
          <w:sz w:val="24"/>
          <w:szCs w:val="24"/>
        </w:rPr>
        <w:t>.</w:t>
      </w:r>
    </w:p>
    <w:p w14:paraId="73836455" w14:textId="6E517FF9" w:rsidR="00083F5A" w:rsidRPr="003B37B6" w:rsidRDefault="00083F5A" w:rsidP="00AC286F">
      <w:pPr>
        <w:pStyle w:val="11"/>
        <w:tabs>
          <w:tab w:val="left" w:pos="1264"/>
        </w:tabs>
        <w:ind w:firstLine="709"/>
        <w:jc w:val="both"/>
        <w:rPr>
          <w:rFonts w:eastAsiaTheme="majorEastAsia"/>
          <w:b/>
          <w:bCs/>
          <w:i/>
          <w:iCs/>
          <w:sz w:val="24"/>
          <w:szCs w:val="24"/>
        </w:rPr>
      </w:pPr>
      <w:r w:rsidRPr="003B37B6">
        <w:rPr>
          <w:b/>
          <w:bCs/>
          <w:kern w:val="0"/>
          <w:sz w:val="24"/>
          <w:szCs w:val="24"/>
          <w:lang w:eastAsia="ru-RU"/>
        </w:rPr>
        <w:t>Комментарии:</w:t>
      </w:r>
      <w:r w:rsidRPr="003B37B6">
        <w:rPr>
          <w:kern w:val="0"/>
          <w:sz w:val="24"/>
          <w:szCs w:val="24"/>
          <w:lang w:eastAsia="ru-RU"/>
        </w:rPr>
        <w:t xml:space="preserve"> </w:t>
      </w:r>
      <w:r w:rsidRPr="003B37B6">
        <w:rPr>
          <w:i/>
          <w:iCs/>
          <w:kern w:val="0"/>
          <w:sz w:val="24"/>
          <w:szCs w:val="24"/>
          <w:lang w:eastAsia="ru-RU"/>
        </w:rPr>
        <w:t>Пациентам с артериальной гипертензией (АГ) и гипертрофией левого желудочка (ГЛЖ), сопровождающейся ишемией миокарда без обструктивной болезни коронарных артерий (INOCA), включая случаи инфаркта миокарда без обструктивной болезни коронарных артерий (MINOCA), рекомендуется назначение ингибиторов ренин-ангиотензин-альдостероновой системы (иРААС), бета-блокаторов (ББ) и антагонистов кальция (АК). Такая терапия направлена на снижение риска развития сердечной недостаточности и уменьшение сердечно-сосудистого риска за счет улучшения гемодинамики, снижения нагрузки на миокард и улучшения коронарного кровотока. Эти рекомендации основаны на современных клинических данных и обеспечивают комплексный подход к лечению сложных форм сердечно-сосудистых заболеваний.</w:t>
      </w:r>
    </w:p>
    <w:p w14:paraId="7C1BC7C5" w14:textId="77777777" w:rsidR="00912CDB" w:rsidRPr="003B37B6" w:rsidRDefault="00912CDB" w:rsidP="00912CDB">
      <w:pPr>
        <w:pStyle w:val="11"/>
        <w:tabs>
          <w:tab w:val="left" w:pos="1278"/>
        </w:tabs>
        <w:ind w:firstLine="0"/>
        <w:jc w:val="center"/>
        <w:rPr>
          <w:sz w:val="24"/>
          <w:szCs w:val="24"/>
        </w:rPr>
      </w:pPr>
      <w:bookmarkStart w:id="39" w:name="bookmark30"/>
      <w:r w:rsidRPr="003B37B6">
        <w:rPr>
          <w:rStyle w:val="ac"/>
          <w:rFonts w:eastAsiaTheme="majorEastAsia"/>
          <w:b/>
          <w:bCs/>
          <w:sz w:val="24"/>
          <w:szCs w:val="24"/>
        </w:rPr>
        <w:t>Артериальная гипертензия, гипертрофия левого желудочка и сердечная недостаточность</w:t>
      </w:r>
      <w:bookmarkEnd w:id="39"/>
    </w:p>
    <w:p w14:paraId="50CBC54E" w14:textId="77777777" w:rsidR="00912CDB" w:rsidRPr="003B37B6" w:rsidRDefault="00912CDB">
      <w:pPr>
        <w:pStyle w:val="11"/>
        <w:numPr>
          <w:ilvl w:val="0"/>
          <w:numId w:val="22"/>
        </w:numPr>
        <w:tabs>
          <w:tab w:val="left" w:pos="1278"/>
        </w:tabs>
        <w:ind w:firstLine="600"/>
        <w:jc w:val="both"/>
        <w:rPr>
          <w:sz w:val="24"/>
          <w:szCs w:val="24"/>
        </w:rPr>
      </w:pPr>
      <w:r w:rsidRPr="003B37B6">
        <w:rPr>
          <w:rStyle w:val="ac"/>
          <w:rFonts w:eastAsiaTheme="majorEastAsia"/>
          <w:sz w:val="24"/>
          <w:szCs w:val="24"/>
        </w:rPr>
        <w:lastRenderedPageBreak/>
        <w:t>Ингибиторы АПФ или АРНИ, ББ или АМКР (или комбинация) рекомендуются при ХСНнФВ для снижения риска смерти и госпитализаций из-за СН [256, 257, 258, 259, 260, 261, 262, 263].</w:t>
      </w:r>
    </w:p>
    <w:p w14:paraId="345D1B2D" w14:textId="368AF66B" w:rsidR="00912CDB" w:rsidRPr="003B37B6" w:rsidRDefault="00912CDB" w:rsidP="00912CDB">
      <w:pPr>
        <w:pStyle w:val="11"/>
        <w:ind w:firstLine="600"/>
        <w:jc w:val="both"/>
        <w:rPr>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083F5A" w:rsidRPr="003B37B6">
        <w:rPr>
          <w:rStyle w:val="ac"/>
          <w:rFonts w:eastAsiaTheme="majorEastAsia"/>
          <w:b/>
          <w:bCs/>
          <w:sz w:val="24"/>
          <w:szCs w:val="24"/>
        </w:rPr>
        <w:t xml:space="preserve"> </w:t>
      </w:r>
      <w:r w:rsidRPr="003B37B6">
        <w:rPr>
          <w:rStyle w:val="ac"/>
          <w:rFonts w:eastAsiaTheme="majorEastAsia"/>
          <w:b/>
          <w:bCs/>
          <w:sz w:val="24"/>
          <w:szCs w:val="24"/>
          <w:lang w:val="en-US"/>
        </w:rPr>
        <w:t>B</w:t>
      </w:r>
      <w:r w:rsidRPr="003B37B6">
        <w:rPr>
          <w:rStyle w:val="ac"/>
          <w:rFonts w:eastAsiaTheme="majorEastAsia"/>
          <w:b/>
          <w:bCs/>
          <w:sz w:val="24"/>
          <w:szCs w:val="24"/>
        </w:rPr>
        <w:t xml:space="preserve">, </w:t>
      </w:r>
      <w:r w:rsidR="00083F5A"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1)</w:t>
      </w:r>
      <w:r w:rsidR="00083F5A" w:rsidRPr="003B37B6">
        <w:rPr>
          <w:rStyle w:val="ac"/>
          <w:rFonts w:eastAsiaTheme="majorEastAsia"/>
          <w:b/>
          <w:bCs/>
          <w:sz w:val="24"/>
          <w:szCs w:val="24"/>
        </w:rPr>
        <w:t xml:space="preserve">; ЕОК </w:t>
      </w:r>
      <w:r w:rsidR="00083F5A" w:rsidRPr="003B37B6">
        <w:rPr>
          <w:rStyle w:val="ac"/>
          <w:rFonts w:eastAsiaTheme="majorEastAsia"/>
          <w:b/>
          <w:bCs/>
          <w:sz w:val="24"/>
          <w:szCs w:val="24"/>
          <w:lang w:val="en-US"/>
        </w:rPr>
        <w:t>IA</w:t>
      </w:r>
      <w:r w:rsidR="003E0C26" w:rsidRPr="003B37B6">
        <w:rPr>
          <w:rStyle w:val="ac"/>
          <w:rFonts w:eastAsiaTheme="majorEastAsia"/>
          <w:b/>
          <w:bCs/>
          <w:sz w:val="24"/>
          <w:szCs w:val="24"/>
        </w:rPr>
        <w:t>.</w:t>
      </w:r>
    </w:p>
    <w:p w14:paraId="72E85F04" w14:textId="0C1C2A3C" w:rsidR="00912CDB" w:rsidRPr="003B37B6" w:rsidRDefault="00912CDB" w:rsidP="00912CDB">
      <w:pPr>
        <w:pStyle w:val="11"/>
        <w:ind w:firstLine="600"/>
        <w:jc w:val="both"/>
        <w:rPr>
          <w:sz w:val="24"/>
          <w:szCs w:val="24"/>
        </w:rPr>
      </w:pPr>
      <w:r w:rsidRPr="003B37B6">
        <w:rPr>
          <w:rStyle w:val="ac"/>
          <w:rFonts w:eastAsiaTheme="majorEastAsia"/>
          <w:b/>
          <w:bCs/>
          <w:sz w:val="24"/>
          <w:szCs w:val="24"/>
        </w:rPr>
        <w:t xml:space="preserve">Комментарии. </w:t>
      </w:r>
      <w:r w:rsidRPr="003B37B6">
        <w:rPr>
          <w:rStyle w:val="ac"/>
          <w:rFonts w:eastAsiaTheme="majorEastAsia"/>
          <w:i/>
          <w:iCs/>
          <w:sz w:val="24"/>
          <w:szCs w:val="24"/>
        </w:rPr>
        <w:t>Лечение пациентов с СН проводится согласно Клиническим рекомендациям «Хроническая сердечная недостаточность». Назначение дополнительной антигипертензивной терапии при необходимости проводится с учетом показаний и противопоказаний, обусловленных СН. Ингибиторы АПФ/Валсартан+сакубитрил**, ББ, АМКР, дапаглифлозин**/эмпаглифлозин** (иНГЛТ-2) рекомендуются в составе комбинированной четырехкомпонентной терапии для лечения всем пациентам с симптомной СН и сниженной ФВ ЛЖ (&lt;40%) для снижения госпитализации из-за СН и смерти</w:t>
      </w:r>
      <w:r w:rsidRPr="003B37B6">
        <w:rPr>
          <w:rStyle w:val="ac"/>
          <w:rFonts w:eastAsiaTheme="majorEastAsia"/>
          <w:sz w:val="24"/>
          <w:szCs w:val="24"/>
        </w:rPr>
        <w:t xml:space="preserve"> [256, 257, 264, 258, 259, 260, 261, 262]</w:t>
      </w:r>
      <w:r w:rsidRPr="003B37B6">
        <w:rPr>
          <w:rStyle w:val="ac"/>
          <w:rFonts w:eastAsiaTheme="majorEastAsia"/>
          <w:i/>
          <w:iCs/>
          <w:sz w:val="24"/>
          <w:szCs w:val="24"/>
        </w:rPr>
        <w:t>. Данная терапия также безопасна у пациентов с ХСН с сохраненной и умеренно сниженной ФВЛЖ.</w:t>
      </w:r>
    </w:p>
    <w:p w14:paraId="57921C34" w14:textId="4F0FA293" w:rsidR="00912CDB" w:rsidRPr="003B37B6" w:rsidRDefault="00912CDB">
      <w:pPr>
        <w:pStyle w:val="11"/>
        <w:numPr>
          <w:ilvl w:val="0"/>
          <w:numId w:val="22"/>
        </w:numPr>
        <w:tabs>
          <w:tab w:val="left" w:pos="1278"/>
        </w:tabs>
        <w:ind w:firstLine="600"/>
        <w:jc w:val="both"/>
        <w:rPr>
          <w:sz w:val="24"/>
          <w:szCs w:val="24"/>
        </w:rPr>
      </w:pPr>
      <w:r w:rsidRPr="003B37B6">
        <w:rPr>
          <w:rStyle w:val="ac"/>
          <w:rFonts w:eastAsiaTheme="majorEastAsia"/>
          <w:sz w:val="24"/>
          <w:szCs w:val="24"/>
        </w:rPr>
        <w:t>Назначение амлодипина** рекомендуется у пациентов с АГ и ХСН для усиления АГТ при недостаточной антигипертензивной эффективности применения комбинации ИАПФ/ АРНИ, ББ, АМКР и диуретиков [265, 266]</w:t>
      </w:r>
      <w:r w:rsidR="003E0C26" w:rsidRPr="003B37B6">
        <w:rPr>
          <w:rStyle w:val="ac"/>
          <w:rFonts w:eastAsiaTheme="majorEastAsia"/>
          <w:sz w:val="24"/>
          <w:szCs w:val="24"/>
        </w:rPr>
        <w:t>.</w:t>
      </w:r>
    </w:p>
    <w:p w14:paraId="1B50EB8E" w14:textId="2F8CFE97" w:rsidR="00912CDB" w:rsidRPr="003B37B6" w:rsidRDefault="00912CDB" w:rsidP="00912CDB">
      <w:pPr>
        <w:pStyle w:val="11"/>
        <w:ind w:firstLine="600"/>
        <w:jc w:val="both"/>
        <w:rPr>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4E73A4" w:rsidRPr="003B37B6">
        <w:rPr>
          <w:rStyle w:val="ac"/>
          <w:rFonts w:eastAsiaTheme="majorEastAsia"/>
          <w:b/>
          <w:bCs/>
          <w:sz w:val="24"/>
          <w:szCs w:val="24"/>
        </w:rPr>
        <w:t xml:space="preserve"> </w:t>
      </w:r>
      <w:r w:rsidRPr="003B37B6">
        <w:rPr>
          <w:rStyle w:val="ac"/>
          <w:rFonts w:eastAsiaTheme="majorEastAsia"/>
          <w:b/>
          <w:bCs/>
          <w:sz w:val="24"/>
          <w:szCs w:val="24"/>
        </w:rPr>
        <w:t xml:space="preserve">А, </w:t>
      </w:r>
      <w:r w:rsidR="004E73A4"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2)</w:t>
      </w:r>
      <w:r w:rsidR="004E73A4" w:rsidRPr="003B37B6">
        <w:rPr>
          <w:rStyle w:val="ac"/>
          <w:rFonts w:eastAsiaTheme="majorEastAsia"/>
          <w:b/>
          <w:bCs/>
          <w:sz w:val="24"/>
          <w:szCs w:val="24"/>
        </w:rPr>
        <w:t xml:space="preserve">; ЕОК </w:t>
      </w:r>
      <w:r w:rsidR="004E73A4" w:rsidRPr="003B37B6">
        <w:rPr>
          <w:rStyle w:val="ac"/>
          <w:rFonts w:eastAsiaTheme="majorEastAsia"/>
          <w:b/>
          <w:bCs/>
          <w:sz w:val="24"/>
          <w:szCs w:val="24"/>
          <w:lang w:val="en-US"/>
        </w:rPr>
        <w:t>IIbA</w:t>
      </w:r>
      <w:r w:rsidR="003E0C26" w:rsidRPr="003B37B6">
        <w:rPr>
          <w:rStyle w:val="ac"/>
          <w:rFonts w:eastAsiaTheme="majorEastAsia"/>
          <w:b/>
          <w:bCs/>
          <w:sz w:val="24"/>
          <w:szCs w:val="24"/>
        </w:rPr>
        <w:t>.</w:t>
      </w:r>
    </w:p>
    <w:p w14:paraId="0A69794F" w14:textId="77777777" w:rsidR="00912CDB" w:rsidRPr="003B37B6" w:rsidRDefault="00912CDB" w:rsidP="00912CDB">
      <w:pPr>
        <w:pStyle w:val="11"/>
        <w:ind w:firstLine="600"/>
        <w:jc w:val="both"/>
        <w:rPr>
          <w:sz w:val="24"/>
          <w:szCs w:val="24"/>
        </w:rPr>
      </w:pPr>
      <w:r w:rsidRPr="003B37B6">
        <w:rPr>
          <w:rStyle w:val="ac"/>
          <w:rFonts w:eastAsiaTheme="majorEastAsia"/>
          <w:b/>
          <w:bCs/>
          <w:sz w:val="24"/>
          <w:szCs w:val="24"/>
        </w:rPr>
        <w:t xml:space="preserve">Комментарии. </w:t>
      </w:r>
      <w:r w:rsidRPr="003B37B6">
        <w:rPr>
          <w:rStyle w:val="ac"/>
          <w:rFonts w:eastAsiaTheme="majorEastAsia"/>
          <w:sz w:val="24"/>
          <w:szCs w:val="24"/>
        </w:rPr>
        <w:t xml:space="preserve">АК </w:t>
      </w:r>
      <w:r w:rsidRPr="003B37B6">
        <w:rPr>
          <w:rStyle w:val="ac"/>
          <w:rFonts w:eastAsiaTheme="majorEastAsia"/>
          <w:i/>
          <w:iCs/>
          <w:sz w:val="24"/>
          <w:szCs w:val="24"/>
        </w:rPr>
        <w:t>не влияют на прогноз пациентов с СН и являются эффективными препаратами для лечения артериальной гипертонии. Короткодействующие дигидропиридиновые АК не рекомендуются.</w:t>
      </w:r>
    </w:p>
    <w:p w14:paraId="0B5F938F" w14:textId="77777777" w:rsidR="00912CDB" w:rsidRPr="003B37B6" w:rsidRDefault="00912CDB">
      <w:pPr>
        <w:pStyle w:val="11"/>
        <w:numPr>
          <w:ilvl w:val="0"/>
          <w:numId w:val="22"/>
        </w:numPr>
        <w:tabs>
          <w:tab w:val="left" w:pos="1278"/>
        </w:tabs>
        <w:ind w:firstLine="600"/>
        <w:jc w:val="both"/>
        <w:rPr>
          <w:sz w:val="24"/>
          <w:szCs w:val="24"/>
        </w:rPr>
      </w:pPr>
      <w:r w:rsidRPr="003B37B6">
        <w:rPr>
          <w:rStyle w:val="ac"/>
          <w:rFonts w:eastAsiaTheme="majorEastAsia"/>
          <w:sz w:val="24"/>
          <w:szCs w:val="24"/>
        </w:rPr>
        <w:t>Назначение дилтиазема и верапамила** не рекомендуется пациентам с АГ и ХСНнФВ из-за их отрицательного инотропного действия и риска ухудшения ХСН [267, 268, 269, 270].</w:t>
      </w:r>
    </w:p>
    <w:p w14:paraId="6CAC8FD7" w14:textId="25DCB254" w:rsidR="00912CDB" w:rsidRPr="003B37B6" w:rsidRDefault="00912CDB" w:rsidP="00912CDB">
      <w:pPr>
        <w:pStyle w:val="11"/>
        <w:ind w:firstLine="600"/>
        <w:jc w:val="both"/>
        <w:rPr>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4E73A4" w:rsidRPr="003B37B6">
        <w:rPr>
          <w:rStyle w:val="ac"/>
          <w:rFonts w:eastAsiaTheme="majorEastAsia"/>
          <w:b/>
          <w:bCs/>
          <w:sz w:val="24"/>
          <w:szCs w:val="24"/>
        </w:rPr>
        <w:t xml:space="preserve"> </w:t>
      </w:r>
      <w:r w:rsidRPr="003B37B6">
        <w:rPr>
          <w:rStyle w:val="ac"/>
          <w:rFonts w:eastAsiaTheme="majorEastAsia"/>
          <w:b/>
          <w:bCs/>
          <w:sz w:val="24"/>
          <w:szCs w:val="24"/>
        </w:rPr>
        <w:t xml:space="preserve">А, </w:t>
      </w:r>
      <w:r w:rsidR="004E73A4"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2)</w:t>
      </w:r>
      <w:r w:rsidR="004E73A4" w:rsidRPr="003B37B6">
        <w:rPr>
          <w:rStyle w:val="ac"/>
          <w:rFonts w:eastAsiaTheme="majorEastAsia"/>
          <w:b/>
          <w:bCs/>
          <w:sz w:val="24"/>
          <w:szCs w:val="24"/>
        </w:rPr>
        <w:t xml:space="preserve">; ЕОК </w:t>
      </w:r>
      <w:r w:rsidR="004E73A4" w:rsidRPr="003B37B6">
        <w:rPr>
          <w:rStyle w:val="ac"/>
          <w:rFonts w:eastAsiaTheme="majorEastAsia"/>
          <w:b/>
          <w:bCs/>
          <w:sz w:val="24"/>
          <w:szCs w:val="24"/>
          <w:lang w:val="en-US"/>
        </w:rPr>
        <w:t>IIIC</w:t>
      </w:r>
      <w:r w:rsidR="003E0C26" w:rsidRPr="003B37B6">
        <w:rPr>
          <w:rStyle w:val="ac"/>
          <w:rFonts w:eastAsiaTheme="majorEastAsia"/>
          <w:b/>
          <w:bCs/>
          <w:sz w:val="24"/>
          <w:szCs w:val="24"/>
        </w:rPr>
        <w:t>.</w:t>
      </w:r>
    </w:p>
    <w:p w14:paraId="33172278" w14:textId="77777777" w:rsidR="00912CDB" w:rsidRPr="003B37B6" w:rsidRDefault="00912CDB" w:rsidP="00912CDB">
      <w:pPr>
        <w:pStyle w:val="11"/>
        <w:ind w:firstLine="600"/>
        <w:jc w:val="both"/>
        <w:rPr>
          <w:sz w:val="24"/>
          <w:szCs w:val="24"/>
        </w:rPr>
      </w:pPr>
      <w:r w:rsidRPr="003B37B6">
        <w:rPr>
          <w:rStyle w:val="ac"/>
          <w:rFonts w:eastAsiaTheme="majorEastAsia"/>
          <w:b/>
          <w:bCs/>
          <w:sz w:val="24"/>
          <w:szCs w:val="24"/>
        </w:rPr>
        <w:t xml:space="preserve">Комментарии. </w:t>
      </w:r>
      <w:r w:rsidRPr="003B37B6">
        <w:rPr>
          <w:rStyle w:val="ac"/>
          <w:rFonts w:eastAsiaTheme="majorEastAsia"/>
          <w:i/>
          <w:iCs/>
          <w:sz w:val="24"/>
          <w:szCs w:val="24"/>
        </w:rPr>
        <w:t>Клинические исследования верапамила** при СН практически отсутствуют в связи с его известным отрицательным инотропным действием и предупреждением производителей</w:t>
      </w:r>
      <w:r w:rsidRPr="003B37B6">
        <w:rPr>
          <w:rStyle w:val="ac"/>
          <w:rFonts w:eastAsiaTheme="majorEastAsia"/>
          <w:sz w:val="24"/>
          <w:szCs w:val="24"/>
        </w:rPr>
        <w:t xml:space="preserve"> [268, 269, 270].</w:t>
      </w:r>
    </w:p>
    <w:p w14:paraId="199216B6" w14:textId="77777777" w:rsidR="00912CDB" w:rsidRPr="003B37B6" w:rsidRDefault="00912CDB">
      <w:pPr>
        <w:pStyle w:val="11"/>
        <w:numPr>
          <w:ilvl w:val="0"/>
          <w:numId w:val="22"/>
        </w:numPr>
        <w:tabs>
          <w:tab w:val="left" w:pos="1275"/>
        </w:tabs>
        <w:ind w:firstLine="580"/>
        <w:jc w:val="both"/>
        <w:rPr>
          <w:sz w:val="24"/>
          <w:szCs w:val="24"/>
        </w:rPr>
      </w:pPr>
      <w:r w:rsidRPr="003B37B6">
        <w:rPr>
          <w:rStyle w:val="ac"/>
          <w:rFonts w:eastAsiaTheme="majorEastAsia"/>
          <w:sz w:val="24"/>
          <w:szCs w:val="24"/>
        </w:rPr>
        <w:t>Агонисты имидазолиновых рецепторов не рекомендуются пациентам с АГ и</w:t>
      </w:r>
    </w:p>
    <w:p w14:paraId="147DF1AD" w14:textId="77777777" w:rsidR="00912CDB" w:rsidRPr="003B37B6" w:rsidRDefault="00912CDB" w:rsidP="00912CDB">
      <w:pPr>
        <w:pStyle w:val="11"/>
        <w:ind w:firstLine="0"/>
        <w:jc w:val="both"/>
        <w:rPr>
          <w:sz w:val="24"/>
          <w:szCs w:val="24"/>
        </w:rPr>
      </w:pPr>
      <w:r w:rsidRPr="003B37B6">
        <w:rPr>
          <w:rStyle w:val="ac"/>
          <w:rFonts w:eastAsiaTheme="majorEastAsia"/>
          <w:sz w:val="24"/>
          <w:szCs w:val="24"/>
        </w:rPr>
        <w:t>ХСНнФВ вследствие увеличения риска смерти [271].</w:t>
      </w:r>
    </w:p>
    <w:p w14:paraId="3EAD3E1C" w14:textId="1EB1FA96" w:rsidR="00912CDB" w:rsidRPr="003B37B6" w:rsidRDefault="00912CDB" w:rsidP="00912CDB">
      <w:pPr>
        <w:pStyle w:val="11"/>
        <w:ind w:firstLine="580"/>
        <w:jc w:val="both"/>
        <w:rPr>
          <w:rStyle w:val="ac"/>
          <w:rFonts w:eastAsiaTheme="majorEastAsia"/>
          <w:b/>
          <w:bCs/>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083F5A" w:rsidRPr="003B37B6">
        <w:rPr>
          <w:rStyle w:val="ac"/>
          <w:rFonts w:eastAsiaTheme="majorEastAsia"/>
          <w:b/>
          <w:bCs/>
          <w:sz w:val="24"/>
          <w:szCs w:val="24"/>
        </w:rPr>
        <w:t xml:space="preserve"> </w:t>
      </w:r>
      <w:r w:rsidRPr="003B37B6">
        <w:rPr>
          <w:rStyle w:val="ac"/>
          <w:rFonts w:eastAsiaTheme="majorEastAsia"/>
          <w:b/>
          <w:bCs/>
          <w:sz w:val="24"/>
          <w:szCs w:val="24"/>
        </w:rPr>
        <w:t xml:space="preserve">А, </w:t>
      </w:r>
      <w:r w:rsidR="00083F5A"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2)</w:t>
      </w:r>
      <w:r w:rsidR="00083F5A" w:rsidRPr="003B37B6">
        <w:rPr>
          <w:rStyle w:val="ac"/>
          <w:rFonts w:eastAsiaTheme="majorEastAsia"/>
          <w:b/>
          <w:bCs/>
          <w:sz w:val="24"/>
          <w:szCs w:val="24"/>
        </w:rPr>
        <w:t xml:space="preserve">; ЕОК </w:t>
      </w:r>
      <w:r w:rsidR="00083F5A" w:rsidRPr="003B37B6">
        <w:rPr>
          <w:rStyle w:val="ac"/>
          <w:rFonts w:eastAsiaTheme="majorEastAsia"/>
          <w:b/>
          <w:bCs/>
          <w:sz w:val="24"/>
          <w:szCs w:val="24"/>
          <w:lang w:val="en-US"/>
        </w:rPr>
        <w:t>IIIB</w:t>
      </w:r>
      <w:r w:rsidR="003E0C26" w:rsidRPr="003B37B6">
        <w:rPr>
          <w:rStyle w:val="ac"/>
          <w:rFonts w:eastAsiaTheme="majorEastAsia"/>
          <w:b/>
          <w:bCs/>
          <w:sz w:val="24"/>
          <w:szCs w:val="24"/>
        </w:rPr>
        <w:t>.</w:t>
      </w:r>
    </w:p>
    <w:p w14:paraId="60995283" w14:textId="1A16B2C4" w:rsidR="00083F5A" w:rsidRPr="003B37B6" w:rsidRDefault="00083F5A" w:rsidP="00912CDB">
      <w:pPr>
        <w:pStyle w:val="11"/>
        <w:ind w:firstLine="580"/>
        <w:jc w:val="both"/>
        <w:rPr>
          <w:i/>
          <w:iCs/>
          <w:sz w:val="28"/>
          <w:szCs w:val="28"/>
        </w:rPr>
      </w:pPr>
      <w:r w:rsidRPr="003B37B6">
        <w:rPr>
          <w:rStyle w:val="aff9"/>
          <w:rFonts w:eastAsiaTheme="majorEastAsia"/>
          <w:sz w:val="24"/>
          <w:szCs w:val="24"/>
        </w:rPr>
        <w:lastRenderedPageBreak/>
        <w:t xml:space="preserve">Комментарии: </w:t>
      </w:r>
      <w:r w:rsidRPr="003B37B6">
        <w:rPr>
          <w:i/>
          <w:iCs/>
          <w:sz w:val="24"/>
          <w:szCs w:val="24"/>
        </w:rPr>
        <w:t>Агонисты имидазолиновых рецепторов не рекомендуются пациентам с артериальной гипертензией (АГ) и хронической сердечной недостаточностью с сохранённой фракцией выброса (ХСНнФВ) из-за данных исследований, указывающих на увеличение риска смертности при их применении. Эти препараты могут негативно влиять на гемодинамику и компенсаторные механизмы у таких пациентов, что повышает вероятность неблагоприятных исходов.</w:t>
      </w:r>
    </w:p>
    <w:p w14:paraId="17347DDC" w14:textId="77777777" w:rsidR="00912CDB" w:rsidRPr="003B37B6" w:rsidRDefault="00912CDB">
      <w:pPr>
        <w:pStyle w:val="11"/>
        <w:numPr>
          <w:ilvl w:val="0"/>
          <w:numId w:val="22"/>
        </w:numPr>
        <w:tabs>
          <w:tab w:val="left" w:pos="1275"/>
        </w:tabs>
        <w:ind w:firstLine="580"/>
        <w:jc w:val="both"/>
        <w:rPr>
          <w:sz w:val="24"/>
          <w:szCs w:val="24"/>
        </w:rPr>
      </w:pPr>
      <w:r w:rsidRPr="003B37B6">
        <w:rPr>
          <w:rStyle w:val="ac"/>
          <w:rFonts w:eastAsiaTheme="majorEastAsia"/>
          <w:sz w:val="24"/>
          <w:szCs w:val="24"/>
        </w:rPr>
        <w:t>Назначение альфа-адреноблокаторов не рекомендуется для снижения уровня АД</w:t>
      </w:r>
      <w:r w:rsidRPr="003B37B6">
        <w:rPr>
          <w:sz w:val="24"/>
          <w:szCs w:val="24"/>
        </w:rPr>
        <w:t xml:space="preserve"> </w:t>
      </w:r>
      <w:r w:rsidRPr="003B37B6">
        <w:rPr>
          <w:rStyle w:val="ac"/>
          <w:rFonts w:eastAsiaTheme="majorEastAsia"/>
          <w:sz w:val="24"/>
          <w:szCs w:val="24"/>
        </w:rPr>
        <w:t>пациентам с АГ и ХСНнФВ, из-за возможной нейрогормональной активации, задержки жидкости и ухудшения клинической симптоматики [272, 273, 274].</w:t>
      </w:r>
    </w:p>
    <w:p w14:paraId="53CD118D" w14:textId="2CE71D91" w:rsidR="00912CDB" w:rsidRPr="003B37B6" w:rsidRDefault="003D51B3" w:rsidP="00912CDB">
      <w:pPr>
        <w:pStyle w:val="11"/>
        <w:ind w:firstLine="580"/>
        <w:jc w:val="both"/>
        <w:rPr>
          <w:sz w:val="24"/>
          <w:szCs w:val="24"/>
        </w:rPr>
      </w:pPr>
      <w:r w:rsidRPr="003B37B6">
        <w:rPr>
          <w:rStyle w:val="ac"/>
          <w:rFonts w:eastAsiaTheme="majorEastAsia"/>
          <w:b/>
          <w:bCs/>
          <w:sz w:val="24"/>
          <w:szCs w:val="24"/>
        </w:rPr>
        <w:t>Уровень убедительности рекомендаций</w:t>
      </w:r>
      <w:r w:rsidR="00083F5A" w:rsidRPr="003B37B6">
        <w:rPr>
          <w:rStyle w:val="ac"/>
          <w:rFonts w:eastAsiaTheme="majorEastAsia"/>
          <w:b/>
          <w:bCs/>
          <w:sz w:val="24"/>
          <w:szCs w:val="24"/>
        </w:rPr>
        <w:t xml:space="preserve"> </w:t>
      </w:r>
      <w:r w:rsidR="00912CDB" w:rsidRPr="003B37B6">
        <w:rPr>
          <w:rStyle w:val="ac"/>
          <w:rFonts w:eastAsiaTheme="majorEastAsia"/>
          <w:b/>
          <w:bCs/>
          <w:sz w:val="24"/>
          <w:szCs w:val="24"/>
        </w:rPr>
        <w:t xml:space="preserve">А, </w:t>
      </w:r>
      <w:r w:rsidR="00083F5A" w:rsidRPr="003B37B6">
        <w:rPr>
          <w:rStyle w:val="ac"/>
          <w:rFonts w:eastAsiaTheme="majorEastAsia"/>
          <w:b/>
          <w:bCs/>
          <w:sz w:val="24"/>
          <w:szCs w:val="24"/>
        </w:rPr>
        <w:t>(</w:t>
      </w:r>
      <w:r w:rsidRPr="003B37B6">
        <w:rPr>
          <w:rStyle w:val="ac"/>
          <w:rFonts w:eastAsiaTheme="majorEastAsia"/>
          <w:b/>
          <w:bCs/>
          <w:sz w:val="24"/>
          <w:szCs w:val="24"/>
        </w:rPr>
        <w:t>Уровень достоверности доказательств</w:t>
      </w:r>
      <w:r w:rsidR="00912CDB" w:rsidRPr="003B37B6">
        <w:rPr>
          <w:rStyle w:val="ac"/>
          <w:rFonts w:eastAsiaTheme="majorEastAsia"/>
          <w:b/>
          <w:bCs/>
          <w:sz w:val="24"/>
          <w:szCs w:val="24"/>
        </w:rPr>
        <w:t xml:space="preserve"> 2)</w:t>
      </w:r>
      <w:r w:rsidR="00083F5A" w:rsidRPr="003B37B6">
        <w:rPr>
          <w:rStyle w:val="ac"/>
          <w:rFonts w:eastAsiaTheme="majorEastAsia"/>
          <w:b/>
          <w:bCs/>
          <w:sz w:val="24"/>
          <w:szCs w:val="24"/>
        </w:rPr>
        <w:t xml:space="preserve">; ЕОК </w:t>
      </w:r>
      <w:r w:rsidR="00083F5A" w:rsidRPr="003B37B6">
        <w:rPr>
          <w:rStyle w:val="ac"/>
          <w:rFonts w:eastAsiaTheme="majorEastAsia"/>
          <w:b/>
          <w:bCs/>
          <w:sz w:val="24"/>
          <w:szCs w:val="24"/>
          <w:lang w:val="en-US"/>
        </w:rPr>
        <w:t>IIIA</w:t>
      </w:r>
      <w:r w:rsidR="003E0C26" w:rsidRPr="003B37B6">
        <w:rPr>
          <w:rStyle w:val="ac"/>
          <w:rFonts w:eastAsiaTheme="majorEastAsia"/>
          <w:b/>
          <w:bCs/>
          <w:sz w:val="24"/>
          <w:szCs w:val="24"/>
        </w:rPr>
        <w:t>.</w:t>
      </w:r>
    </w:p>
    <w:p w14:paraId="7D2723A3" w14:textId="77777777" w:rsidR="00912CDB" w:rsidRPr="003B37B6" w:rsidRDefault="00912CDB" w:rsidP="00912CDB">
      <w:pPr>
        <w:pStyle w:val="11"/>
        <w:ind w:firstLine="580"/>
        <w:jc w:val="both"/>
        <w:rPr>
          <w:sz w:val="24"/>
          <w:szCs w:val="24"/>
        </w:rPr>
      </w:pPr>
      <w:r w:rsidRPr="003B37B6">
        <w:rPr>
          <w:rStyle w:val="ac"/>
          <w:rFonts w:eastAsiaTheme="majorEastAsia"/>
          <w:b/>
          <w:bCs/>
          <w:sz w:val="24"/>
          <w:szCs w:val="24"/>
        </w:rPr>
        <w:t xml:space="preserve">Комментарии. </w:t>
      </w:r>
      <w:r w:rsidRPr="003B37B6">
        <w:rPr>
          <w:rStyle w:val="ac"/>
          <w:rFonts w:eastAsiaTheme="majorEastAsia"/>
          <w:i/>
          <w:iCs/>
          <w:sz w:val="24"/>
          <w:szCs w:val="24"/>
        </w:rPr>
        <w:t xml:space="preserve">К другим препаратам, не рекомендованным к приему при СН, относятся тиазолидиндионы, НПВП, ингибиторы ЦОГ 2, антиаритмики </w:t>
      </w:r>
      <w:r w:rsidRPr="003B37B6">
        <w:rPr>
          <w:rStyle w:val="ac"/>
          <w:rFonts w:eastAsiaTheme="majorEastAsia"/>
          <w:i/>
          <w:iCs/>
          <w:sz w:val="24"/>
          <w:szCs w:val="24"/>
          <w:lang w:val="en-US"/>
        </w:rPr>
        <w:t>I</w:t>
      </w:r>
      <w:r w:rsidRPr="003B37B6">
        <w:rPr>
          <w:rStyle w:val="ac"/>
          <w:rFonts w:eastAsiaTheme="majorEastAsia"/>
          <w:i/>
          <w:iCs/>
          <w:sz w:val="24"/>
          <w:szCs w:val="24"/>
        </w:rPr>
        <w:t xml:space="preserve"> класса. Тройная блокада РААС не рекомендуется</w:t>
      </w:r>
      <w:r w:rsidRPr="003B37B6">
        <w:rPr>
          <w:rStyle w:val="ac"/>
          <w:rFonts w:eastAsiaTheme="majorEastAsia"/>
          <w:sz w:val="24"/>
          <w:szCs w:val="24"/>
        </w:rPr>
        <w:t xml:space="preserve"> [267, 268].</w:t>
      </w:r>
    </w:p>
    <w:p w14:paraId="618F271D" w14:textId="77777777" w:rsidR="00912CDB" w:rsidRPr="003B37B6" w:rsidRDefault="00912CDB" w:rsidP="00083F5A">
      <w:pPr>
        <w:pStyle w:val="11"/>
        <w:ind w:firstLine="580"/>
        <w:jc w:val="both"/>
        <w:rPr>
          <w:sz w:val="24"/>
          <w:szCs w:val="24"/>
        </w:rPr>
      </w:pPr>
      <w:r w:rsidRPr="003B37B6">
        <w:rPr>
          <w:rStyle w:val="ac"/>
          <w:rFonts w:eastAsiaTheme="majorEastAsia"/>
          <w:sz w:val="24"/>
          <w:szCs w:val="24"/>
        </w:rPr>
        <w:t>Пациентам с ХСНнФВ и застойными явлениями рекомендованы диуретики с целью</w:t>
      </w:r>
      <w:r w:rsidRPr="003B37B6">
        <w:rPr>
          <w:rStyle w:val="ac"/>
          <w:rFonts w:eastAsiaTheme="majorEastAsia"/>
        </w:rPr>
        <w:t xml:space="preserve"> </w:t>
      </w:r>
      <w:r w:rsidRPr="003B37B6">
        <w:rPr>
          <w:rStyle w:val="ac"/>
          <w:rFonts w:eastAsiaTheme="majorEastAsia"/>
          <w:sz w:val="24"/>
          <w:szCs w:val="24"/>
        </w:rPr>
        <w:t>устранения застойных явлений и уменьшения выраженности симптомов и признаков сердечной недостаточности [275, 276].</w:t>
      </w:r>
    </w:p>
    <w:p w14:paraId="4BDC69F6" w14:textId="1ADB0168" w:rsidR="00912CDB" w:rsidRPr="003B37B6" w:rsidRDefault="00912CDB" w:rsidP="00912CDB">
      <w:pPr>
        <w:pStyle w:val="11"/>
        <w:ind w:firstLine="580"/>
        <w:jc w:val="both"/>
        <w:rPr>
          <w:rStyle w:val="ac"/>
          <w:rFonts w:eastAsiaTheme="majorEastAsia"/>
          <w:b/>
          <w:bCs/>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083F5A" w:rsidRPr="003B37B6">
        <w:rPr>
          <w:rStyle w:val="ac"/>
          <w:rFonts w:eastAsiaTheme="majorEastAsia"/>
          <w:b/>
          <w:bCs/>
          <w:sz w:val="24"/>
          <w:szCs w:val="24"/>
        </w:rPr>
        <w:t xml:space="preserve"> </w:t>
      </w:r>
      <w:r w:rsidRPr="003B37B6">
        <w:rPr>
          <w:rStyle w:val="ac"/>
          <w:rFonts w:eastAsiaTheme="majorEastAsia"/>
          <w:b/>
          <w:bCs/>
          <w:sz w:val="24"/>
          <w:szCs w:val="24"/>
        </w:rPr>
        <w:t xml:space="preserve">А, </w:t>
      </w:r>
      <w:r w:rsidR="00083F5A"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1)</w:t>
      </w:r>
      <w:r w:rsidR="00083F5A" w:rsidRPr="003B37B6">
        <w:rPr>
          <w:rStyle w:val="ac"/>
          <w:rFonts w:eastAsiaTheme="majorEastAsia"/>
          <w:b/>
          <w:bCs/>
          <w:sz w:val="24"/>
          <w:szCs w:val="24"/>
        </w:rPr>
        <w:t>; ЕОК/ЕОАГ IВ</w:t>
      </w:r>
      <w:r w:rsidR="003E0C26" w:rsidRPr="003B37B6">
        <w:rPr>
          <w:rStyle w:val="ac"/>
          <w:rFonts w:eastAsiaTheme="majorEastAsia"/>
          <w:b/>
          <w:bCs/>
          <w:sz w:val="24"/>
          <w:szCs w:val="24"/>
        </w:rPr>
        <w:t>.</w:t>
      </w:r>
    </w:p>
    <w:p w14:paraId="3CCBE097" w14:textId="4C3676D5" w:rsidR="008B67AD" w:rsidRPr="003B37B6" w:rsidRDefault="00C679FF" w:rsidP="00912CDB">
      <w:pPr>
        <w:pStyle w:val="11"/>
        <w:ind w:firstLine="580"/>
        <w:jc w:val="both"/>
        <w:rPr>
          <w:i/>
          <w:iCs/>
          <w:sz w:val="28"/>
          <w:szCs w:val="28"/>
        </w:rPr>
      </w:pPr>
      <w:r w:rsidRPr="003B37B6">
        <w:rPr>
          <w:rStyle w:val="aff9"/>
          <w:rFonts w:eastAsiaTheme="majorEastAsia"/>
          <w:sz w:val="24"/>
          <w:szCs w:val="24"/>
        </w:rPr>
        <w:t xml:space="preserve">Комментарии: </w:t>
      </w:r>
      <w:r w:rsidRPr="003B37B6">
        <w:rPr>
          <w:i/>
          <w:iCs/>
          <w:sz w:val="24"/>
          <w:szCs w:val="24"/>
        </w:rPr>
        <w:t>Пациентам с хронической сердечной недостаточностью с сохранённой фракцией выброса (ХСНнФВ) и застойными явлениями назначение диуретиков является ключевым компонентом терапии. Диуретики способствуют уменьшению объёма циркулирующей крови и снижению застойной нагрузки на сердце, что приводит к облегчению симптомов, таких как одышка и отёки, а также улучшению качества жизни пациентов. Хотя диуретики не улучшают прогноз напрямую, их роль в контроле застойных явлений делает их незаменимыми в комплексном лечении ХСНнФВ.</w:t>
      </w:r>
    </w:p>
    <w:p w14:paraId="61D9E7D1" w14:textId="77777777" w:rsidR="00912CDB" w:rsidRPr="003B37B6" w:rsidRDefault="00912CDB">
      <w:pPr>
        <w:pStyle w:val="11"/>
        <w:numPr>
          <w:ilvl w:val="0"/>
          <w:numId w:val="22"/>
        </w:numPr>
        <w:tabs>
          <w:tab w:val="left" w:pos="1275"/>
        </w:tabs>
        <w:ind w:firstLine="580"/>
        <w:jc w:val="both"/>
        <w:rPr>
          <w:sz w:val="24"/>
          <w:szCs w:val="24"/>
        </w:rPr>
      </w:pPr>
      <w:r w:rsidRPr="003B37B6">
        <w:rPr>
          <w:rStyle w:val="ac"/>
          <w:rFonts w:eastAsiaTheme="majorEastAsia"/>
          <w:sz w:val="24"/>
          <w:szCs w:val="24"/>
        </w:rPr>
        <w:t>У пациентов с ХСНунФВ и признаками задержки жидкости рекомендуется</w:t>
      </w:r>
      <w:r w:rsidRPr="003B37B6">
        <w:rPr>
          <w:sz w:val="24"/>
          <w:szCs w:val="24"/>
        </w:rPr>
        <w:t xml:space="preserve"> </w:t>
      </w:r>
      <w:r w:rsidRPr="003B37B6">
        <w:rPr>
          <w:rStyle w:val="ac"/>
          <w:rFonts w:eastAsiaTheme="majorEastAsia"/>
          <w:sz w:val="24"/>
          <w:szCs w:val="24"/>
        </w:rPr>
        <w:t>назначение диуретиков с целью улучшения клинической симптоматики ХСН [275].</w:t>
      </w:r>
    </w:p>
    <w:p w14:paraId="7F9F3AE0" w14:textId="5ED1BB89" w:rsidR="00912CDB" w:rsidRPr="003B37B6" w:rsidRDefault="00912CDB" w:rsidP="00912CDB">
      <w:pPr>
        <w:pStyle w:val="11"/>
        <w:ind w:firstLine="580"/>
        <w:jc w:val="both"/>
        <w:rPr>
          <w:rStyle w:val="ac"/>
          <w:rFonts w:eastAsiaTheme="majorEastAsia"/>
          <w:b/>
          <w:bCs/>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C679FF" w:rsidRPr="003B37B6">
        <w:rPr>
          <w:rStyle w:val="ac"/>
          <w:rFonts w:eastAsiaTheme="majorEastAsia"/>
          <w:b/>
          <w:bCs/>
          <w:sz w:val="24"/>
          <w:szCs w:val="24"/>
        </w:rPr>
        <w:t xml:space="preserve"> </w:t>
      </w:r>
      <w:r w:rsidRPr="003B37B6">
        <w:rPr>
          <w:rStyle w:val="ac"/>
          <w:rFonts w:eastAsiaTheme="majorEastAsia"/>
          <w:b/>
          <w:bCs/>
          <w:sz w:val="24"/>
          <w:szCs w:val="24"/>
        </w:rPr>
        <w:t xml:space="preserve">А, </w:t>
      </w:r>
      <w:r w:rsidR="00C679FF"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1</w:t>
      </w:r>
      <w:r w:rsidR="00C679FF" w:rsidRPr="003B37B6">
        <w:rPr>
          <w:rStyle w:val="ac"/>
          <w:rFonts w:eastAsiaTheme="majorEastAsia"/>
          <w:b/>
          <w:bCs/>
          <w:sz w:val="24"/>
          <w:szCs w:val="24"/>
        </w:rPr>
        <w:t>); ЕОК/ЕОАГ IС</w:t>
      </w:r>
      <w:r w:rsidR="003E0C26" w:rsidRPr="003B37B6">
        <w:rPr>
          <w:rStyle w:val="ac"/>
          <w:rFonts w:eastAsiaTheme="majorEastAsia"/>
          <w:b/>
          <w:bCs/>
          <w:sz w:val="24"/>
          <w:szCs w:val="24"/>
        </w:rPr>
        <w:t>.</w:t>
      </w:r>
    </w:p>
    <w:p w14:paraId="76105186" w14:textId="77777777" w:rsidR="00C679FF" w:rsidRPr="003B37B6" w:rsidRDefault="00C679FF" w:rsidP="00C679FF">
      <w:pPr>
        <w:pStyle w:val="11"/>
        <w:ind w:firstLine="580"/>
        <w:jc w:val="both"/>
        <w:rPr>
          <w:i/>
          <w:iCs/>
          <w:sz w:val="24"/>
          <w:szCs w:val="24"/>
        </w:rPr>
      </w:pPr>
      <w:r w:rsidRPr="003B37B6">
        <w:rPr>
          <w:rStyle w:val="aff9"/>
          <w:rFonts w:eastAsiaTheme="majorEastAsia"/>
          <w:sz w:val="24"/>
          <w:szCs w:val="24"/>
        </w:rPr>
        <w:t>Комментарий:</w:t>
      </w:r>
      <w:r w:rsidRPr="003B37B6">
        <w:rPr>
          <w:sz w:val="24"/>
          <w:szCs w:val="24"/>
        </w:rPr>
        <w:t xml:space="preserve"> </w:t>
      </w:r>
      <w:r w:rsidRPr="003B37B6">
        <w:rPr>
          <w:i/>
          <w:iCs/>
          <w:sz w:val="24"/>
          <w:szCs w:val="24"/>
        </w:rPr>
        <w:t xml:space="preserve">У пациентов с хронической сердечной недостаточностью с уменьшенной фракцией выброса (ХСНунФВ) и признаками задержки жидкости назначение диуретиков является важным этапом терапии. Диуретики способствуют выведению избыточной жидкости из организма, что снижает нагрузку на сердце и уменьшает </w:t>
      </w:r>
      <w:r w:rsidRPr="003B37B6">
        <w:rPr>
          <w:i/>
          <w:iCs/>
          <w:sz w:val="24"/>
          <w:szCs w:val="24"/>
        </w:rPr>
        <w:lastRenderedPageBreak/>
        <w:t xml:space="preserve">симптомы застойной сердечной недостаточности. </w:t>
      </w:r>
    </w:p>
    <w:p w14:paraId="1AA2B08B" w14:textId="64002ECD" w:rsidR="00912CDB" w:rsidRPr="003B37B6" w:rsidRDefault="00912CDB" w:rsidP="00C679FF">
      <w:pPr>
        <w:pStyle w:val="11"/>
        <w:ind w:firstLine="580"/>
        <w:jc w:val="both"/>
        <w:rPr>
          <w:sz w:val="24"/>
          <w:szCs w:val="24"/>
        </w:rPr>
      </w:pPr>
      <w:r w:rsidRPr="003B37B6">
        <w:rPr>
          <w:rStyle w:val="ac"/>
          <w:rFonts w:eastAsiaTheme="majorEastAsia"/>
          <w:sz w:val="24"/>
          <w:szCs w:val="24"/>
        </w:rPr>
        <w:t>У пациентов с ХСНунФВ рекомендуется рассмотреть возможность приёма АРНИ с</w:t>
      </w:r>
      <w:r w:rsidRPr="003B37B6">
        <w:rPr>
          <w:sz w:val="24"/>
          <w:szCs w:val="24"/>
        </w:rPr>
        <w:t xml:space="preserve"> </w:t>
      </w:r>
      <w:r w:rsidRPr="003B37B6">
        <w:rPr>
          <w:rStyle w:val="ac"/>
          <w:rFonts w:eastAsiaTheme="majorEastAsia"/>
          <w:sz w:val="24"/>
          <w:szCs w:val="24"/>
        </w:rPr>
        <w:t>целью снижения риска госпитализации из-за ХСН и смерти [277, 258, 200].</w:t>
      </w:r>
    </w:p>
    <w:p w14:paraId="6E5B8010" w14:textId="2F145EEC" w:rsidR="00912CDB" w:rsidRPr="003B37B6" w:rsidRDefault="00912CDB" w:rsidP="00912CDB">
      <w:pPr>
        <w:pStyle w:val="11"/>
        <w:ind w:firstLine="580"/>
        <w:jc w:val="both"/>
        <w:rPr>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C679FF" w:rsidRPr="003B37B6">
        <w:rPr>
          <w:rStyle w:val="ac"/>
          <w:rFonts w:eastAsiaTheme="majorEastAsia"/>
          <w:b/>
          <w:bCs/>
          <w:sz w:val="24"/>
          <w:szCs w:val="24"/>
        </w:rPr>
        <w:t xml:space="preserve"> </w:t>
      </w:r>
      <w:r w:rsidRPr="003B37B6">
        <w:rPr>
          <w:rStyle w:val="ac"/>
          <w:rFonts w:eastAsiaTheme="majorEastAsia"/>
          <w:b/>
          <w:bCs/>
          <w:sz w:val="24"/>
          <w:szCs w:val="24"/>
        </w:rPr>
        <w:t xml:space="preserve">А, </w:t>
      </w:r>
      <w:r w:rsidR="00C679FF"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1)</w:t>
      </w:r>
      <w:r w:rsidR="00C679FF" w:rsidRPr="003B37B6">
        <w:rPr>
          <w:rStyle w:val="ac"/>
          <w:rFonts w:eastAsiaTheme="majorEastAsia"/>
          <w:b/>
          <w:bCs/>
          <w:sz w:val="24"/>
          <w:szCs w:val="24"/>
        </w:rPr>
        <w:t xml:space="preserve">; ЕОК/ЕОАГ </w:t>
      </w:r>
      <w:r w:rsidR="00C679FF" w:rsidRPr="003B37B6">
        <w:rPr>
          <w:rStyle w:val="ac"/>
          <w:rFonts w:eastAsiaTheme="majorEastAsia"/>
          <w:b/>
          <w:bCs/>
          <w:sz w:val="24"/>
          <w:szCs w:val="24"/>
          <w:lang w:val="en-US"/>
        </w:rPr>
        <w:t>IIaB</w:t>
      </w:r>
      <w:r w:rsidR="003E0C26" w:rsidRPr="003B37B6">
        <w:rPr>
          <w:rStyle w:val="ac"/>
          <w:rFonts w:eastAsiaTheme="majorEastAsia"/>
          <w:b/>
          <w:bCs/>
          <w:sz w:val="24"/>
          <w:szCs w:val="24"/>
        </w:rPr>
        <w:t>.</w:t>
      </w:r>
    </w:p>
    <w:p w14:paraId="474CCF29" w14:textId="77777777" w:rsidR="00912CDB" w:rsidRPr="003B37B6" w:rsidRDefault="00912CDB">
      <w:pPr>
        <w:pStyle w:val="11"/>
        <w:numPr>
          <w:ilvl w:val="0"/>
          <w:numId w:val="22"/>
        </w:numPr>
        <w:tabs>
          <w:tab w:val="left" w:pos="1275"/>
        </w:tabs>
        <w:ind w:firstLine="580"/>
        <w:jc w:val="both"/>
        <w:rPr>
          <w:sz w:val="24"/>
          <w:szCs w:val="24"/>
        </w:rPr>
      </w:pPr>
      <w:r w:rsidRPr="003B37B6">
        <w:rPr>
          <w:rStyle w:val="ac"/>
          <w:rFonts w:eastAsiaTheme="majorEastAsia"/>
          <w:sz w:val="24"/>
          <w:szCs w:val="24"/>
        </w:rPr>
        <w:t>У пациентов с ХСНунФВ рекомендуется рассмотреть возможность приёма ИАПФ,ББ, разрешённых при ХСН со сниженной ФВ ЛЖ, и АМКР, с целью снижения риска госпитализации из-за ХСН и смерти [278, 279, 280].</w:t>
      </w:r>
    </w:p>
    <w:p w14:paraId="68B440B8" w14:textId="3B8A49A5" w:rsidR="00912CDB" w:rsidRPr="003B37B6" w:rsidRDefault="00912CDB" w:rsidP="00912CDB">
      <w:pPr>
        <w:pStyle w:val="11"/>
        <w:ind w:firstLine="580"/>
        <w:jc w:val="both"/>
        <w:rPr>
          <w:rStyle w:val="ac"/>
          <w:rFonts w:eastAsiaTheme="majorEastAsia"/>
          <w:b/>
          <w:bCs/>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C679FF" w:rsidRPr="003B37B6">
        <w:rPr>
          <w:rStyle w:val="ac"/>
          <w:rFonts w:eastAsiaTheme="majorEastAsia"/>
          <w:b/>
          <w:bCs/>
          <w:sz w:val="24"/>
          <w:szCs w:val="24"/>
        </w:rPr>
        <w:t xml:space="preserve"> </w:t>
      </w:r>
      <w:r w:rsidRPr="003B37B6">
        <w:rPr>
          <w:rStyle w:val="ac"/>
          <w:rFonts w:eastAsiaTheme="majorEastAsia"/>
          <w:b/>
          <w:bCs/>
          <w:sz w:val="24"/>
          <w:szCs w:val="24"/>
          <w:lang w:val="en-US"/>
        </w:rPr>
        <w:t>C</w:t>
      </w:r>
      <w:r w:rsidRPr="003B37B6">
        <w:rPr>
          <w:rStyle w:val="ac"/>
          <w:rFonts w:eastAsiaTheme="majorEastAsia"/>
          <w:b/>
          <w:bCs/>
          <w:sz w:val="24"/>
          <w:szCs w:val="24"/>
        </w:rPr>
        <w:t xml:space="preserve">, </w:t>
      </w:r>
      <w:r w:rsidR="00C679FF"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5</w:t>
      </w:r>
      <w:r w:rsidR="00C679FF" w:rsidRPr="003B37B6">
        <w:rPr>
          <w:rStyle w:val="ac"/>
          <w:rFonts w:eastAsiaTheme="majorEastAsia"/>
          <w:b/>
          <w:bCs/>
          <w:sz w:val="24"/>
          <w:szCs w:val="24"/>
        </w:rPr>
        <w:t xml:space="preserve">); EOK </w:t>
      </w:r>
      <w:r w:rsidR="00C679FF" w:rsidRPr="003B37B6">
        <w:rPr>
          <w:rStyle w:val="ac"/>
          <w:rFonts w:eastAsiaTheme="majorEastAsia"/>
          <w:b/>
          <w:bCs/>
          <w:sz w:val="24"/>
          <w:szCs w:val="24"/>
          <w:lang w:val="en-US"/>
        </w:rPr>
        <w:t>IIbC</w:t>
      </w:r>
      <w:r w:rsidR="003E0C26" w:rsidRPr="003B37B6">
        <w:rPr>
          <w:rStyle w:val="ac"/>
          <w:rFonts w:eastAsiaTheme="majorEastAsia"/>
          <w:b/>
          <w:bCs/>
          <w:sz w:val="24"/>
          <w:szCs w:val="24"/>
        </w:rPr>
        <w:t>.</w:t>
      </w:r>
    </w:p>
    <w:p w14:paraId="55A4958C" w14:textId="7E119BE6" w:rsidR="00C679FF" w:rsidRPr="003B37B6" w:rsidRDefault="00C679FF" w:rsidP="00912CDB">
      <w:pPr>
        <w:pStyle w:val="11"/>
        <w:ind w:firstLine="580"/>
        <w:jc w:val="both"/>
        <w:rPr>
          <w:i/>
          <w:iCs/>
          <w:sz w:val="28"/>
          <w:szCs w:val="28"/>
        </w:rPr>
      </w:pPr>
      <w:r w:rsidRPr="003B37B6">
        <w:rPr>
          <w:rStyle w:val="aff9"/>
          <w:rFonts w:eastAsiaTheme="majorEastAsia"/>
          <w:sz w:val="24"/>
          <w:szCs w:val="24"/>
        </w:rPr>
        <w:t xml:space="preserve">Комментарии: </w:t>
      </w:r>
      <w:r w:rsidRPr="003B37B6">
        <w:rPr>
          <w:i/>
          <w:iCs/>
          <w:sz w:val="24"/>
          <w:szCs w:val="24"/>
        </w:rPr>
        <w:t>У пациентов с хронической сердечной недостаточностью с уменьшенной фракцией выброса (ХСНунФВ) рекомендуется рассмотреть возможность назначения ингибиторов ангиотензин-превращающего фермента (ИАПФ), бета-блокаторов (ББ), разрешённых при ХСН со сниженной фракцией выброса левого желудочка (ФВ ЛЖ), а также антагонистов минералокортикоидных рецепторов (АМКР). Эти препараты способствуют снижению риска госпитализаций, связанных с декомпенсацией сердечной недостаточности, и уменьшают общую смертность, что делает их важной частью комплексной терапии. При выборе терапии следует учитывать индивидуальные особенности пациента и переносимость препаратов.</w:t>
      </w:r>
    </w:p>
    <w:p w14:paraId="6623B11A" w14:textId="77777777" w:rsidR="00912CDB" w:rsidRPr="003B37B6" w:rsidRDefault="00912CDB">
      <w:pPr>
        <w:pStyle w:val="11"/>
        <w:numPr>
          <w:ilvl w:val="0"/>
          <w:numId w:val="22"/>
        </w:numPr>
        <w:tabs>
          <w:tab w:val="left" w:pos="1275"/>
        </w:tabs>
        <w:ind w:firstLine="580"/>
        <w:jc w:val="both"/>
        <w:rPr>
          <w:sz w:val="24"/>
          <w:szCs w:val="24"/>
        </w:rPr>
      </w:pPr>
      <w:r w:rsidRPr="003B37B6">
        <w:rPr>
          <w:rStyle w:val="ac"/>
          <w:rFonts w:eastAsiaTheme="majorEastAsia"/>
          <w:sz w:val="24"/>
          <w:szCs w:val="24"/>
        </w:rPr>
        <w:t>У пациентов с АГ и ХСНунФВ рекомендуется рассмотреть возможность приема</w:t>
      </w:r>
      <w:r w:rsidRPr="003B37B6">
        <w:rPr>
          <w:sz w:val="24"/>
          <w:szCs w:val="24"/>
        </w:rPr>
        <w:t xml:space="preserve"> </w:t>
      </w:r>
      <w:r w:rsidRPr="003B37B6">
        <w:rPr>
          <w:rStyle w:val="ac"/>
          <w:rFonts w:eastAsiaTheme="majorEastAsia"/>
          <w:sz w:val="24"/>
          <w:szCs w:val="24"/>
        </w:rPr>
        <w:t>дапаглифлозина**/ эмпаглифлозина** с целью снижения риска госпитализации из-за ХСН и смерти [281, 282, 283].</w:t>
      </w:r>
    </w:p>
    <w:p w14:paraId="024E1F9F" w14:textId="4338047A" w:rsidR="00912CDB" w:rsidRPr="003B37B6" w:rsidRDefault="00912CDB" w:rsidP="00912CDB">
      <w:pPr>
        <w:pStyle w:val="11"/>
        <w:ind w:firstLine="580"/>
        <w:jc w:val="both"/>
        <w:rPr>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F01A8F" w:rsidRPr="003B37B6">
        <w:rPr>
          <w:rStyle w:val="ac"/>
          <w:rFonts w:eastAsiaTheme="majorEastAsia"/>
          <w:b/>
          <w:bCs/>
          <w:sz w:val="24"/>
          <w:szCs w:val="24"/>
        </w:rPr>
        <w:t xml:space="preserve"> </w:t>
      </w:r>
      <w:r w:rsidRPr="003B37B6">
        <w:rPr>
          <w:rStyle w:val="ac"/>
          <w:rFonts w:eastAsiaTheme="majorEastAsia"/>
          <w:b/>
          <w:bCs/>
          <w:sz w:val="24"/>
          <w:szCs w:val="24"/>
        </w:rPr>
        <w:t xml:space="preserve">А, </w:t>
      </w:r>
      <w:r w:rsidR="00F01A8F"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2)</w:t>
      </w:r>
      <w:r w:rsidR="00F01A8F" w:rsidRPr="003B37B6">
        <w:rPr>
          <w:rStyle w:val="ac"/>
          <w:rFonts w:eastAsiaTheme="majorEastAsia"/>
          <w:b/>
          <w:bCs/>
          <w:sz w:val="24"/>
          <w:szCs w:val="24"/>
        </w:rPr>
        <w:t xml:space="preserve">; ЕОК/ЕОАГ </w:t>
      </w:r>
      <w:r w:rsidR="00F01A8F" w:rsidRPr="003B37B6">
        <w:rPr>
          <w:rStyle w:val="ac"/>
          <w:rFonts w:eastAsiaTheme="majorEastAsia"/>
          <w:b/>
          <w:bCs/>
          <w:sz w:val="24"/>
          <w:szCs w:val="24"/>
          <w:lang w:val="en-US"/>
        </w:rPr>
        <w:t>IA</w:t>
      </w:r>
      <w:r w:rsidR="003E0C26" w:rsidRPr="003B37B6">
        <w:rPr>
          <w:rStyle w:val="ac"/>
          <w:rFonts w:eastAsiaTheme="majorEastAsia"/>
          <w:b/>
          <w:bCs/>
          <w:sz w:val="24"/>
          <w:szCs w:val="24"/>
        </w:rPr>
        <w:t>.</w:t>
      </w:r>
    </w:p>
    <w:p w14:paraId="0A1FBCD4" w14:textId="0B35DBDB" w:rsidR="00912CDB" w:rsidRPr="003B37B6" w:rsidRDefault="00912CDB" w:rsidP="00912CDB">
      <w:pPr>
        <w:pStyle w:val="11"/>
        <w:ind w:firstLine="580"/>
        <w:jc w:val="both"/>
        <w:rPr>
          <w:sz w:val="24"/>
          <w:szCs w:val="24"/>
        </w:rPr>
      </w:pPr>
      <w:r w:rsidRPr="003B37B6">
        <w:rPr>
          <w:rStyle w:val="ac"/>
          <w:rFonts w:eastAsiaTheme="majorEastAsia"/>
          <w:b/>
          <w:bCs/>
          <w:sz w:val="24"/>
          <w:szCs w:val="24"/>
        </w:rPr>
        <w:t xml:space="preserve">Комментарии. </w:t>
      </w:r>
      <w:r w:rsidRPr="003B37B6">
        <w:rPr>
          <w:rStyle w:val="ac"/>
          <w:rFonts w:eastAsiaTheme="majorEastAsia"/>
          <w:i/>
          <w:iCs/>
          <w:sz w:val="24"/>
          <w:szCs w:val="24"/>
        </w:rPr>
        <w:t>Следует соблюдать осторожность у пациентов, для которых вызванное иНГЛТ</w:t>
      </w:r>
      <w:r w:rsidR="004E73A4" w:rsidRPr="003B37B6">
        <w:rPr>
          <w:rStyle w:val="ac"/>
          <w:rFonts w:eastAsiaTheme="majorEastAsia"/>
          <w:i/>
          <w:iCs/>
          <w:sz w:val="24"/>
          <w:szCs w:val="24"/>
        </w:rPr>
        <w:t>-</w:t>
      </w:r>
      <w:r w:rsidRPr="003B37B6">
        <w:rPr>
          <w:rStyle w:val="ac"/>
          <w:rFonts w:eastAsiaTheme="majorEastAsia"/>
          <w:i/>
          <w:iCs/>
          <w:sz w:val="24"/>
          <w:szCs w:val="24"/>
        </w:rPr>
        <w:t>2 дополнительное снижение АД может представлять риск, например, у пациентов, получающих гипотензивную терапию, с эпизодами гипотензии в анамнезе или у пожилых пациентов.</w:t>
      </w:r>
    </w:p>
    <w:p w14:paraId="7E9BCEFB" w14:textId="77777777" w:rsidR="00912CDB" w:rsidRPr="003B37B6" w:rsidRDefault="00912CDB">
      <w:pPr>
        <w:pStyle w:val="11"/>
        <w:numPr>
          <w:ilvl w:val="0"/>
          <w:numId w:val="22"/>
        </w:numPr>
        <w:tabs>
          <w:tab w:val="left" w:pos="1277"/>
        </w:tabs>
        <w:ind w:firstLine="600"/>
        <w:jc w:val="both"/>
        <w:rPr>
          <w:sz w:val="24"/>
          <w:szCs w:val="24"/>
        </w:rPr>
      </w:pPr>
      <w:r w:rsidRPr="003B37B6">
        <w:rPr>
          <w:rStyle w:val="ac"/>
          <w:rFonts w:eastAsiaTheme="majorEastAsia"/>
          <w:sz w:val="24"/>
          <w:szCs w:val="24"/>
        </w:rPr>
        <w:t xml:space="preserve">У пациентов с АГ и ХСНсФВ рекомендуется назначение ИАПФ, ББ, АМКР с целью снижения риска госпитализаций, связанных с обострением сердечной недостаточности </w:t>
      </w:r>
      <w:r w:rsidRPr="003B37B6">
        <w:rPr>
          <w:rStyle w:val="ac"/>
          <w:rFonts w:eastAsiaTheme="majorEastAsia"/>
          <w:b/>
          <w:bCs/>
          <w:sz w:val="24"/>
          <w:szCs w:val="24"/>
          <w:u w:val="single"/>
        </w:rPr>
        <w:t>[284, 285, 286, 278, 287]</w:t>
      </w:r>
      <w:r w:rsidRPr="003B37B6">
        <w:rPr>
          <w:rStyle w:val="ac"/>
          <w:rFonts w:eastAsiaTheme="majorEastAsia"/>
          <w:sz w:val="24"/>
          <w:szCs w:val="24"/>
        </w:rPr>
        <w:t>.</w:t>
      </w:r>
    </w:p>
    <w:p w14:paraId="3A606C55" w14:textId="57108560" w:rsidR="00912CDB" w:rsidRPr="003B37B6" w:rsidRDefault="00912CDB" w:rsidP="00912CDB">
      <w:pPr>
        <w:pStyle w:val="11"/>
        <w:ind w:firstLine="600"/>
        <w:jc w:val="both"/>
        <w:rPr>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F01A8F" w:rsidRPr="003B37B6">
        <w:rPr>
          <w:rStyle w:val="ac"/>
          <w:rFonts w:eastAsiaTheme="majorEastAsia"/>
          <w:b/>
          <w:bCs/>
          <w:sz w:val="24"/>
          <w:szCs w:val="24"/>
        </w:rPr>
        <w:t xml:space="preserve"> </w:t>
      </w:r>
      <w:r w:rsidRPr="003B37B6">
        <w:rPr>
          <w:rStyle w:val="ac"/>
          <w:rFonts w:eastAsiaTheme="majorEastAsia"/>
          <w:b/>
          <w:bCs/>
          <w:sz w:val="24"/>
          <w:szCs w:val="24"/>
        </w:rPr>
        <w:t xml:space="preserve">А, </w:t>
      </w:r>
      <w:r w:rsidR="00F01A8F"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1)</w:t>
      </w:r>
      <w:r w:rsidR="00F01A8F" w:rsidRPr="003B37B6">
        <w:rPr>
          <w:rStyle w:val="ac"/>
          <w:rFonts w:eastAsiaTheme="majorEastAsia"/>
          <w:b/>
          <w:bCs/>
          <w:sz w:val="24"/>
          <w:szCs w:val="24"/>
        </w:rPr>
        <w:t xml:space="preserve">; ЕОК </w:t>
      </w:r>
      <w:r w:rsidR="00F01A8F" w:rsidRPr="003B37B6">
        <w:rPr>
          <w:rStyle w:val="ac"/>
          <w:rFonts w:eastAsiaTheme="majorEastAsia"/>
          <w:b/>
          <w:bCs/>
          <w:sz w:val="24"/>
          <w:szCs w:val="24"/>
          <w:lang w:val="en-US"/>
        </w:rPr>
        <w:t>IIbB</w:t>
      </w:r>
      <w:r w:rsidR="003E0C26" w:rsidRPr="003B37B6">
        <w:rPr>
          <w:rStyle w:val="ac"/>
          <w:rFonts w:eastAsiaTheme="majorEastAsia"/>
          <w:b/>
          <w:bCs/>
          <w:sz w:val="24"/>
          <w:szCs w:val="24"/>
        </w:rPr>
        <w:t>.</w:t>
      </w:r>
    </w:p>
    <w:p w14:paraId="2028DEDC" w14:textId="77777777" w:rsidR="00912CDB" w:rsidRPr="003B37B6" w:rsidRDefault="00912CDB" w:rsidP="00912CDB">
      <w:pPr>
        <w:pStyle w:val="11"/>
        <w:ind w:firstLine="600"/>
        <w:jc w:val="both"/>
        <w:rPr>
          <w:sz w:val="24"/>
          <w:szCs w:val="24"/>
        </w:rPr>
      </w:pPr>
      <w:r w:rsidRPr="003B37B6">
        <w:rPr>
          <w:rStyle w:val="ac"/>
          <w:rFonts w:eastAsiaTheme="majorEastAsia"/>
          <w:b/>
          <w:bCs/>
          <w:i/>
          <w:iCs/>
          <w:sz w:val="24"/>
          <w:szCs w:val="24"/>
        </w:rPr>
        <w:t xml:space="preserve">Комментарии. </w:t>
      </w:r>
      <w:r w:rsidRPr="003B37B6">
        <w:rPr>
          <w:rStyle w:val="ac"/>
          <w:rFonts w:eastAsiaTheme="majorEastAsia"/>
          <w:i/>
          <w:iCs/>
          <w:sz w:val="24"/>
          <w:szCs w:val="24"/>
        </w:rPr>
        <w:t xml:space="preserve">У пациентов с АГ и СН с сохранной функцией левого желудочка при </w:t>
      </w:r>
      <w:r w:rsidRPr="003B37B6">
        <w:rPr>
          <w:rStyle w:val="ac"/>
          <w:rFonts w:eastAsiaTheme="majorEastAsia"/>
          <w:i/>
          <w:iCs/>
          <w:sz w:val="24"/>
          <w:szCs w:val="24"/>
        </w:rPr>
        <w:lastRenderedPageBreak/>
        <w:t>назначении АГТ возможно использование всех основных лекарственных средств, поскольку ни один из препаратов не продемонстрировал свое превосходство над другими в отношении улучшения СС исходов</w:t>
      </w:r>
      <w:r w:rsidRPr="003B37B6">
        <w:rPr>
          <w:rStyle w:val="ac"/>
          <w:rFonts w:eastAsiaTheme="majorEastAsia"/>
          <w:sz w:val="24"/>
          <w:szCs w:val="24"/>
        </w:rPr>
        <w:t xml:space="preserve"> [256]</w:t>
      </w:r>
      <w:r w:rsidRPr="003B37B6">
        <w:rPr>
          <w:rStyle w:val="ac"/>
          <w:rFonts w:eastAsiaTheme="majorEastAsia"/>
          <w:i/>
          <w:iCs/>
          <w:sz w:val="24"/>
          <w:szCs w:val="24"/>
        </w:rPr>
        <w:t>.</w:t>
      </w:r>
    </w:p>
    <w:p w14:paraId="5AFA5990" w14:textId="77777777" w:rsidR="00912CDB" w:rsidRPr="003B37B6" w:rsidRDefault="00912CDB" w:rsidP="00912CDB">
      <w:pPr>
        <w:pStyle w:val="11"/>
        <w:ind w:firstLine="600"/>
        <w:jc w:val="both"/>
        <w:rPr>
          <w:sz w:val="24"/>
          <w:szCs w:val="24"/>
        </w:rPr>
      </w:pPr>
      <w:r w:rsidRPr="003B37B6">
        <w:rPr>
          <w:rStyle w:val="ac"/>
          <w:rFonts w:eastAsiaTheme="majorEastAsia"/>
          <w:i/>
          <w:iCs/>
          <w:sz w:val="24"/>
          <w:szCs w:val="24"/>
        </w:rPr>
        <w:t>Для ингибиторов АПФ и БРА имеются ограниченные доказательства способности уменьшать выраженность симптомов и улучшать функциональный класс при СНсФВ</w:t>
      </w:r>
      <w:r w:rsidRPr="003B37B6">
        <w:rPr>
          <w:rStyle w:val="ac"/>
          <w:rFonts w:eastAsiaTheme="majorEastAsia"/>
          <w:sz w:val="24"/>
          <w:szCs w:val="24"/>
        </w:rPr>
        <w:t xml:space="preserve"> [287]</w:t>
      </w:r>
      <w:r w:rsidRPr="003B37B6">
        <w:rPr>
          <w:rStyle w:val="ac"/>
          <w:rFonts w:eastAsiaTheme="majorEastAsia"/>
          <w:i/>
          <w:iCs/>
          <w:sz w:val="24"/>
          <w:szCs w:val="24"/>
        </w:rPr>
        <w:t>. Сведения об эффективности ингибиторов АПФ и БРА в отношении влияния на риск обострений СНсФВ весьма противоречивы</w:t>
      </w:r>
      <w:r w:rsidRPr="003B37B6">
        <w:rPr>
          <w:rStyle w:val="ac"/>
          <w:rFonts w:eastAsiaTheme="majorEastAsia"/>
          <w:sz w:val="24"/>
          <w:szCs w:val="24"/>
        </w:rPr>
        <w:t xml:space="preserve"> [284, 285, 287]</w:t>
      </w:r>
      <w:r w:rsidRPr="003B37B6">
        <w:rPr>
          <w:rStyle w:val="ac"/>
          <w:rFonts w:eastAsiaTheme="majorEastAsia"/>
          <w:b/>
          <w:bCs/>
          <w:i/>
          <w:iCs/>
          <w:sz w:val="24"/>
          <w:szCs w:val="24"/>
        </w:rPr>
        <w:t xml:space="preserve">. </w:t>
      </w:r>
      <w:r w:rsidRPr="003B37B6">
        <w:rPr>
          <w:rStyle w:val="ac"/>
          <w:rFonts w:eastAsiaTheme="majorEastAsia"/>
          <w:i/>
          <w:iCs/>
          <w:sz w:val="24"/>
          <w:szCs w:val="24"/>
        </w:rPr>
        <w:t xml:space="preserve">Способность бета-адреноблокаторов и альдостерона антагонистов уменьшать выраженность симптомов при СНсФВ не доказана </w:t>
      </w:r>
      <w:r w:rsidRPr="003B37B6">
        <w:rPr>
          <w:rStyle w:val="ac"/>
          <w:rFonts w:eastAsiaTheme="majorEastAsia"/>
          <w:sz w:val="24"/>
          <w:szCs w:val="24"/>
        </w:rPr>
        <w:t>[278, 288, 287]</w:t>
      </w:r>
      <w:r w:rsidRPr="003B37B6">
        <w:rPr>
          <w:rStyle w:val="ac"/>
          <w:rFonts w:eastAsiaTheme="majorEastAsia"/>
          <w:i/>
          <w:iCs/>
          <w:sz w:val="24"/>
          <w:szCs w:val="24"/>
        </w:rPr>
        <w:t>.</w:t>
      </w:r>
    </w:p>
    <w:p w14:paraId="514AD9A1" w14:textId="77777777" w:rsidR="00912CDB" w:rsidRPr="003B37B6" w:rsidRDefault="00912CDB">
      <w:pPr>
        <w:pStyle w:val="11"/>
        <w:numPr>
          <w:ilvl w:val="0"/>
          <w:numId w:val="22"/>
        </w:numPr>
        <w:tabs>
          <w:tab w:val="left" w:pos="1277"/>
        </w:tabs>
        <w:ind w:firstLine="600"/>
        <w:jc w:val="both"/>
        <w:rPr>
          <w:sz w:val="24"/>
          <w:szCs w:val="24"/>
        </w:rPr>
      </w:pPr>
      <w:r w:rsidRPr="003B37B6">
        <w:rPr>
          <w:rStyle w:val="ac"/>
          <w:rFonts w:eastAsiaTheme="majorEastAsia"/>
          <w:sz w:val="24"/>
          <w:szCs w:val="24"/>
        </w:rPr>
        <w:t>У пациентов с АГ и ХСНсФВ в эуволюмическом статусе, имеющих выраженные функциональные ограничения и тяжёлую диастолическую дисфункцию левого желудочка, рекомендуются диуретики для улучшения клинической симптоматики СН [289, 290].</w:t>
      </w:r>
    </w:p>
    <w:p w14:paraId="3F8BDA0B" w14:textId="2FD99189" w:rsidR="00912CDB" w:rsidRPr="003B37B6" w:rsidRDefault="00912CDB" w:rsidP="00912CDB">
      <w:pPr>
        <w:pStyle w:val="11"/>
        <w:ind w:firstLine="600"/>
        <w:jc w:val="both"/>
        <w:rPr>
          <w:rStyle w:val="ac"/>
          <w:rFonts w:eastAsiaTheme="majorEastAsia"/>
          <w:b/>
          <w:bCs/>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F01A8F" w:rsidRPr="003B37B6">
        <w:rPr>
          <w:rStyle w:val="ac"/>
          <w:rFonts w:eastAsiaTheme="majorEastAsia"/>
          <w:b/>
          <w:bCs/>
          <w:sz w:val="24"/>
          <w:szCs w:val="24"/>
        </w:rPr>
        <w:t xml:space="preserve"> </w:t>
      </w:r>
      <w:r w:rsidRPr="003B37B6">
        <w:rPr>
          <w:rStyle w:val="ac"/>
          <w:rFonts w:eastAsiaTheme="majorEastAsia"/>
          <w:b/>
          <w:bCs/>
          <w:sz w:val="24"/>
          <w:szCs w:val="24"/>
          <w:lang w:val="en-US"/>
        </w:rPr>
        <w:t>B</w:t>
      </w:r>
      <w:r w:rsidRPr="003B37B6">
        <w:rPr>
          <w:rStyle w:val="ac"/>
          <w:rFonts w:eastAsiaTheme="majorEastAsia"/>
          <w:b/>
          <w:bCs/>
          <w:sz w:val="24"/>
          <w:szCs w:val="24"/>
        </w:rPr>
        <w:t xml:space="preserve">, </w:t>
      </w:r>
      <w:r w:rsidR="00F01A8F"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2)</w:t>
      </w:r>
      <w:r w:rsidR="00F01A8F" w:rsidRPr="003B37B6">
        <w:rPr>
          <w:rStyle w:val="ac"/>
          <w:rFonts w:eastAsiaTheme="majorEastAsia"/>
          <w:b/>
          <w:bCs/>
          <w:sz w:val="24"/>
          <w:szCs w:val="24"/>
        </w:rPr>
        <w:t xml:space="preserve">; ЕОК </w:t>
      </w:r>
      <w:r w:rsidR="00F01A8F" w:rsidRPr="003B37B6">
        <w:rPr>
          <w:rStyle w:val="ac"/>
          <w:rFonts w:eastAsiaTheme="majorEastAsia"/>
          <w:b/>
          <w:bCs/>
          <w:sz w:val="24"/>
          <w:szCs w:val="24"/>
          <w:lang w:val="en-US"/>
        </w:rPr>
        <w:t>IIaB</w:t>
      </w:r>
      <w:r w:rsidR="003E0C26" w:rsidRPr="003B37B6">
        <w:rPr>
          <w:rStyle w:val="ac"/>
          <w:rFonts w:eastAsiaTheme="majorEastAsia"/>
          <w:b/>
          <w:bCs/>
          <w:sz w:val="24"/>
          <w:szCs w:val="24"/>
        </w:rPr>
        <w:t>.</w:t>
      </w:r>
    </w:p>
    <w:p w14:paraId="45835330" w14:textId="06606CA8" w:rsidR="00C679FF" w:rsidRPr="003B37B6" w:rsidRDefault="00F01A8F" w:rsidP="00912CDB">
      <w:pPr>
        <w:pStyle w:val="11"/>
        <w:ind w:firstLine="600"/>
        <w:jc w:val="both"/>
        <w:rPr>
          <w:i/>
          <w:iCs/>
          <w:sz w:val="28"/>
          <w:szCs w:val="28"/>
        </w:rPr>
      </w:pPr>
      <w:r w:rsidRPr="003B37B6">
        <w:rPr>
          <w:rStyle w:val="aff9"/>
          <w:rFonts w:eastAsiaTheme="majorEastAsia"/>
          <w:sz w:val="24"/>
          <w:szCs w:val="24"/>
        </w:rPr>
        <w:t>Комментарии:</w:t>
      </w:r>
      <w:r w:rsidRPr="003B37B6">
        <w:rPr>
          <w:i/>
          <w:iCs/>
          <w:sz w:val="24"/>
          <w:szCs w:val="24"/>
        </w:rPr>
        <w:t xml:space="preserve"> У</w:t>
      </w:r>
      <w:r w:rsidR="00C679FF" w:rsidRPr="003B37B6">
        <w:rPr>
          <w:i/>
          <w:iCs/>
          <w:sz w:val="24"/>
          <w:szCs w:val="24"/>
        </w:rPr>
        <w:t xml:space="preserve"> пациентов с артериальной гипертензией (АГ) и хронической сердечной недостаточностью с сохранённой фракцией выброса (ХСНсФВ), находящихся в эуволюмическом статусе, но имеющих выраженные функциональные ограничения и тяжёлую диастолическую дисфункцию левого желудочка, назначение диуретиков рекомендуется для улучшения клинической симптоматики сердечной недостаточности. Диуретики помогают уменьшить симптомы застоя и облегчить нагрузку на сердце, улучшая качество жизни пациентов, даже при отсутствии явной перегрузки жидкостью. Такой подход основывается на современных рекомендациях и клинических наблюдениях.</w:t>
      </w:r>
    </w:p>
    <w:p w14:paraId="7338A8B1" w14:textId="77777777" w:rsidR="00912CDB" w:rsidRPr="003B37B6" w:rsidRDefault="00912CDB">
      <w:pPr>
        <w:pStyle w:val="11"/>
        <w:numPr>
          <w:ilvl w:val="0"/>
          <w:numId w:val="22"/>
        </w:numPr>
        <w:tabs>
          <w:tab w:val="left" w:pos="1277"/>
        </w:tabs>
        <w:ind w:firstLine="600"/>
        <w:jc w:val="both"/>
        <w:rPr>
          <w:sz w:val="24"/>
          <w:szCs w:val="24"/>
        </w:rPr>
      </w:pPr>
      <w:r w:rsidRPr="003B37B6">
        <w:rPr>
          <w:rStyle w:val="ac"/>
          <w:rFonts w:eastAsiaTheme="majorEastAsia"/>
          <w:sz w:val="24"/>
          <w:szCs w:val="24"/>
        </w:rPr>
        <w:t>У пациентов с АГ и ХСНсФВ рекомендуется рассмотреть возможность приема дапаглифлозина**/ эмпаглифлозина** с целью снижения риска госпитализации из-за ХСН и смерти [291].</w:t>
      </w:r>
    </w:p>
    <w:p w14:paraId="5FAC8031" w14:textId="48B1108E" w:rsidR="00912CDB" w:rsidRPr="003B37B6" w:rsidRDefault="00912CDB" w:rsidP="00912CDB">
      <w:pPr>
        <w:pStyle w:val="11"/>
        <w:ind w:firstLine="600"/>
        <w:jc w:val="both"/>
        <w:rPr>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F01A8F" w:rsidRPr="003B37B6">
        <w:rPr>
          <w:rStyle w:val="ac"/>
          <w:rFonts w:eastAsiaTheme="majorEastAsia"/>
          <w:b/>
          <w:bCs/>
          <w:sz w:val="24"/>
          <w:szCs w:val="24"/>
        </w:rPr>
        <w:t xml:space="preserve"> </w:t>
      </w:r>
      <w:r w:rsidRPr="003B37B6">
        <w:rPr>
          <w:rStyle w:val="ac"/>
          <w:rFonts w:eastAsiaTheme="majorEastAsia"/>
          <w:b/>
          <w:bCs/>
          <w:sz w:val="24"/>
          <w:szCs w:val="24"/>
        </w:rPr>
        <w:t xml:space="preserve">А, </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2)</w:t>
      </w:r>
      <w:r w:rsidR="00F01A8F" w:rsidRPr="003B37B6">
        <w:rPr>
          <w:rStyle w:val="ac"/>
          <w:rFonts w:eastAsiaTheme="majorEastAsia"/>
          <w:b/>
          <w:bCs/>
          <w:sz w:val="24"/>
          <w:szCs w:val="24"/>
        </w:rPr>
        <w:t xml:space="preserve">; ЕОК/ЕОАГ </w:t>
      </w:r>
      <w:r w:rsidR="00F01A8F" w:rsidRPr="003B37B6">
        <w:rPr>
          <w:rStyle w:val="ac"/>
          <w:rFonts w:eastAsiaTheme="majorEastAsia"/>
          <w:b/>
          <w:bCs/>
          <w:sz w:val="24"/>
          <w:szCs w:val="24"/>
          <w:lang w:val="en-US"/>
        </w:rPr>
        <w:t>IA</w:t>
      </w:r>
      <w:r w:rsidR="003E0C26" w:rsidRPr="003B37B6">
        <w:rPr>
          <w:rStyle w:val="ac"/>
          <w:rFonts w:eastAsiaTheme="majorEastAsia"/>
          <w:b/>
          <w:bCs/>
          <w:sz w:val="24"/>
          <w:szCs w:val="24"/>
        </w:rPr>
        <w:t>.</w:t>
      </w:r>
    </w:p>
    <w:p w14:paraId="77BEB53C" w14:textId="2C401755" w:rsidR="00912CDB" w:rsidRPr="003B37B6" w:rsidRDefault="00912CDB" w:rsidP="00912CDB">
      <w:pPr>
        <w:pStyle w:val="11"/>
        <w:ind w:firstLine="600"/>
        <w:jc w:val="both"/>
        <w:rPr>
          <w:sz w:val="24"/>
          <w:szCs w:val="24"/>
        </w:rPr>
      </w:pPr>
      <w:r w:rsidRPr="003B37B6">
        <w:rPr>
          <w:rStyle w:val="ac"/>
          <w:rFonts w:eastAsiaTheme="majorEastAsia"/>
          <w:b/>
          <w:bCs/>
          <w:sz w:val="24"/>
          <w:szCs w:val="24"/>
        </w:rPr>
        <w:t xml:space="preserve">Комментарии. </w:t>
      </w:r>
      <w:r w:rsidRPr="003B37B6">
        <w:rPr>
          <w:rStyle w:val="ac"/>
          <w:rFonts w:eastAsiaTheme="majorEastAsia"/>
          <w:i/>
          <w:iCs/>
          <w:sz w:val="24"/>
          <w:szCs w:val="24"/>
        </w:rPr>
        <w:t>Следует соблюдать осторожность у пациентов, для которых вызванное иНГЛТ</w:t>
      </w:r>
      <w:r w:rsidR="004E73A4" w:rsidRPr="003B37B6">
        <w:rPr>
          <w:rStyle w:val="ac"/>
          <w:rFonts w:eastAsiaTheme="majorEastAsia"/>
          <w:i/>
          <w:iCs/>
          <w:sz w:val="24"/>
          <w:szCs w:val="24"/>
        </w:rPr>
        <w:t>-</w:t>
      </w:r>
      <w:r w:rsidRPr="003B37B6">
        <w:rPr>
          <w:rStyle w:val="ac"/>
          <w:rFonts w:eastAsiaTheme="majorEastAsia"/>
          <w:i/>
          <w:iCs/>
          <w:sz w:val="24"/>
          <w:szCs w:val="24"/>
        </w:rPr>
        <w:t>2 дополнительное снижение АД может представлять риск, например, у пациентов, получающих гипотензивную терапию, с эпизодами гипотензии в анамнезе или у пожилых пациентов.</w:t>
      </w:r>
    </w:p>
    <w:p w14:paraId="6A3BAC0A" w14:textId="77777777" w:rsidR="00912CDB" w:rsidRPr="003B37B6" w:rsidRDefault="00912CDB">
      <w:pPr>
        <w:pStyle w:val="11"/>
        <w:numPr>
          <w:ilvl w:val="0"/>
          <w:numId w:val="22"/>
        </w:numPr>
        <w:tabs>
          <w:tab w:val="left" w:pos="1277"/>
        </w:tabs>
        <w:ind w:firstLine="600"/>
        <w:jc w:val="both"/>
        <w:rPr>
          <w:sz w:val="24"/>
          <w:szCs w:val="24"/>
        </w:rPr>
      </w:pPr>
      <w:r w:rsidRPr="003B37B6">
        <w:rPr>
          <w:rStyle w:val="ac"/>
          <w:rFonts w:eastAsiaTheme="majorEastAsia"/>
          <w:sz w:val="24"/>
          <w:szCs w:val="24"/>
        </w:rPr>
        <w:t>У пациентов с АГ и ХСНсФВ рекомендуется рассмотреть возможность приема АРНИ с целью снижения риска госпитализации из-за ХСН и смерти [200, 277].</w:t>
      </w:r>
    </w:p>
    <w:p w14:paraId="0E43F58B" w14:textId="462CF284" w:rsidR="00912CDB" w:rsidRPr="003B37B6" w:rsidRDefault="00912CDB" w:rsidP="00912CDB">
      <w:pPr>
        <w:pStyle w:val="11"/>
        <w:ind w:firstLine="600"/>
        <w:jc w:val="both"/>
        <w:rPr>
          <w:rStyle w:val="ac"/>
          <w:rFonts w:eastAsiaTheme="majorEastAsia"/>
          <w:b/>
          <w:bCs/>
          <w:sz w:val="24"/>
          <w:szCs w:val="24"/>
        </w:rPr>
      </w:pPr>
      <w:r w:rsidRPr="003B37B6">
        <w:rPr>
          <w:rStyle w:val="ac"/>
          <w:rFonts w:eastAsiaTheme="majorEastAsia"/>
          <w:b/>
          <w:bCs/>
          <w:sz w:val="24"/>
          <w:szCs w:val="24"/>
        </w:rPr>
        <w:lastRenderedPageBreak/>
        <w:t xml:space="preserve"> </w:t>
      </w:r>
      <w:r w:rsidR="003D51B3" w:rsidRPr="003B37B6">
        <w:rPr>
          <w:rStyle w:val="ac"/>
          <w:rFonts w:eastAsiaTheme="majorEastAsia"/>
          <w:b/>
          <w:bCs/>
          <w:sz w:val="24"/>
          <w:szCs w:val="24"/>
        </w:rPr>
        <w:t>Уровень убедительности рекомендаций</w:t>
      </w:r>
      <w:r w:rsidR="004E73A4" w:rsidRPr="003B37B6">
        <w:rPr>
          <w:rStyle w:val="ac"/>
          <w:rFonts w:eastAsiaTheme="majorEastAsia"/>
          <w:b/>
          <w:bCs/>
          <w:sz w:val="24"/>
          <w:szCs w:val="24"/>
        </w:rPr>
        <w:t xml:space="preserve"> </w:t>
      </w:r>
      <w:r w:rsidRPr="003B37B6">
        <w:rPr>
          <w:rStyle w:val="ac"/>
          <w:rFonts w:eastAsiaTheme="majorEastAsia"/>
          <w:b/>
          <w:bCs/>
          <w:sz w:val="24"/>
          <w:szCs w:val="24"/>
          <w:lang w:val="en-US"/>
        </w:rPr>
        <w:t>B</w:t>
      </w:r>
      <w:r w:rsidRPr="003B37B6">
        <w:rPr>
          <w:rStyle w:val="ac"/>
          <w:rFonts w:eastAsiaTheme="majorEastAsia"/>
          <w:b/>
          <w:bCs/>
          <w:sz w:val="24"/>
          <w:szCs w:val="24"/>
        </w:rPr>
        <w:t xml:space="preserve">, </w:t>
      </w:r>
      <w:r w:rsidR="004E73A4"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2)</w:t>
      </w:r>
      <w:r w:rsidR="004E73A4" w:rsidRPr="003B37B6">
        <w:rPr>
          <w:rStyle w:val="ac"/>
          <w:rFonts w:eastAsiaTheme="majorEastAsia"/>
          <w:b/>
          <w:bCs/>
          <w:sz w:val="24"/>
          <w:szCs w:val="24"/>
        </w:rPr>
        <w:t xml:space="preserve">; ЕОК/ЕОАГ </w:t>
      </w:r>
      <w:r w:rsidR="004E73A4" w:rsidRPr="003B37B6">
        <w:rPr>
          <w:rStyle w:val="ac"/>
          <w:rFonts w:eastAsiaTheme="majorEastAsia"/>
          <w:b/>
          <w:bCs/>
          <w:sz w:val="24"/>
          <w:szCs w:val="24"/>
          <w:lang w:val="en-US"/>
        </w:rPr>
        <w:t>IIaB</w:t>
      </w:r>
      <w:r w:rsidR="003E0C26" w:rsidRPr="003B37B6">
        <w:rPr>
          <w:rStyle w:val="ac"/>
          <w:rFonts w:eastAsiaTheme="majorEastAsia"/>
          <w:b/>
          <w:bCs/>
          <w:sz w:val="24"/>
          <w:szCs w:val="24"/>
        </w:rPr>
        <w:t>.</w:t>
      </w:r>
    </w:p>
    <w:p w14:paraId="3F7F64D6" w14:textId="24937D1A" w:rsidR="004E73A4" w:rsidRPr="003B37B6" w:rsidRDefault="004E73A4" w:rsidP="00912CDB">
      <w:pPr>
        <w:pStyle w:val="11"/>
        <w:ind w:firstLine="600"/>
        <w:jc w:val="both"/>
        <w:rPr>
          <w:i/>
          <w:iCs/>
          <w:sz w:val="28"/>
          <w:szCs w:val="28"/>
        </w:rPr>
      </w:pPr>
      <w:r w:rsidRPr="003B37B6">
        <w:rPr>
          <w:rStyle w:val="aff9"/>
          <w:rFonts w:eastAsiaTheme="majorEastAsia"/>
          <w:sz w:val="24"/>
          <w:szCs w:val="24"/>
        </w:rPr>
        <w:t xml:space="preserve">Комментарий: </w:t>
      </w:r>
      <w:r w:rsidRPr="003B37B6">
        <w:rPr>
          <w:i/>
          <w:iCs/>
          <w:sz w:val="24"/>
          <w:szCs w:val="24"/>
        </w:rPr>
        <w:t>У пациентов с артериальной гипертензией (АГ) и хронической сердечной недостаточностью с сохранённой фракцией выброса (ХСНсФВ) рекомендуется рассмотреть возможность применения ингибиторов рецепторов ангиотензина и нейтральной эндопептидазы (АРНИ). Эти препараты показали эффективность в снижении риска госпитализаций по поводу декомпенсации сердечной недостаточности и общей смертности. Использование АРНИ способствует улучшению гемодинамики и уменьшению сердечной нагрузки, что делает их важным компонентом комплексной терапии ХСНсФВ.</w:t>
      </w:r>
    </w:p>
    <w:p w14:paraId="602F9D47" w14:textId="77777777" w:rsidR="00912CDB" w:rsidRPr="003B37B6" w:rsidRDefault="00912CDB">
      <w:pPr>
        <w:pStyle w:val="11"/>
        <w:numPr>
          <w:ilvl w:val="0"/>
          <w:numId w:val="22"/>
        </w:numPr>
        <w:tabs>
          <w:tab w:val="left" w:pos="1277"/>
        </w:tabs>
        <w:ind w:firstLine="600"/>
        <w:jc w:val="both"/>
        <w:rPr>
          <w:sz w:val="24"/>
          <w:szCs w:val="24"/>
        </w:rPr>
      </w:pPr>
      <w:r w:rsidRPr="003B37B6">
        <w:rPr>
          <w:rStyle w:val="ac"/>
          <w:rFonts w:eastAsiaTheme="majorEastAsia"/>
          <w:sz w:val="24"/>
          <w:szCs w:val="24"/>
        </w:rPr>
        <w:t xml:space="preserve">У пациентов с АГ и ХСНсФВ и уровнем </w:t>
      </w:r>
      <w:r w:rsidRPr="003B37B6">
        <w:rPr>
          <w:rStyle w:val="ac"/>
          <w:rFonts w:eastAsiaTheme="majorEastAsia"/>
          <w:sz w:val="24"/>
          <w:szCs w:val="24"/>
          <w:lang w:val="en-US"/>
        </w:rPr>
        <w:t>NT</w:t>
      </w:r>
      <w:r w:rsidRPr="003B37B6">
        <w:rPr>
          <w:rStyle w:val="ac"/>
          <w:rFonts w:eastAsiaTheme="majorEastAsia"/>
          <w:sz w:val="24"/>
          <w:szCs w:val="24"/>
        </w:rPr>
        <w:t>-</w:t>
      </w:r>
      <w:proofErr w:type="gramStart"/>
      <w:r w:rsidRPr="003B37B6">
        <w:rPr>
          <w:rStyle w:val="ac"/>
          <w:rFonts w:eastAsiaTheme="majorEastAsia"/>
          <w:sz w:val="24"/>
          <w:szCs w:val="24"/>
          <w:lang w:val="en-US"/>
        </w:rPr>
        <w:t>proBNP</w:t>
      </w:r>
      <w:r w:rsidRPr="003B37B6">
        <w:rPr>
          <w:rStyle w:val="ac"/>
          <w:rFonts w:eastAsiaTheme="majorEastAsia"/>
          <w:sz w:val="24"/>
          <w:szCs w:val="24"/>
        </w:rPr>
        <w:t xml:space="preserve"> &gt;</w:t>
      </w:r>
      <w:proofErr w:type="gramEnd"/>
      <w:r w:rsidRPr="003B37B6">
        <w:rPr>
          <w:rStyle w:val="ac"/>
          <w:rFonts w:eastAsiaTheme="majorEastAsia"/>
          <w:sz w:val="24"/>
          <w:szCs w:val="24"/>
        </w:rPr>
        <w:t xml:space="preserve"> 360 пг/мл рекомендуется рассмотреть вопрос о назначении АМКР с целью снижения риска сердечно-сосудистой смерти, госпитализаций из-за СН и остановки сердца [292, 286].</w:t>
      </w:r>
    </w:p>
    <w:p w14:paraId="1DB18715" w14:textId="0823B980" w:rsidR="00912CDB" w:rsidRPr="003B37B6" w:rsidRDefault="00912CDB" w:rsidP="00912CDB">
      <w:pPr>
        <w:pStyle w:val="11"/>
        <w:ind w:firstLine="600"/>
        <w:jc w:val="both"/>
        <w:rPr>
          <w:rStyle w:val="ac"/>
          <w:rFonts w:eastAsiaTheme="majorEastAsia"/>
          <w:b/>
          <w:bCs/>
          <w:sz w:val="24"/>
          <w:szCs w:val="24"/>
        </w:rPr>
      </w:pPr>
      <w:r w:rsidRPr="003B37B6">
        <w:rPr>
          <w:rStyle w:val="ac"/>
          <w:rFonts w:eastAsiaTheme="majorEastAsia"/>
          <w:b/>
          <w:bCs/>
          <w:sz w:val="24"/>
          <w:szCs w:val="24"/>
        </w:rPr>
        <w:t xml:space="preserve"> </w:t>
      </w:r>
      <w:r w:rsidR="00BE367E" w:rsidRPr="003B37B6">
        <w:rPr>
          <w:rStyle w:val="ac"/>
          <w:rFonts w:eastAsiaTheme="majorEastAsia"/>
          <w:b/>
          <w:bCs/>
          <w:sz w:val="24"/>
          <w:szCs w:val="24"/>
        </w:rPr>
        <w:t xml:space="preserve">Уровень убедительности рекомендаций </w:t>
      </w:r>
      <w:r w:rsidRPr="003B37B6">
        <w:rPr>
          <w:rStyle w:val="ac"/>
          <w:rFonts w:eastAsiaTheme="majorEastAsia"/>
          <w:b/>
          <w:bCs/>
          <w:sz w:val="24"/>
          <w:szCs w:val="24"/>
        </w:rPr>
        <w:t xml:space="preserve">B, </w:t>
      </w:r>
      <w:r w:rsidR="003E0C26"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003E0C26" w:rsidRPr="003B37B6">
        <w:rPr>
          <w:rStyle w:val="ac"/>
          <w:rFonts w:eastAsiaTheme="majorEastAsia"/>
          <w:b/>
          <w:bCs/>
          <w:sz w:val="24"/>
          <w:szCs w:val="24"/>
        </w:rPr>
        <w:t xml:space="preserve"> </w:t>
      </w:r>
      <w:r w:rsidRPr="003B37B6">
        <w:rPr>
          <w:rStyle w:val="ac"/>
          <w:rFonts w:eastAsiaTheme="majorEastAsia"/>
          <w:b/>
          <w:bCs/>
          <w:sz w:val="24"/>
          <w:szCs w:val="24"/>
        </w:rPr>
        <w:t>2)</w:t>
      </w:r>
      <w:r w:rsidR="00BE367E" w:rsidRPr="003B37B6">
        <w:rPr>
          <w:rStyle w:val="ac"/>
          <w:rFonts w:eastAsiaTheme="majorEastAsia"/>
          <w:b/>
          <w:bCs/>
          <w:sz w:val="24"/>
          <w:szCs w:val="24"/>
        </w:rPr>
        <w:t>; ЕОК IIаС</w:t>
      </w:r>
      <w:r w:rsidR="003E0C26" w:rsidRPr="003B37B6">
        <w:rPr>
          <w:rStyle w:val="ac"/>
          <w:rFonts w:eastAsiaTheme="majorEastAsia"/>
          <w:b/>
          <w:bCs/>
          <w:sz w:val="24"/>
          <w:szCs w:val="24"/>
        </w:rPr>
        <w:t>.</w:t>
      </w:r>
    </w:p>
    <w:p w14:paraId="63A0E489" w14:textId="1CD4C0C8" w:rsidR="00BE367E" w:rsidRPr="003B37B6" w:rsidRDefault="00BE367E" w:rsidP="00912CDB">
      <w:pPr>
        <w:pStyle w:val="11"/>
        <w:ind w:firstLine="600"/>
        <w:jc w:val="both"/>
        <w:rPr>
          <w:i/>
          <w:iCs/>
          <w:sz w:val="28"/>
          <w:szCs w:val="28"/>
        </w:rPr>
      </w:pPr>
      <w:r w:rsidRPr="003B37B6">
        <w:rPr>
          <w:rStyle w:val="aff9"/>
          <w:rFonts w:eastAsiaTheme="majorEastAsia"/>
          <w:sz w:val="24"/>
          <w:szCs w:val="24"/>
        </w:rPr>
        <w:t xml:space="preserve">Комментарии: </w:t>
      </w:r>
      <w:r w:rsidRPr="003B37B6">
        <w:rPr>
          <w:i/>
          <w:iCs/>
          <w:sz w:val="24"/>
          <w:szCs w:val="24"/>
        </w:rPr>
        <w:t xml:space="preserve">У пациентов с артериальной гипертензией (АГ) и хронической сердечной недостаточностью с сохранённой фракцией выброса (ХСНсФВ), при уровне NT-proBNP выше 360 пг/мл, рекомендуется рассмотреть назначение антагонистов минералокортикоидных рецепторов (АМКР). Эти препараты способствуют снижению риска сердечно-сосудистой смерти, частоты госпитализаций по поводу сердечной недостаточности и риска внезапной остановки сердца. </w:t>
      </w:r>
    </w:p>
    <w:p w14:paraId="69215769" w14:textId="7B63EB46" w:rsidR="00912CDB" w:rsidRPr="003B37B6" w:rsidRDefault="00912CDB" w:rsidP="003E0C26">
      <w:pPr>
        <w:pStyle w:val="11"/>
        <w:jc w:val="both"/>
        <w:rPr>
          <w:sz w:val="24"/>
          <w:szCs w:val="24"/>
        </w:rPr>
      </w:pPr>
      <w:r w:rsidRPr="003B37B6">
        <w:rPr>
          <w:rStyle w:val="ac"/>
          <w:rFonts w:eastAsiaTheme="majorEastAsia"/>
          <w:sz w:val="24"/>
          <w:szCs w:val="24"/>
        </w:rPr>
        <w:t>Всем пациентам с ГЛЖ рекомендуется назначение иРААС в комбинации с АК или</w:t>
      </w:r>
      <w:r w:rsidR="003E0C26" w:rsidRPr="003B37B6">
        <w:rPr>
          <w:rStyle w:val="ac"/>
          <w:rFonts w:eastAsiaTheme="majorEastAsia"/>
          <w:sz w:val="24"/>
          <w:szCs w:val="24"/>
        </w:rPr>
        <w:t xml:space="preserve"> </w:t>
      </w:r>
      <w:r w:rsidRPr="003B37B6">
        <w:rPr>
          <w:rStyle w:val="ac"/>
          <w:rFonts w:eastAsiaTheme="majorEastAsia"/>
          <w:sz w:val="24"/>
          <w:szCs w:val="24"/>
        </w:rPr>
        <w:t xml:space="preserve">диуретиком в связи с доказанным влиянием на процессы ремоделирования ЛЖ </w:t>
      </w:r>
      <w:r w:rsidRPr="003B37B6">
        <w:rPr>
          <w:rStyle w:val="ac"/>
          <w:rFonts w:eastAsiaTheme="majorEastAsia"/>
          <w:b/>
          <w:bCs/>
          <w:sz w:val="24"/>
          <w:szCs w:val="24"/>
          <w:u w:val="single"/>
        </w:rPr>
        <w:t>[264]</w:t>
      </w:r>
      <w:r w:rsidRPr="003B37B6">
        <w:rPr>
          <w:rStyle w:val="ac"/>
          <w:rFonts w:eastAsiaTheme="majorEastAsia"/>
          <w:sz w:val="24"/>
          <w:szCs w:val="24"/>
        </w:rPr>
        <w:t>.</w:t>
      </w:r>
    </w:p>
    <w:p w14:paraId="3F234DFB" w14:textId="4345DB35" w:rsidR="00912CDB" w:rsidRPr="003B37B6" w:rsidRDefault="00912CDB" w:rsidP="00912CDB">
      <w:pPr>
        <w:pStyle w:val="11"/>
        <w:ind w:firstLine="580"/>
        <w:jc w:val="both"/>
        <w:rPr>
          <w:rStyle w:val="ac"/>
          <w:rFonts w:eastAsiaTheme="majorEastAsia"/>
          <w:b/>
          <w:bCs/>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BE367E" w:rsidRPr="003B37B6">
        <w:rPr>
          <w:rStyle w:val="ac"/>
          <w:rFonts w:eastAsiaTheme="majorEastAsia"/>
          <w:b/>
          <w:bCs/>
          <w:sz w:val="24"/>
          <w:szCs w:val="24"/>
        </w:rPr>
        <w:t xml:space="preserve"> </w:t>
      </w:r>
      <w:r w:rsidRPr="003B37B6">
        <w:rPr>
          <w:rStyle w:val="ac"/>
          <w:rFonts w:eastAsiaTheme="majorEastAsia"/>
          <w:b/>
          <w:bCs/>
          <w:sz w:val="24"/>
          <w:szCs w:val="24"/>
        </w:rPr>
        <w:t xml:space="preserve">А, </w:t>
      </w:r>
      <w:r w:rsidR="00BE367E"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1)</w:t>
      </w:r>
      <w:r w:rsidR="00BE367E" w:rsidRPr="003B37B6">
        <w:rPr>
          <w:rStyle w:val="ac"/>
          <w:rFonts w:eastAsiaTheme="majorEastAsia"/>
          <w:b/>
          <w:bCs/>
          <w:sz w:val="24"/>
          <w:szCs w:val="24"/>
        </w:rPr>
        <w:t>; ЕОК/ЕОАГ IА</w:t>
      </w:r>
      <w:r w:rsidR="003E0C26" w:rsidRPr="003B37B6">
        <w:rPr>
          <w:rStyle w:val="ac"/>
          <w:rFonts w:eastAsiaTheme="majorEastAsia"/>
          <w:b/>
          <w:bCs/>
          <w:sz w:val="24"/>
          <w:szCs w:val="24"/>
        </w:rPr>
        <w:t>.</w:t>
      </w:r>
    </w:p>
    <w:p w14:paraId="4B4FFC88" w14:textId="25D97F9B" w:rsidR="00BE367E" w:rsidRPr="003B37B6" w:rsidRDefault="00BE367E" w:rsidP="00912CDB">
      <w:pPr>
        <w:pStyle w:val="11"/>
        <w:ind w:firstLine="580"/>
        <w:jc w:val="both"/>
        <w:rPr>
          <w:i/>
          <w:iCs/>
          <w:sz w:val="24"/>
          <w:szCs w:val="24"/>
        </w:rPr>
      </w:pPr>
      <w:r w:rsidRPr="003B37B6">
        <w:rPr>
          <w:rStyle w:val="aff9"/>
          <w:rFonts w:eastAsiaTheme="majorEastAsia"/>
          <w:sz w:val="24"/>
          <w:szCs w:val="24"/>
        </w:rPr>
        <w:t>Комментарий:</w:t>
      </w:r>
      <w:r w:rsidRPr="003B37B6">
        <w:rPr>
          <w:sz w:val="24"/>
          <w:szCs w:val="24"/>
        </w:rPr>
        <w:t xml:space="preserve"> </w:t>
      </w:r>
      <w:r w:rsidRPr="003B37B6">
        <w:rPr>
          <w:i/>
          <w:iCs/>
          <w:sz w:val="24"/>
          <w:szCs w:val="24"/>
        </w:rPr>
        <w:t>Всем пациентам с гипертрофией левого желудочка (ГЛЖ) рекомендуется назначение ингибиторов ренин-ангиотензин-альдостероновой системы (иРААС) в комбинации с антагонистами кальция (АК) или диуретиками. Такая терапия направлена на замедление или обратное развитие патологического ремоделирования левого желудочка, что снижает риск сердечно-сосудистых осложнений и улучшает клинический прогноз.</w:t>
      </w:r>
    </w:p>
    <w:p w14:paraId="4873732B" w14:textId="75D00DBD" w:rsidR="00912CDB" w:rsidRPr="003B37B6" w:rsidRDefault="00912CDB" w:rsidP="00D6762C">
      <w:pPr>
        <w:pStyle w:val="11"/>
        <w:numPr>
          <w:ilvl w:val="0"/>
          <w:numId w:val="22"/>
        </w:numPr>
        <w:tabs>
          <w:tab w:val="left" w:pos="1842"/>
        </w:tabs>
        <w:ind w:firstLine="580"/>
        <w:jc w:val="both"/>
        <w:rPr>
          <w:sz w:val="24"/>
          <w:szCs w:val="24"/>
        </w:rPr>
      </w:pPr>
      <w:r w:rsidRPr="003B37B6">
        <w:rPr>
          <w:rStyle w:val="ac"/>
          <w:rFonts w:eastAsiaTheme="majorEastAsia"/>
          <w:sz w:val="24"/>
          <w:szCs w:val="24"/>
        </w:rPr>
        <w:t>У пациентов с АГ и ГЛЖ моложе 79 лет рекомендуется снижать САД до</w:t>
      </w:r>
    </w:p>
    <w:p w14:paraId="1016226C" w14:textId="77777777" w:rsidR="00912CDB" w:rsidRPr="003B37B6" w:rsidRDefault="00912CDB" w:rsidP="00912CDB">
      <w:pPr>
        <w:pStyle w:val="11"/>
        <w:ind w:firstLine="0"/>
        <w:jc w:val="both"/>
        <w:rPr>
          <w:sz w:val="24"/>
          <w:szCs w:val="24"/>
        </w:rPr>
      </w:pPr>
      <w:r w:rsidRPr="003B37B6">
        <w:rPr>
          <w:rStyle w:val="ac"/>
          <w:rFonts w:eastAsiaTheme="majorEastAsia"/>
          <w:sz w:val="24"/>
          <w:szCs w:val="24"/>
        </w:rPr>
        <w:t>значений 120–130 мм рт. ст. в связи с доказанными преимуществами в отношении снижения СС исходов и смертности [132, 293, 294, 295].</w:t>
      </w:r>
    </w:p>
    <w:p w14:paraId="3C334EFE" w14:textId="69F766FA" w:rsidR="00912CDB" w:rsidRPr="003B37B6" w:rsidRDefault="00912CDB" w:rsidP="00912CDB">
      <w:pPr>
        <w:pStyle w:val="11"/>
        <w:ind w:firstLine="580"/>
        <w:jc w:val="both"/>
        <w:rPr>
          <w:rStyle w:val="ac"/>
          <w:rFonts w:eastAsiaTheme="majorEastAsia"/>
          <w:b/>
          <w:bCs/>
          <w:sz w:val="24"/>
          <w:szCs w:val="24"/>
        </w:rPr>
      </w:pPr>
      <w:r w:rsidRPr="003B37B6">
        <w:rPr>
          <w:rStyle w:val="ac"/>
          <w:rFonts w:eastAsiaTheme="majorEastAsia"/>
          <w:b/>
          <w:bCs/>
          <w:sz w:val="24"/>
          <w:szCs w:val="24"/>
        </w:rPr>
        <w:lastRenderedPageBreak/>
        <w:t xml:space="preserve"> </w:t>
      </w:r>
      <w:r w:rsidR="003D51B3" w:rsidRPr="003B37B6">
        <w:rPr>
          <w:rStyle w:val="ac"/>
          <w:rFonts w:eastAsiaTheme="majorEastAsia"/>
          <w:b/>
          <w:bCs/>
          <w:sz w:val="24"/>
          <w:szCs w:val="24"/>
        </w:rPr>
        <w:t>Уровень убедительности рекомендаций</w:t>
      </w:r>
      <w:r w:rsidR="00BE367E" w:rsidRPr="003B37B6">
        <w:rPr>
          <w:rStyle w:val="ac"/>
          <w:rFonts w:eastAsiaTheme="majorEastAsia"/>
          <w:b/>
          <w:bCs/>
          <w:sz w:val="24"/>
          <w:szCs w:val="24"/>
        </w:rPr>
        <w:t xml:space="preserve"> </w:t>
      </w:r>
      <w:r w:rsidRPr="003B37B6">
        <w:rPr>
          <w:rStyle w:val="ac"/>
          <w:rFonts w:eastAsiaTheme="majorEastAsia"/>
          <w:b/>
          <w:bCs/>
          <w:sz w:val="24"/>
          <w:szCs w:val="24"/>
        </w:rPr>
        <w:t xml:space="preserve">А, </w:t>
      </w:r>
      <w:r w:rsidR="00BE367E"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2</w:t>
      </w:r>
      <w:r w:rsidR="00BE367E" w:rsidRPr="003B37B6">
        <w:rPr>
          <w:rStyle w:val="ac"/>
          <w:rFonts w:eastAsiaTheme="majorEastAsia"/>
          <w:b/>
          <w:bCs/>
          <w:sz w:val="24"/>
          <w:szCs w:val="24"/>
        </w:rPr>
        <w:t xml:space="preserve">); ЕОК/ЕОАГ </w:t>
      </w:r>
      <w:r w:rsidR="00BE367E" w:rsidRPr="003B37B6">
        <w:rPr>
          <w:rStyle w:val="ac"/>
          <w:rFonts w:eastAsiaTheme="majorEastAsia"/>
          <w:b/>
          <w:bCs/>
          <w:sz w:val="24"/>
          <w:szCs w:val="24"/>
          <w:lang w:val="en-US"/>
        </w:rPr>
        <w:t>IIaB</w:t>
      </w:r>
      <w:r w:rsidR="003E0C26" w:rsidRPr="003B37B6">
        <w:rPr>
          <w:rStyle w:val="ac"/>
          <w:rFonts w:eastAsiaTheme="majorEastAsia"/>
          <w:b/>
          <w:bCs/>
          <w:sz w:val="24"/>
          <w:szCs w:val="24"/>
        </w:rPr>
        <w:t>.</w:t>
      </w:r>
    </w:p>
    <w:p w14:paraId="4DB97599" w14:textId="2B8DBCC1" w:rsidR="00BE367E" w:rsidRPr="003B37B6" w:rsidRDefault="00BE367E" w:rsidP="00912CDB">
      <w:pPr>
        <w:pStyle w:val="11"/>
        <w:ind w:firstLine="580"/>
        <w:jc w:val="both"/>
        <w:rPr>
          <w:i/>
          <w:iCs/>
          <w:sz w:val="28"/>
          <w:szCs w:val="28"/>
        </w:rPr>
      </w:pPr>
      <w:r w:rsidRPr="003B37B6">
        <w:rPr>
          <w:rStyle w:val="aff9"/>
          <w:rFonts w:eastAsiaTheme="majorEastAsia"/>
          <w:sz w:val="24"/>
          <w:szCs w:val="24"/>
        </w:rPr>
        <w:t xml:space="preserve">Комментарий: </w:t>
      </w:r>
      <w:r w:rsidRPr="003B37B6">
        <w:rPr>
          <w:i/>
          <w:iCs/>
          <w:sz w:val="24"/>
          <w:szCs w:val="24"/>
        </w:rPr>
        <w:t>У пациентов с артериальной гипертензией (АГ) и гипертрофией левого желудочка (ГЛЖ) в возрасте до 79 лет рекомендуется снижать систолическое артериальное давление (САД) до диапазона 120–130 мм рт. ст. Это связано с доказанными преимуществами такой тактики в снижении риска сердечно-сосудистых исходов и общей смертности. Более интенсивный контроль давления способствует замедлению прогрессирования гипертрофии и улучшению прогноза.</w:t>
      </w:r>
    </w:p>
    <w:p w14:paraId="176A443C" w14:textId="77777777" w:rsidR="00912CDB" w:rsidRPr="003B37B6" w:rsidRDefault="00912CDB" w:rsidP="00912CDB">
      <w:pPr>
        <w:pStyle w:val="11"/>
        <w:tabs>
          <w:tab w:val="left" w:pos="1308"/>
        </w:tabs>
        <w:ind w:firstLine="0"/>
        <w:jc w:val="center"/>
        <w:rPr>
          <w:sz w:val="24"/>
          <w:szCs w:val="24"/>
        </w:rPr>
      </w:pPr>
      <w:bookmarkStart w:id="40" w:name="bookmark31"/>
      <w:r w:rsidRPr="003B37B6">
        <w:rPr>
          <w:rStyle w:val="ac"/>
          <w:rFonts w:eastAsiaTheme="majorEastAsia"/>
          <w:b/>
          <w:bCs/>
          <w:sz w:val="24"/>
          <w:szCs w:val="24"/>
        </w:rPr>
        <w:t>Артериальная гипертензия, фибрилляция предсердий и другие аритмии</w:t>
      </w:r>
      <w:bookmarkEnd w:id="40"/>
    </w:p>
    <w:p w14:paraId="62C88318" w14:textId="77777777" w:rsidR="00912CDB" w:rsidRPr="003B37B6" w:rsidRDefault="00912CDB" w:rsidP="00912CDB">
      <w:pPr>
        <w:pStyle w:val="11"/>
        <w:ind w:firstLine="580"/>
        <w:jc w:val="both"/>
        <w:rPr>
          <w:sz w:val="24"/>
          <w:szCs w:val="24"/>
        </w:rPr>
      </w:pPr>
      <w:r w:rsidRPr="003B37B6">
        <w:rPr>
          <w:rStyle w:val="ac"/>
          <w:rFonts w:eastAsiaTheme="majorEastAsia"/>
          <w:i/>
          <w:iCs/>
          <w:sz w:val="24"/>
          <w:szCs w:val="24"/>
        </w:rPr>
        <w:t>Ведение пациентов с АГ в сочетании с фибрилляцией предсердий проводится в соответствии с действующими клиническими рекомендациями.</w:t>
      </w:r>
    </w:p>
    <w:p w14:paraId="415A0CA1" w14:textId="77777777" w:rsidR="00912CDB" w:rsidRPr="003B37B6" w:rsidRDefault="00912CDB">
      <w:pPr>
        <w:pStyle w:val="11"/>
        <w:numPr>
          <w:ilvl w:val="0"/>
          <w:numId w:val="23"/>
        </w:numPr>
        <w:tabs>
          <w:tab w:val="left" w:pos="1257"/>
        </w:tabs>
        <w:ind w:firstLine="580"/>
        <w:jc w:val="both"/>
        <w:rPr>
          <w:sz w:val="24"/>
          <w:szCs w:val="24"/>
        </w:rPr>
      </w:pPr>
      <w:r w:rsidRPr="003B37B6">
        <w:rPr>
          <w:rStyle w:val="ac"/>
          <w:rFonts w:eastAsiaTheme="majorEastAsia"/>
          <w:sz w:val="24"/>
          <w:szCs w:val="24"/>
        </w:rPr>
        <w:t>Всех пациентов с ФП рекомендуется обследовать для исключения АГ [296, 29].</w:t>
      </w:r>
    </w:p>
    <w:p w14:paraId="36A35F52" w14:textId="53368625" w:rsidR="00912CDB" w:rsidRPr="003B37B6" w:rsidRDefault="003D51B3" w:rsidP="00912CDB">
      <w:pPr>
        <w:pStyle w:val="11"/>
        <w:ind w:firstLine="580"/>
        <w:jc w:val="both"/>
        <w:rPr>
          <w:rStyle w:val="ac"/>
          <w:rFonts w:eastAsiaTheme="majorEastAsia"/>
          <w:b/>
          <w:bCs/>
          <w:sz w:val="24"/>
          <w:szCs w:val="24"/>
        </w:rPr>
      </w:pPr>
      <w:r w:rsidRPr="003B37B6">
        <w:rPr>
          <w:rStyle w:val="ac"/>
          <w:rFonts w:eastAsiaTheme="majorEastAsia"/>
          <w:b/>
          <w:bCs/>
          <w:sz w:val="24"/>
          <w:szCs w:val="24"/>
        </w:rPr>
        <w:t>Уровень убедительности рекомендаций</w:t>
      </w:r>
      <w:r w:rsidR="00BE367E" w:rsidRPr="003B37B6">
        <w:rPr>
          <w:rStyle w:val="ac"/>
          <w:rFonts w:eastAsiaTheme="majorEastAsia"/>
          <w:b/>
          <w:bCs/>
          <w:sz w:val="24"/>
          <w:szCs w:val="24"/>
        </w:rPr>
        <w:t xml:space="preserve"> </w:t>
      </w:r>
      <w:r w:rsidR="00912CDB" w:rsidRPr="003B37B6">
        <w:rPr>
          <w:rStyle w:val="ac"/>
          <w:rFonts w:eastAsiaTheme="majorEastAsia"/>
          <w:b/>
          <w:bCs/>
          <w:sz w:val="24"/>
          <w:szCs w:val="24"/>
          <w:lang w:val="en-US"/>
        </w:rPr>
        <w:t>C</w:t>
      </w:r>
      <w:r w:rsidR="00912CDB" w:rsidRPr="003B37B6">
        <w:rPr>
          <w:rStyle w:val="ac"/>
          <w:rFonts w:eastAsiaTheme="majorEastAsia"/>
          <w:b/>
          <w:bCs/>
          <w:sz w:val="24"/>
          <w:szCs w:val="24"/>
        </w:rPr>
        <w:t xml:space="preserve">, </w:t>
      </w:r>
      <w:r w:rsidR="00BE367E" w:rsidRPr="003B37B6">
        <w:rPr>
          <w:rStyle w:val="ac"/>
          <w:rFonts w:eastAsiaTheme="majorEastAsia"/>
          <w:b/>
          <w:bCs/>
          <w:sz w:val="24"/>
          <w:szCs w:val="24"/>
        </w:rPr>
        <w:t>(</w:t>
      </w:r>
      <w:r w:rsidRPr="003B37B6">
        <w:rPr>
          <w:rStyle w:val="ac"/>
          <w:rFonts w:eastAsiaTheme="majorEastAsia"/>
          <w:b/>
          <w:bCs/>
          <w:sz w:val="24"/>
          <w:szCs w:val="24"/>
        </w:rPr>
        <w:t>Уровень достоверности доказательств</w:t>
      </w:r>
      <w:r w:rsidR="00912CDB" w:rsidRPr="003B37B6">
        <w:rPr>
          <w:rStyle w:val="ac"/>
          <w:rFonts w:eastAsiaTheme="majorEastAsia"/>
          <w:b/>
          <w:bCs/>
          <w:sz w:val="24"/>
          <w:szCs w:val="24"/>
        </w:rPr>
        <w:t xml:space="preserve"> 5)</w:t>
      </w:r>
      <w:r w:rsidR="00BE367E" w:rsidRPr="003B37B6">
        <w:rPr>
          <w:rStyle w:val="ac"/>
          <w:rFonts w:eastAsiaTheme="majorEastAsia"/>
          <w:b/>
          <w:bCs/>
          <w:sz w:val="24"/>
          <w:szCs w:val="24"/>
        </w:rPr>
        <w:t xml:space="preserve">; ЕОК/ЕОАГ </w:t>
      </w:r>
      <w:r w:rsidR="00BE367E" w:rsidRPr="003B37B6">
        <w:rPr>
          <w:rStyle w:val="ac"/>
          <w:rFonts w:eastAsiaTheme="majorEastAsia"/>
          <w:b/>
          <w:bCs/>
          <w:sz w:val="24"/>
          <w:szCs w:val="24"/>
          <w:lang w:val="en-US"/>
        </w:rPr>
        <w:t>IC</w:t>
      </w:r>
      <w:r w:rsidR="003E0C26" w:rsidRPr="003B37B6">
        <w:rPr>
          <w:rStyle w:val="ac"/>
          <w:rFonts w:eastAsiaTheme="majorEastAsia"/>
          <w:b/>
          <w:bCs/>
          <w:sz w:val="24"/>
          <w:szCs w:val="24"/>
        </w:rPr>
        <w:t>.</w:t>
      </w:r>
    </w:p>
    <w:p w14:paraId="1A824C8E" w14:textId="64944790" w:rsidR="00BE367E" w:rsidRPr="003B37B6" w:rsidRDefault="00BE367E" w:rsidP="00912CDB">
      <w:pPr>
        <w:pStyle w:val="11"/>
        <w:ind w:firstLine="580"/>
        <w:jc w:val="both"/>
        <w:rPr>
          <w:i/>
          <w:iCs/>
          <w:sz w:val="28"/>
          <w:szCs w:val="28"/>
        </w:rPr>
      </w:pPr>
      <w:r w:rsidRPr="003B37B6">
        <w:rPr>
          <w:rStyle w:val="aff9"/>
          <w:rFonts w:eastAsiaTheme="majorEastAsia"/>
          <w:sz w:val="24"/>
          <w:szCs w:val="24"/>
        </w:rPr>
        <w:t>Комментарий</w:t>
      </w:r>
      <w:r w:rsidRPr="003B37B6">
        <w:rPr>
          <w:rStyle w:val="aff9"/>
          <w:rFonts w:eastAsiaTheme="majorEastAsia"/>
          <w:i/>
          <w:iCs/>
          <w:sz w:val="24"/>
          <w:szCs w:val="24"/>
        </w:rPr>
        <w:t xml:space="preserve">: </w:t>
      </w:r>
      <w:r w:rsidRPr="003B37B6">
        <w:rPr>
          <w:i/>
          <w:iCs/>
          <w:sz w:val="24"/>
          <w:szCs w:val="24"/>
        </w:rPr>
        <w:t>Фибрилляция предсердий (ФП) и артериальная гипертензия (АГ) часто сосуществуют и взаимно усугубляют течение друг друга. Обследование всех пациентов с ФП для исключения АГ является важным этапом, поскольку повышение артериального давления существенно увеличивает риск инсульта, сердечной недостаточности и других осложнений. Раннее выявление и адекватный контроль АГ у таких пациентов способствует улучшению прогноза и снижению частоты осложнений.</w:t>
      </w:r>
    </w:p>
    <w:p w14:paraId="348C96AB" w14:textId="6083C0FA" w:rsidR="00912CDB" w:rsidRPr="003B37B6" w:rsidRDefault="00912CDB">
      <w:pPr>
        <w:pStyle w:val="11"/>
        <w:numPr>
          <w:ilvl w:val="0"/>
          <w:numId w:val="23"/>
        </w:numPr>
        <w:tabs>
          <w:tab w:val="left" w:pos="1257"/>
        </w:tabs>
        <w:ind w:firstLine="580"/>
        <w:jc w:val="both"/>
        <w:rPr>
          <w:sz w:val="24"/>
          <w:szCs w:val="24"/>
        </w:rPr>
      </w:pPr>
      <w:r w:rsidRPr="003B37B6">
        <w:rPr>
          <w:rStyle w:val="ac"/>
          <w:rFonts w:eastAsiaTheme="majorEastAsia"/>
          <w:sz w:val="24"/>
          <w:szCs w:val="24"/>
        </w:rPr>
        <w:t>Пациентам с АГ и ФП при необходимости контроля ЧСС в качестве компонента АГТ</w:t>
      </w:r>
      <w:r w:rsidRPr="003B37B6">
        <w:rPr>
          <w:sz w:val="24"/>
          <w:szCs w:val="24"/>
        </w:rPr>
        <w:t xml:space="preserve"> </w:t>
      </w:r>
      <w:r w:rsidRPr="003B37B6">
        <w:rPr>
          <w:rStyle w:val="ac"/>
          <w:rFonts w:eastAsiaTheme="majorEastAsia"/>
          <w:sz w:val="24"/>
          <w:szCs w:val="24"/>
        </w:rPr>
        <w:t>рекомендуется назначать ББ (предпочтительно) или недигидропиридиновые АК (</w:t>
      </w:r>
      <w:r w:rsidR="00665677" w:rsidRPr="003B37B6">
        <w:rPr>
          <w:rStyle w:val="ac"/>
          <w:rFonts w:eastAsiaTheme="majorEastAsia"/>
          <w:sz w:val="24"/>
          <w:szCs w:val="24"/>
        </w:rPr>
        <w:t>глава 5 Приложения Б к настоящим Клиническим рекомендациям</w:t>
      </w:r>
      <w:r w:rsidRPr="003B37B6">
        <w:rPr>
          <w:rStyle w:val="ac"/>
          <w:rFonts w:eastAsiaTheme="majorEastAsia"/>
          <w:sz w:val="24"/>
          <w:szCs w:val="24"/>
        </w:rPr>
        <w:t>) [296, 29].</w:t>
      </w:r>
    </w:p>
    <w:p w14:paraId="107CFBB6" w14:textId="2B9537C3" w:rsidR="00912CDB" w:rsidRPr="003B37B6" w:rsidRDefault="00912CDB" w:rsidP="00912CDB">
      <w:pPr>
        <w:pStyle w:val="11"/>
        <w:ind w:firstLine="580"/>
        <w:jc w:val="both"/>
        <w:rPr>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9E6BCB" w:rsidRPr="003B37B6">
        <w:rPr>
          <w:rStyle w:val="ac"/>
          <w:rFonts w:eastAsiaTheme="majorEastAsia"/>
          <w:b/>
          <w:bCs/>
          <w:sz w:val="24"/>
          <w:szCs w:val="24"/>
        </w:rPr>
        <w:t xml:space="preserve"> </w:t>
      </w:r>
      <w:r w:rsidRPr="003B37B6">
        <w:rPr>
          <w:rStyle w:val="ac"/>
          <w:rFonts w:eastAsiaTheme="majorEastAsia"/>
          <w:b/>
          <w:bCs/>
          <w:sz w:val="24"/>
          <w:szCs w:val="24"/>
          <w:lang w:val="en-US"/>
        </w:rPr>
        <w:t>C</w:t>
      </w:r>
      <w:r w:rsidRPr="003B37B6">
        <w:rPr>
          <w:rStyle w:val="ac"/>
          <w:rFonts w:eastAsiaTheme="majorEastAsia"/>
          <w:b/>
          <w:bCs/>
          <w:sz w:val="24"/>
          <w:szCs w:val="24"/>
        </w:rPr>
        <w:t xml:space="preserve">, </w:t>
      </w:r>
      <w:r w:rsidR="009E6BCB"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5)</w:t>
      </w:r>
      <w:r w:rsidR="009E6BCB" w:rsidRPr="003B37B6">
        <w:rPr>
          <w:rStyle w:val="ac"/>
          <w:rFonts w:eastAsiaTheme="majorEastAsia"/>
          <w:b/>
          <w:bCs/>
          <w:sz w:val="24"/>
          <w:szCs w:val="24"/>
        </w:rPr>
        <w:t>;</w:t>
      </w:r>
      <w:r w:rsidR="003E0C26" w:rsidRPr="003B37B6">
        <w:rPr>
          <w:rStyle w:val="ac"/>
          <w:rFonts w:eastAsiaTheme="majorEastAsia"/>
          <w:b/>
          <w:bCs/>
          <w:sz w:val="24"/>
          <w:szCs w:val="24"/>
        </w:rPr>
        <w:t xml:space="preserve"> </w:t>
      </w:r>
      <w:r w:rsidR="009E6BCB" w:rsidRPr="003B37B6">
        <w:rPr>
          <w:rStyle w:val="ac"/>
          <w:rFonts w:eastAsiaTheme="majorEastAsia"/>
          <w:b/>
          <w:bCs/>
          <w:sz w:val="24"/>
          <w:szCs w:val="24"/>
        </w:rPr>
        <w:t xml:space="preserve">ЕОК/ЕОАГ </w:t>
      </w:r>
      <w:r w:rsidR="009E6BCB" w:rsidRPr="003B37B6">
        <w:rPr>
          <w:rStyle w:val="ac"/>
          <w:rFonts w:eastAsiaTheme="majorEastAsia"/>
          <w:b/>
          <w:bCs/>
          <w:sz w:val="24"/>
          <w:szCs w:val="24"/>
          <w:lang w:val="en-US"/>
        </w:rPr>
        <w:t>IIaB</w:t>
      </w:r>
      <w:r w:rsidR="003E0C26" w:rsidRPr="003B37B6">
        <w:rPr>
          <w:rStyle w:val="ac"/>
          <w:rFonts w:eastAsiaTheme="majorEastAsia"/>
          <w:b/>
          <w:bCs/>
          <w:sz w:val="24"/>
          <w:szCs w:val="24"/>
        </w:rPr>
        <w:t>.</w:t>
      </w:r>
    </w:p>
    <w:p w14:paraId="25D12393" w14:textId="77777777" w:rsidR="00912CDB" w:rsidRPr="003B37B6" w:rsidRDefault="00912CDB" w:rsidP="00912CDB">
      <w:pPr>
        <w:pStyle w:val="11"/>
        <w:ind w:firstLine="580"/>
        <w:jc w:val="both"/>
        <w:rPr>
          <w:sz w:val="24"/>
          <w:szCs w:val="24"/>
        </w:rPr>
      </w:pPr>
      <w:r w:rsidRPr="003B37B6">
        <w:rPr>
          <w:rStyle w:val="ac"/>
          <w:rFonts w:eastAsiaTheme="majorEastAsia"/>
          <w:b/>
          <w:bCs/>
          <w:sz w:val="24"/>
          <w:szCs w:val="24"/>
        </w:rPr>
        <w:t xml:space="preserve">Комментарии. </w:t>
      </w:r>
      <w:r w:rsidRPr="003B37B6">
        <w:rPr>
          <w:rStyle w:val="ac"/>
          <w:rFonts w:eastAsiaTheme="majorEastAsia"/>
          <w:i/>
          <w:iCs/>
          <w:sz w:val="24"/>
          <w:szCs w:val="24"/>
        </w:rPr>
        <w:t xml:space="preserve">Индивидуальный выбор доз ББ или недигидропиридиновых АК препаратов должен быть ориентирован на целевые значения ЧСС не выше 110 в минуту в состоянии покоя </w:t>
      </w:r>
      <w:r w:rsidRPr="003B37B6">
        <w:rPr>
          <w:rStyle w:val="ac"/>
          <w:rFonts w:eastAsiaTheme="majorEastAsia"/>
          <w:sz w:val="24"/>
          <w:szCs w:val="24"/>
        </w:rPr>
        <w:t>[296, 29].</w:t>
      </w:r>
    </w:p>
    <w:p w14:paraId="634E898E" w14:textId="77777777" w:rsidR="00912CDB" w:rsidRPr="003B37B6" w:rsidRDefault="00912CDB">
      <w:pPr>
        <w:pStyle w:val="11"/>
        <w:numPr>
          <w:ilvl w:val="0"/>
          <w:numId w:val="23"/>
        </w:numPr>
        <w:tabs>
          <w:tab w:val="left" w:pos="1257"/>
        </w:tabs>
        <w:ind w:firstLine="580"/>
        <w:jc w:val="both"/>
        <w:rPr>
          <w:sz w:val="24"/>
          <w:szCs w:val="24"/>
        </w:rPr>
      </w:pPr>
      <w:r w:rsidRPr="003B37B6">
        <w:rPr>
          <w:rStyle w:val="ac"/>
          <w:rFonts w:eastAsiaTheme="majorEastAsia"/>
          <w:sz w:val="24"/>
          <w:szCs w:val="24"/>
        </w:rPr>
        <w:t xml:space="preserve">Пациентам с АГ в сочетании с ФП при числе баллов по шкале </w:t>
      </w:r>
      <w:r w:rsidRPr="003B37B6">
        <w:rPr>
          <w:rStyle w:val="ac"/>
          <w:rFonts w:eastAsiaTheme="majorEastAsia"/>
          <w:sz w:val="24"/>
          <w:szCs w:val="24"/>
          <w:lang w:val="en-US"/>
        </w:rPr>
        <w:t>CHA</w:t>
      </w:r>
      <w:r w:rsidRPr="003B37B6">
        <w:rPr>
          <w:rStyle w:val="ac"/>
          <w:rFonts w:eastAsiaTheme="majorEastAsia"/>
          <w:sz w:val="24"/>
          <w:szCs w:val="24"/>
        </w:rPr>
        <w:t>2</w:t>
      </w:r>
      <w:r w:rsidRPr="003B37B6">
        <w:rPr>
          <w:rStyle w:val="ac"/>
          <w:rFonts w:eastAsiaTheme="majorEastAsia"/>
          <w:sz w:val="24"/>
          <w:szCs w:val="24"/>
          <w:lang w:val="en-US"/>
        </w:rPr>
        <w:t>DS</w:t>
      </w:r>
      <w:r w:rsidRPr="003B37B6">
        <w:rPr>
          <w:rStyle w:val="ac"/>
          <w:rFonts w:eastAsiaTheme="majorEastAsia"/>
          <w:sz w:val="24"/>
          <w:szCs w:val="24"/>
        </w:rPr>
        <w:t>2-</w:t>
      </w:r>
      <w:r w:rsidRPr="003B37B6">
        <w:rPr>
          <w:rStyle w:val="ac"/>
          <w:rFonts w:eastAsiaTheme="majorEastAsia"/>
          <w:sz w:val="24"/>
          <w:szCs w:val="24"/>
          <w:lang w:val="en-US"/>
        </w:rPr>
        <w:t>Vasc</w:t>
      </w:r>
      <w:r w:rsidRPr="003B37B6">
        <w:rPr>
          <w:rStyle w:val="ac"/>
          <w:rFonts w:eastAsiaTheme="majorEastAsia"/>
          <w:sz w:val="24"/>
          <w:szCs w:val="24"/>
        </w:rPr>
        <w:t xml:space="preserve"> ≥2 для</w:t>
      </w:r>
      <w:r w:rsidRPr="003B37B6">
        <w:rPr>
          <w:sz w:val="24"/>
          <w:szCs w:val="24"/>
        </w:rPr>
        <w:t xml:space="preserve"> </w:t>
      </w:r>
      <w:r w:rsidRPr="003B37B6">
        <w:rPr>
          <w:rStyle w:val="ac"/>
          <w:rFonts w:eastAsiaTheme="majorEastAsia"/>
          <w:sz w:val="24"/>
          <w:szCs w:val="24"/>
        </w:rPr>
        <w:t>мужчин и ≥3 для женщин рекомендуется проводить профилактику инсульта с помощью ПОАК (шкала представлена в Приложении Г4) [297].</w:t>
      </w:r>
    </w:p>
    <w:p w14:paraId="56FFED8B" w14:textId="7B8FC9F2" w:rsidR="00912CDB" w:rsidRPr="003B37B6" w:rsidRDefault="00912CDB" w:rsidP="00912CDB">
      <w:pPr>
        <w:pStyle w:val="11"/>
        <w:ind w:firstLine="580"/>
        <w:jc w:val="both"/>
        <w:rPr>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9E6BCB" w:rsidRPr="003B37B6">
        <w:rPr>
          <w:rStyle w:val="ac"/>
          <w:rFonts w:eastAsiaTheme="majorEastAsia"/>
          <w:b/>
          <w:bCs/>
          <w:sz w:val="24"/>
          <w:szCs w:val="24"/>
        </w:rPr>
        <w:t xml:space="preserve"> </w:t>
      </w:r>
      <w:r w:rsidRPr="003B37B6">
        <w:rPr>
          <w:rStyle w:val="ac"/>
          <w:rFonts w:eastAsiaTheme="majorEastAsia"/>
          <w:b/>
          <w:bCs/>
          <w:sz w:val="24"/>
          <w:szCs w:val="24"/>
        </w:rPr>
        <w:t xml:space="preserve">А, </w:t>
      </w:r>
      <w:r w:rsidR="009E6BCB"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1)</w:t>
      </w:r>
      <w:r w:rsidR="009E6BCB" w:rsidRPr="003B37B6">
        <w:rPr>
          <w:rStyle w:val="ac"/>
          <w:rFonts w:eastAsiaTheme="majorEastAsia"/>
          <w:b/>
          <w:bCs/>
          <w:sz w:val="24"/>
          <w:szCs w:val="24"/>
        </w:rPr>
        <w:t>; ЕОК/ЕОАГ IА</w:t>
      </w:r>
      <w:r w:rsidR="00E52942" w:rsidRPr="003B37B6">
        <w:rPr>
          <w:rStyle w:val="ac"/>
          <w:rFonts w:eastAsiaTheme="majorEastAsia"/>
          <w:b/>
          <w:bCs/>
          <w:sz w:val="24"/>
          <w:szCs w:val="24"/>
        </w:rPr>
        <w:t>.</w:t>
      </w:r>
    </w:p>
    <w:p w14:paraId="3348C8FC" w14:textId="77777777" w:rsidR="00912CDB" w:rsidRPr="003B37B6" w:rsidRDefault="00912CDB">
      <w:pPr>
        <w:pStyle w:val="11"/>
        <w:numPr>
          <w:ilvl w:val="0"/>
          <w:numId w:val="23"/>
        </w:numPr>
        <w:tabs>
          <w:tab w:val="left" w:pos="1257"/>
        </w:tabs>
        <w:ind w:firstLine="580"/>
        <w:jc w:val="both"/>
        <w:rPr>
          <w:sz w:val="24"/>
          <w:szCs w:val="24"/>
        </w:rPr>
      </w:pPr>
      <w:r w:rsidRPr="003B37B6">
        <w:rPr>
          <w:rStyle w:val="ac"/>
          <w:rFonts w:eastAsiaTheme="majorEastAsia"/>
          <w:sz w:val="24"/>
          <w:szCs w:val="24"/>
        </w:rPr>
        <w:t>Назначение ПОАК рекомендовано пациентам с ФП, имеющим 1 балл по шкале</w:t>
      </w:r>
    </w:p>
    <w:p w14:paraId="0A533D13" w14:textId="77777777" w:rsidR="00912CDB" w:rsidRPr="003B37B6" w:rsidRDefault="00912CDB" w:rsidP="00912CDB">
      <w:pPr>
        <w:pStyle w:val="11"/>
        <w:ind w:firstLine="0"/>
        <w:jc w:val="both"/>
        <w:rPr>
          <w:sz w:val="24"/>
          <w:szCs w:val="24"/>
        </w:rPr>
      </w:pPr>
      <w:r w:rsidRPr="003B37B6">
        <w:rPr>
          <w:rStyle w:val="ac"/>
          <w:rFonts w:eastAsiaTheme="majorEastAsia"/>
          <w:sz w:val="24"/>
          <w:szCs w:val="24"/>
          <w:lang w:val="en-US"/>
        </w:rPr>
        <w:lastRenderedPageBreak/>
        <w:t>CHA</w:t>
      </w:r>
      <w:r w:rsidRPr="003B37B6">
        <w:rPr>
          <w:rStyle w:val="ac"/>
          <w:rFonts w:eastAsiaTheme="majorEastAsia"/>
          <w:sz w:val="24"/>
          <w:szCs w:val="24"/>
        </w:rPr>
        <w:t>2</w:t>
      </w:r>
      <w:r w:rsidRPr="003B37B6">
        <w:rPr>
          <w:rStyle w:val="ac"/>
          <w:rFonts w:eastAsiaTheme="majorEastAsia"/>
          <w:sz w:val="24"/>
          <w:szCs w:val="24"/>
          <w:lang w:val="en-US"/>
        </w:rPr>
        <w:t>DS</w:t>
      </w:r>
      <w:r w:rsidRPr="003B37B6">
        <w:rPr>
          <w:rStyle w:val="ac"/>
          <w:rFonts w:eastAsiaTheme="majorEastAsia"/>
          <w:sz w:val="24"/>
          <w:szCs w:val="24"/>
        </w:rPr>
        <w:t>2-</w:t>
      </w:r>
      <w:r w:rsidRPr="003B37B6">
        <w:rPr>
          <w:rStyle w:val="ac"/>
          <w:rFonts w:eastAsiaTheme="majorEastAsia"/>
          <w:sz w:val="24"/>
          <w:szCs w:val="24"/>
          <w:lang w:val="en-US"/>
        </w:rPr>
        <w:t>VASc</w:t>
      </w:r>
      <w:r w:rsidRPr="003B37B6">
        <w:rPr>
          <w:rStyle w:val="ac"/>
          <w:rFonts w:eastAsiaTheme="majorEastAsia"/>
          <w:sz w:val="24"/>
          <w:szCs w:val="24"/>
        </w:rPr>
        <w:t>, учитывая индивидуальные особенности и предпочтения пациента [296, 29].</w:t>
      </w:r>
    </w:p>
    <w:p w14:paraId="365AA6FE" w14:textId="6C3C6DF5" w:rsidR="00912CDB" w:rsidRPr="003B37B6" w:rsidRDefault="00912CDB" w:rsidP="00912CDB">
      <w:pPr>
        <w:pStyle w:val="11"/>
        <w:ind w:firstLine="580"/>
        <w:jc w:val="both"/>
        <w:rPr>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9E6BCB" w:rsidRPr="003B37B6">
        <w:rPr>
          <w:rStyle w:val="ac"/>
          <w:rFonts w:eastAsiaTheme="majorEastAsia"/>
          <w:b/>
          <w:bCs/>
          <w:sz w:val="24"/>
          <w:szCs w:val="24"/>
        </w:rPr>
        <w:t xml:space="preserve"> </w:t>
      </w:r>
      <w:r w:rsidRPr="003B37B6">
        <w:rPr>
          <w:rStyle w:val="ac"/>
          <w:rFonts w:eastAsiaTheme="majorEastAsia"/>
          <w:b/>
          <w:bCs/>
          <w:sz w:val="24"/>
          <w:szCs w:val="24"/>
          <w:lang w:val="en-US"/>
        </w:rPr>
        <w:t>C</w:t>
      </w: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5)</w:t>
      </w:r>
      <w:r w:rsidR="009E6BCB" w:rsidRPr="003B37B6">
        <w:rPr>
          <w:rStyle w:val="ac"/>
          <w:rFonts w:eastAsiaTheme="majorEastAsia"/>
          <w:b/>
          <w:bCs/>
          <w:sz w:val="24"/>
          <w:szCs w:val="24"/>
        </w:rPr>
        <w:t xml:space="preserve">; ЕОК/ЕОАГ </w:t>
      </w:r>
      <w:r w:rsidR="009E6BCB" w:rsidRPr="003B37B6">
        <w:rPr>
          <w:rStyle w:val="ac"/>
          <w:rFonts w:eastAsiaTheme="majorEastAsia"/>
          <w:b/>
          <w:bCs/>
          <w:sz w:val="24"/>
          <w:szCs w:val="24"/>
          <w:lang w:val="en-US"/>
        </w:rPr>
        <w:t>IIaB</w:t>
      </w:r>
      <w:r w:rsidR="00E52942" w:rsidRPr="003B37B6">
        <w:rPr>
          <w:rStyle w:val="ac"/>
          <w:rFonts w:eastAsiaTheme="majorEastAsia"/>
          <w:b/>
          <w:bCs/>
          <w:sz w:val="24"/>
          <w:szCs w:val="24"/>
        </w:rPr>
        <w:t>.</w:t>
      </w:r>
    </w:p>
    <w:p w14:paraId="4EC534BD" w14:textId="77777777" w:rsidR="00912CDB" w:rsidRPr="003B37B6" w:rsidRDefault="00912CDB" w:rsidP="00912CDB">
      <w:pPr>
        <w:pStyle w:val="11"/>
        <w:ind w:firstLine="580"/>
        <w:jc w:val="both"/>
        <w:rPr>
          <w:sz w:val="24"/>
          <w:szCs w:val="24"/>
        </w:rPr>
      </w:pPr>
      <w:r w:rsidRPr="003B37B6">
        <w:rPr>
          <w:rStyle w:val="ac"/>
          <w:rFonts w:eastAsiaTheme="majorEastAsia"/>
          <w:b/>
          <w:bCs/>
          <w:sz w:val="24"/>
          <w:szCs w:val="24"/>
        </w:rPr>
        <w:t xml:space="preserve">Комментарии. </w:t>
      </w:r>
      <w:r w:rsidRPr="003B37B6">
        <w:rPr>
          <w:rStyle w:val="ac"/>
          <w:rFonts w:eastAsiaTheme="majorEastAsia"/>
          <w:i/>
          <w:iCs/>
          <w:sz w:val="24"/>
          <w:szCs w:val="24"/>
        </w:rPr>
        <w:t>Развитие ФП у пациентов АГ ухудшает прогноз заболевания, значимо повышает риск развития инсульта (кардиоэмболического генеза) и сердечной недостаточности. АГ — самое распространенное сопутствующее заболевание у пациентов с ФП. В отсутствие противопоказаний пациенты ФП должны получать пероральные антикоагулянты (ПОАК) для профилактики инсульта и других эмболий. Адекватный контроль</w:t>
      </w:r>
      <w:r w:rsidRPr="003B37B6">
        <w:rPr>
          <w:sz w:val="24"/>
          <w:szCs w:val="24"/>
        </w:rPr>
        <w:t xml:space="preserve"> </w:t>
      </w:r>
      <w:r w:rsidRPr="003B37B6">
        <w:rPr>
          <w:rStyle w:val="ac"/>
          <w:rFonts w:eastAsiaTheme="majorEastAsia"/>
          <w:i/>
          <w:iCs/>
          <w:sz w:val="24"/>
          <w:szCs w:val="24"/>
        </w:rPr>
        <w:t>АГ у пациентов, получающих ПОАК, способствует снижению частоты кровотечений. ПОАК следует применять с осторожностью у пациентов со значительно повышенным АД (САД ≥180 мм рт. ст. и/или ДАД ≥100 мм рт. ст.), при этом необходимо применить срочные меры для достижения контроля АД; целью является снижение САД как минимум &lt;140 мм рт. ст., ДАД &lt;90 мм рт. ст. Целесообразно оценить возможность снижения САД до &lt;130 мм рт. ст.</w:t>
      </w:r>
      <w:r w:rsidRPr="003B37B6">
        <w:rPr>
          <w:rStyle w:val="ac"/>
          <w:rFonts w:eastAsiaTheme="majorEastAsia"/>
          <w:sz w:val="24"/>
          <w:szCs w:val="24"/>
        </w:rPr>
        <w:t xml:space="preserve"> [296, 298, 29].</w:t>
      </w:r>
    </w:p>
    <w:p w14:paraId="555D6790" w14:textId="77777777" w:rsidR="00396D6C" w:rsidRPr="003B37B6" w:rsidRDefault="00396D6C" w:rsidP="00912CDB">
      <w:pPr>
        <w:pStyle w:val="11"/>
        <w:tabs>
          <w:tab w:val="left" w:pos="1275"/>
        </w:tabs>
        <w:ind w:firstLine="0"/>
        <w:jc w:val="both"/>
      </w:pPr>
    </w:p>
    <w:p w14:paraId="7B5AE30A" w14:textId="77777777" w:rsidR="00396D6C" w:rsidRPr="003B37B6" w:rsidRDefault="00396D6C" w:rsidP="00061B72">
      <w:pPr>
        <w:pStyle w:val="11"/>
        <w:tabs>
          <w:tab w:val="left" w:pos="1268"/>
        </w:tabs>
        <w:ind w:firstLine="0"/>
        <w:jc w:val="center"/>
        <w:rPr>
          <w:sz w:val="24"/>
          <w:szCs w:val="24"/>
        </w:rPr>
      </w:pPr>
      <w:bookmarkStart w:id="41" w:name="bookmark32"/>
      <w:bookmarkStart w:id="42" w:name="_Hlk206159318"/>
      <w:r w:rsidRPr="003B37B6">
        <w:rPr>
          <w:rStyle w:val="ac"/>
          <w:rFonts w:eastAsiaTheme="majorEastAsia"/>
          <w:b/>
          <w:bCs/>
          <w:sz w:val="24"/>
          <w:szCs w:val="24"/>
        </w:rPr>
        <w:t>Артериальная гипертензия и цереброваскулярная болезнь</w:t>
      </w:r>
      <w:bookmarkEnd w:id="41"/>
    </w:p>
    <w:bookmarkEnd w:id="42"/>
    <w:p w14:paraId="68C4EDC4" w14:textId="77777777" w:rsidR="00396D6C" w:rsidRPr="003B37B6" w:rsidRDefault="00396D6C">
      <w:pPr>
        <w:pStyle w:val="11"/>
        <w:numPr>
          <w:ilvl w:val="0"/>
          <w:numId w:val="24"/>
        </w:numPr>
        <w:tabs>
          <w:tab w:val="left" w:pos="1272"/>
        </w:tabs>
        <w:ind w:firstLine="600"/>
        <w:jc w:val="both"/>
        <w:rPr>
          <w:sz w:val="24"/>
          <w:szCs w:val="24"/>
        </w:rPr>
      </w:pPr>
      <w:r w:rsidRPr="003B37B6">
        <w:rPr>
          <w:rStyle w:val="ac"/>
          <w:rFonts w:eastAsiaTheme="majorEastAsia"/>
          <w:sz w:val="24"/>
          <w:szCs w:val="24"/>
        </w:rPr>
        <w:t>Рекомендуется в острейшем периоде подтвержденного геморрагического инсульта (&lt;6 часов после начала симптомов) осторожное снижение цифр АД в условиях его непрерывного мониторирования. У пациентов с исходным уровнем САД 150-220 мм рт. ст. безопасной является коррекция цифр САД до уровня 140 мм рт. ст., при этом следует стремиться к минимальной вариабельности цифр АД в течение первых 24 часов после госпитализации, но не рекомендуется снижение цифр САД более, чем на 60 мм рт. ст. в течение первого часа [299, 300, 301, 302, 303, 304].</w:t>
      </w:r>
    </w:p>
    <w:p w14:paraId="1C96D68B" w14:textId="10352C34" w:rsidR="009E6BCB" w:rsidRPr="003B37B6" w:rsidRDefault="00396D6C" w:rsidP="009E6BCB">
      <w:pPr>
        <w:pStyle w:val="11"/>
        <w:ind w:firstLine="600"/>
        <w:jc w:val="both"/>
        <w:rPr>
          <w:rStyle w:val="ac"/>
          <w:rFonts w:eastAsiaTheme="majorEastAsia"/>
          <w:b/>
          <w:bCs/>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9E6BCB" w:rsidRPr="003B37B6">
        <w:rPr>
          <w:rStyle w:val="ac"/>
          <w:rFonts w:eastAsiaTheme="majorEastAsia"/>
          <w:b/>
          <w:bCs/>
          <w:sz w:val="24"/>
          <w:szCs w:val="24"/>
        </w:rPr>
        <w:t xml:space="preserve"> </w:t>
      </w:r>
      <w:r w:rsidRPr="003B37B6">
        <w:rPr>
          <w:rStyle w:val="ac"/>
          <w:rFonts w:eastAsiaTheme="majorEastAsia"/>
          <w:b/>
          <w:bCs/>
          <w:sz w:val="24"/>
          <w:szCs w:val="24"/>
          <w:lang w:val="en-US"/>
        </w:rPr>
        <w:t>B</w:t>
      </w:r>
      <w:r w:rsidRPr="003B37B6">
        <w:rPr>
          <w:rStyle w:val="ac"/>
          <w:rFonts w:eastAsiaTheme="majorEastAsia"/>
          <w:b/>
          <w:bCs/>
          <w:sz w:val="24"/>
          <w:szCs w:val="24"/>
        </w:rPr>
        <w:t xml:space="preserve">, </w:t>
      </w:r>
      <w:r w:rsidR="009E6BCB"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2</w:t>
      </w:r>
      <w:r w:rsidR="009E6BCB" w:rsidRPr="003B37B6">
        <w:rPr>
          <w:rStyle w:val="ac"/>
          <w:rFonts w:eastAsiaTheme="majorEastAsia"/>
          <w:b/>
          <w:bCs/>
          <w:sz w:val="24"/>
          <w:szCs w:val="24"/>
        </w:rPr>
        <w:t xml:space="preserve">); ЕОК/ЕОАГ </w:t>
      </w:r>
      <w:r w:rsidR="009E6BCB" w:rsidRPr="003B37B6">
        <w:rPr>
          <w:rStyle w:val="ac"/>
          <w:rFonts w:eastAsiaTheme="majorEastAsia"/>
          <w:b/>
          <w:bCs/>
          <w:sz w:val="24"/>
          <w:szCs w:val="24"/>
          <w:lang w:val="en-US"/>
        </w:rPr>
        <w:t>IIB</w:t>
      </w:r>
      <w:r w:rsidR="00E9538D" w:rsidRPr="003B37B6">
        <w:rPr>
          <w:rStyle w:val="ac"/>
          <w:rFonts w:eastAsiaTheme="majorEastAsia"/>
          <w:b/>
          <w:bCs/>
          <w:sz w:val="24"/>
          <w:szCs w:val="24"/>
        </w:rPr>
        <w:t>.</w:t>
      </w:r>
    </w:p>
    <w:p w14:paraId="25F9BC9F" w14:textId="77777777" w:rsidR="009E6BCB" w:rsidRDefault="009E6BCB" w:rsidP="009E6BCB">
      <w:pPr>
        <w:pStyle w:val="11"/>
        <w:ind w:firstLine="600"/>
        <w:jc w:val="both"/>
        <w:rPr>
          <w:i/>
          <w:iCs/>
          <w:kern w:val="0"/>
          <w:sz w:val="24"/>
          <w:szCs w:val="24"/>
          <w:lang w:eastAsia="ru-RU"/>
        </w:rPr>
      </w:pPr>
      <w:r w:rsidRPr="003B37B6">
        <w:rPr>
          <w:b/>
          <w:bCs/>
          <w:kern w:val="0"/>
          <w:sz w:val="24"/>
          <w:szCs w:val="24"/>
          <w:lang w:eastAsia="ru-RU"/>
        </w:rPr>
        <w:t xml:space="preserve">Комментарии: </w:t>
      </w:r>
      <w:r w:rsidRPr="003B37B6">
        <w:rPr>
          <w:i/>
          <w:iCs/>
          <w:kern w:val="0"/>
          <w:sz w:val="24"/>
          <w:szCs w:val="24"/>
          <w:lang w:eastAsia="ru-RU"/>
        </w:rPr>
        <w:t>В острейшем периоде геморрагического инсульта (&lt;6 часов с момента начала симптомов) осторожное снижение артериального давления (АД) является важной мерой для предотвращения дальнейшего повреждения мозга и улучшения прогноза. Рекомендуется снижать систолическое артериальное давление (САД) до уровня около 140 мм рт. ст. у пациентов с исходным САД в диапазоне 150–220 мм рт. ст., при условии непрерывного мониторинга АД. Стремление к минимальной вариабельности показателей АД в первые 24 часа снижает риск осложнений</w:t>
      </w:r>
      <w:r w:rsidRPr="009E6BCB">
        <w:rPr>
          <w:i/>
          <w:iCs/>
          <w:kern w:val="0"/>
          <w:sz w:val="24"/>
          <w:szCs w:val="24"/>
          <w:lang w:eastAsia="ru-RU"/>
        </w:rPr>
        <w:t xml:space="preserve">, связанных с гипо- или гиперперфузией мозга. При этом резкое снижение САД более чем на 60 мм рт. ст. в </w:t>
      </w:r>
      <w:r w:rsidRPr="009E6BCB">
        <w:rPr>
          <w:i/>
          <w:iCs/>
          <w:kern w:val="0"/>
          <w:sz w:val="24"/>
          <w:szCs w:val="24"/>
          <w:lang w:eastAsia="ru-RU"/>
        </w:rPr>
        <w:lastRenderedPageBreak/>
        <w:t>течение первого часа не рекомендуется, чтобы избежать ишемических осложнений.</w:t>
      </w:r>
    </w:p>
    <w:p w14:paraId="3B1E0BDE" w14:textId="3B80232D" w:rsidR="00396D6C" w:rsidRPr="00061B72" w:rsidRDefault="00396D6C" w:rsidP="009E6BCB">
      <w:pPr>
        <w:pStyle w:val="11"/>
        <w:ind w:firstLine="600"/>
        <w:jc w:val="both"/>
        <w:rPr>
          <w:sz w:val="24"/>
          <w:szCs w:val="24"/>
        </w:rPr>
      </w:pPr>
      <w:r w:rsidRPr="00061B72">
        <w:rPr>
          <w:rStyle w:val="ac"/>
          <w:rFonts w:eastAsiaTheme="majorEastAsia"/>
          <w:sz w:val="24"/>
          <w:szCs w:val="24"/>
        </w:rPr>
        <w:t>Пациентам с внутримозговой гематомой ≥6 ч от начала симптомов при САД ≥220 мм рт. ст. рекомендовано осторожное снижение АД до уровня &lt;180 мм рт. ст. с помощью в/в терапии для профилактики осложнений (в том числе гипоперфузии головного мозга или увеличения размеров очага поражения) для улучшения функционального восстановления, а при САД &lt;220 мм рт.ст. медленное, умеренное снижение АД на в/в терапии в течение нескольких часов более предпочтительно, чем быстрое снижение &lt;140/90 мм рт.</w:t>
      </w:r>
      <w:r w:rsidR="009E6BCB">
        <w:rPr>
          <w:rStyle w:val="ac"/>
          <w:rFonts w:eastAsiaTheme="majorEastAsia"/>
          <w:sz w:val="24"/>
          <w:szCs w:val="24"/>
        </w:rPr>
        <w:t xml:space="preserve"> </w:t>
      </w:r>
      <w:r w:rsidRPr="00061B72">
        <w:rPr>
          <w:rStyle w:val="ac"/>
          <w:rFonts w:eastAsiaTheme="majorEastAsia"/>
          <w:sz w:val="24"/>
          <w:szCs w:val="24"/>
        </w:rPr>
        <w:t>ст. для уменьшения распространения гематомы [305, 306].</w:t>
      </w:r>
    </w:p>
    <w:p w14:paraId="0ABA2908" w14:textId="62ED90D8" w:rsidR="00396D6C" w:rsidRPr="00E9538D" w:rsidRDefault="00396D6C" w:rsidP="00396D6C">
      <w:pPr>
        <w:pStyle w:val="11"/>
        <w:ind w:firstLine="600"/>
        <w:jc w:val="both"/>
        <w:rPr>
          <w:rStyle w:val="ac"/>
          <w:rFonts w:eastAsiaTheme="majorEastAsia"/>
          <w:b/>
          <w:bCs/>
          <w:sz w:val="24"/>
          <w:szCs w:val="24"/>
        </w:rPr>
      </w:pPr>
      <w:r w:rsidRPr="00061B72">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9E6BCB">
        <w:rPr>
          <w:rStyle w:val="ac"/>
          <w:rFonts w:eastAsiaTheme="majorEastAsia"/>
          <w:b/>
          <w:bCs/>
          <w:sz w:val="24"/>
          <w:szCs w:val="24"/>
        </w:rPr>
        <w:t xml:space="preserve"> </w:t>
      </w:r>
      <w:r w:rsidRPr="00061B72">
        <w:rPr>
          <w:rStyle w:val="ac"/>
          <w:rFonts w:eastAsiaTheme="majorEastAsia"/>
          <w:b/>
          <w:bCs/>
          <w:sz w:val="24"/>
          <w:szCs w:val="24"/>
        </w:rPr>
        <w:t xml:space="preserve">С, </w:t>
      </w:r>
      <w:r w:rsidR="009E6BCB" w:rsidRPr="00061B72">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061B72">
        <w:rPr>
          <w:rStyle w:val="ac"/>
          <w:rFonts w:eastAsiaTheme="majorEastAsia"/>
          <w:b/>
          <w:bCs/>
          <w:sz w:val="24"/>
          <w:szCs w:val="24"/>
        </w:rPr>
        <w:t xml:space="preserve"> 5)</w:t>
      </w:r>
      <w:r w:rsidR="009E6BCB">
        <w:rPr>
          <w:rStyle w:val="ac"/>
          <w:rFonts w:eastAsiaTheme="majorEastAsia"/>
          <w:b/>
          <w:bCs/>
          <w:sz w:val="24"/>
          <w:szCs w:val="24"/>
        </w:rPr>
        <w:t>;</w:t>
      </w:r>
      <w:r w:rsidR="009E6BCB" w:rsidRPr="009E6BCB">
        <w:rPr>
          <w:rStyle w:val="ac"/>
          <w:rFonts w:eastAsiaTheme="majorEastAsia"/>
          <w:b/>
          <w:bCs/>
          <w:sz w:val="24"/>
          <w:szCs w:val="24"/>
        </w:rPr>
        <w:t xml:space="preserve"> </w:t>
      </w:r>
      <w:r w:rsidR="009E6BCB" w:rsidRPr="00061B72">
        <w:rPr>
          <w:rStyle w:val="ac"/>
          <w:rFonts w:eastAsiaTheme="majorEastAsia"/>
          <w:b/>
          <w:bCs/>
          <w:sz w:val="24"/>
          <w:szCs w:val="24"/>
        </w:rPr>
        <w:t xml:space="preserve">ЕОК/ЕОАГ </w:t>
      </w:r>
      <w:r w:rsidR="009E6BCB" w:rsidRPr="00061B72">
        <w:rPr>
          <w:rStyle w:val="ac"/>
          <w:rFonts w:eastAsiaTheme="majorEastAsia"/>
          <w:b/>
          <w:bCs/>
          <w:sz w:val="24"/>
          <w:szCs w:val="24"/>
          <w:lang w:val="en-US"/>
        </w:rPr>
        <w:t>IIB</w:t>
      </w:r>
      <w:r w:rsidR="00E9538D">
        <w:rPr>
          <w:rStyle w:val="ac"/>
          <w:rFonts w:eastAsiaTheme="majorEastAsia"/>
          <w:b/>
          <w:bCs/>
          <w:sz w:val="24"/>
          <w:szCs w:val="24"/>
        </w:rPr>
        <w:t>.</w:t>
      </w:r>
    </w:p>
    <w:p w14:paraId="465FAAEE" w14:textId="4A9B6EC4" w:rsidR="009E6BCB" w:rsidRPr="009E6BCB" w:rsidRDefault="009E6BCB" w:rsidP="00396D6C">
      <w:pPr>
        <w:pStyle w:val="11"/>
        <w:ind w:firstLine="600"/>
        <w:jc w:val="both"/>
        <w:rPr>
          <w:i/>
          <w:iCs/>
          <w:sz w:val="24"/>
          <w:szCs w:val="24"/>
        </w:rPr>
      </w:pPr>
      <w:r w:rsidRPr="009E6BCB">
        <w:rPr>
          <w:rStyle w:val="aff9"/>
          <w:rFonts w:eastAsiaTheme="majorEastAsia"/>
          <w:sz w:val="24"/>
          <w:szCs w:val="24"/>
        </w:rPr>
        <w:t>Комментарии:</w:t>
      </w:r>
      <w:r w:rsidRPr="009E6BCB">
        <w:rPr>
          <w:rStyle w:val="aff9"/>
          <w:rFonts w:eastAsiaTheme="majorEastAsia"/>
          <w:i/>
          <w:iCs/>
          <w:sz w:val="24"/>
          <w:szCs w:val="24"/>
        </w:rPr>
        <w:t xml:space="preserve"> </w:t>
      </w:r>
      <w:r w:rsidRPr="009E6BCB">
        <w:rPr>
          <w:i/>
          <w:iCs/>
          <w:sz w:val="24"/>
          <w:szCs w:val="24"/>
        </w:rPr>
        <w:t>У пациентов с внутримозговой гематомой через 6 и более часов от начала симптомов при уровне систолического артериального давления (САД) ≥220 мм рт. ст. рекомендуется осторожное снижение АД до показателей ниже 180 мм рт. ст. с использованием внутривенной терапии. Такой подход направлен на профилактику осложнений, включая гипоперфузию головного мозга и увеличение объёма гематомы, что способствует улучшению функционального восстановления пациента. При исходном САД ниже 220 мм рт. ст. предпочтительно медленное и умеренное снижение давления в течение нескольких часов, поскольку резкое снижение до уровня &lt;140/90 мм рт. ст. может способствовать распространению гематомы и ухудшению исхода. Эти рекомендации основаны на данных клинических исследований, подчеркивающих важность сбалансированного подхода к контролю АД в остром периоде внутримозгового кровоизлияния.</w:t>
      </w:r>
    </w:p>
    <w:p w14:paraId="22C4C22B" w14:textId="2BD01CED" w:rsidR="00396D6C" w:rsidRPr="00061B72" w:rsidRDefault="00396D6C">
      <w:pPr>
        <w:pStyle w:val="11"/>
        <w:numPr>
          <w:ilvl w:val="0"/>
          <w:numId w:val="24"/>
        </w:numPr>
        <w:tabs>
          <w:tab w:val="left" w:pos="1272"/>
        </w:tabs>
        <w:ind w:firstLine="600"/>
        <w:jc w:val="both"/>
        <w:rPr>
          <w:sz w:val="24"/>
          <w:szCs w:val="24"/>
        </w:rPr>
      </w:pPr>
      <w:r w:rsidRPr="00061B72">
        <w:rPr>
          <w:rStyle w:val="ac"/>
          <w:rFonts w:eastAsiaTheme="majorEastAsia"/>
          <w:sz w:val="24"/>
          <w:szCs w:val="24"/>
        </w:rPr>
        <w:t xml:space="preserve">Пациентам </w:t>
      </w:r>
      <w:r w:rsidRPr="00061B72">
        <w:rPr>
          <w:rStyle w:val="ac"/>
          <w:rFonts w:eastAsiaTheme="majorEastAsia"/>
          <w:sz w:val="24"/>
          <w:szCs w:val="24"/>
          <w:lang w:val="en-US"/>
        </w:rPr>
        <w:t>c</w:t>
      </w:r>
      <w:r w:rsidRPr="00061B72">
        <w:rPr>
          <w:rStyle w:val="ac"/>
          <w:rFonts w:eastAsiaTheme="majorEastAsia"/>
          <w:sz w:val="24"/>
          <w:szCs w:val="24"/>
        </w:rPr>
        <w:t xml:space="preserve"> острым ишемическим инсультом и АД </w:t>
      </w:r>
      <w:r w:rsidR="00E11549" w:rsidRPr="00061B72">
        <w:rPr>
          <w:rStyle w:val="ac"/>
          <w:rFonts w:eastAsiaTheme="majorEastAsia"/>
          <w:sz w:val="24"/>
          <w:szCs w:val="24"/>
        </w:rPr>
        <w:t>&lt;220</w:t>
      </w:r>
      <w:r w:rsidRPr="00061B72">
        <w:rPr>
          <w:rStyle w:val="ac"/>
          <w:rFonts w:eastAsiaTheme="majorEastAsia"/>
          <w:sz w:val="24"/>
          <w:szCs w:val="24"/>
        </w:rPr>
        <w:t>/110 мм рт. ст. рутинное снижение АД не рекомендуется для профилактики осложнений (в том числе гипоперфузии головного мозга) [303, 306, 305, 307, 308, 309].</w:t>
      </w:r>
    </w:p>
    <w:p w14:paraId="7159B02E" w14:textId="4EDA9306" w:rsidR="00396D6C" w:rsidRPr="00E9538D" w:rsidRDefault="00396D6C" w:rsidP="00396D6C">
      <w:pPr>
        <w:pStyle w:val="11"/>
        <w:ind w:firstLine="600"/>
        <w:jc w:val="both"/>
        <w:rPr>
          <w:rStyle w:val="ac"/>
          <w:rFonts w:eastAsiaTheme="majorEastAsia"/>
          <w:b/>
          <w:bCs/>
          <w:sz w:val="24"/>
          <w:szCs w:val="24"/>
        </w:rPr>
      </w:pPr>
      <w:r w:rsidRPr="00061B72">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E11549">
        <w:rPr>
          <w:rStyle w:val="ac"/>
          <w:rFonts w:eastAsiaTheme="majorEastAsia"/>
          <w:b/>
          <w:bCs/>
          <w:sz w:val="24"/>
          <w:szCs w:val="24"/>
        </w:rPr>
        <w:t xml:space="preserve"> </w:t>
      </w:r>
      <w:r w:rsidRPr="00061B72">
        <w:rPr>
          <w:rStyle w:val="ac"/>
          <w:rFonts w:eastAsiaTheme="majorEastAsia"/>
          <w:b/>
          <w:bCs/>
          <w:sz w:val="24"/>
          <w:szCs w:val="24"/>
          <w:lang w:val="en-US"/>
        </w:rPr>
        <w:t>A</w:t>
      </w:r>
      <w:r w:rsidRPr="00061B72">
        <w:rPr>
          <w:rStyle w:val="ac"/>
          <w:rFonts w:eastAsiaTheme="majorEastAsia"/>
          <w:b/>
          <w:bCs/>
          <w:sz w:val="24"/>
          <w:szCs w:val="24"/>
        </w:rPr>
        <w:t xml:space="preserve">, </w:t>
      </w:r>
      <w:r w:rsidR="00E11549" w:rsidRPr="00061B72">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061B72">
        <w:rPr>
          <w:rStyle w:val="ac"/>
          <w:rFonts w:eastAsiaTheme="majorEastAsia"/>
          <w:b/>
          <w:bCs/>
          <w:sz w:val="24"/>
          <w:szCs w:val="24"/>
        </w:rPr>
        <w:t xml:space="preserve"> 1</w:t>
      </w:r>
      <w:r w:rsidR="002B357C" w:rsidRPr="00061B72">
        <w:rPr>
          <w:rStyle w:val="ac"/>
          <w:rFonts w:eastAsiaTheme="majorEastAsia"/>
          <w:b/>
          <w:bCs/>
          <w:sz w:val="24"/>
          <w:szCs w:val="24"/>
        </w:rPr>
        <w:t>)</w:t>
      </w:r>
      <w:r w:rsidR="002B357C" w:rsidRPr="00E11549">
        <w:rPr>
          <w:rStyle w:val="ac"/>
          <w:rFonts w:eastAsiaTheme="majorEastAsia"/>
          <w:b/>
          <w:bCs/>
          <w:sz w:val="24"/>
          <w:szCs w:val="24"/>
        </w:rPr>
        <w:t>;</w:t>
      </w:r>
      <w:r w:rsidR="00E11549">
        <w:rPr>
          <w:rStyle w:val="ac"/>
          <w:rFonts w:eastAsiaTheme="majorEastAsia"/>
          <w:b/>
          <w:bCs/>
          <w:sz w:val="24"/>
          <w:szCs w:val="24"/>
        </w:rPr>
        <w:t xml:space="preserve"> </w:t>
      </w:r>
      <w:r w:rsidR="00E11549" w:rsidRPr="00061B72">
        <w:rPr>
          <w:rStyle w:val="ac"/>
          <w:rFonts w:eastAsiaTheme="majorEastAsia"/>
          <w:b/>
          <w:bCs/>
          <w:sz w:val="24"/>
          <w:szCs w:val="24"/>
        </w:rPr>
        <w:t xml:space="preserve">ЕОК/ЕОАГ </w:t>
      </w:r>
      <w:r w:rsidR="00E11549" w:rsidRPr="00061B72">
        <w:rPr>
          <w:rStyle w:val="ac"/>
          <w:rFonts w:eastAsiaTheme="majorEastAsia"/>
          <w:b/>
          <w:bCs/>
          <w:sz w:val="24"/>
          <w:szCs w:val="24"/>
          <w:lang w:val="en-US"/>
        </w:rPr>
        <w:t>IIIA</w:t>
      </w:r>
      <w:r w:rsidR="00E9538D">
        <w:rPr>
          <w:rStyle w:val="ac"/>
          <w:rFonts w:eastAsiaTheme="majorEastAsia"/>
          <w:b/>
          <w:bCs/>
          <w:sz w:val="24"/>
          <w:szCs w:val="24"/>
        </w:rPr>
        <w:t>.</w:t>
      </w:r>
    </w:p>
    <w:p w14:paraId="319D9815" w14:textId="613E04E8" w:rsidR="00E11549" w:rsidRPr="00E11549" w:rsidRDefault="00E11549" w:rsidP="00396D6C">
      <w:pPr>
        <w:pStyle w:val="11"/>
        <w:ind w:firstLine="600"/>
        <w:jc w:val="both"/>
        <w:rPr>
          <w:i/>
          <w:iCs/>
          <w:sz w:val="24"/>
          <w:szCs w:val="24"/>
        </w:rPr>
      </w:pPr>
      <w:r w:rsidRPr="00E11549">
        <w:rPr>
          <w:rStyle w:val="aff9"/>
          <w:rFonts w:eastAsiaTheme="majorEastAsia"/>
          <w:sz w:val="24"/>
          <w:szCs w:val="24"/>
        </w:rPr>
        <w:t>Комментари</w:t>
      </w:r>
      <w:r>
        <w:rPr>
          <w:rStyle w:val="aff9"/>
          <w:rFonts w:eastAsiaTheme="majorEastAsia"/>
          <w:sz w:val="24"/>
          <w:szCs w:val="24"/>
        </w:rPr>
        <w:t>и</w:t>
      </w:r>
      <w:r w:rsidRPr="00E11549">
        <w:rPr>
          <w:rStyle w:val="aff9"/>
          <w:rFonts w:eastAsiaTheme="majorEastAsia"/>
          <w:sz w:val="24"/>
          <w:szCs w:val="24"/>
        </w:rPr>
        <w:t>:</w:t>
      </w:r>
      <w:r>
        <w:rPr>
          <w:rStyle w:val="aff9"/>
          <w:rFonts w:eastAsiaTheme="majorEastAsia"/>
          <w:sz w:val="24"/>
          <w:szCs w:val="24"/>
        </w:rPr>
        <w:t xml:space="preserve"> </w:t>
      </w:r>
      <w:r w:rsidRPr="00E11549">
        <w:rPr>
          <w:i/>
          <w:iCs/>
          <w:sz w:val="24"/>
          <w:szCs w:val="24"/>
        </w:rPr>
        <w:t xml:space="preserve">У пациентов с острым ишемическим инсультом и артериальным давлением ниже 220/110 мм рт. ст. рутинное снижение АД не рекомендуется. Это связано с риском гипоперфузии головного мозга, что может усугубить ишемическое повреждение и ухудшить неврологический исход. Поддержание адекватного перфузионного давления особенно важно в первые часы после инсульта, поэтому любое снижение давления должно проводиться с осторожностью и только при наличии строгих показаний. Такие рекомендации основаны на результатах крупных клинических исследований и современных </w:t>
      </w:r>
      <w:r w:rsidRPr="00E11549">
        <w:rPr>
          <w:i/>
          <w:iCs/>
          <w:sz w:val="24"/>
          <w:szCs w:val="24"/>
        </w:rPr>
        <w:lastRenderedPageBreak/>
        <w:t>руководствах по ведению пациентов с инсультом.</w:t>
      </w:r>
    </w:p>
    <w:p w14:paraId="18C8B645" w14:textId="77777777" w:rsidR="00396D6C" w:rsidRPr="00061B72" w:rsidRDefault="00396D6C">
      <w:pPr>
        <w:pStyle w:val="11"/>
        <w:numPr>
          <w:ilvl w:val="0"/>
          <w:numId w:val="24"/>
        </w:numPr>
        <w:tabs>
          <w:tab w:val="left" w:pos="1272"/>
        </w:tabs>
        <w:ind w:firstLine="600"/>
        <w:jc w:val="both"/>
        <w:rPr>
          <w:sz w:val="24"/>
          <w:szCs w:val="24"/>
        </w:rPr>
      </w:pPr>
      <w:r w:rsidRPr="00061B72">
        <w:rPr>
          <w:rStyle w:val="ac"/>
          <w:rFonts w:eastAsiaTheme="majorEastAsia"/>
          <w:sz w:val="24"/>
          <w:szCs w:val="24"/>
        </w:rPr>
        <w:t>Пациентам с острым ишемическим инсультом, которым планируется проведение внутривенной тромболитической терапии, АД рекомендуется осторожно снизить и поддерживать на уровне &lt;185/110 мм рт. ст. в течение как минимум 24 часов после тромболизиса в связи с доказанными преимуществами в отношении прогноза неврологического восстановления [307, 310, 311].</w:t>
      </w:r>
    </w:p>
    <w:p w14:paraId="67053BB9" w14:textId="6D520C43" w:rsidR="00396D6C" w:rsidRPr="00E9538D" w:rsidRDefault="003D51B3" w:rsidP="00396D6C">
      <w:pPr>
        <w:pStyle w:val="11"/>
        <w:ind w:firstLine="600"/>
        <w:jc w:val="both"/>
        <w:rPr>
          <w:rStyle w:val="ac"/>
          <w:rFonts w:eastAsiaTheme="majorEastAsia"/>
          <w:b/>
          <w:bCs/>
          <w:sz w:val="24"/>
          <w:szCs w:val="24"/>
        </w:rPr>
      </w:pPr>
      <w:r>
        <w:rPr>
          <w:rStyle w:val="ac"/>
          <w:rFonts w:eastAsiaTheme="majorEastAsia"/>
          <w:b/>
          <w:bCs/>
          <w:sz w:val="24"/>
          <w:szCs w:val="24"/>
        </w:rPr>
        <w:t>Уровень убедительности рекомендаций</w:t>
      </w:r>
      <w:r w:rsidR="002B357C">
        <w:rPr>
          <w:rStyle w:val="ac"/>
          <w:rFonts w:eastAsiaTheme="majorEastAsia"/>
          <w:b/>
          <w:bCs/>
          <w:sz w:val="24"/>
          <w:szCs w:val="24"/>
        </w:rPr>
        <w:t xml:space="preserve"> </w:t>
      </w:r>
      <w:r w:rsidR="00396D6C" w:rsidRPr="00061B72">
        <w:rPr>
          <w:rStyle w:val="ac"/>
          <w:rFonts w:eastAsiaTheme="majorEastAsia"/>
          <w:b/>
          <w:bCs/>
          <w:sz w:val="24"/>
          <w:szCs w:val="24"/>
          <w:lang w:val="en-US"/>
        </w:rPr>
        <w:t>B</w:t>
      </w:r>
      <w:r w:rsidR="00396D6C" w:rsidRPr="00061B72">
        <w:rPr>
          <w:rStyle w:val="ac"/>
          <w:rFonts w:eastAsiaTheme="majorEastAsia"/>
          <w:b/>
          <w:bCs/>
          <w:sz w:val="24"/>
          <w:szCs w:val="24"/>
        </w:rPr>
        <w:t xml:space="preserve">, </w:t>
      </w:r>
      <w:r w:rsidR="002B357C" w:rsidRPr="00061B72">
        <w:rPr>
          <w:rStyle w:val="ac"/>
          <w:rFonts w:eastAsiaTheme="majorEastAsia"/>
          <w:b/>
          <w:bCs/>
          <w:sz w:val="24"/>
          <w:szCs w:val="24"/>
        </w:rPr>
        <w:t>(</w:t>
      </w:r>
      <w:r>
        <w:rPr>
          <w:rStyle w:val="ac"/>
          <w:rFonts w:eastAsiaTheme="majorEastAsia"/>
          <w:b/>
          <w:bCs/>
          <w:sz w:val="24"/>
          <w:szCs w:val="24"/>
        </w:rPr>
        <w:t>Уровень достоверности доказательств</w:t>
      </w:r>
      <w:r w:rsidR="00396D6C" w:rsidRPr="00061B72">
        <w:rPr>
          <w:rStyle w:val="ac"/>
          <w:rFonts w:eastAsiaTheme="majorEastAsia"/>
          <w:b/>
          <w:bCs/>
          <w:sz w:val="24"/>
          <w:szCs w:val="24"/>
        </w:rPr>
        <w:t xml:space="preserve"> 3)</w:t>
      </w:r>
      <w:r w:rsidR="002B357C">
        <w:rPr>
          <w:rStyle w:val="ac"/>
          <w:rFonts w:eastAsiaTheme="majorEastAsia"/>
          <w:b/>
          <w:bCs/>
          <w:sz w:val="24"/>
          <w:szCs w:val="24"/>
        </w:rPr>
        <w:t xml:space="preserve">; </w:t>
      </w:r>
      <w:r w:rsidR="002B357C" w:rsidRPr="00061B72">
        <w:rPr>
          <w:rStyle w:val="ac"/>
          <w:rFonts w:eastAsiaTheme="majorEastAsia"/>
          <w:b/>
          <w:bCs/>
          <w:sz w:val="24"/>
          <w:szCs w:val="24"/>
        </w:rPr>
        <w:t xml:space="preserve">ЕОК/ЕОАГ </w:t>
      </w:r>
      <w:r w:rsidR="002B357C" w:rsidRPr="00061B72">
        <w:rPr>
          <w:rStyle w:val="ac"/>
          <w:rFonts w:eastAsiaTheme="majorEastAsia"/>
          <w:b/>
          <w:bCs/>
          <w:sz w:val="24"/>
          <w:szCs w:val="24"/>
          <w:lang w:val="en-US"/>
        </w:rPr>
        <w:t>IIaB</w:t>
      </w:r>
      <w:r w:rsidR="00E9538D">
        <w:rPr>
          <w:rStyle w:val="ac"/>
          <w:rFonts w:eastAsiaTheme="majorEastAsia"/>
          <w:b/>
          <w:bCs/>
          <w:sz w:val="24"/>
          <w:szCs w:val="24"/>
        </w:rPr>
        <w:t>.</w:t>
      </w:r>
    </w:p>
    <w:p w14:paraId="2A2174C8" w14:textId="27FE9518" w:rsidR="00CD126F" w:rsidRDefault="002B357C" w:rsidP="00CD126F">
      <w:pPr>
        <w:pStyle w:val="11"/>
        <w:ind w:firstLine="600"/>
        <w:jc w:val="both"/>
        <w:rPr>
          <w:i/>
          <w:iCs/>
          <w:sz w:val="24"/>
          <w:szCs w:val="24"/>
        </w:rPr>
      </w:pPr>
      <w:r w:rsidRPr="002B357C">
        <w:rPr>
          <w:rStyle w:val="aff9"/>
          <w:rFonts w:eastAsiaTheme="majorEastAsia"/>
          <w:sz w:val="24"/>
          <w:szCs w:val="24"/>
        </w:rPr>
        <w:t>Комментарий:</w:t>
      </w:r>
      <w:r w:rsidRPr="002B357C">
        <w:rPr>
          <w:sz w:val="24"/>
          <w:szCs w:val="24"/>
        </w:rPr>
        <w:t xml:space="preserve"> </w:t>
      </w:r>
      <w:r w:rsidRPr="002B357C">
        <w:rPr>
          <w:i/>
          <w:iCs/>
          <w:sz w:val="24"/>
          <w:szCs w:val="24"/>
        </w:rPr>
        <w:t xml:space="preserve">У пациентов с острым ишемическим инсультом, которым планируется проведение внутривенной тромболитической терапии, важно осторожно снизить артериальное давление до уровня ниже 185/110 мм рт. ст. и поддерживать его в этом диапазоне как минимум в течение 24 часов после тромболизиса. </w:t>
      </w:r>
    </w:p>
    <w:p w14:paraId="4ED10D0F" w14:textId="6497AF00" w:rsidR="00396D6C" w:rsidRPr="00061B72" w:rsidRDefault="00396D6C" w:rsidP="00CD126F">
      <w:pPr>
        <w:pStyle w:val="11"/>
        <w:ind w:firstLine="600"/>
        <w:jc w:val="both"/>
        <w:rPr>
          <w:sz w:val="24"/>
          <w:szCs w:val="24"/>
        </w:rPr>
      </w:pPr>
      <w:r w:rsidRPr="00061B72">
        <w:rPr>
          <w:rStyle w:val="ac"/>
          <w:rFonts w:eastAsiaTheme="majorEastAsia"/>
          <w:sz w:val="24"/>
          <w:szCs w:val="24"/>
        </w:rPr>
        <w:t>Пациентам с САД ≥ 220 и/или ДАД ≥120 мм рт. ст., которым не проводился тромболизис, рекомендуется рассмотреть возможность лекарственной терапии с целью снижения АД на 15% в течение первых суток после инсульта на основании оценки клинической ситуации [27, 307].</w:t>
      </w:r>
    </w:p>
    <w:p w14:paraId="44EEE505" w14:textId="7FAD6A23" w:rsidR="00396D6C" w:rsidRPr="00E9538D" w:rsidRDefault="00396D6C" w:rsidP="00396D6C">
      <w:pPr>
        <w:pStyle w:val="11"/>
        <w:ind w:firstLine="600"/>
        <w:jc w:val="both"/>
        <w:rPr>
          <w:rStyle w:val="ac"/>
          <w:rFonts w:eastAsiaTheme="majorEastAsia"/>
          <w:b/>
          <w:bCs/>
          <w:sz w:val="24"/>
          <w:szCs w:val="24"/>
        </w:rPr>
      </w:pPr>
      <w:r w:rsidRPr="00061B72">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D749BE">
        <w:rPr>
          <w:rStyle w:val="ac"/>
          <w:rFonts w:eastAsiaTheme="majorEastAsia"/>
          <w:b/>
          <w:bCs/>
          <w:sz w:val="24"/>
          <w:szCs w:val="24"/>
        </w:rPr>
        <w:t xml:space="preserve"> </w:t>
      </w:r>
      <w:r w:rsidRPr="00061B72">
        <w:rPr>
          <w:rStyle w:val="ac"/>
          <w:rFonts w:eastAsiaTheme="majorEastAsia"/>
          <w:b/>
          <w:bCs/>
          <w:sz w:val="24"/>
          <w:szCs w:val="24"/>
          <w:lang w:val="en-US"/>
        </w:rPr>
        <w:t>C</w:t>
      </w:r>
      <w:r w:rsidRPr="00061B72">
        <w:rPr>
          <w:rStyle w:val="ac"/>
          <w:rFonts w:eastAsiaTheme="majorEastAsia"/>
          <w:b/>
          <w:bCs/>
          <w:sz w:val="24"/>
          <w:szCs w:val="24"/>
        </w:rPr>
        <w:t xml:space="preserve">, </w:t>
      </w:r>
      <w:r w:rsidR="00D749BE" w:rsidRPr="00061B72">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061B72">
        <w:rPr>
          <w:rStyle w:val="ac"/>
          <w:rFonts w:eastAsiaTheme="majorEastAsia"/>
          <w:b/>
          <w:bCs/>
          <w:sz w:val="24"/>
          <w:szCs w:val="24"/>
        </w:rPr>
        <w:t xml:space="preserve"> 5)</w:t>
      </w:r>
      <w:r w:rsidR="00D749BE">
        <w:rPr>
          <w:rStyle w:val="ac"/>
          <w:rFonts w:eastAsiaTheme="majorEastAsia"/>
          <w:b/>
          <w:bCs/>
          <w:sz w:val="24"/>
          <w:szCs w:val="24"/>
        </w:rPr>
        <w:t>;</w:t>
      </w:r>
      <w:r w:rsidR="00D749BE" w:rsidRPr="00D749BE">
        <w:rPr>
          <w:rStyle w:val="ac"/>
          <w:rFonts w:eastAsiaTheme="majorEastAsia"/>
          <w:b/>
          <w:bCs/>
          <w:sz w:val="24"/>
          <w:szCs w:val="24"/>
        </w:rPr>
        <w:t xml:space="preserve"> </w:t>
      </w:r>
      <w:r w:rsidR="00D749BE" w:rsidRPr="00061B72">
        <w:rPr>
          <w:rStyle w:val="ac"/>
          <w:rFonts w:eastAsiaTheme="majorEastAsia"/>
          <w:b/>
          <w:bCs/>
          <w:sz w:val="24"/>
          <w:szCs w:val="24"/>
        </w:rPr>
        <w:t xml:space="preserve">ЕОК/ЕОАГ </w:t>
      </w:r>
      <w:r w:rsidR="00D749BE" w:rsidRPr="00061B72">
        <w:rPr>
          <w:rStyle w:val="ac"/>
          <w:rFonts w:eastAsiaTheme="majorEastAsia"/>
          <w:b/>
          <w:bCs/>
          <w:sz w:val="24"/>
          <w:szCs w:val="24"/>
          <w:lang w:val="en-US"/>
        </w:rPr>
        <w:t>IIbC</w:t>
      </w:r>
      <w:r w:rsidR="00E9538D">
        <w:rPr>
          <w:rStyle w:val="ac"/>
          <w:rFonts w:eastAsiaTheme="majorEastAsia"/>
          <w:b/>
          <w:bCs/>
          <w:sz w:val="24"/>
          <w:szCs w:val="24"/>
        </w:rPr>
        <w:t>.</w:t>
      </w:r>
    </w:p>
    <w:p w14:paraId="1EA8F9A1" w14:textId="4F86E113" w:rsidR="00D749BE" w:rsidRPr="00D749BE" w:rsidRDefault="00D749BE" w:rsidP="00396D6C">
      <w:pPr>
        <w:pStyle w:val="11"/>
        <w:ind w:firstLine="600"/>
        <w:jc w:val="both"/>
        <w:rPr>
          <w:i/>
          <w:iCs/>
          <w:sz w:val="28"/>
          <w:szCs w:val="28"/>
        </w:rPr>
      </w:pPr>
      <w:r w:rsidRPr="00D749BE">
        <w:rPr>
          <w:rStyle w:val="aff9"/>
          <w:rFonts w:eastAsiaTheme="majorEastAsia"/>
          <w:sz w:val="24"/>
          <w:szCs w:val="24"/>
        </w:rPr>
        <w:t>Комментарий:</w:t>
      </w:r>
      <w:r w:rsidRPr="00D749BE">
        <w:rPr>
          <w:sz w:val="24"/>
          <w:szCs w:val="24"/>
        </w:rPr>
        <w:t xml:space="preserve"> </w:t>
      </w:r>
      <w:r w:rsidRPr="00D749BE">
        <w:rPr>
          <w:i/>
          <w:iCs/>
          <w:sz w:val="24"/>
          <w:szCs w:val="24"/>
        </w:rPr>
        <w:t>Пациентам с острым инсультом и очень высоким артериальным давлением (САД ≥220 и/или ДАД ≥120 мм рт. ст.), у которых не проводится тромболитическая терапия, рекомендуется рассмотреть возможность постепенного снижения давления на примерно 15% в первые 24 часа после инсульта. Такое умеренное снижение АД помогает снизить риск осложнений, связанных с гипертензией, при этом минимизируя вероятность ухудшения церебральной перфузии. Решение о начале антигипертензивной терапии должно основываться на тщательной оценке клинической ситуации и состояния пациента.</w:t>
      </w:r>
    </w:p>
    <w:p w14:paraId="1BD4D23A" w14:textId="77777777" w:rsidR="00396D6C" w:rsidRPr="00061B72" w:rsidRDefault="00396D6C">
      <w:pPr>
        <w:pStyle w:val="11"/>
        <w:numPr>
          <w:ilvl w:val="0"/>
          <w:numId w:val="24"/>
        </w:numPr>
        <w:tabs>
          <w:tab w:val="left" w:pos="1273"/>
        </w:tabs>
        <w:ind w:firstLine="600"/>
        <w:jc w:val="both"/>
        <w:rPr>
          <w:sz w:val="24"/>
          <w:szCs w:val="24"/>
        </w:rPr>
      </w:pPr>
      <w:r w:rsidRPr="00061B72">
        <w:rPr>
          <w:rStyle w:val="ac"/>
          <w:rFonts w:eastAsiaTheme="majorEastAsia"/>
          <w:sz w:val="24"/>
          <w:szCs w:val="24"/>
        </w:rPr>
        <w:t xml:space="preserve">Пациентам с АГ, </w:t>
      </w:r>
      <w:r w:rsidR="00061B72" w:rsidRPr="00061B72">
        <w:rPr>
          <w:rStyle w:val="ac"/>
          <w:rFonts w:eastAsiaTheme="majorEastAsia"/>
          <w:sz w:val="24"/>
          <w:szCs w:val="24"/>
        </w:rPr>
        <w:t>перенёсшим</w:t>
      </w:r>
      <w:r w:rsidRPr="00061B72">
        <w:rPr>
          <w:rStyle w:val="ac"/>
          <w:rFonts w:eastAsiaTheme="majorEastAsia"/>
          <w:sz w:val="24"/>
          <w:szCs w:val="24"/>
        </w:rPr>
        <w:t xml:space="preserve"> острое цереброваскулярное нарушение, с целью сокращения риска повторного острого нарушения мозгового кровообращения (ОНМК) назначение АГТ рекомендовано сразу после транзиторной ишемической атаки (ТИА) и через несколько дней после ишемического инсульта [298, 312, 227].</w:t>
      </w:r>
    </w:p>
    <w:p w14:paraId="4E91B3A4" w14:textId="3ACDAE09" w:rsidR="00396D6C" w:rsidRDefault="00396D6C" w:rsidP="00396D6C">
      <w:pPr>
        <w:pStyle w:val="11"/>
        <w:ind w:firstLine="600"/>
        <w:jc w:val="both"/>
        <w:rPr>
          <w:rStyle w:val="ac"/>
          <w:rFonts w:eastAsiaTheme="majorEastAsia"/>
          <w:b/>
          <w:bCs/>
          <w:sz w:val="24"/>
          <w:szCs w:val="24"/>
        </w:rPr>
      </w:pPr>
      <w:r w:rsidRPr="00061B72">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D749BE">
        <w:rPr>
          <w:rStyle w:val="ac"/>
          <w:rFonts w:eastAsiaTheme="majorEastAsia"/>
          <w:b/>
          <w:bCs/>
          <w:sz w:val="24"/>
          <w:szCs w:val="24"/>
        </w:rPr>
        <w:t xml:space="preserve"> </w:t>
      </w:r>
      <w:r w:rsidRPr="00061B72">
        <w:rPr>
          <w:rStyle w:val="ac"/>
          <w:rFonts w:eastAsiaTheme="majorEastAsia"/>
          <w:b/>
          <w:bCs/>
          <w:sz w:val="24"/>
          <w:szCs w:val="24"/>
          <w:lang w:val="en-US"/>
        </w:rPr>
        <w:t>B</w:t>
      </w:r>
      <w:r w:rsidRPr="00061B72">
        <w:rPr>
          <w:rStyle w:val="ac"/>
          <w:rFonts w:eastAsiaTheme="majorEastAsia"/>
          <w:b/>
          <w:bCs/>
          <w:sz w:val="24"/>
          <w:szCs w:val="24"/>
        </w:rPr>
        <w:t xml:space="preserve">, </w:t>
      </w:r>
      <w:r w:rsidR="00D749BE" w:rsidRPr="00061B72">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061B72">
        <w:rPr>
          <w:rStyle w:val="ac"/>
          <w:rFonts w:eastAsiaTheme="majorEastAsia"/>
          <w:b/>
          <w:bCs/>
          <w:sz w:val="24"/>
          <w:szCs w:val="24"/>
        </w:rPr>
        <w:t xml:space="preserve"> 2</w:t>
      </w:r>
      <w:r w:rsidR="00D749BE" w:rsidRPr="00061B72">
        <w:rPr>
          <w:rStyle w:val="ac"/>
          <w:rFonts w:eastAsiaTheme="majorEastAsia"/>
          <w:b/>
          <w:bCs/>
          <w:sz w:val="24"/>
          <w:szCs w:val="24"/>
        </w:rPr>
        <w:t>)</w:t>
      </w:r>
      <w:r w:rsidR="00D749BE" w:rsidRPr="00D749BE">
        <w:rPr>
          <w:rStyle w:val="ac"/>
          <w:rFonts w:eastAsiaTheme="majorEastAsia"/>
          <w:b/>
          <w:bCs/>
          <w:sz w:val="24"/>
          <w:szCs w:val="24"/>
        </w:rPr>
        <w:t>;</w:t>
      </w:r>
      <w:r w:rsidR="00D749BE">
        <w:rPr>
          <w:rStyle w:val="ac"/>
          <w:rFonts w:eastAsiaTheme="majorEastAsia"/>
          <w:b/>
          <w:bCs/>
          <w:sz w:val="24"/>
          <w:szCs w:val="24"/>
        </w:rPr>
        <w:t xml:space="preserve"> </w:t>
      </w:r>
      <w:r w:rsidR="00D749BE" w:rsidRPr="00061B72">
        <w:rPr>
          <w:rStyle w:val="ac"/>
          <w:rFonts w:eastAsiaTheme="majorEastAsia"/>
          <w:b/>
          <w:bCs/>
          <w:sz w:val="24"/>
          <w:szCs w:val="24"/>
        </w:rPr>
        <w:t>ЕОК/ЕОАГ IА</w:t>
      </w:r>
      <w:r w:rsidR="00E9538D">
        <w:rPr>
          <w:rStyle w:val="ac"/>
          <w:rFonts w:eastAsiaTheme="majorEastAsia"/>
          <w:b/>
          <w:bCs/>
          <w:sz w:val="24"/>
          <w:szCs w:val="24"/>
        </w:rPr>
        <w:t>.</w:t>
      </w:r>
    </w:p>
    <w:p w14:paraId="7293A120" w14:textId="6857948D" w:rsidR="00D749BE" w:rsidRPr="003B37B6" w:rsidRDefault="00D749BE" w:rsidP="00396D6C">
      <w:pPr>
        <w:pStyle w:val="11"/>
        <w:ind w:firstLine="600"/>
        <w:jc w:val="both"/>
        <w:rPr>
          <w:i/>
          <w:iCs/>
          <w:sz w:val="28"/>
          <w:szCs w:val="28"/>
        </w:rPr>
      </w:pPr>
      <w:r w:rsidRPr="00D749BE">
        <w:rPr>
          <w:rStyle w:val="aff9"/>
          <w:rFonts w:eastAsiaTheme="majorEastAsia"/>
          <w:sz w:val="24"/>
          <w:szCs w:val="24"/>
        </w:rPr>
        <w:t>Комментарий:</w:t>
      </w:r>
      <w:r w:rsidRPr="00D749BE">
        <w:rPr>
          <w:sz w:val="24"/>
          <w:szCs w:val="24"/>
        </w:rPr>
        <w:t xml:space="preserve"> </w:t>
      </w:r>
      <w:r w:rsidRPr="00D749BE">
        <w:rPr>
          <w:i/>
          <w:iCs/>
          <w:sz w:val="24"/>
          <w:szCs w:val="24"/>
        </w:rPr>
        <w:t xml:space="preserve">Пациентам с артериальной гипертензией (АГ), перенёсшим острое цереброваскулярное нарушение, рекомендуется начинать антигипертензивную терапию </w:t>
      </w:r>
      <w:r w:rsidRPr="003B37B6">
        <w:rPr>
          <w:i/>
          <w:iCs/>
          <w:sz w:val="24"/>
          <w:szCs w:val="24"/>
        </w:rPr>
        <w:lastRenderedPageBreak/>
        <w:t>(АГТ) с целью снижения риска повторного инсульта. При транзиторной ишемической атаке (ТИА) АГТ назначается сразу после события, что помогает предотвратить развитие более серьёзного инсульта. После ишемического инсульта начало терапии рекомендуется через несколько дней, что связано с необходимостью стабилизации состояния и предотвращением гипоперфузии мозга.</w:t>
      </w:r>
    </w:p>
    <w:p w14:paraId="46A579BD" w14:textId="77777777" w:rsidR="00396D6C" w:rsidRPr="003B37B6" w:rsidRDefault="00396D6C">
      <w:pPr>
        <w:pStyle w:val="11"/>
        <w:numPr>
          <w:ilvl w:val="0"/>
          <w:numId w:val="24"/>
        </w:numPr>
        <w:tabs>
          <w:tab w:val="left" w:pos="1273"/>
        </w:tabs>
        <w:ind w:firstLine="600"/>
        <w:jc w:val="both"/>
        <w:rPr>
          <w:sz w:val="24"/>
          <w:szCs w:val="24"/>
        </w:rPr>
      </w:pPr>
      <w:r w:rsidRPr="003B37B6">
        <w:rPr>
          <w:rStyle w:val="ac"/>
          <w:rFonts w:eastAsiaTheme="majorEastAsia"/>
          <w:sz w:val="24"/>
          <w:szCs w:val="24"/>
        </w:rPr>
        <w:t>Всем пациентам с АГ после ишемического инсульта или ТИА моложе 65 лет рекомендуется снижать САД до целевых значений 120–130 мм рт. ст. в связи с доказанными преимуществами в отношении снижения СС смертности [133, 298, 312, 227].</w:t>
      </w:r>
    </w:p>
    <w:p w14:paraId="5D7972A6" w14:textId="61D627CF" w:rsidR="00456909" w:rsidRPr="003B37B6" w:rsidRDefault="00396D6C" w:rsidP="00456909">
      <w:pPr>
        <w:pStyle w:val="11"/>
        <w:ind w:firstLine="600"/>
        <w:jc w:val="both"/>
        <w:rPr>
          <w:rStyle w:val="ac"/>
          <w:rFonts w:eastAsiaTheme="majorEastAsia"/>
          <w:b/>
          <w:bCs/>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456909" w:rsidRPr="003B37B6">
        <w:rPr>
          <w:rStyle w:val="ac"/>
          <w:rFonts w:eastAsiaTheme="majorEastAsia"/>
          <w:b/>
          <w:bCs/>
          <w:sz w:val="24"/>
          <w:szCs w:val="24"/>
        </w:rPr>
        <w:t xml:space="preserve"> </w:t>
      </w:r>
      <w:r w:rsidRPr="003B37B6">
        <w:rPr>
          <w:rStyle w:val="ac"/>
          <w:rFonts w:eastAsiaTheme="majorEastAsia"/>
          <w:b/>
          <w:bCs/>
          <w:sz w:val="24"/>
          <w:szCs w:val="24"/>
        </w:rPr>
        <w:t xml:space="preserve">В, </w:t>
      </w:r>
      <w:r w:rsidR="00456909"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2)</w:t>
      </w:r>
      <w:r w:rsidR="00456909" w:rsidRPr="003B37B6">
        <w:rPr>
          <w:rStyle w:val="ac"/>
          <w:rFonts w:eastAsiaTheme="majorEastAsia"/>
          <w:b/>
          <w:bCs/>
          <w:sz w:val="24"/>
          <w:szCs w:val="24"/>
        </w:rPr>
        <w:t xml:space="preserve">; ЕОК/ЕОАГ </w:t>
      </w:r>
      <w:r w:rsidR="00456909" w:rsidRPr="003B37B6">
        <w:rPr>
          <w:rStyle w:val="ac"/>
          <w:rFonts w:eastAsiaTheme="majorEastAsia"/>
          <w:b/>
          <w:bCs/>
          <w:sz w:val="24"/>
          <w:szCs w:val="24"/>
          <w:lang w:val="en-US"/>
        </w:rPr>
        <w:t>IIaB</w:t>
      </w:r>
      <w:r w:rsidR="00E9538D" w:rsidRPr="003B37B6">
        <w:rPr>
          <w:rStyle w:val="ac"/>
          <w:rFonts w:eastAsiaTheme="majorEastAsia"/>
          <w:b/>
          <w:bCs/>
          <w:sz w:val="24"/>
          <w:szCs w:val="24"/>
        </w:rPr>
        <w:t>.</w:t>
      </w:r>
    </w:p>
    <w:p w14:paraId="24DF57FD" w14:textId="6FC20F21" w:rsidR="00456909" w:rsidRPr="003B37B6" w:rsidRDefault="00456909" w:rsidP="000D792B">
      <w:pPr>
        <w:pStyle w:val="11"/>
        <w:ind w:firstLine="600"/>
        <w:jc w:val="both"/>
        <w:rPr>
          <w:rFonts w:eastAsiaTheme="majorEastAsia"/>
          <w:b/>
          <w:bCs/>
          <w:i/>
          <w:iCs/>
          <w:sz w:val="24"/>
          <w:szCs w:val="24"/>
        </w:rPr>
      </w:pPr>
      <w:r w:rsidRPr="003B37B6">
        <w:rPr>
          <w:b/>
          <w:bCs/>
          <w:kern w:val="0"/>
          <w:sz w:val="24"/>
          <w:szCs w:val="24"/>
          <w:lang w:eastAsia="ru-RU"/>
        </w:rPr>
        <w:t>Комментарий:</w:t>
      </w:r>
      <w:r w:rsidRPr="003B37B6">
        <w:rPr>
          <w:kern w:val="0"/>
          <w:sz w:val="24"/>
          <w:szCs w:val="24"/>
          <w:lang w:eastAsia="ru-RU"/>
        </w:rPr>
        <w:t xml:space="preserve"> </w:t>
      </w:r>
      <w:r w:rsidRPr="003B37B6">
        <w:rPr>
          <w:i/>
          <w:iCs/>
          <w:kern w:val="0"/>
          <w:sz w:val="24"/>
          <w:szCs w:val="24"/>
          <w:lang w:eastAsia="ru-RU"/>
        </w:rPr>
        <w:t xml:space="preserve">Всем пациентам с артериальной гипертензией (АГ), перенёсшим ишемический инсульт или транзиторную ишемическую атаку (ТИА), в возрасте моложе 65 лет рекомендуется снижать систолическое артериальное давление (САД) до целевого диапазона 120–130 мм рт. ст. </w:t>
      </w:r>
    </w:p>
    <w:p w14:paraId="7D0C521F" w14:textId="674362D1" w:rsidR="00396D6C" w:rsidRPr="003B37B6" w:rsidRDefault="00396D6C">
      <w:pPr>
        <w:pStyle w:val="11"/>
        <w:numPr>
          <w:ilvl w:val="0"/>
          <w:numId w:val="24"/>
        </w:numPr>
        <w:tabs>
          <w:tab w:val="left" w:pos="1273"/>
        </w:tabs>
        <w:ind w:firstLine="600"/>
        <w:jc w:val="both"/>
        <w:rPr>
          <w:sz w:val="24"/>
          <w:szCs w:val="24"/>
        </w:rPr>
      </w:pPr>
      <w:r w:rsidRPr="003B37B6">
        <w:rPr>
          <w:rStyle w:val="ac"/>
          <w:rFonts w:eastAsiaTheme="majorEastAsia"/>
          <w:sz w:val="24"/>
          <w:szCs w:val="24"/>
        </w:rPr>
        <w:t>АГТ, направленная на снижение риска инсульта и рекомендованная всем пациентам с ЦВБ, включает иРААС в сочетании с АК или тиазидоподобным диуретиком (</w:t>
      </w:r>
      <w:r w:rsidR="00AB30C8" w:rsidRPr="003B37B6">
        <w:rPr>
          <w:rStyle w:val="ac"/>
          <w:rFonts w:eastAsiaTheme="majorEastAsia"/>
          <w:sz w:val="24"/>
          <w:szCs w:val="24"/>
        </w:rPr>
        <w:t xml:space="preserve">глава 2 </w:t>
      </w:r>
      <w:r w:rsidRPr="003B37B6">
        <w:rPr>
          <w:rStyle w:val="ac"/>
          <w:rFonts w:eastAsiaTheme="majorEastAsia"/>
          <w:sz w:val="24"/>
          <w:szCs w:val="24"/>
        </w:rPr>
        <w:t>Приложени</w:t>
      </w:r>
      <w:r w:rsidR="00AB30C8" w:rsidRPr="003B37B6">
        <w:rPr>
          <w:rStyle w:val="ac"/>
          <w:rFonts w:eastAsiaTheme="majorEastAsia"/>
          <w:sz w:val="24"/>
          <w:szCs w:val="24"/>
        </w:rPr>
        <w:t>я</w:t>
      </w:r>
      <w:r w:rsidRPr="003B37B6">
        <w:rPr>
          <w:rStyle w:val="ac"/>
          <w:rFonts w:eastAsiaTheme="majorEastAsia"/>
          <w:sz w:val="24"/>
          <w:szCs w:val="24"/>
        </w:rPr>
        <w:t xml:space="preserve"> Б</w:t>
      </w:r>
      <w:r w:rsidR="00AB30C8" w:rsidRPr="003B37B6">
        <w:rPr>
          <w:rStyle w:val="ac"/>
          <w:rFonts w:eastAsiaTheme="majorEastAsia"/>
          <w:sz w:val="24"/>
          <w:szCs w:val="24"/>
        </w:rPr>
        <w:t xml:space="preserve"> к настоящим Клиническим рекомендациям</w:t>
      </w:r>
      <w:r w:rsidRPr="003B37B6">
        <w:rPr>
          <w:rStyle w:val="ac"/>
          <w:rFonts w:eastAsiaTheme="majorEastAsia"/>
          <w:sz w:val="24"/>
          <w:szCs w:val="24"/>
        </w:rPr>
        <w:t>) [190, 313, 314, 12, 191, 315].</w:t>
      </w:r>
    </w:p>
    <w:p w14:paraId="5CB75816" w14:textId="50C1F171" w:rsidR="00396D6C" w:rsidRPr="003B37B6" w:rsidRDefault="003D51B3" w:rsidP="00396D6C">
      <w:pPr>
        <w:pStyle w:val="11"/>
        <w:ind w:firstLine="600"/>
        <w:jc w:val="both"/>
        <w:rPr>
          <w:sz w:val="24"/>
          <w:szCs w:val="24"/>
        </w:rPr>
      </w:pPr>
      <w:r w:rsidRPr="003B37B6">
        <w:rPr>
          <w:rStyle w:val="ac"/>
          <w:rFonts w:eastAsiaTheme="majorEastAsia"/>
          <w:b/>
          <w:bCs/>
          <w:sz w:val="24"/>
          <w:szCs w:val="24"/>
        </w:rPr>
        <w:t>Уровень убедительности рекомендаций</w:t>
      </w:r>
      <w:r w:rsidR="000D792B" w:rsidRPr="003B37B6">
        <w:rPr>
          <w:rStyle w:val="ac"/>
          <w:rFonts w:eastAsiaTheme="majorEastAsia"/>
          <w:b/>
          <w:bCs/>
          <w:sz w:val="24"/>
          <w:szCs w:val="24"/>
        </w:rPr>
        <w:t xml:space="preserve"> </w:t>
      </w:r>
      <w:r w:rsidR="00396D6C" w:rsidRPr="003B37B6">
        <w:rPr>
          <w:rStyle w:val="ac"/>
          <w:rFonts w:eastAsiaTheme="majorEastAsia"/>
          <w:b/>
          <w:bCs/>
          <w:sz w:val="24"/>
          <w:szCs w:val="24"/>
        </w:rPr>
        <w:t xml:space="preserve">А, </w:t>
      </w:r>
      <w:r w:rsidR="000D792B" w:rsidRPr="003B37B6">
        <w:rPr>
          <w:rStyle w:val="ac"/>
          <w:rFonts w:eastAsiaTheme="majorEastAsia"/>
          <w:b/>
          <w:bCs/>
          <w:sz w:val="24"/>
          <w:szCs w:val="24"/>
        </w:rPr>
        <w:t>(</w:t>
      </w:r>
      <w:r w:rsidRPr="003B37B6">
        <w:rPr>
          <w:rStyle w:val="ac"/>
          <w:rFonts w:eastAsiaTheme="majorEastAsia"/>
          <w:b/>
          <w:bCs/>
          <w:sz w:val="24"/>
          <w:szCs w:val="24"/>
        </w:rPr>
        <w:t>Уровень достоверности доказательств</w:t>
      </w:r>
      <w:r w:rsidR="00396D6C" w:rsidRPr="003B37B6">
        <w:rPr>
          <w:rStyle w:val="ac"/>
          <w:rFonts w:eastAsiaTheme="majorEastAsia"/>
          <w:b/>
          <w:bCs/>
          <w:sz w:val="24"/>
          <w:szCs w:val="24"/>
        </w:rPr>
        <w:t xml:space="preserve"> 1)</w:t>
      </w:r>
      <w:r w:rsidR="000D792B" w:rsidRPr="003B37B6">
        <w:rPr>
          <w:rStyle w:val="ac"/>
          <w:rFonts w:eastAsiaTheme="majorEastAsia"/>
          <w:b/>
          <w:bCs/>
          <w:sz w:val="24"/>
          <w:szCs w:val="24"/>
        </w:rPr>
        <w:t xml:space="preserve">; ЕОК/ЕОАГ </w:t>
      </w:r>
      <w:r w:rsidR="000D792B" w:rsidRPr="003B37B6">
        <w:rPr>
          <w:rStyle w:val="ac"/>
          <w:rFonts w:eastAsiaTheme="majorEastAsia"/>
          <w:b/>
          <w:bCs/>
          <w:sz w:val="24"/>
          <w:szCs w:val="24"/>
          <w:lang w:val="en-US"/>
        </w:rPr>
        <w:t>IA</w:t>
      </w:r>
      <w:r w:rsidR="00E9538D" w:rsidRPr="003B37B6">
        <w:rPr>
          <w:rStyle w:val="ac"/>
          <w:rFonts w:eastAsiaTheme="majorEastAsia"/>
          <w:b/>
          <w:bCs/>
          <w:sz w:val="24"/>
          <w:szCs w:val="24"/>
        </w:rPr>
        <w:t>.</w:t>
      </w:r>
    </w:p>
    <w:p w14:paraId="00BB2255" w14:textId="77777777" w:rsidR="00396D6C" w:rsidRPr="003B37B6" w:rsidRDefault="00396D6C" w:rsidP="00061B72">
      <w:pPr>
        <w:pStyle w:val="11"/>
        <w:ind w:firstLine="600"/>
        <w:jc w:val="both"/>
        <w:rPr>
          <w:sz w:val="24"/>
          <w:szCs w:val="24"/>
        </w:rPr>
      </w:pPr>
      <w:r w:rsidRPr="003B37B6">
        <w:rPr>
          <w:rStyle w:val="ac"/>
          <w:rFonts w:eastAsiaTheme="majorEastAsia"/>
          <w:b/>
          <w:bCs/>
          <w:sz w:val="24"/>
          <w:szCs w:val="24"/>
        </w:rPr>
        <w:t xml:space="preserve">Комментарии. </w:t>
      </w:r>
      <w:r w:rsidRPr="003B37B6">
        <w:rPr>
          <w:rStyle w:val="ac"/>
          <w:rFonts w:eastAsiaTheme="majorEastAsia"/>
          <w:i/>
          <w:iCs/>
          <w:sz w:val="24"/>
          <w:szCs w:val="24"/>
        </w:rPr>
        <w:t xml:space="preserve">У пациентов АГ с ЦВБ (хроническая ишемия мозга и/или ТИА/инсульт в анамнезе, гемодинамически значимый стеноз магистральных брахиоцефальных артерий) не следует резко снижать АД, так как у части </w:t>
      </w:r>
      <w:r w:rsidR="00061B72" w:rsidRPr="003B37B6">
        <w:rPr>
          <w:rStyle w:val="ac"/>
          <w:rFonts w:eastAsiaTheme="majorEastAsia"/>
          <w:i/>
          <w:iCs/>
          <w:sz w:val="24"/>
          <w:szCs w:val="24"/>
        </w:rPr>
        <w:t>пациентов, может быть,</w:t>
      </w:r>
      <w:r w:rsidRPr="003B37B6">
        <w:rPr>
          <w:rStyle w:val="ac"/>
          <w:rFonts w:eastAsiaTheme="majorEastAsia"/>
          <w:i/>
          <w:iCs/>
          <w:sz w:val="24"/>
          <w:szCs w:val="24"/>
        </w:rPr>
        <w:t xml:space="preserve"> плохая индивидуальная переносимость более низких уровней АД вследствие нарушения ауторегуляции сосудов головного мозга. У этих пациентов целесообразно применение этапной (ступенчатой) схемы снижения АД.</w:t>
      </w:r>
    </w:p>
    <w:p w14:paraId="2620BE4B" w14:textId="77777777" w:rsidR="00396D6C" w:rsidRPr="003B37B6" w:rsidRDefault="00396D6C" w:rsidP="00061B72">
      <w:pPr>
        <w:pStyle w:val="11"/>
        <w:tabs>
          <w:tab w:val="left" w:pos="1273"/>
        </w:tabs>
        <w:ind w:firstLine="0"/>
        <w:jc w:val="center"/>
        <w:rPr>
          <w:sz w:val="24"/>
          <w:szCs w:val="24"/>
        </w:rPr>
      </w:pPr>
      <w:bookmarkStart w:id="43" w:name="bookmark33"/>
      <w:r w:rsidRPr="003B37B6">
        <w:rPr>
          <w:rStyle w:val="ac"/>
          <w:rFonts w:eastAsiaTheme="majorEastAsia"/>
          <w:b/>
          <w:bCs/>
          <w:sz w:val="24"/>
          <w:szCs w:val="24"/>
        </w:rPr>
        <w:t>Артериальная гипертензия у пациентов с заболеванием периферических артерий</w:t>
      </w:r>
      <w:bookmarkEnd w:id="43"/>
    </w:p>
    <w:p w14:paraId="51310B8D" w14:textId="77777777" w:rsidR="00396D6C" w:rsidRPr="003B37B6" w:rsidRDefault="00396D6C">
      <w:pPr>
        <w:pStyle w:val="11"/>
        <w:numPr>
          <w:ilvl w:val="0"/>
          <w:numId w:val="25"/>
        </w:numPr>
        <w:tabs>
          <w:tab w:val="left" w:pos="1273"/>
        </w:tabs>
        <w:ind w:firstLine="600"/>
        <w:jc w:val="both"/>
        <w:rPr>
          <w:sz w:val="24"/>
          <w:szCs w:val="24"/>
        </w:rPr>
      </w:pPr>
      <w:r w:rsidRPr="003B37B6">
        <w:rPr>
          <w:rStyle w:val="ac"/>
          <w:rFonts w:eastAsiaTheme="majorEastAsia"/>
          <w:sz w:val="24"/>
          <w:szCs w:val="24"/>
        </w:rPr>
        <w:t>Пациентам с АГ в сочетании с периферическим атеросклерозом, учитывая высокий риск инфаркта миокарда, инсульта, сердечной недостаточности и сердечно-сосудистой смерти, рекомендуется назначение АГТ с достижением целевого АД &lt;140/90 мм рт. ст. [27, 132, 316, 317, 249, 248].</w:t>
      </w:r>
    </w:p>
    <w:p w14:paraId="6195106D" w14:textId="3B584B54" w:rsidR="00396D6C" w:rsidRPr="003B37B6" w:rsidRDefault="00396D6C" w:rsidP="003905AA">
      <w:pPr>
        <w:pStyle w:val="11"/>
        <w:ind w:firstLine="580"/>
        <w:jc w:val="both"/>
        <w:rPr>
          <w:rStyle w:val="ac"/>
          <w:rFonts w:eastAsiaTheme="majorEastAsia"/>
          <w:b/>
          <w:bCs/>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3905AA" w:rsidRPr="003B37B6">
        <w:rPr>
          <w:rStyle w:val="ac"/>
          <w:rFonts w:eastAsiaTheme="majorEastAsia"/>
          <w:b/>
          <w:bCs/>
          <w:sz w:val="24"/>
          <w:szCs w:val="24"/>
        </w:rPr>
        <w:t xml:space="preserve"> </w:t>
      </w:r>
      <w:r w:rsidRPr="003B37B6">
        <w:rPr>
          <w:rStyle w:val="ac"/>
          <w:rFonts w:eastAsiaTheme="majorEastAsia"/>
          <w:b/>
          <w:bCs/>
          <w:sz w:val="24"/>
          <w:szCs w:val="24"/>
        </w:rPr>
        <w:t xml:space="preserve">А, </w:t>
      </w:r>
      <w:r w:rsidR="003905AA"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1)</w:t>
      </w:r>
      <w:r w:rsidR="003905AA" w:rsidRPr="003B37B6">
        <w:rPr>
          <w:rStyle w:val="ac"/>
          <w:rFonts w:eastAsiaTheme="majorEastAsia"/>
          <w:b/>
          <w:bCs/>
          <w:sz w:val="24"/>
          <w:szCs w:val="24"/>
        </w:rPr>
        <w:t>; ЕОК/ЕОАГ IА</w:t>
      </w:r>
      <w:r w:rsidR="00E9538D" w:rsidRPr="003B37B6">
        <w:rPr>
          <w:rStyle w:val="ac"/>
          <w:rFonts w:eastAsiaTheme="majorEastAsia"/>
          <w:b/>
          <w:bCs/>
          <w:sz w:val="24"/>
          <w:szCs w:val="24"/>
        </w:rPr>
        <w:t>.</w:t>
      </w:r>
    </w:p>
    <w:p w14:paraId="42A88532" w14:textId="77777777" w:rsidR="003905AA" w:rsidRPr="003B37B6" w:rsidRDefault="003905AA" w:rsidP="003905AA">
      <w:pPr>
        <w:pStyle w:val="11"/>
        <w:ind w:firstLine="580"/>
        <w:jc w:val="both"/>
        <w:rPr>
          <w:i/>
          <w:iCs/>
          <w:sz w:val="24"/>
          <w:szCs w:val="24"/>
        </w:rPr>
      </w:pPr>
      <w:r w:rsidRPr="003B37B6">
        <w:rPr>
          <w:rStyle w:val="aff9"/>
          <w:rFonts w:eastAsiaTheme="majorEastAsia"/>
          <w:sz w:val="24"/>
          <w:szCs w:val="24"/>
        </w:rPr>
        <w:t xml:space="preserve">Комментарий: </w:t>
      </w:r>
      <w:r w:rsidRPr="003B37B6">
        <w:rPr>
          <w:i/>
          <w:iCs/>
          <w:sz w:val="24"/>
          <w:szCs w:val="24"/>
        </w:rPr>
        <w:t xml:space="preserve">Пациентам с артериальной гипертензией (АГ) в сочетании с </w:t>
      </w:r>
      <w:r w:rsidRPr="003B37B6">
        <w:rPr>
          <w:i/>
          <w:iCs/>
          <w:sz w:val="24"/>
          <w:szCs w:val="24"/>
        </w:rPr>
        <w:lastRenderedPageBreak/>
        <w:t>периферическим атеросклерозом рекомендуется проводить антигипертензивную терапию (АГТ) с целью достижения целевого артериального давления (АД) ниже 140/90 мм рт. ст. Это обусловлено высоким риском инфаркта миокарда, инсульта, сердечной недостаточности и сердечно-сосудистой смертности у данной категории пациентов.</w:t>
      </w:r>
    </w:p>
    <w:p w14:paraId="2EA412D8" w14:textId="662FDE78" w:rsidR="00396D6C" w:rsidRPr="003B37B6" w:rsidRDefault="00396D6C" w:rsidP="003905AA">
      <w:pPr>
        <w:pStyle w:val="11"/>
        <w:ind w:firstLine="580"/>
        <w:jc w:val="both"/>
        <w:rPr>
          <w:sz w:val="24"/>
          <w:szCs w:val="24"/>
        </w:rPr>
      </w:pPr>
      <w:r w:rsidRPr="003B37B6">
        <w:rPr>
          <w:rStyle w:val="ac"/>
          <w:rFonts w:eastAsiaTheme="majorEastAsia"/>
          <w:sz w:val="24"/>
          <w:szCs w:val="24"/>
        </w:rPr>
        <w:t>Всем пациентам с АГ в сочетании с атеросклерозом периферических артерий в качестве начальной терапии рекомендуется назначать комбинацию иРААС и АК или диуретика (</w:t>
      </w:r>
      <w:r w:rsidR="003A3DB2" w:rsidRPr="003B37B6">
        <w:rPr>
          <w:rStyle w:val="ac"/>
          <w:rFonts w:eastAsiaTheme="majorEastAsia"/>
          <w:sz w:val="24"/>
          <w:szCs w:val="24"/>
        </w:rPr>
        <w:t xml:space="preserve">глава 2 </w:t>
      </w:r>
      <w:r w:rsidRPr="003B37B6">
        <w:rPr>
          <w:rStyle w:val="ac"/>
          <w:rFonts w:eastAsiaTheme="majorEastAsia"/>
          <w:sz w:val="24"/>
          <w:szCs w:val="24"/>
        </w:rPr>
        <w:t>Приложени</w:t>
      </w:r>
      <w:r w:rsidR="003A3DB2" w:rsidRPr="003B37B6">
        <w:rPr>
          <w:rStyle w:val="ac"/>
          <w:rFonts w:eastAsiaTheme="majorEastAsia"/>
          <w:sz w:val="24"/>
          <w:szCs w:val="24"/>
        </w:rPr>
        <w:t>я</w:t>
      </w:r>
      <w:r w:rsidRPr="003B37B6">
        <w:rPr>
          <w:rStyle w:val="ac"/>
          <w:rFonts w:eastAsiaTheme="majorEastAsia"/>
          <w:sz w:val="24"/>
          <w:szCs w:val="24"/>
        </w:rPr>
        <w:t xml:space="preserve"> Б</w:t>
      </w:r>
      <w:r w:rsidR="003A3DB2" w:rsidRPr="003B37B6">
        <w:rPr>
          <w:rStyle w:val="ac"/>
          <w:rFonts w:eastAsiaTheme="majorEastAsia"/>
          <w:sz w:val="24"/>
          <w:szCs w:val="24"/>
        </w:rPr>
        <w:t xml:space="preserve"> к настоящим Клиническим рекомендациям</w:t>
      </w:r>
      <w:r w:rsidRPr="003B37B6">
        <w:rPr>
          <w:rStyle w:val="ac"/>
          <w:rFonts w:eastAsiaTheme="majorEastAsia"/>
          <w:sz w:val="24"/>
          <w:szCs w:val="24"/>
        </w:rPr>
        <w:t>) [27, 316, 317].</w:t>
      </w:r>
    </w:p>
    <w:p w14:paraId="6773BBDD" w14:textId="454EA6BD" w:rsidR="00396D6C" w:rsidRPr="003B37B6" w:rsidRDefault="00396D6C" w:rsidP="00396D6C">
      <w:pPr>
        <w:pStyle w:val="11"/>
        <w:ind w:firstLine="580"/>
        <w:jc w:val="both"/>
        <w:rPr>
          <w:rStyle w:val="ac"/>
          <w:rFonts w:eastAsiaTheme="majorEastAsia"/>
          <w:b/>
          <w:bCs/>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3905AA" w:rsidRPr="003B37B6">
        <w:rPr>
          <w:rStyle w:val="ac"/>
          <w:rFonts w:eastAsiaTheme="majorEastAsia"/>
          <w:b/>
          <w:bCs/>
          <w:sz w:val="24"/>
          <w:szCs w:val="24"/>
        </w:rPr>
        <w:t xml:space="preserve"> </w:t>
      </w:r>
      <w:r w:rsidRPr="003B37B6">
        <w:rPr>
          <w:rStyle w:val="ac"/>
          <w:rFonts w:eastAsiaTheme="majorEastAsia"/>
          <w:b/>
          <w:bCs/>
          <w:sz w:val="24"/>
          <w:szCs w:val="24"/>
        </w:rPr>
        <w:t xml:space="preserve">А, </w:t>
      </w:r>
      <w:r w:rsidR="003905AA"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1</w:t>
      </w:r>
      <w:r w:rsidR="003905AA" w:rsidRPr="003B37B6">
        <w:rPr>
          <w:rStyle w:val="ac"/>
          <w:rFonts w:eastAsiaTheme="majorEastAsia"/>
          <w:b/>
          <w:bCs/>
          <w:sz w:val="24"/>
          <w:szCs w:val="24"/>
        </w:rPr>
        <w:t>); ЕОК/ЕОАГ IIaВ</w:t>
      </w:r>
      <w:r w:rsidR="00E9538D" w:rsidRPr="003B37B6">
        <w:rPr>
          <w:rStyle w:val="ac"/>
          <w:rFonts w:eastAsiaTheme="majorEastAsia"/>
          <w:b/>
          <w:bCs/>
          <w:sz w:val="24"/>
          <w:szCs w:val="24"/>
        </w:rPr>
        <w:t>.</w:t>
      </w:r>
    </w:p>
    <w:p w14:paraId="72BB2BBB" w14:textId="113A7ED5" w:rsidR="00654663" w:rsidRPr="003B37B6" w:rsidRDefault="00654663" w:rsidP="00396D6C">
      <w:pPr>
        <w:pStyle w:val="11"/>
        <w:ind w:firstLine="580"/>
        <w:jc w:val="both"/>
        <w:rPr>
          <w:i/>
          <w:iCs/>
          <w:sz w:val="24"/>
          <w:szCs w:val="24"/>
        </w:rPr>
      </w:pPr>
      <w:r w:rsidRPr="003B37B6">
        <w:rPr>
          <w:rStyle w:val="aff9"/>
          <w:rFonts w:eastAsiaTheme="majorEastAsia"/>
          <w:sz w:val="24"/>
          <w:szCs w:val="24"/>
        </w:rPr>
        <w:t>Комментарий:</w:t>
      </w:r>
      <w:r w:rsidRPr="003B37B6">
        <w:rPr>
          <w:sz w:val="24"/>
          <w:szCs w:val="24"/>
        </w:rPr>
        <w:t xml:space="preserve"> </w:t>
      </w:r>
      <w:r w:rsidRPr="003B37B6">
        <w:rPr>
          <w:i/>
          <w:iCs/>
          <w:sz w:val="24"/>
          <w:szCs w:val="24"/>
        </w:rPr>
        <w:t>Всем пациентам с артериальной гипертензией (АГ) в сочетании с атеросклерозом периферических артерий рекомендуется начинать терапию с комбинации ингибиторов ренин-ангиотензин-альдостероновой системы (иРААС) и антагонистов кальция (АК) или диуретиков. Такая комбинация обеспечивает более эффективное снижение артериального давления и обладает дополнительными кардиопротективными и сосудистыми эффектами. Этот подход помогает снизить риск сердечно-сосудистых осложнений и прогрессирования атеросклеротического поражения периферических артерий.</w:t>
      </w:r>
    </w:p>
    <w:p w14:paraId="5DFAED7E" w14:textId="77777777" w:rsidR="00396D6C" w:rsidRPr="003B37B6" w:rsidRDefault="00396D6C">
      <w:pPr>
        <w:pStyle w:val="11"/>
        <w:numPr>
          <w:ilvl w:val="0"/>
          <w:numId w:val="25"/>
        </w:numPr>
        <w:tabs>
          <w:tab w:val="left" w:pos="1282"/>
        </w:tabs>
        <w:ind w:firstLine="580"/>
        <w:jc w:val="both"/>
        <w:rPr>
          <w:sz w:val="24"/>
          <w:szCs w:val="24"/>
        </w:rPr>
      </w:pPr>
      <w:r w:rsidRPr="003B37B6">
        <w:rPr>
          <w:rStyle w:val="ac"/>
          <w:rFonts w:eastAsiaTheme="majorEastAsia"/>
          <w:sz w:val="24"/>
          <w:szCs w:val="24"/>
        </w:rPr>
        <w:t>Пациентам с атеросклерозом сонных артерий рекомендуется назначать АК и иРААС, так как препараты данных групп более эффективно замедляют прогрессирование атеросклероза, чем диуретики и ББ [27, 316, 317, 318, 319, 248].</w:t>
      </w:r>
    </w:p>
    <w:p w14:paraId="7E75DD4D" w14:textId="357DA1BD" w:rsidR="00396D6C" w:rsidRPr="003B37B6" w:rsidRDefault="00396D6C" w:rsidP="00396D6C">
      <w:pPr>
        <w:pStyle w:val="11"/>
        <w:ind w:firstLine="640"/>
        <w:jc w:val="both"/>
        <w:rPr>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930321" w:rsidRPr="003B37B6">
        <w:rPr>
          <w:rStyle w:val="ac"/>
          <w:rFonts w:eastAsiaTheme="majorEastAsia"/>
          <w:b/>
          <w:bCs/>
          <w:sz w:val="24"/>
          <w:szCs w:val="24"/>
        </w:rPr>
        <w:t xml:space="preserve"> </w:t>
      </w:r>
      <w:r w:rsidRPr="003B37B6">
        <w:rPr>
          <w:rStyle w:val="ac"/>
          <w:rFonts w:eastAsiaTheme="majorEastAsia"/>
          <w:b/>
          <w:bCs/>
          <w:sz w:val="24"/>
          <w:szCs w:val="24"/>
        </w:rPr>
        <w:t xml:space="preserve">А, </w:t>
      </w:r>
      <w:r w:rsidR="00930321"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1)</w:t>
      </w:r>
      <w:r w:rsidR="00930321" w:rsidRPr="003B37B6">
        <w:rPr>
          <w:rStyle w:val="ac"/>
          <w:rFonts w:eastAsiaTheme="majorEastAsia"/>
          <w:b/>
          <w:bCs/>
          <w:sz w:val="24"/>
          <w:szCs w:val="24"/>
        </w:rPr>
        <w:t>; ЕОК/ЕОАГ нет</w:t>
      </w:r>
      <w:r w:rsidR="00A60173" w:rsidRPr="003B37B6">
        <w:rPr>
          <w:rStyle w:val="ac"/>
          <w:rFonts w:eastAsiaTheme="majorEastAsia"/>
          <w:b/>
          <w:bCs/>
          <w:sz w:val="24"/>
          <w:szCs w:val="24"/>
        </w:rPr>
        <w:t>.</w:t>
      </w:r>
    </w:p>
    <w:p w14:paraId="0AB7CDB5" w14:textId="77777777" w:rsidR="00396D6C" w:rsidRPr="003B37B6" w:rsidRDefault="00396D6C" w:rsidP="00396D6C">
      <w:pPr>
        <w:pStyle w:val="11"/>
        <w:ind w:firstLine="580"/>
        <w:jc w:val="both"/>
        <w:rPr>
          <w:sz w:val="24"/>
          <w:szCs w:val="24"/>
        </w:rPr>
      </w:pPr>
      <w:r w:rsidRPr="003B37B6">
        <w:rPr>
          <w:rStyle w:val="ac"/>
          <w:rFonts w:eastAsiaTheme="majorEastAsia"/>
          <w:b/>
          <w:bCs/>
          <w:sz w:val="24"/>
          <w:szCs w:val="24"/>
        </w:rPr>
        <w:t xml:space="preserve">Комментарии. </w:t>
      </w:r>
      <w:r w:rsidRPr="003B37B6">
        <w:rPr>
          <w:rStyle w:val="ac"/>
          <w:rFonts w:eastAsiaTheme="majorEastAsia"/>
          <w:i/>
          <w:iCs/>
          <w:sz w:val="24"/>
          <w:szCs w:val="24"/>
        </w:rPr>
        <w:t>На основании данных РКИ установлено, что адекватный контроль АГ замедляет прогрессирование атеросклероза сонных артерий. АК, ИАПФ и их комбинация в этом случае более эффективны, чем диуретики и ББ</w:t>
      </w:r>
      <w:r w:rsidRPr="003B37B6">
        <w:rPr>
          <w:rStyle w:val="ac"/>
          <w:rFonts w:eastAsiaTheme="majorEastAsia"/>
          <w:sz w:val="24"/>
          <w:szCs w:val="24"/>
        </w:rPr>
        <w:t xml:space="preserve"> [318, 319]. </w:t>
      </w:r>
      <w:r w:rsidRPr="003B37B6">
        <w:rPr>
          <w:rStyle w:val="ac"/>
          <w:rFonts w:eastAsiaTheme="majorEastAsia"/>
          <w:i/>
          <w:iCs/>
          <w:sz w:val="24"/>
          <w:szCs w:val="24"/>
        </w:rPr>
        <w:t>Следует учитывать, что пациенты с каротидным атеросклерозом имеют высокий риск атероэмболического инсульта и СС осложнений, в связи с чем АГТ должна сочетаться с назначением гиполипидемических средств, согласно клиническим рекомендациям по нарушениям липидного обмена, и антитромбоцитарных препаратов. Снижение АД у пациентов с двусторонним стенозом сонных артерий следует проводить осторожно, начиная с монотерапии и тщательно отслеживая побочные эффекты</w:t>
      </w:r>
      <w:r w:rsidRPr="003B37B6">
        <w:rPr>
          <w:rStyle w:val="ac"/>
          <w:rFonts w:eastAsiaTheme="majorEastAsia"/>
          <w:sz w:val="24"/>
          <w:szCs w:val="24"/>
        </w:rPr>
        <w:t xml:space="preserve"> [27].</w:t>
      </w:r>
    </w:p>
    <w:p w14:paraId="485B609C" w14:textId="77777777" w:rsidR="00396D6C" w:rsidRPr="003B37B6" w:rsidRDefault="00396D6C">
      <w:pPr>
        <w:pStyle w:val="11"/>
        <w:numPr>
          <w:ilvl w:val="0"/>
          <w:numId w:val="25"/>
        </w:numPr>
        <w:tabs>
          <w:tab w:val="left" w:pos="1282"/>
        </w:tabs>
        <w:ind w:firstLine="580"/>
        <w:jc w:val="both"/>
        <w:rPr>
          <w:sz w:val="24"/>
          <w:szCs w:val="24"/>
        </w:rPr>
      </w:pPr>
      <w:r w:rsidRPr="003B37B6">
        <w:rPr>
          <w:rStyle w:val="ac"/>
          <w:rFonts w:eastAsiaTheme="majorEastAsia"/>
          <w:sz w:val="24"/>
          <w:szCs w:val="24"/>
        </w:rPr>
        <w:t>У пациентов с периферическим атеросклерозом рекомендуется рассмотреть возможность назначения ББ в качестве АГТ, особенно при наличии показаний к их применению для снижения выраженности симптоматики [27].</w:t>
      </w:r>
    </w:p>
    <w:p w14:paraId="4B1704F7" w14:textId="71B64C4F" w:rsidR="001419E5" w:rsidRPr="003B37B6" w:rsidRDefault="00396D6C" w:rsidP="001419E5">
      <w:pPr>
        <w:pStyle w:val="11"/>
        <w:ind w:firstLine="580"/>
        <w:jc w:val="both"/>
        <w:rPr>
          <w:rStyle w:val="ac"/>
          <w:rFonts w:eastAsiaTheme="majorEastAsia"/>
          <w:b/>
          <w:bCs/>
          <w:sz w:val="24"/>
          <w:szCs w:val="24"/>
        </w:rPr>
      </w:pPr>
      <w:r w:rsidRPr="003B37B6">
        <w:rPr>
          <w:rStyle w:val="ac"/>
          <w:rFonts w:eastAsiaTheme="majorEastAsia"/>
          <w:b/>
          <w:bCs/>
          <w:sz w:val="24"/>
          <w:szCs w:val="24"/>
        </w:rPr>
        <w:lastRenderedPageBreak/>
        <w:t xml:space="preserve"> </w:t>
      </w:r>
      <w:r w:rsidR="003D51B3" w:rsidRPr="003B37B6">
        <w:rPr>
          <w:rStyle w:val="ac"/>
          <w:rFonts w:eastAsiaTheme="majorEastAsia"/>
          <w:b/>
          <w:bCs/>
          <w:sz w:val="24"/>
          <w:szCs w:val="24"/>
        </w:rPr>
        <w:t>Уровень убедительности рекомендаций</w:t>
      </w:r>
      <w:r w:rsidR="001419E5" w:rsidRPr="003B37B6">
        <w:rPr>
          <w:rStyle w:val="ac"/>
          <w:rFonts w:eastAsiaTheme="majorEastAsia"/>
          <w:b/>
          <w:bCs/>
          <w:sz w:val="24"/>
          <w:szCs w:val="24"/>
        </w:rPr>
        <w:t xml:space="preserve"> </w:t>
      </w:r>
      <w:r w:rsidRPr="003B37B6">
        <w:rPr>
          <w:rStyle w:val="ac"/>
          <w:rFonts w:eastAsiaTheme="majorEastAsia"/>
          <w:b/>
          <w:bCs/>
          <w:sz w:val="24"/>
          <w:szCs w:val="24"/>
        </w:rPr>
        <w:t xml:space="preserve">С, </w:t>
      </w:r>
      <w:r w:rsidR="001419E5"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5)</w:t>
      </w:r>
      <w:r w:rsidR="001419E5" w:rsidRPr="003B37B6">
        <w:rPr>
          <w:rStyle w:val="ac"/>
          <w:rFonts w:eastAsiaTheme="majorEastAsia"/>
          <w:b/>
          <w:bCs/>
          <w:sz w:val="24"/>
          <w:szCs w:val="24"/>
        </w:rPr>
        <w:t xml:space="preserve">; ЕОК/ЕОАГ </w:t>
      </w:r>
      <w:r w:rsidR="001419E5" w:rsidRPr="003B37B6">
        <w:rPr>
          <w:rStyle w:val="ac"/>
          <w:rFonts w:eastAsiaTheme="majorEastAsia"/>
          <w:b/>
          <w:bCs/>
          <w:sz w:val="24"/>
          <w:szCs w:val="24"/>
          <w:lang w:val="en-US"/>
        </w:rPr>
        <w:t>IIbC</w:t>
      </w:r>
      <w:r w:rsidR="00A60173" w:rsidRPr="003B37B6">
        <w:rPr>
          <w:rStyle w:val="ac"/>
          <w:rFonts w:eastAsiaTheme="majorEastAsia"/>
          <w:b/>
          <w:bCs/>
          <w:sz w:val="24"/>
          <w:szCs w:val="24"/>
        </w:rPr>
        <w:t>.</w:t>
      </w:r>
    </w:p>
    <w:p w14:paraId="1AB7D54E" w14:textId="1E7F4868" w:rsidR="001419E5" w:rsidRPr="003B37B6" w:rsidRDefault="001419E5" w:rsidP="001419E5">
      <w:pPr>
        <w:pStyle w:val="11"/>
        <w:ind w:firstLine="580"/>
        <w:jc w:val="both"/>
        <w:rPr>
          <w:rFonts w:eastAsiaTheme="majorEastAsia"/>
          <w:b/>
          <w:bCs/>
          <w:i/>
          <w:iCs/>
          <w:sz w:val="24"/>
          <w:szCs w:val="24"/>
        </w:rPr>
      </w:pPr>
      <w:r w:rsidRPr="003B37B6">
        <w:rPr>
          <w:b/>
          <w:bCs/>
          <w:kern w:val="0"/>
          <w:sz w:val="24"/>
          <w:szCs w:val="24"/>
          <w:lang w:eastAsia="ru-RU"/>
        </w:rPr>
        <w:t xml:space="preserve">Комментарии: </w:t>
      </w:r>
      <w:r w:rsidRPr="003B37B6">
        <w:rPr>
          <w:i/>
          <w:iCs/>
          <w:kern w:val="0"/>
          <w:sz w:val="24"/>
          <w:szCs w:val="24"/>
          <w:lang w:eastAsia="ru-RU"/>
        </w:rPr>
        <w:t>У пациентов с периферическим атеросклерозом рекомендуется рассмотреть возможность назначения бета-блокаторов (ББ) в составе антигипертензивной терапии, особенно при наличии показаний, таких как сердечная ишемия или тахиаритмии. Несмотря на опасения, что ББ могут усугублять симптомы периферической артериальной болезни, современные данные свидетельствуют о безопасности и эффективности их применения для снижения артериального давления и улучшения симптоматики. Выбор терапии должен учитывать индивидуальные особенности пациента и клиническую картину.</w:t>
      </w:r>
    </w:p>
    <w:p w14:paraId="3EA07875" w14:textId="77777777" w:rsidR="00396D6C" w:rsidRPr="003B37B6" w:rsidRDefault="00396D6C" w:rsidP="00217281">
      <w:pPr>
        <w:pStyle w:val="11"/>
        <w:tabs>
          <w:tab w:val="left" w:pos="1248"/>
        </w:tabs>
        <w:ind w:firstLine="0"/>
        <w:jc w:val="center"/>
        <w:rPr>
          <w:sz w:val="24"/>
          <w:szCs w:val="24"/>
        </w:rPr>
      </w:pPr>
      <w:bookmarkStart w:id="44" w:name="bookmark34"/>
      <w:bookmarkStart w:id="45" w:name="_Hlk206159392"/>
      <w:r w:rsidRPr="003B37B6">
        <w:rPr>
          <w:rStyle w:val="ac"/>
          <w:rFonts w:eastAsiaTheme="majorEastAsia"/>
          <w:b/>
          <w:bCs/>
          <w:sz w:val="24"/>
          <w:szCs w:val="24"/>
        </w:rPr>
        <w:t>Артериальная гипертензия у пациентов с заболеваниями легких</w:t>
      </w:r>
      <w:bookmarkEnd w:id="44"/>
    </w:p>
    <w:bookmarkEnd w:id="45"/>
    <w:p w14:paraId="2D3A07FB" w14:textId="77777777" w:rsidR="00396D6C" w:rsidRPr="003B37B6" w:rsidRDefault="00396D6C" w:rsidP="00396D6C">
      <w:pPr>
        <w:pStyle w:val="11"/>
        <w:ind w:firstLine="580"/>
        <w:jc w:val="both"/>
        <w:rPr>
          <w:sz w:val="24"/>
          <w:szCs w:val="24"/>
        </w:rPr>
      </w:pPr>
      <w:r w:rsidRPr="003B37B6">
        <w:rPr>
          <w:rStyle w:val="ac"/>
          <w:rFonts w:eastAsia="Arial"/>
          <w:sz w:val="24"/>
          <w:szCs w:val="24"/>
        </w:rPr>
        <w:t xml:space="preserve">• </w:t>
      </w:r>
      <w:r w:rsidRPr="003B37B6">
        <w:rPr>
          <w:rStyle w:val="ac"/>
          <w:rFonts w:eastAsiaTheme="majorEastAsia"/>
          <w:sz w:val="24"/>
          <w:szCs w:val="24"/>
        </w:rPr>
        <w:t>Пациентам с АГ в сочетании с бронхиальной астмой (БА) с целью достижения целевого уровня АД в качестве стартовой АГТ не рекомендовано назначение ББ, рекомендуется назначение иРААС и АК [320, 321, 322, 323, 324, 325, 12].</w:t>
      </w:r>
    </w:p>
    <w:p w14:paraId="2650FC1B" w14:textId="33E0C8FB" w:rsidR="00396D6C" w:rsidRPr="003B37B6" w:rsidRDefault="00396D6C" w:rsidP="00396D6C">
      <w:pPr>
        <w:pStyle w:val="11"/>
        <w:ind w:firstLine="580"/>
        <w:jc w:val="both"/>
        <w:rPr>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Pr="003B37B6">
        <w:rPr>
          <w:rStyle w:val="ac"/>
          <w:rFonts w:eastAsiaTheme="majorEastAsia"/>
          <w:b/>
          <w:bCs/>
          <w:sz w:val="24"/>
          <w:szCs w:val="24"/>
          <w:lang w:val="en-US"/>
        </w:rPr>
        <w:t>C</w:t>
      </w: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5)</w:t>
      </w:r>
      <w:r w:rsidR="001419E5" w:rsidRPr="003B37B6">
        <w:rPr>
          <w:rStyle w:val="ac"/>
          <w:rFonts w:eastAsiaTheme="majorEastAsia"/>
          <w:b/>
          <w:bCs/>
          <w:sz w:val="24"/>
          <w:szCs w:val="24"/>
        </w:rPr>
        <w:t>; ЕОК/ЕОАГ нет</w:t>
      </w:r>
      <w:r w:rsidR="00A60173" w:rsidRPr="003B37B6">
        <w:rPr>
          <w:rStyle w:val="ac"/>
          <w:rFonts w:eastAsiaTheme="majorEastAsia"/>
          <w:b/>
          <w:bCs/>
          <w:sz w:val="24"/>
          <w:szCs w:val="24"/>
        </w:rPr>
        <w:t>.</w:t>
      </w:r>
    </w:p>
    <w:p w14:paraId="0BE45C12" w14:textId="77777777" w:rsidR="00396D6C" w:rsidRPr="003B37B6" w:rsidRDefault="00396D6C" w:rsidP="00396D6C">
      <w:pPr>
        <w:pStyle w:val="11"/>
        <w:ind w:firstLine="580"/>
        <w:jc w:val="both"/>
        <w:rPr>
          <w:sz w:val="24"/>
          <w:szCs w:val="24"/>
        </w:rPr>
      </w:pPr>
      <w:r w:rsidRPr="003B37B6">
        <w:rPr>
          <w:rStyle w:val="ac"/>
          <w:rFonts w:eastAsiaTheme="majorEastAsia"/>
          <w:b/>
          <w:bCs/>
          <w:sz w:val="24"/>
          <w:szCs w:val="24"/>
        </w:rPr>
        <w:t xml:space="preserve">Комментарии. </w:t>
      </w:r>
      <w:r w:rsidRPr="003B37B6">
        <w:rPr>
          <w:rStyle w:val="ac"/>
          <w:rFonts w:eastAsiaTheme="majorEastAsia"/>
          <w:i/>
          <w:iCs/>
          <w:sz w:val="24"/>
          <w:szCs w:val="24"/>
        </w:rPr>
        <w:t>Сочетание АГ с ХОБЛ и/или бронхиальной астмой обуславливает особенности проведения АГТ.</w:t>
      </w:r>
    </w:p>
    <w:p w14:paraId="52ACE439" w14:textId="77777777" w:rsidR="00217281" w:rsidRPr="003B37B6" w:rsidRDefault="00396D6C" w:rsidP="00217281">
      <w:pPr>
        <w:pStyle w:val="11"/>
        <w:ind w:firstLine="600"/>
        <w:jc w:val="both"/>
        <w:rPr>
          <w:sz w:val="24"/>
          <w:szCs w:val="24"/>
        </w:rPr>
      </w:pPr>
      <w:r w:rsidRPr="003B37B6">
        <w:rPr>
          <w:rStyle w:val="ac"/>
          <w:rFonts w:eastAsiaTheme="majorEastAsia"/>
          <w:i/>
          <w:iCs/>
          <w:sz w:val="24"/>
          <w:szCs w:val="24"/>
        </w:rPr>
        <w:t>Пациентам с БА назначение петлевых и тиазидных диуретиков требует осторожности, в связи с высокой вероятностью развития гипокалиемии при их совместном применении с в2- агонистами и особенно — системными стероидами.</w:t>
      </w:r>
      <w:r w:rsidR="00217281" w:rsidRPr="003B37B6">
        <w:rPr>
          <w:rStyle w:val="ac"/>
          <w:rFonts w:eastAsiaTheme="majorEastAsia"/>
          <w:i/>
          <w:iCs/>
        </w:rPr>
        <w:t xml:space="preserve"> </w:t>
      </w:r>
      <w:r w:rsidR="00217281" w:rsidRPr="003B37B6">
        <w:rPr>
          <w:rStyle w:val="ac"/>
          <w:rFonts w:eastAsiaTheme="majorEastAsia"/>
          <w:i/>
          <w:iCs/>
          <w:sz w:val="24"/>
          <w:szCs w:val="24"/>
        </w:rPr>
        <w:t>ББ могут стать причиной развития бронхоспазма, особенно неселективные, в связи с чем противопоказаны пациентам с БА</w:t>
      </w:r>
      <w:r w:rsidR="00217281" w:rsidRPr="003B37B6">
        <w:rPr>
          <w:rStyle w:val="ac"/>
          <w:rFonts w:eastAsiaTheme="majorEastAsia"/>
          <w:sz w:val="24"/>
          <w:szCs w:val="24"/>
        </w:rPr>
        <w:t xml:space="preserve"> [324]</w:t>
      </w:r>
      <w:r w:rsidR="00217281" w:rsidRPr="003B37B6">
        <w:rPr>
          <w:rStyle w:val="ac"/>
          <w:rFonts w:eastAsiaTheme="majorEastAsia"/>
          <w:i/>
          <w:iCs/>
          <w:sz w:val="24"/>
          <w:szCs w:val="24"/>
        </w:rPr>
        <w:t>. Мета-анализ ряда исследований, проведенных у ограниченного числа пациентов, показали, что применение небольших доз селективных ББ не ухудшает и может даже несколько улучшать бронхиальную проходимость и не имеет негативного влияния на прогноз пациентов с БА</w:t>
      </w:r>
      <w:r w:rsidR="00217281" w:rsidRPr="003B37B6">
        <w:rPr>
          <w:rStyle w:val="ac"/>
          <w:rFonts w:eastAsiaTheme="majorEastAsia"/>
          <w:sz w:val="24"/>
          <w:szCs w:val="24"/>
        </w:rPr>
        <w:t xml:space="preserve"> [326]</w:t>
      </w:r>
      <w:r w:rsidR="00217281" w:rsidRPr="003B37B6">
        <w:rPr>
          <w:rStyle w:val="ac"/>
          <w:rFonts w:eastAsiaTheme="majorEastAsia"/>
          <w:i/>
          <w:iCs/>
          <w:sz w:val="24"/>
          <w:szCs w:val="24"/>
        </w:rPr>
        <w:t>.</w:t>
      </w:r>
    </w:p>
    <w:p w14:paraId="4DBC35B3" w14:textId="77777777" w:rsidR="00217281" w:rsidRPr="003B37B6" w:rsidRDefault="00217281" w:rsidP="00217281">
      <w:pPr>
        <w:pStyle w:val="11"/>
        <w:ind w:firstLine="600"/>
        <w:jc w:val="both"/>
        <w:rPr>
          <w:sz w:val="24"/>
          <w:szCs w:val="24"/>
        </w:rPr>
      </w:pPr>
      <w:r w:rsidRPr="003B37B6">
        <w:rPr>
          <w:rStyle w:val="ac"/>
          <w:rFonts w:eastAsiaTheme="majorEastAsia"/>
          <w:i/>
          <w:iCs/>
          <w:sz w:val="24"/>
          <w:szCs w:val="24"/>
        </w:rPr>
        <w:t>Применение АК у пациентов с БА безопасно и даже способствует снижению гиперреактивности бронхов и повышению бронходилатирующего эффекта в2-агонистов. Таким образом, наравне с изменением образа жизни (в первую очередь — отказом от курения) в качестве стартовой АГТ предопочтительно использование иРААС и АК. Среди иРААС предпочтение следует отдавать БРА из-за риска развития кашля во время лечения иАПФ</w:t>
      </w:r>
      <w:r w:rsidRPr="003B37B6">
        <w:rPr>
          <w:rStyle w:val="ac"/>
          <w:rFonts w:eastAsiaTheme="majorEastAsia"/>
          <w:sz w:val="24"/>
          <w:szCs w:val="24"/>
        </w:rPr>
        <w:t xml:space="preserve"> [327]</w:t>
      </w:r>
      <w:r w:rsidRPr="003B37B6">
        <w:rPr>
          <w:rStyle w:val="ac"/>
          <w:rFonts w:eastAsiaTheme="majorEastAsia"/>
          <w:i/>
          <w:iCs/>
          <w:sz w:val="24"/>
          <w:szCs w:val="24"/>
        </w:rPr>
        <w:t>. При недостижении целевого АД или наличии сопутствующих заболеваний с соответствующими показаниями можно рассмотреть добавление/назначение тиазидных или тиазидоподобных диуретиков и селективных ББ [27].</w:t>
      </w:r>
    </w:p>
    <w:p w14:paraId="4864E972" w14:textId="77777777" w:rsidR="00217281" w:rsidRPr="003B37B6" w:rsidRDefault="00217281" w:rsidP="00217281">
      <w:pPr>
        <w:pStyle w:val="11"/>
        <w:ind w:firstLine="600"/>
        <w:jc w:val="both"/>
        <w:rPr>
          <w:sz w:val="24"/>
          <w:szCs w:val="24"/>
        </w:rPr>
      </w:pPr>
      <w:r w:rsidRPr="003B37B6">
        <w:rPr>
          <w:rStyle w:val="ac"/>
          <w:rFonts w:eastAsiaTheme="majorEastAsia"/>
          <w:i/>
          <w:iCs/>
          <w:sz w:val="24"/>
          <w:szCs w:val="24"/>
        </w:rPr>
        <w:lastRenderedPageBreak/>
        <w:t>АГ является наиболее частым сопутствующим заболеванием у пациентов с ХОБЛ, и оба сопутствующих заболевания независимо связаны с повышенным риском сердечно-сосудистых событий</w:t>
      </w:r>
      <w:r w:rsidRPr="003B37B6">
        <w:rPr>
          <w:rStyle w:val="ac"/>
          <w:rFonts w:eastAsiaTheme="majorEastAsia"/>
          <w:sz w:val="24"/>
          <w:szCs w:val="24"/>
        </w:rPr>
        <w:t xml:space="preserve"> [328]</w:t>
      </w:r>
      <w:r w:rsidRPr="003B37B6">
        <w:rPr>
          <w:rStyle w:val="ac"/>
          <w:rFonts w:eastAsiaTheme="majorEastAsia"/>
          <w:i/>
          <w:iCs/>
          <w:sz w:val="24"/>
          <w:szCs w:val="24"/>
        </w:rPr>
        <w:t>. Лечение АГ у пациентов с ХОБЛ должно учитывать влияние классов АГП на нарушение дыхательной функции, неблагоприятные исходы, включая не только обострения ХОБЛ, но также общие сердечно-сосудистые исходы и смертность</w:t>
      </w:r>
      <w:r w:rsidRPr="003B37B6">
        <w:rPr>
          <w:rStyle w:val="ac"/>
          <w:rFonts w:eastAsiaTheme="majorEastAsia"/>
          <w:sz w:val="24"/>
          <w:szCs w:val="24"/>
        </w:rPr>
        <w:t xml:space="preserve"> [328]</w:t>
      </w:r>
      <w:r w:rsidRPr="003B37B6">
        <w:rPr>
          <w:rStyle w:val="ac"/>
          <w:rFonts w:eastAsiaTheme="majorEastAsia"/>
          <w:i/>
          <w:iCs/>
          <w:sz w:val="24"/>
          <w:szCs w:val="24"/>
        </w:rPr>
        <w:t>. Следует также учитывать взаимодействие между АГП и средствами, используемыми для лечения ХОБЛ, такими как бронходилятаторы и ГКС, из-за их возможных прессорных и тахикардических эффектов</w:t>
      </w:r>
      <w:r w:rsidRPr="003B37B6">
        <w:rPr>
          <w:rStyle w:val="ac"/>
          <w:rFonts w:eastAsiaTheme="majorEastAsia"/>
          <w:b/>
          <w:bCs/>
          <w:i/>
          <w:iCs/>
          <w:sz w:val="24"/>
          <w:szCs w:val="24"/>
        </w:rPr>
        <w:t>.</w:t>
      </w:r>
    </w:p>
    <w:p w14:paraId="625C96F3" w14:textId="77777777" w:rsidR="00217281" w:rsidRPr="003B37B6" w:rsidRDefault="00217281" w:rsidP="00217281">
      <w:pPr>
        <w:pStyle w:val="11"/>
        <w:ind w:firstLine="600"/>
        <w:jc w:val="both"/>
        <w:rPr>
          <w:sz w:val="24"/>
          <w:szCs w:val="24"/>
        </w:rPr>
      </w:pPr>
      <w:r w:rsidRPr="003B37B6">
        <w:rPr>
          <w:rStyle w:val="ac"/>
          <w:rFonts w:eastAsiaTheme="majorEastAsia"/>
          <w:i/>
          <w:iCs/>
          <w:sz w:val="24"/>
          <w:szCs w:val="24"/>
        </w:rPr>
        <w:t>Лечение АГ у пациентов с ХОБЛ осуществляется согласно базовым принципам лечения АГ. Это касается и ББ, целесообразность применения которых пересмотрена в сравнении с предыдущими рекомендациями. Если раньше ББ не рекомендовались пациентам с ХОБЛ из-за их бронхоконстрикторного действия, то сейчас эта точка зрения изменилась. Систематический обзор и метаанализ 49 исследований с участием более 670 000 пациентов показали, что лечение пациентов с ХОБЛ и ССЗ как селективными, так и неселективными ББ значительно снижало ЧСС (около 8 ударов в минуту) и снижало смертность от всех причин</w:t>
      </w:r>
      <w:r w:rsidRPr="003B37B6">
        <w:rPr>
          <w:rStyle w:val="ac"/>
          <w:rFonts w:eastAsiaTheme="majorEastAsia"/>
          <w:sz w:val="24"/>
          <w:szCs w:val="24"/>
        </w:rPr>
        <w:t xml:space="preserve"> [329, 330]</w:t>
      </w:r>
      <w:r w:rsidRPr="003B37B6">
        <w:rPr>
          <w:rStyle w:val="ac"/>
          <w:rFonts w:eastAsiaTheme="majorEastAsia"/>
          <w:i/>
          <w:iCs/>
          <w:sz w:val="24"/>
          <w:szCs w:val="24"/>
        </w:rPr>
        <w:t xml:space="preserve">. Кроме того, использование селективных ББ (но не неселективных) уменьшало частоту обострений ХОБЛ </w:t>
      </w:r>
      <w:r w:rsidRPr="003B37B6">
        <w:rPr>
          <w:rStyle w:val="ac"/>
          <w:rFonts w:eastAsiaTheme="majorEastAsia"/>
          <w:sz w:val="24"/>
          <w:szCs w:val="24"/>
        </w:rPr>
        <w:t>[329]</w:t>
      </w:r>
      <w:r w:rsidRPr="003B37B6">
        <w:rPr>
          <w:rStyle w:val="ac"/>
          <w:rFonts w:eastAsiaTheme="majorEastAsia"/>
          <w:i/>
          <w:iCs/>
          <w:sz w:val="24"/>
          <w:szCs w:val="24"/>
        </w:rPr>
        <w:t>.</w:t>
      </w:r>
    </w:p>
    <w:p w14:paraId="4D5ED4F9" w14:textId="5D895B44" w:rsidR="00217281" w:rsidRPr="003B37B6" w:rsidRDefault="00217281" w:rsidP="00A60173">
      <w:pPr>
        <w:pStyle w:val="11"/>
        <w:ind w:firstLine="600"/>
        <w:jc w:val="both"/>
        <w:rPr>
          <w:sz w:val="24"/>
          <w:szCs w:val="24"/>
        </w:rPr>
      </w:pPr>
      <w:r w:rsidRPr="003B37B6">
        <w:rPr>
          <w:rStyle w:val="ac"/>
          <w:rFonts w:eastAsiaTheme="majorEastAsia"/>
          <w:i/>
          <w:iCs/>
          <w:sz w:val="24"/>
          <w:szCs w:val="24"/>
        </w:rPr>
        <w:t>Пациенты с АГ с бронхообструктивной патологией часто применяют препараты для лечения обструктивных заболеваний дыхательных путей (бронхолитические препараты) и ингаляционные кортикостероиды, а также системны глюкокортикоиды (ГКС). Системное и длительное применение ГКС способствует повышению АД. При применении ингаляционных кортикостероидов подобные эффекты незначительны.</w:t>
      </w:r>
      <w:bookmarkStart w:id="46" w:name="bookmark35"/>
    </w:p>
    <w:p w14:paraId="4A1D302B" w14:textId="77777777" w:rsidR="00217281" w:rsidRPr="003B37B6" w:rsidRDefault="00217281" w:rsidP="00217281">
      <w:pPr>
        <w:pStyle w:val="11"/>
        <w:ind w:firstLine="0"/>
        <w:jc w:val="center"/>
        <w:rPr>
          <w:sz w:val="24"/>
          <w:szCs w:val="24"/>
        </w:rPr>
      </w:pPr>
      <w:r w:rsidRPr="003B37B6">
        <w:rPr>
          <w:rStyle w:val="ac"/>
          <w:rFonts w:eastAsiaTheme="majorEastAsia"/>
          <w:b/>
          <w:bCs/>
          <w:sz w:val="24"/>
          <w:szCs w:val="24"/>
        </w:rPr>
        <w:t>Артериальная гипертензия и синдром обструктивного апноэ сна</w:t>
      </w:r>
      <w:bookmarkEnd w:id="46"/>
    </w:p>
    <w:p w14:paraId="5CCDC80C" w14:textId="77777777" w:rsidR="00217281" w:rsidRPr="003B37B6" w:rsidRDefault="00217281" w:rsidP="00217281">
      <w:pPr>
        <w:pStyle w:val="11"/>
        <w:tabs>
          <w:tab w:val="left" w:pos="1248"/>
        </w:tabs>
        <w:ind w:firstLine="600"/>
        <w:jc w:val="both"/>
        <w:rPr>
          <w:sz w:val="24"/>
          <w:szCs w:val="24"/>
        </w:rPr>
      </w:pPr>
      <w:r w:rsidRPr="003B37B6">
        <w:rPr>
          <w:rStyle w:val="ac"/>
          <w:rFonts w:eastAsia="Arial"/>
          <w:sz w:val="24"/>
          <w:szCs w:val="24"/>
        </w:rPr>
        <w:t>•</w:t>
      </w:r>
      <w:r w:rsidRPr="003B37B6">
        <w:rPr>
          <w:rStyle w:val="ac"/>
          <w:rFonts w:eastAsia="Arial"/>
          <w:sz w:val="24"/>
          <w:szCs w:val="24"/>
        </w:rPr>
        <w:tab/>
      </w:r>
      <w:r w:rsidRPr="003B37B6">
        <w:rPr>
          <w:rStyle w:val="ac"/>
          <w:rFonts w:eastAsiaTheme="majorEastAsia"/>
          <w:sz w:val="24"/>
          <w:szCs w:val="24"/>
        </w:rPr>
        <w:t>Для улучшения контроля АГ у пациентов с синдромом обструктивного апноэ во</w:t>
      </w:r>
      <w:r w:rsidRPr="003B37B6">
        <w:rPr>
          <w:sz w:val="24"/>
          <w:szCs w:val="24"/>
        </w:rPr>
        <w:t xml:space="preserve"> </w:t>
      </w:r>
      <w:r w:rsidRPr="003B37B6">
        <w:rPr>
          <w:rStyle w:val="ac"/>
          <w:rFonts w:eastAsiaTheme="majorEastAsia"/>
          <w:sz w:val="24"/>
          <w:szCs w:val="24"/>
        </w:rPr>
        <w:t xml:space="preserve">время сна (СОАС) рекомендуется применение </w:t>
      </w:r>
      <w:r w:rsidRPr="003B37B6">
        <w:rPr>
          <w:rStyle w:val="ac"/>
          <w:rFonts w:eastAsiaTheme="majorEastAsia"/>
          <w:sz w:val="24"/>
          <w:szCs w:val="24"/>
          <w:lang w:val="en-US"/>
        </w:rPr>
        <w:t>CPAP</w:t>
      </w:r>
      <w:r w:rsidRPr="003B37B6">
        <w:rPr>
          <w:rStyle w:val="ac"/>
          <w:rFonts w:eastAsiaTheme="majorEastAsia"/>
          <w:sz w:val="24"/>
          <w:szCs w:val="24"/>
        </w:rPr>
        <w:t xml:space="preserve"> (“сипап”) — терапии (от англ. </w:t>
      </w:r>
      <w:r w:rsidRPr="003B37B6">
        <w:rPr>
          <w:rStyle w:val="ac"/>
          <w:rFonts w:eastAsiaTheme="majorEastAsia"/>
          <w:sz w:val="24"/>
          <w:szCs w:val="24"/>
          <w:lang w:val="en-US"/>
        </w:rPr>
        <w:t>Constant</w:t>
      </w:r>
      <w:r w:rsidRPr="003B37B6">
        <w:rPr>
          <w:rStyle w:val="ac"/>
          <w:rFonts w:eastAsiaTheme="majorEastAsia"/>
          <w:sz w:val="24"/>
          <w:szCs w:val="24"/>
        </w:rPr>
        <w:t xml:space="preserve"> </w:t>
      </w:r>
      <w:r w:rsidRPr="003B37B6">
        <w:rPr>
          <w:rStyle w:val="ac"/>
          <w:rFonts w:eastAsiaTheme="majorEastAsia"/>
          <w:sz w:val="24"/>
          <w:szCs w:val="24"/>
          <w:lang w:val="en-US"/>
        </w:rPr>
        <w:t>Positive</w:t>
      </w:r>
      <w:r w:rsidRPr="003B37B6">
        <w:rPr>
          <w:rStyle w:val="ac"/>
          <w:rFonts w:eastAsiaTheme="majorEastAsia"/>
          <w:sz w:val="24"/>
          <w:szCs w:val="24"/>
        </w:rPr>
        <w:t xml:space="preserve"> </w:t>
      </w:r>
      <w:r w:rsidRPr="003B37B6">
        <w:rPr>
          <w:rStyle w:val="ac"/>
          <w:rFonts w:eastAsiaTheme="majorEastAsia"/>
          <w:sz w:val="24"/>
          <w:szCs w:val="24"/>
          <w:lang w:val="en-US"/>
        </w:rPr>
        <w:t>Airway</w:t>
      </w:r>
      <w:r w:rsidRPr="003B37B6">
        <w:rPr>
          <w:rStyle w:val="ac"/>
          <w:rFonts w:eastAsiaTheme="majorEastAsia"/>
          <w:sz w:val="24"/>
          <w:szCs w:val="24"/>
        </w:rPr>
        <w:t xml:space="preserve"> </w:t>
      </w:r>
      <w:r w:rsidRPr="003B37B6">
        <w:rPr>
          <w:rStyle w:val="ac"/>
          <w:rFonts w:eastAsiaTheme="majorEastAsia"/>
          <w:sz w:val="24"/>
          <w:szCs w:val="24"/>
          <w:lang w:val="en-US"/>
        </w:rPr>
        <w:t>Pressure</w:t>
      </w:r>
      <w:r w:rsidRPr="003B37B6">
        <w:rPr>
          <w:rStyle w:val="ac"/>
          <w:rFonts w:eastAsiaTheme="majorEastAsia"/>
          <w:sz w:val="24"/>
          <w:szCs w:val="24"/>
        </w:rPr>
        <w:t>), заключающейся в создании непрерывного положительного давления в дыхательных путях аппаратным методом) [27, 331, 332].</w:t>
      </w:r>
    </w:p>
    <w:p w14:paraId="5D8059D0" w14:textId="797F2F31" w:rsidR="00217281" w:rsidRPr="003B37B6" w:rsidRDefault="00217281" w:rsidP="00217281">
      <w:pPr>
        <w:pStyle w:val="11"/>
        <w:ind w:firstLine="600"/>
        <w:jc w:val="both"/>
        <w:rPr>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1419E5" w:rsidRPr="003B37B6">
        <w:rPr>
          <w:rStyle w:val="ac"/>
          <w:rFonts w:eastAsiaTheme="majorEastAsia"/>
          <w:b/>
          <w:bCs/>
          <w:sz w:val="24"/>
          <w:szCs w:val="24"/>
        </w:rPr>
        <w:t xml:space="preserve"> </w:t>
      </w:r>
      <w:r w:rsidRPr="003B37B6">
        <w:rPr>
          <w:rStyle w:val="ac"/>
          <w:rFonts w:eastAsiaTheme="majorEastAsia"/>
          <w:b/>
          <w:bCs/>
          <w:sz w:val="24"/>
          <w:szCs w:val="24"/>
        </w:rPr>
        <w:t xml:space="preserve">А, </w:t>
      </w:r>
      <w:r w:rsidR="001419E5"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1)</w:t>
      </w:r>
      <w:r w:rsidR="001419E5" w:rsidRPr="003B37B6">
        <w:rPr>
          <w:rStyle w:val="ac"/>
          <w:rFonts w:eastAsiaTheme="majorEastAsia"/>
          <w:b/>
          <w:bCs/>
          <w:sz w:val="24"/>
          <w:szCs w:val="24"/>
        </w:rPr>
        <w:t>; ЕОК/ЕОАГ нет</w:t>
      </w:r>
      <w:r w:rsidR="00A60173" w:rsidRPr="003B37B6">
        <w:rPr>
          <w:rStyle w:val="ac"/>
          <w:rFonts w:eastAsiaTheme="majorEastAsia"/>
          <w:b/>
          <w:bCs/>
          <w:sz w:val="24"/>
          <w:szCs w:val="24"/>
        </w:rPr>
        <w:t>.</w:t>
      </w:r>
    </w:p>
    <w:p w14:paraId="20025828" w14:textId="77777777" w:rsidR="00217281" w:rsidRPr="003B37B6" w:rsidRDefault="00217281" w:rsidP="00217281">
      <w:pPr>
        <w:pStyle w:val="11"/>
        <w:ind w:firstLine="600"/>
        <w:jc w:val="both"/>
        <w:rPr>
          <w:sz w:val="24"/>
          <w:szCs w:val="24"/>
        </w:rPr>
      </w:pPr>
      <w:r w:rsidRPr="003B37B6">
        <w:rPr>
          <w:rStyle w:val="ac"/>
          <w:rFonts w:eastAsiaTheme="majorEastAsia"/>
          <w:b/>
          <w:bCs/>
          <w:sz w:val="24"/>
          <w:szCs w:val="24"/>
        </w:rPr>
        <w:t xml:space="preserve">Комментарии. </w:t>
      </w:r>
      <w:r w:rsidRPr="003B37B6">
        <w:rPr>
          <w:rStyle w:val="ac"/>
          <w:rFonts w:eastAsiaTheme="majorEastAsia"/>
          <w:i/>
          <w:iCs/>
          <w:sz w:val="24"/>
          <w:szCs w:val="24"/>
        </w:rPr>
        <w:t xml:space="preserve">СОАС характеризуется периодическим спадением верхних дыхательных путей на уровне глотки и прекращением легочной вентиляции при сохраняющихся дыхательных усилиях во время сна с последовательным снижением насыщения кислородом крови, грубой фрагментацией сна и выраженной дневной сонливостью. При СОАС, особенно тяжелой степени (индекс апноэ/гипопноэ &gt;30), </w:t>
      </w:r>
      <w:r w:rsidRPr="003B37B6">
        <w:rPr>
          <w:rStyle w:val="ac"/>
          <w:rFonts w:eastAsiaTheme="majorEastAsia"/>
          <w:i/>
          <w:iCs/>
          <w:sz w:val="24"/>
          <w:szCs w:val="24"/>
        </w:rPr>
        <w:lastRenderedPageBreak/>
        <w:t>происходит активация СНС, что приводит к повышению или недостаточному снижению АД в ночные часы, развитию эндотелиальной дисфункции, оксидативного стресса и увеличению риска развития ССО. На наличие СОАС должны быть обследованы пациенты с АГ с ожирением, резистентностью к АГТ, у которых по результатам СМАД имеется недостаточное снижение или повышение АД в ночные часы. Признаками, позволяющими заподозрить СОАС, являются: беспокойный, «неосвежающий» сон; учащенное ночное мочеиспускание; дневная сонливость; разбитость, утренние головные боли; хроническая усталость; снижение памяти и внимания; громкий, прерывистый храп; остановки дыхания во сне; увеличение массы тела и снижение потенции.</w:t>
      </w:r>
    </w:p>
    <w:p w14:paraId="14FCB6F9" w14:textId="1F4275CC" w:rsidR="00217281" w:rsidRPr="003B37B6" w:rsidRDefault="00217281" w:rsidP="00217281">
      <w:pPr>
        <w:pStyle w:val="11"/>
        <w:ind w:firstLine="600"/>
        <w:jc w:val="both"/>
        <w:rPr>
          <w:sz w:val="24"/>
          <w:szCs w:val="24"/>
        </w:rPr>
      </w:pPr>
      <w:r w:rsidRPr="003B37B6">
        <w:rPr>
          <w:rStyle w:val="ac"/>
          <w:rFonts w:eastAsiaTheme="majorEastAsia"/>
          <w:i/>
          <w:iCs/>
          <w:sz w:val="24"/>
          <w:szCs w:val="24"/>
        </w:rPr>
        <w:t>Для скрининга СОАС можно использовать опросник шкалы сонливости по Эпфорт (</w:t>
      </w:r>
      <w:r w:rsidRPr="003B37B6">
        <w:rPr>
          <w:rStyle w:val="ac"/>
          <w:rFonts w:eastAsiaTheme="majorEastAsia"/>
          <w:i/>
          <w:iCs/>
          <w:sz w:val="24"/>
          <w:szCs w:val="24"/>
          <w:lang w:val="en-US"/>
        </w:rPr>
        <w:t>Epworth</w:t>
      </w:r>
      <w:r w:rsidRPr="003B37B6">
        <w:rPr>
          <w:rStyle w:val="ac"/>
          <w:rFonts w:eastAsiaTheme="majorEastAsia"/>
          <w:i/>
          <w:iCs/>
          <w:sz w:val="24"/>
          <w:szCs w:val="24"/>
        </w:rPr>
        <w:t xml:space="preserve"> </w:t>
      </w:r>
      <w:r w:rsidRPr="003B37B6">
        <w:rPr>
          <w:rStyle w:val="ac"/>
          <w:rFonts w:eastAsiaTheme="majorEastAsia"/>
          <w:i/>
          <w:iCs/>
          <w:sz w:val="24"/>
          <w:szCs w:val="24"/>
          <w:lang w:val="en-US"/>
        </w:rPr>
        <w:t>Sleepiness</w:t>
      </w:r>
      <w:r w:rsidRPr="003B37B6">
        <w:rPr>
          <w:rStyle w:val="ac"/>
          <w:rFonts w:eastAsiaTheme="majorEastAsia"/>
          <w:i/>
          <w:iCs/>
          <w:sz w:val="24"/>
          <w:szCs w:val="24"/>
        </w:rPr>
        <w:t xml:space="preserve"> </w:t>
      </w:r>
      <w:r w:rsidRPr="003B37B6">
        <w:rPr>
          <w:rStyle w:val="ac"/>
          <w:rFonts w:eastAsiaTheme="majorEastAsia"/>
          <w:i/>
          <w:iCs/>
          <w:sz w:val="24"/>
          <w:szCs w:val="24"/>
          <w:lang w:val="en-US"/>
        </w:rPr>
        <w:t>Scale</w:t>
      </w:r>
      <w:r w:rsidRPr="003B37B6">
        <w:rPr>
          <w:rStyle w:val="ac"/>
          <w:rFonts w:eastAsiaTheme="majorEastAsia"/>
          <w:i/>
          <w:iCs/>
          <w:sz w:val="24"/>
          <w:szCs w:val="24"/>
        </w:rPr>
        <w:t>), компьютерную пульсоксиметрию.</w:t>
      </w:r>
    </w:p>
    <w:p w14:paraId="3E042A07" w14:textId="77777777" w:rsidR="00217281" w:rsidRPr="003B37B6" w:rsidRDefault="00217281" w:rsidP="00217281">
      <w:pPr>
        <w:pStyle w:val="11"/>
        <w:ind w:firstLine="600"/>
        <w:jc w:val="both"/>
        <w:rPr>
          <w:sz w:val="24"/>
          <w:szCs w:val="24"/>
        </w:rPr>
      </w:pPr>
      <w:r w:rsidRPr="003B37B6">
        <w:rPr>
          <w:rStyle w:val="ac"/>
          <w:rFonts w:eastAsiaTheme="majorEastAsia"/>
          <w:i/>
          <w:iCs/>
          <w:sz w:val="24"/>
          <w:szCs w:val="24"/>
        </w:rPr>
        <w:t>Для постановки диагноза и оценки степени тяжести СОАС проводится респираторное или кардиореспираторное мониторирование. Золотой стандарт выявления СОАС — полисомнографическое исследование.</w:t>
      </w:r>
    </w:p>
    <w:p w14:paraId="40CD1187" w14:textId="77777777" w:rsidR="00217281" w:rsidRPr="003B37B6" w:rsidRDefault="00217281" w:rsidP="00A60173">
      <w:pPr>
        <w:pStyle w:val="11"/>
        <w:ind w:firstLine="567"/>
        <w:jc w:val="both"/>
        <w:rPr>
          <w:sz w:val="24"/>
          <w:szCs w:val="24"/>
        </w:rPr>
      </w:pPr>
      <w:r w:rsidRPr="003B37B6">
        <w:rPr>
          <w:rStyle w:val="ac"/>
          <w:rFonts w:eastAsiaTheme="majorEastAsia"/>
          <w:i/>
          <w:iCs/>
          <w:sz w:val="24"/>
          <w:szCs w:val="24"/>
        </w:rPr>
        <w:t xml:space="preserve">Лечение пациентов с СОАС включает снижение веса у пациентов с ожирением, отказ от курения, приема транквилизаторов и снотворных препаратов, а также проведение мероприятий, направленных на обеспечение свободного носового дыхания. Основной метод лечения пациентов с СОАС — </w:t>
      </w:r>
      <w:r w:rsidRPr="003B37B6">
        <w:rPr>
          <w:rStyle w:val="ac"/>
          <w:rFonts w:eastAsiaTheme="majorEastAsia"/>
          <w:i/>
          <w:iCs/>
          <w:sz w:val="24"/>
          <w:szCs w:val="24"/>
          <w:lang w:val="en-US"/>
        </w:rPr>
        <w:t>CPAP</w:t>
      </w:r>
      <w:r w:rsidRPr="003B37B6">
        <w:rPr>
          <w:rStyle w:val="ac"/>
          <w:rFonts w:eastAsiaTheme="majorEastAsia"/>
          <w:i/>
          <w:iCs/>
          <w:sz w:val="24"/>
          <w:szCs w:val="24"/>
        </w:rPr>
        <w:t xml:space="preserve"> терапия (создание постоянного положительного давления воздуха в дыхательных путях — </w:t>
      </w:r>
      <w:r w:rsidRPr="003B37B6">
        <w:rPr>
          <w:rStyle w:val="ac"/>
          <w:rFonts w:eastAsiaTheme="majorEastAsia"/>
          <w:i/>
          <w:iCs/>
          <w:sz w:val="24"/>
          <w:szCs w:val="24"/>
          <w:lang w:val="en-US"/>
        </w:rPr>
        <w:t>Continuous</w:t>
      </w:r>
      <w:r w:rsidRPr="003B37B6">
        <w:rPr>
          <w:rStyle w:val="ac"/>
          <w:rFonts w:eastAsiaTheme="majorEastAsia"/>
          <w:i/>
          <w:iCs/>
          <w:sz w:val="24"/>
          <w:szCs w:val="24"/>
        </w:rPr>
        <w:t xml:space="preserve"> </w:t>
      </w:r>
      <w:r w:rsidRPr="003B37B6">
        <w:rPr>
          <w:rStyle w:val="ac"/>
          <w:rFonts w:eastAsiaTheme="majorEastAsia"/>
          <w:i/>
          <w:iCs/>
          <w:sz w:val="24"/>
          <w:szCs w:val="24"/>
          <w:lang w:val="en-US"/>
        </w:rPr>
        <w:t>Positive</w:t>
      </w:r>
      <w:r w:rsidRPr="003B37B6">
        <w:rPr>
          <w:rStyle w:val="ac"/>
          <w:rFonts w:eastAsiaTheme="majorEastAsia"/>
          <w:i/>
          <w:iCs/>
          <w:sz w:val="24"/>
          <w:szCs w:val="24"/>
        </w:rPr>
        <w:t xml:space="preserve"> </w:t>
      </w:r>
      <w:r w:rsidRPr="003B37B6">
        <w:rPr>
          <w:rStyle w:val="ac"/>
          <w:rFonts w:eastAsiaTheme="majorEastAsia"/>
          <w:i/>
          <w:iCs/>
          <w:sz w:val="24"/>
          <w:szCs w:val="24"/>
          <w:lang w:val="en-US"/>
        </w:rPr>
        <w:t>Airways</w:t>
      </w:r>
      <w:r w:rsidRPr="003B37B6">
        <w:rPr>
          <w:rStyle w:val="ac"/>
          <w:rFonts w:eastAsiaTheme="majorEastAsia"/>
          <w:i/>
          <w:iCs/>
          <w:sz w:val="24"/>
          <w:szCs w:val="24"/>
        </w:rPr>
        <w:t xml:space="preserve"> </w:t>
      </w:r>
      <w:r w:rsidRPr="003B37B6">
        <w:rPr>
          <w:rStyle w:val="ac"/>
          <w:rFonts w:eastAsiaTheme="majorEastAsia"/>
          <w:i/>
          <w:iCs/>
          <w:sz w:val="24"/>
          <w:szCs w:val="24"/>
          <w:lang w:val="en-US"/>
        </w:rPr>
        <w:t>Pressure</w:t>
      </w:r>
      <w:r w:rsidRPr="003B37B6">
        <w:rPr>
          <w:rStyle w:val="ac"/>
          <w:rFonts w:eastAsiaTheme="majorEastAsia"/>
          <w:i/>
          <w:iCs/>
          <w:sz w:val="24"/>
          <w:szCs w:val="24"/>
        </w:rPr>
        <w:t xml:space="preserve">). При </w:t>
      </w:r>
      <w:r w:rsidRPr="003B37B6">
        <w:rPr>
          <w:rStyle w:val="ac"/>
          <w:rFonts w:eastAsiaTheme="majorEastAsia"/>
          <w:i/>
          <w:iCs/>
          <w:sz w:val="24"/>
          <w:szCs w:val="24"/>
          <w:lang w:val="en-US"/>
        </w:rPr>
        <w:t>CPAP</w:t>
      </w:r>
      <w:r w:rsidRPr="003B37B6">
        <w:rPr>
          <w:rStyle w:val="ac"/>
          <w:rFonts w:eastAsiaTheme="majorEastAsia"/>
          <w:i/>
          <w:iCs/>
          <w:sz w:val="24"/>
          <w:szCs w:val="24"/>
        </w:rPr>
        <w:t xml:space="preserve"> терапии поток нагнетаемого под давлением воздуха предотвращает спадение верхних дыхательных путей. Для СРАР терапии применяются аппараты с индивидуальными режимами вентиляции, обеспечивающими максимально эффективное их использование</w:t>
      </w:r>
      <w:r w:rsidRPr="003B37B6">
        <w:rPr>
          <w:rStyle w:val="ac"/>
          <w:rFonts w:eastAsiaTheme="majorEastAsia"/>
          <w:sz w:val="24"/>
          <w:szCs w:val="24"/>
        </w:rPr>
        <w:t xml:space="preserve"> [333]</w:t>
      </w:r>
      <w:r w:rsidRPr="003B37B6">
        <w:rPr>
          <w:rStyle w:val="ac"/>
          <w:rFonts w:eastAsiaTheme="majorEastAsia"/>
          <w:i/>
          <w:iCs/>
          <w:sz w:val="24"/>
          <w:szCs w:val="24"/>
        </w:rPr>
        <w:t>.</w:t>
      </w:r>
    </w:p>
    <w:p w14:paraId="162650B8" w14:textId="77777777" w:rsidR="00217281" w:rsidRPr="003B37B6" w:rsidRDefault="00217281" w:rsidP="00217281">
      <w:pPr>
        <w:pStyle w:val="11"/>
        <w:tabs>
          <w:tab w:val="left" w:pos="1428"/>
        </w:tabs>
        <w:ind w:firstLine="0"/>
        <w:jc w:val="center"/>
        <w:rPr>
          <w:sz w:val="24"/>
          <w:szCs w:val="24"/>
        </w:rPr>
      </w:pPr>
      <w:bookmarkStart w:id="47" w:name="bookmark36"/>
      <w:r w:rsidRPr="003B37B6">
        <w:rPr>
          <w:rStyle w:val="ac"/>
          <w:rFonts w:eastAsiaTheme="majorEastAsia"/>
          <w:b/>
          <w:bCs/>
          <w:sz w:val="24"/>
          <w:szCs w:val="24"/>
        </w:rPr>
        <w:t>Артериальная гипертензия в периоперационном периоде</w:t>
      </w:r>
      <w:bookmarkEnd w:id="47"/>
    </w:p>
    <w:p w14:paraId="56F3732A" w14:textId="77777777" w:rsidR="00217281" w:rsidRPr="003B37B6" w:rsidRDefault="00217281">
      <w:pPr>
        <w:pStyle w:val="11"/>
        <w:numPr>
          <w:ilvl w:val="0"/>
          <w:numId w:val="26"/>
        </w:numPr>
        <w:tabs>
          <w:tab w:val="left" w:pos="1284"/>
        </w:tabs>
        <w:ind w:firstLine="580"/>
        <w:jc w:val="both"/>
        <w:rPr>
          <w:sz w:val="24"/>
          <w:szCs w:val="24"/>
        </w:rPr>
      </w:pPr>
      <w:r w:rsidRPr="003B37B6">
        <w:rPr>
          <w:rStyle w:val="ac"/>
          <w:rFonts w:eastAsiaTheme="majorEastAsia"/>
          <w:sz w:val="24"/>
          <w:szCs w:val="24"/>
        </w:rPr>
        <w:t>При впервые выявленной АГ перед плановым хирургическим вмешательством</w:t>
      </w:r>
    </w:p>
    <w:p w14:paraId="549607AB" w14:textId="77777777" w:rsidR="00217281" w:rsidRPr="003B37B6" w:rsidRDefault="00217281" w:rsidP="00217281">
      <w:pPr>
        <w:pStyle w:val="11"/>
        <w:ind w:firstLine="0"/>
        <w:jc w:val="both"/>
        <w:rPr>
          <w:sz w:val="24"/>
          <w:szCs w:val="24"/>
        </w:rPr>
      </w:pPr>
      <w:r w:rsidRPr="003B37B6">
        <w:rPr>
          <w:rStyle w:val="ac"/>
          <w:rFonts w:eastAsiaTheme="majorEastAsia"/>
          <w:sz w:val="24"/>
          <w:szCs w:val="24"/>
        </w:rPr>
        <w:t xml:space="preserve">рекомендуется провести обследование в объеме, предусмотренном п. 2 данных рекомендаций, с целью выявления ПОМ и оценки </w:t>
      </w:r>
      <w:r w:rsidRPr="003B37B6">
        <w:rPr>
          <w:rStyle w:val="ac"/>
          <w:rFonts w:eastAsiaTheme="majorEastAsia"/>
          <w:sz w:val="24"/>
          <w:szCs w:val="24"/>
          <w:lang w:val="en-US"/>
        </w:rPr>
        <w:t>CC</w:t>
      </w:r>
      <w:r w:rsidRPr="003B37B6">
        <w:rPr>
          <w:rStyle w:val="ac"/>
          <w:rFonts w:eastAsiaTheme="majorEastAsia"/>
          <w:sz w:val="24"/>
          <w:szCs w:val="24"/>
        </w:rPr>
        <w:t xml:space="preserve"> риска [27].</w:t>
      </w:r>
    </w:p>
    <w:p w14:paraId="1AB11D2A" w14:textId="7497B18E" w:rsidR="00217281" w:rsidRPr="003B37B6" w:rsidRDefault="00217281" w:rsidP="00217281">
      <w:pPr>
        <w:pStyle w:val="11"/>
        <w:ind w:firstLine="580"/>
        <w:jc w:val="both"/>
        <w:rPr>
          <w:rStyle w:val="ac"/>
          <w:rFonts w:eastAsiaTheme="majorEastAsia"/>
          <w:b/>
          <w:bCs/>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1419E5" w:rsidRPr="003B37B6">
        <w:rPr>
          <w:rStyle w:val="ac"/>
          <w:rFonts w:eastAsiaTheme="majorEastAsia"/>
          <w:b/>
          <w:bCs/>
          <w:sz w:val="24"/>
          <w:szCs w:val="24"/>
        </w:rPr>
        <w:t xml:space="preserve"> </w:t>
      </w:r>
      <w:r w:rsidRPr="003B37B6">
        <w:rPr>
          <w:rStyle w:val="ac"/>
          <w:rFonts w:eastAsiaTheme="majorEastAsia"/>
          <w:b/>
          <w:bCs/>
          <w:sz w:val="24"/>
          <w:szCs w:val="24"/>
          <w:lang w:val="en-US"/>
        </w:rPr>
        <w:t>C</w:t>
      </w:r>
      <w:r w:rsidRPr="003B37B6">
        <w:rPr>
          <w:rStyle w:val="ac"/>
          <w:rFonts w:eastAsiaTheme="majorEastAsia"/>
          <w:b/>
          <w:bCs/>
          <w:sz w:val="24"/>
          <w:szCs w:val="24"/>
        </w:rPr>
        <w:t xml:space="preserve">, </w:t>
      </w:r>
      <w:r w:rsidR="001419E5"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5</w:t>
      </w:r>
      <w:r w:rsidR="001419E5" w:rsidRPr="003B37B6">
        <w:rPr>
          <w:rStyle w:val="ac"/>
          <w:rFonts w:eastAsiaTheme="majorEastAsia"/>
          <w:b/>
          <w:bCs/>
          <w:sz w:val="24"/>
          <w:szCs w:val="24"/>
        </w:rPr>
        <w:t>); ЕОК/ЕОАГ IС</w:t>
      </w:r>
      <w:r w:rsidR="00A60173" w:rsidRPr="003B37B6">
        <w:rPr>
          <w:rStyle w:val="ac"/>
          <w:rFonts w:eastAsiaTheme="majorEastAsia"/>
          <w:b/>
          <w:bCs/>
          <w:sz w:val="24"/>
          <w:szCs w:val="24"/>
        </w:rPr>
        <w:t>.</w:t>
      </w:r>
    </w:p>
    <w:p w14:paraId="63FACAC8" w14:textId="0C08A91E" w:rsidR="001419E5" w:rsidRPr="003B37B6" w:rsidRDefault="001419E5" w:rsidP="00217281">
      <w:pPr>
        <w:pStyle w:val="11"/>
        <w:ind w:firstLine="580"/>
        <w:jc w:val="both"/>
        <w:rPr>
          <w:i/>
          <w:iCs/>
          <w:sz w:val="28"/>
          <w:szCs w:val="28"/>
        </w:rPr>
      </w:pPr>
      <w:r w:rsidRPr="003B37B6">
        <w:rPr>
          <w:rStyle w:val="aff9"/>
          <w:rFonts w:eastAsiaTheme="majorEastAsia"/>
          <w:sz w:val="24"/>
          <w:szCs w:val="24"/>
        </w:rPr>
        <w:t xml:space="preserve">Комментарии: </w:t>
      </w:r>
      <w:r w:rsidRPr="003B37B6">
        <w:rPr>
          <w:i/>
          <w:iCs/>
          <w:sz w:val="24"/>
          <w:szCs w:val="24"/>
        </w:rPr>
        <w:t xml:space="preserve">При впервые выявленной артериальной гипертензии (АГ) перед плановым хирургическим вмешательством важно провести комплексное обследование в объеме, предусмотренном пунктом 2 данных рекомендаций. Это необходимо для выявления поражения органов-мишеней (ПОМ) и оценки сердечно-сосудистого (СС) риска пациента. Такая предварительная диагностика позволяет оптимизировать подготовку к операции, </w:t>
      </w:r>
      <w:r w:rsidRPr="003B37B6">
        <w:rPr>
          <w:i/>
          <w:iCs/>
          <w:sz w:val="24"/>
          <w:szCs w:val="24"/>
        </w:rPr>
        <w:lastRenderedPageBreak/>
        <w:t>снизить вероятность осложнений и выбрать наиболее безопасную стратегию ведения пациента в периоперационном периоде.</w:t>
      </w:r>
    </w:p>
    <w:p w14:paraId="17B89945" w14:textId="77777777" w:rsidR="00217281" w:rsidRPr="003B37B6" w:rsidRDefault="00217281">
      <w:pPr>
        <w:pStyle w:val="11"/>
        <w:numPr>
          <w:ilvl w:val="0"/>
          <w:numId w:val="26"/>
        </w:numPr>
        <w:tabs>
          <w:tab w:val="left" w:pos="1284"/>
        </w:tabs>
        <w:ind w:firstLine="580"/>
        <w:jc w:val="both"/>
        <w:rPr>
          <w:sz w:val="24"/>
          <w:szCs w:val="24"/>
        </w:rPr>
      </w:pPr>
      <w:r w:rsidRPr="003B37B6">
        <w:rPr>
          <w:rStyle w:val="ac"/>
          <w:rFonts w:eastAsiaTheme="majorEastAsia"/>
          <w:sz w:val="24"/>
          <w:szCs w:val="24"/>
        </w:rPr>
        <w:t>Всем пациентам с АГ рекомендуется избегать существенных колебаний АД (более</w:t>
      </w:r>
      <w:r w:rsidRPr="003B37B6">
        <w:rPr>
          <w:sz w:val="24"/>
          <w:szCs w:val="24"/>
        </w:rPr>
        <w:t xml:space="preserve"> </w:t>
      </w:r>
      <w:r w:rsidRPr="003B37B6">
        <w:rPr>
          <w:rStyle w:val="ac"/>
          <w:rFonts w:eastAsiaTheme="majorEastAsia"/>
          <w:sz w:val="24"/>
          <w:szCs w:val="24"/>
        </w:rPr>
        <w:t>10%) в периоперационном периоде [27, 334, 335].</w:t>
      </w:r>
    </w:p>
    <w:p w14:paraId="1FDCAAB5" w14:textId="7A837A56" w:rsidR="00217281" w:rsidRPr="003B37B6" w:rsidRDefault="00217281" w:rsidP="00217281">
      <w:pPr>
        <w:pStyle w:val="11"/>
        <w:ind w:firstLine="580"/>
        <w:jc w:val="both"/>
        <w:rPr>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1419E5" w:rsidRPr="003B37B6">
        <w:rPr>
          <w:rStyle w:val="ac"/>
          <w:rFonts w:eastAsiaTheme="majorEastAsia"/>
          <w:b/>
          <w:bCs/>
          <w:sz w:val="24"/>
          <w:szCs w:val="24"/>
        </w:rPr>
        <w:t xml:space="preserve"> </w:t>
      </w:r>
      <w:r w:rsidRPr="003B37B6">
        <w:rPr>
          <w:rStyle w:val="ac"/>
          <w:rFonts w:eastAsiaTheme="majorEastAsia"/>
          <w:b/>
          <w:bCs/>
          <w:sz w:val="24"/>
          <w:szCs w:val="24"/>
          <w:lang w:val="en-US"/>
        </w:rPr>
        <w:t>B</w:t>
      </w:r>
      <w:r w:rsidRPr="003B37B6">
        <w:rPr>
          <w:rStyle w:val="ac"/>
          <w:rFonts w:eastAsiaTheme="majorEastAsia"/>
          <w:b/>
          <w:bCs/>
          <w:sz w:val="24"/>
          <w:szCs w:val="24"/>
        </w:rPr>
        <w:t xml:space="preserve">, </w:t>
      </w:r>
      <w:r w:rsidR="001419E5"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2)</w:t>
      </w:r>
      <w:r w:rsidR="001419E5" w:rsidRPr="003B37B6">
        <w:rPr>
          <w:rStyle w:val="ac"/>
          <w:rFonts w:eastAsiaTheme="majorEastAsia"/>
          <w:b/>
          <w:bCs/>
          <w:sz w:val="24"/>
          <w:szCs w:val="24"/>
        </w:rPr>
        <w:t>; ЕОК/ЕОАГ IС</w:t>
      </w:r>
      <w:r w:rsidR="00A60173" w:rsidRPr="003B37B6">
        <w:rPr>
          <w:rStyle w:val="ac"/>
          <w:rFonts w:eastAsiaTheme="majorEastAsia"/>
          <w:b/>
          <w:bCs/>
          <w:sz w:val="24"/>
          <w:szCs w:val="24"/>
        </w:rPr>
        <w:t>.</w:t>
      </w:r>
    </w:p>
    <w:p w14:paraId="6F8DB5E5" w14:textId="38BE9C87" w:rsidR="00217281" w:rsidRPr="003B37B6" w:rsidRDefault="00217281" w:rsidP="00217281">
      <w:pPr>
        <w:pStyle w:val="11"/>
        <w:ind w:firstLine="580"/>
        <w:jc w:val="both"/>
        <w:rPr>
          <w:sz w:val="24"/>
          <w:szCs w:val="24"/>
        </w:rPr>
      </w:pPr>
      <w:r w:rsidRPr="003B37B6">
        <w:rPr>
          <w:rStyle w:val="ac"/>
          <w:rFonts w:eastAsiaTheme="majorEastAsia"/>
          <w:b/>
          <w:bCs/>
          <w:sz w:val="24"/>
          <w:szCs w:val="24"/>
        </w:rPr>
        <w:t xml:space="preserve">Комментарии. </w:t>
      </w:r>
      <w:r w:rsidRPr="003B37B6">
        <w:rPr>
          <w:rStyle w:val="ac"/>
          <w:rFonts w:eastAsiaTheme="majorEastAsia"/>
          <w:i/>
          <w:iCs/>
          <w:sz w:val="24"/>
          <w:szCs w:val="24"/>
        </w:rPr>
        <w:t>Можно не откладывать некардиохирургическое вмешательство у пациентов с АГ 1–2-й степени (</w:t>
      </w:r>
      <w:r w:rsidR="001419E5" w:rsidRPr="003B37B6">
        <w:rPr>
          <w:rStyle w:val="ac"/>
          <w:rFonts w:eastAsiaTheme="majorEastAsia"/>
          <w:i/>
          <w:iCs/>
          <w:sz w:val="24"/>
          <w:szCs w:val="24"/>
        </w:rPr>
        <w:t>САД &lt;</w:t>
      </w:r>
      <w:r w:rsidRPr="003B37B6">
        <w:rPr>
          <w:rStyle w:val="ac"/>
          <w:rFonts w:eastAsiaTheme="majorEastAsia"/>
          <w:i/>
          <w:iCs/>
          <w:sz w:val="24"/>
          <w:szCs w:val="24"/>
        </w:rPr>
        <w:t>180 мм рт. ст. и ДАД &lt;110 мм рт. ст.)</w:t>
      </w:r>
      <w:r w:rsidRPr="003B37B6">
        <w:rPr>
          <w:rStyle w:val="ac"/>
          <w:rFonts w:eastAsiaTheme="majorEastAsia"/>
          <w:sz w:val="24"/>
          <w:szCs w:val="24"/>
        </w:rPr>
        <w:t xml:space="preserve"> [27].</w:t>
      </w:r>
    </w:p>
    <w:p w14:paraId="2A8811B9" w14:textId="77777777" w:rsidR="00217281" w:rsidRPr="003B37B6" w:rsidRDefault="00217281">
      <w:pPr>
        <w:pStyle w:val="11"/>
        <w:numPr>
          <w:ilvl w:val="0"/>
          <w:numId w:val="26"/>
        </w:numPr>
        <w:tabs>
          <w:tab w:val="left" w:pos="1284"/>
        </w:tabs>
        <w:ind w:firstLine="580"/>
        <w:jc w:val="both"/>
        <w:rPr>
          <w:sz w:val="24"/>
          <w:szCs w:val="24"/>
        </w:rPr>
      </w:pPr>
      <w:r w:rsidRPr="003B37B6">
        <w:rPr>
          <w:rStyle w:val="ac"/>
          <w:rFonts w:eastAsiaTheme="majorEastAsia"/>
          <w:sz w:val="24"/>
          <w:szCs w:val="24"/>
        </w:rPr>
        <w:t>Пациентам с АГ, длительно получающим ББ, рекомендуется продолжить терапию в</w:t>
      </w:r>
      <w:r w:rsidRPr="003B37B6">
        <w:rPr>
          <w:sz w:val="24"/>
          <w:szCs w:val="24"/>
        </w:rPr>
        <w:t xml:space="preserve"> </w:t>
      </w:r>
      <w:r w:rsidRPr="003B37B6">
        <w:rPr>
          <w:rStyle w:val="ac"/>
          <w:rFonts w:eastAsiaTheme="majorEastAsia"/>
          <w:sz w:val="24"/>
          <w:szCs w:val="24"/>
        </w:rPr>
        <w:t>периоперационном периоде для контроля АД [336, 337].</w:t>
      </w:r>
    </w:p>
    <w:p w14:paraId="411C9FAD" w14:textId="71D00F9E" w:rsidR="00217281" w:rsidRPr="003B37B6" w:rsidRDefault="00217281" w:rsidP="00217281">
      <w:pPr>
        <w:pStyle w:val="11"/>
        <w:ind w:firstLine="580"/>
        <w:jc w:val="both"/>
        <w:rPr>
          <w:rStyle w:val="ac"/>
          <w:rFonts w:eastAsiaTheme="majorEastAsia"/>
          <w:b/>
          <w:bCs/>
          <w:sz w:val="24"/>
          <w:szCs w:val="24"/>
        </w:rPr>
      </w:pPr>
      <w:r w:rsidRPr="003B37B6">
        <w:rPr>
          <w:rStyle w:val="ac"/>
          <w:rFonts w:eastAsiaTheme="majorEastAsia"/>
          <w:b/>
          <w:bCs/>
          <w:sz w:val="24"/>
          <w:szCs w:val="24"/>
        </w:rPr>
        <w:t>(</w:t>
      </w:r>
      <w:r w:rsidR="003D51B3" w:rsidRPr="003B37B6">
        <w:rPr>
          <w:rStyle w:val="ac"/>
          <w:rFonts w:eastAsiaTheme="majorEastAsia"/>
          <w:b/>
          <w:bCs/>
          <w:sz w:val="24"/>
          <w:szCs w:val="24"/>
        </w:rPr>
        <w:t>Уровень убедительности рекомендаций</w:t>
      </w:r>
      <w:r w:rsidR="001419E5" w:rsidRPr="003B37B6">
        <w:rPr>
          <w:rStyle w:val="ac"/>
          <w:rFonts w:eastAsiaTheme="majorEastAsia"/>
          <w:b/>
          <w:bCs/>
          <w:sz w:val="24"/>
          <w:szCs w:val="24"/>
        </w:rPr>
        <w:t xml:space="preserve"> </w:t>
      </w:r>
      <w:r w:rsidRPr="003B37B6">
        <w:rPr>
          <w:rStyle w:val="ac"/>
          <w:rFonts w:eastAsiaTheme="majorEastAsia"/>
          <w:b/>
          <w:bCs/>
          <w:sz w:val="24"/>
          <w:szCs w:val="24"/>
        </w:rPr>
        <w:t xml:space="preserve">С, </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4)</w:t>
      </w:r>
      <w:r w:rsidR="001419E5" w:rsidRPr="003B37B6">
        <w:rPr>
          <w:rStyle w:val="ac"/>
          <w:rFonts w:eastAsiaTheme="majorEastAsia"/>
          <w:b/>
          <w:bCs/>
          <w:sz w:val="24"/>
          <w:szCs w:val="24"/>
        </w:rPr>
        <w:t>;</w:t>
      </w:r>
      <w:r w:rsidR="00A60173" w:rsidRPr="003B37B6">
        <w:rPr>
          <w:rStyle w:val="ac"/>
          <w:rFonts w:eastAsiaTheme="majorEastAsia"/>
          <w:b/>
          <w:bCs/>
          <w:sz w:val="24"/>
          <w:szCs w:val="24"/>
        </w:rPr>
        <w:t xml:space="preserve"> </w:t>
      </w:r>
      <w:r w:rsidR="001419E5" w:rsidRPr="003B37B6">
        <w:rPr>
          <w:rStyle w:val="ac"/>
          <w:rFonts w:eastAsiaTheme="majorEastAsia"/>
          <w:b/>
          <w:bCs/>
          <w:sz w:val="24"/>
          <w:szCs w:val="24"/>
        </w:rPr>
        <w:t>ЕОК/ЕОАГ IВ</w:t>
      </w:r>
      <w:r w:rsidR="00A60173" w:rsidRPr="003B37B6">
        <w:rPr>
          <w:rStyle w:val="ac"/>
          <w:rFonts w:eastAsiaTheme="majorEastAsia"/>
          <w:b/>
          <w:bCs/>
          <w:sz w:val="24"/>
          <w:szCs w:val="24"/>
        </w:rPr>
        <w:t>.</w:t>
      </w:r>
    </w:p>
    <w:p w14:paraId="38310EEC" w14:textId="1148C90F" w:rsidR="00F05685" w:rsidRPr="003B37B6" w:rsidRDefault="00F05685" w:rsidP="00217281">
      <w:pPr>
        <w:pStyle w:val="11"/>
        <w:ind w:firstLine="580"/>
        <w:jc w:val="both"/>
        <w:rPr>
          <w:i/>
          <w:iCs/>
          <w:sz w:val="28"/>
          <w:szCs w:val="28"/>
        </w:rPr>
      </w:pPr>
      <w:r w:rsidRPr="003B37B6">
        <w:rPr>
          <w:rStyle w:val="ac"/>
          <w:rFonts w:eastAsiaTheme="majorEastAsia"/>
          <w:b/>
          <w:bCs/>
          <w:sz w:val="24"/>
          <w:szCs w:val="24"/>
        </w:rPr>
        <w:t>Комментарии:</w:t>
      </w:r>
      <w:r w:rsidRPr="003B37B6">
        <w:rPr>
          <w:rStyle w:val="ac"/>
          <w:rFonts w:eastAsiaTheme="majorEastAsia"/>
          <w:b/>
          <w:bCs/>
          <w:sz w:val="28"/>
          <w:szCs w:val="28"/>
        </w:rPr>
        <w:t xml:space="preserve"> </w:t>
      </w:r>
      <w:r w:rsidRPr="003B37B6">
        <w:rPr>
          <w:i/>
          <w:iCs/>
          <w:sz w:val="24"/>
          <w:szCs w:val="24"/>
        </w:rPr>
        <w:t>Прерывание приёма ББ может привести к развитию синдрома отмены, усугублению артериальной гипертензии и увеличению риска сердечно-сосудистых осложнений. Продолжение терапии способствует стабильному контролю артериального давления и снижению риска неблагоприятных событий во время и после операции.</w:t>
      </w:r>
    </w:p>
    <w:p w14:paraId="022695E7" w14:textId="77777777" w:rsidR="00217281" w:rsidRPr="003B37B6" w:rsidRDefault="00217281">
      <w:pPr>
        <w:pStyle w:val="11"/>
        <w:numPr>
          <w:ilvl w:val="0"/>
          <w:numId w:val="26"/>
        </w:numPr>
        <w:tabs>
          <w:tab w:val="left" w:pos="1284"/>
        </w:tabs>
        <w:ind w:firstLine="580"/>
        <w:jc w:val="both"/>
        <w:rPr>
          <w:sz w:val="24"/>
          <w:szCs w:val="24"/>
        </w:rPr>
      </w:pPr>
      <w:r w:rsidRPr="003B37B6">
        <w:rPr>
          <w:rStyle w:val="ac"/>
          <w:rFonts w:eastAsiaTheme="majorEastAsia"/>
          <w:sz w:val="24"/>
          <w:szCs w:val="24"/>
        </w:rPr>
        <w:t>Резкая отмена ББ или препаратов центрального действия (например, клонидина**)</w:t>
      </w:r>
      <w:r w:rsidRPr="003B37B6">
        <w:rPr>
          <w:sz w:val="24"/>
          <w:szCs w:val="24"/>
        </w:rPr>
        <w:t xml:space="preserve"> </w:t>
      </w:r>
      <w:r w:rsidRPr="003B37B6">
        <w:rPr>
          <w:rStyle w:val="ac"/>
          <w:rFonts w:eastAsiaTheme="majorEastAsia"/>
          <w:sz w:val="24"/>
          <w:szCs w:val="24"/>
        </w:rPr>
        <w:t>потенциально опасна и не рекомендуется [338, 12].</w:t>
      </w:r>
    </w:p>
    <w:p w14:paraId="1D518188" w14:textId="27394787" w:rsidR="00217281" w:rsidRPr="003B37B6" w:rsidRDefault="003D51B3" w:rsidP="00217281">
      <w:pPr>
        <w:pStyle w:val="11"/>
        <w:ind w:firstLine="580"/>
        <w:jc w:val="both"/>
        <w:rPr>
          <w:rStyle w:val="ac"/>
          <w:rFonts w:eastAsiaTheme="majorEastAsia"/>
          <w:b/>
          <w:bCs/>
          <w:sz w:val="24"/>
          <w:szCs w:val="24"/>
        </w:rPr>
      </w:pPr>
      <w:r w:rsidRPr="003B37B6">
        <w:rPr>
          <w:rStyle w:val="ac"/>
          <w:rFonts w:eastAsiaTheme="majorEastAsia"/>
          <w:b/>
          <w:bCs/>
          <w:sz w:val="24"/>
          <w:szCs w:val="24"/>
        </w:rPr>
        <w:t>Уровень убедительности рекомендаций</w:t>
      </w:r>
      <w:r w:rsidR="006F58AF" w:rsidRPr="003B37B6">
        <w:rPr>
          <w:rStyle w:val="ac"/>
          <w:rFonts w:eastAsiaTheme="majorEastAsia"/>
          <w:b/>
          <w:bCs/>
          <w:sz w:val="24"/>
          <w:szCs w:val="24"/>
        </w:rPr>
        <w:t xml:space="preserve"> </w:t>
      </w:r>
      <w:r w:rsidR="00217281" w:rsidRPr="003B37B6">
        <w:rPr>
          <w:rStyle w:val="ac"/>
          <w:rFonts w:eastAsiaTheme="majorEastAsia"/>
          <w:b/>
          <w:bCs/>
          <w:sz w:val="24"/>
          <w:szCs w:val="24"/>
        </w:rPr>
        <w:t xml:space="preserve">С, </w:t>
      </w:r>
      <w:r w:rsidR="006F58AF" w:rsidRPr="003B37B6">
        <w:rPr>
          <w:rStyle w:val="ac"/>
          <w:rFonts w:eastAsiaTheme="majorEastAsia"/>
          <w:b/>
          <w:bCs/>
          <w:sz w:val="24"/>
          <w:szCs w:val="24"/>
        </w:rPr>
        <w:t>(</w:t>
      </w:r>
      <w:r w:rsidRPr="003B37B6">
        <w:rPr>
          <w:rStyle w:val="ac"/>
          <w:rFonts w:eastAsiaTheme="majorEastAsia"/>
          <w:b/>
          <w:bCs/>
          <w:sz w:val="24"/>
          <w:szCs w:val="24"/>
        </w:rPr>
        <w:t>Уровень достоверности доказательств</w:t>
      </w:r>
      <w:r w:rsidR="00217281" w:rsidRPr="003B37B6">
        <w:rPr>
          <w:rStyle w:val="ac"/>
          <w:rFonts w:eastAsiaTheme="majorEastAsia"/>
          <w:b/>
          <w:bCs/>
          <w:sz w:val="24"/>
          <w:szCs w:val="24"/>
        </w:rPr>
        <w:t xml:space="preserve"> 5)</w:t>
      </w:r>
      <w:r w:rsidR="006F58AF" w:rsidRPr="003B37B6">
        <w:rPr>
          <w:rStyle w:val="ac"/>
          <w:rFonts w:eastAsiaTheme="majorEastAsia"/>
          <w:b/>
          <w:bCs/>
          <w:sz w:val="24"/>
          <w:szCs w:val="24"/>
        </w:rPr>
        <w:t>; ЕОК/ЕОАГ IIIВ</w:t>
      </w:r>
      <w:r w:rsidR="00A60173" w:rsidRPr="003B37B6">
        <w:rPr>
          <w:rStyle w:val="ac"/>
          <w:rFonts w:eastAsiaTheme="majorEastAsia"/>
          <w:b/>
          <w:bCs/>
          <w:sz w:val="24"/>
          <w:szCs w:val="24"/>
        </w:rPr>
        <w:t>.</w:t>
      </w:r>
    </w:p>
    <w:p w14:paraId="603D96EC" w14:textId="310CDECE" w:rsidR="008263E2" w:rsidRPr="003B37B6" w:rsidRDefault="008263E2" w:rsidP="00217281">
      <w:pPr>
        <w:pStyle w:val="11"/>
        <w:ind w:firstLine="580"/>
        <w:jc w:val="both"/>
        <w:rPr>
          <w:i/>
          <w:iCs/>
          <w:sz w:val="24"/>
          <w:szCs w:val="24"/>
        </w:rPr>
      </w:pPr>
      <w:r w:rsidRPr="003B37B6">
        <w:rPr>
          <w:rStyle w:val="ac"/>
          <w:rFonts w:eastAsiaTheme="majorEastAsia"/>
          <w:b/>
          <w:bCs/>
          <w:sz w:val="24"/>
          <w:szCs w:val="24"/>
        </w:rPr>
        <w:t>Комментарии:</w:t>
      </w:r>
      <w:r w:rsidRPr="003B37B6">
        <w:t xml:space="preserve"> </w:t>
      </w:r>
      <w:r w:rsidRPr="003B37B6">
        <w:rPr>
          <w:i/>
          <w:iCs/>
          <w:sz w:val="24"/>
          <w:szCs w:val="24"/>
        </w:rPr>
        <w:t xml:space="preserve">Резкая отмена </w:t>
      </w:r>
      <w:r w:rsidRPr="003B37B6">
        <w:rPr>
          <w:rStyle w:val="aff9"/>
          <w:rFonts w:eastAsiaTheme="majorEastAsia"/>
          <w:b w:val="0"/>
          <w:bCs w:val="0"/>
          <w:i/>
          <w:iCs/>
          <w:sz w:val="24"/>
          <w:szCs w:val="24"/>
        </w:rPr>
        <w:t>бета-блокаторов (ББ)</w:t>
      </w:r>
      <w:r w:rsidRPr="003B37B6">
        <w:rPr>
          <w:b/>
          <w:bCs/>
          <w:i/>
          <w:iCs/>
          <w:sz w:val="24"/>
          <w:szCs w:val="24"/>
        </w:rPr>
        <w:t xml:space="preserve"> </w:t>
      </w:r>
      <w:r w:rsidRPr="003B37B6">
        <w:rPr>
          <w:i/>
          <w:iCs/>
          <w:sz w:val="24"/>
          <w:szCs w:val="24"/>
        </w:rPr>
        <w:t xml:space="preserve">или </w:t>
      </w:r>
      <w:r w:rsidRPr="003B37B6">
        <w:rPr>
          <w:rStyle w:val="aff9"/>
          <w:rFonts w:eastAsiaTheme="majorEastAsia"/>
          <w:b w:val="0"/>
          <w:bCs w:val="0"/>
          <w:i/>
          <w:iCs/>
          <w:sz w:val="24"/>
          <w:szCs w:val="24"/>
        </w:rPr>
        <w:t>центральных антигипертензивных средств</w:t>
      </w:r>
      <w:r w:rsidRPr="003B37B6">
        <w:rPr>
          <w:i/>
          <w:iCs/>
          <w:sz w:val="24"/>
          <w:szCs w:val="24"/>
        </w:rPr>
        <w:t xml:space="preserve"> (например, клонидина) действительно опасна, так как может вызвать </w:t>
      </w:r>
      <w:r w:rsidRPr="003B37B6">
        <w:rPr>
          <w:rStyle w:val="aff9"/>
          <w:rFonts w:eastAsiaTheme="majorEastAsia"/>
          <w:b w:val="0"/>
          <w:bCs w:val="0"/>
          <w:i/>
          <w:iCs/>
          <w:sz w:val="24"/>
          <w:szCs w:val="24"/>
        </w:rPr>
        <w:t>эффект «рикошета»</w:t>
      </w:r>
      <w:r w:rsidRPr="003B37B6">
        <w:rPr>
          <w:i/>
          <w:iCs/>
          <w:sz w:val="24"/>
          <w:szCs w:val="24"/>
        </w:rPr>
        <w:t xml:space="preserve"> — резкое повышение артериального давления и усиление симптомов ишемической болезни сердца. При внезапной отмене происходит усиление симпатической активности: тахикардия, повышение АД, учащение приступов стенокардии, риск инфаркта миокарда.</w:t>
      </w:r>
    </w:p>
    <w:p w14:paraId="5AE3043E" w14:textId="77777777" w:rsidR="00217281" w:rsidRPr="003B37B6" w:rsidRDefault="00217281">
      <w:pPr>
        <w:pStyle w:val="11"/>
        <w:numPr>
          <w:ilvl w:val="0"/>
          <w:numId w:val="26"/>
        </w:numPr>
        <w:tabs>
          <w:tab w:val="left" w:pos="1284"/>
        </w:tabs>
        <w:ind w:firstLine="580"/>
        <w:jc w:val="both"/>
        <w:rPr>
          <w:sz w:val="24"/>
          <w:szCs w:val="24"/>
        </w:rPr>
      </w:pPr>
      <w:r w:rsidRPr="003B37B6">
        <w:rPr>
          <w:rStyle w:val="ac"/>
          <w:rFonts w:eastAsiaTheme="majorEastAsia"/>
          <w:sz w:val="24"/>
          <w:szCs w:val="24"/>
        </w:rPr>
        <w:t>Пациентам с АГ перед некардиохирургическим вмешательством для снижения риска</w:t>
      </w:r>
      <w:r w:rsidRPr="003B37B6">
        <w:rPr>
          <w:sz w:val="24"/>
          <w:szCs w:val="24"/>
        </w:rPr>
        <w:t xml:space="preserve"> </w:t>
      </w:r>
      <w:r w:rsidRPr="003B37B6">
        <w:rPr>
          <w:rStyle w:val="ac"/>
          <w:rFonts w:eastAsiaTheme="majorEastAsia"/>
          <w:sz w:val="24"/>
          <w:szCs w:val="24"/>
        </w:rPr>
        <w:t>интраоперационной гипотензии рекомендуется временная отмена иРААС [27].</w:t>
      </w:r>
    </w:p>
    <w:p w14:paraId="52269417" w14:textId="5B79D5EA" w:rsidR="00217281" w:rsidRPr="003B37B6" w:rsidRDefault="00217281" w:rsidP="00217281">
      <w:pPr>
        <w:pStyle w:val="11"/>
        <w:ind w:firstLine="580"/>
        <w:jc w:val="both"/>
        <w:rPr>
          <w:rStyle w:val="ac"/>
          <w:rFonts w:eastAsiaTheme="majorEastAsia"/>
          <w:b/>
          <w:bCs/>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6F58AF" w:rsidRPr="003B37B6">
        <w:rPr>
          <w:rStyle w:val="ac"/>
          <w:rFonts w:eastAsiaTheme="majorEastAsia"/>
          <w:b/>
          <w:bCs/>
          <w:sz w:val="24"/>
          <w:szCs w:val="24"/>
        </w:rPr>
        <w:t xml:space="preserve"> </w:t>
      </w:r>
      <w:r w:rsidRPr="003B37B6">
        <w:rPr>
          <w:rStyle w:val="ac"/>
          <w:rFonts w:eastAsiaTheme="majorEastAsia"/>
          <w:b/>
          <w:bCs/>
          <w:sz w:val="24"/>
          <w:szCs w:val="24"/>
        </w:rPr>
        <w:t xml:space="preserve">С, </w:t>
      </w:r>
      <w:r w:rsidR="006F58AF"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5)</w:t>
      </w:r>
      <w:r w:rsidR="006F58AF" w:rsidRPr="003B37B6">
        <w:rPr>
          <w:rStyle w:val="ac"/>
          <w:rFonts w:eastAsiaTheme="majorEastAsia"/>
          <w:b/>
          <w:bCs/>
          <w:sz w:val="24"/>
          <w:szCs w:val="24"/>
        </w:rPr>
        <w:t xml:space="preserve">; ЕОК/ЕОАГ </w:t>
      </w:r>
      <w:r w:rsidR="006F58AF" w:rsidRPr="003B37B6">
        <w:rPr>
          <w:rStyle w:val="ac"/>
          <w:rFonts w:eastAsiaTheme="majorEastAsia"/>
          <w:b/>
          <w:bCs/>
          <w:sz w:val="24"/>
          <w:szCs w:val="24"/>
          <w:lang w:val="en-US"/>
        </w:rPr>
        <w:t>IIaC</w:t>
      </w:r>
      <w:r w:rsidR="00A60173" w:rsidRPr="003B37B6">
        <w:rPr>
          <w:rStyle w:val="ac"/>
          <w:rFonts w:eastAsiaTheme="majorEastAsia"/>
          <w:b/>
          <w:bCs/>
          <w:sz w:val="24"/>
          <w:szCs w:val="24"/>
        </w:rPr>
        <w:t>.</w:t>
      </w:r>
    </w:p>
    <w:p w14:paraId="1AA28E2B" w14:textId="1BA99983" w:rsidR="008263E2" w:rsidRPr="003B37B6" w:rsidRDefault="008263E2" w:rsidP="00217281">
      <w:pPr>
        <w:pStyle w:val="11"/>
        <w:ind w:firstLine="580"/>
        <w:jc w:val="both"/>
        <w:rPr>
          <w:i/>
          <w:iCs/>
          <w:sz w:val="28"/>
          <w:szCs w:val="28"/>
        </w:rPr>
      </w:pPr>
      <w:r w:rsidRPr="003B37B6">
        <w:rPr>
          <w:rStyle w:val="ac"/>
          <w:rFonts w:eastAsiaTheme="majorEastAsia"/>
          <w:b/>
          <w:bCs/>
          <w:sz w:val="24"/>
          <w:szCs w:val="24"/>
        </w:rPr>
        <w:t>Комментарии:</w:t>
      </w:r>
      <w:r w:rsidRPr="003B37B6">
        <w:t xml:space="preserve"> </w:t>
      </w:r>
      <w:r w:rsidRPr="003B37B6">
        <w:rPr>
          <w:i/>
          <w:iCs/>
          <w:sz w:val="24"/>
          <w:szCs w:val="24"/>
        </w:rPr>
        <w:t xml:space="preserve">Перед некардиохирургическими вмешательствами </w:t>
      </w:r>
      <w:r w:rsidRPr="003B37B6">
        <w:rPr>
          <w:rStyle w:val="aff9"/>
          <w:rFonts w:eastAsiaTheme="majorEastAsia"/>
          <w:b w:val="0"/>
          <w:bCs w:val="0"/>
          <w:i/>
          <w:iCs/>
          <w:sz w:val="24"/>
          <w:szCs w:val="24"/>
        </w:rPr>
        <w:t>ингибиторы ренин-ангиотензин-альдостероновой системы (иРААС)</w:t>
      </w:r>
      <w:r w:rsidRPr="003B37B6">
        <w:rPr>
          <w:i/>
          <w:iCs/>
          <w:sz w:val="24"/>
          <w:szCs w:val="24"/>
        </w:rPr>
        <w:t xml:space="preserve"> — такие как ингибиторы АПФ и блокаторы рецепторов ангиотензина II — могут повышать риск </w:t>
      </w:r>
      <w:r w:rsidRPr="003B37B6">
        <w:rPr>
          <w:rStyle w:val="aff9"/>
          <w:rFonts w:eastAsiaTheme="majorEastAsia"/>
          <w:b w:val="0"/>
          <w:bCs w:val="0"/>
          <w:i/>
          <w:iCs/>
          <w:sz w:val="24"/>
          <w:szCs w:val="24"/>
        </w:rPr>
        <w:t>интраоперационной гипотензии</w:t>
      </w:r>
      <w:r w:rsidRPr="003B37B6">
        <w:rPr>
          <w:i/>
          <w:iCs/>
          <w:sz w:val="24"/>
          <w:szCs w:val="24"/>
        </w:rPr>
        <w:t>, особенно при общей анестезии.</w:t>
      </w:r>
    </w:p>
    <w:p w14:paraId="2D0C20D4" w14:textId="77777777" w:rsidR="00217281" w:rsidRPr="003B37B6" w:rsidRDefault="00217281" w:rsidP="00034BEA">
      <w:pPr>
        <w:pStyle w:val="11"/>
        <w:tabs>
          <w:tab w:val="left" w:pos="1428"/>
        </w:tabs>
        <w:ind w:firstLine="0"/>
        <w:jc w:val="center"/>
        <w:rPr>
          <w:sz w:val="24"/>
          <w:szCs w:val="24"/>
        </w:rPr>
      </w:pPr>
      <w:bookmarkStart w:id="48" w:name="bookmark37"/>
      <w:r w:rsidRPr="003B37B6">
        <w:rPr>
          <w:rStyle w:val="ac"/>
          <w:rFonts w:eastAsiaTheme="majorEastAsia"/>
          <w:b/>
          <w:bCs/>
          <w:sz w:val="24"/>
          <w:szCs w:val="24"/>
        </w:rPr>
        <w:lastRenderedPageBreak/>
        <w:t>Резистентная артериальная гипертензия</w:t>
      </w:r>
      <w:bookmarkEnd w:id="48"/>
    </w:p>
    <w:p w14:paraId="45544320" w14:textId="77777777" w:rsidR="00217281" w:rsidRPr="003B37B6" w:rsidRDefault="00217281" w:rsidP="00217281">
      <w:pPr>
        <w:pStyle w:val="11"/>
        <w:ind w:firstLine="580"/>
        <w:jc w:val="both"/>
        <w:rPr>
          <w:sz w:val="24"/>
          <w:szCs w:val="24"/>
        </w:rPr>
      </w:pPr>
      <w:r w:rsidRPr="003B37B6">
        <w:rPr>
          <w:rStyle w:val="ac"/>
          <w:rFonts w:eastAsiaTheme="majorEastAsia"/>
          <w:i/>
          <w:iCs/>
          <w:sz w:val="24"/>
          <w:szCs w:val="24"/>
        </w:rPr>
        <w:t>Резистентная к терапии АГ (т.е. резистентная АГ) устанавливается на основании следующих критериев:</w:t>
      </w:r>
    </w:p>
    <w:p w14:paraId="4CA001DC" w14:textId="77777777" w:rsidR="00217281" w:rsidRPr="003B37B6" w:rsidRDefault="00217281">
      <w:pPr>
        <w:pStyle w:val="11"/>
        <w:numPr>
          <w:ilvl w:val="0"/>
          <w:numId w:val="27"/>
        </w:numPr>
        <w:tabs>
          <w:tab w:val="left" w:pos="820"/>
        </w:tabs>
        <w:ind w:firstLine="600"/>
        <w:jc w:val="both"/>
        <w:rPr>
          <w:sz w:val="24"/>
          <w:szCs w:val="24"/>
        </w:rPr>
      </w:pPr>
      <w:r w:rsidRPr="003B37B6">
        <w:rPr>
          <w:rStyle w:val="ac"/>
          <w:rFonts w:eastAsiaTheme="majorEastAsia"/>
          <w:i/>
          <w:iCs/>
          <w:sz w:val="24"/>
          <w:szCs w:val="24"/>
        </w:rPr>
        <w:t>соблюдение мероприятий по изменению образа жизни и лечение с использованием оптимальных (или максимальных переносимых) доз трех и более лекарственных препаратов, включая ингибитор АПФ или БРА, АК и диуретик не приводит к снижению САД и ДАД до значений &lt;140 мм рт. ст. и/или &lt;90 мм рт. ст. соответственно;</w:t>
      </w:r>
      <w:r w:rsidRPr="003B37B6">
        <w:rPr>
          <w:rStyle w:val="ac"/>
          <w:rFonts w:eastAsiaTheme="majorEastAsia"/>
          <w:i/>
          <w:iCs/>
        </w:rPr>
        <w:t xml:space="preserve"> </w:t>
      </w:r>
      <w:r w:rsidRPr="003B37B6">
        <w:rPr>
          <w:rStyle w:val="ac"/>
          <w:rFonts w:eastAsiaTheme="majorEastAsia"/>
          <w:i/>
          <w:iCs/>
          <w:sz w:val="24"/>
          <w:szCs w:val="24"/>
        </w:rPr>
        <w:t>неадекватность контроля АД подтверждена с помощью СМАД и/или ДМАД (для оценки контроля АД возможно также использовать активный мониторинг АД при помощи дистанционных технологий при наличии возможности в медицинском учреждении);</w:t>
      </w:r>
    </w:p>
    <w:p w14:paraId="31742998" w14:textId="77777777" w:rsidR="00217281" w:rsidRPr="003B37B6" w:rsidRDefault="00217281">
      <w:pPr>
        <w:pStyle w:val="11"/>
        <w:numPr>
          <w:ilvl w:val="0"/>
          <w:numId w:val="27"/>
        </w:numPr>
        <w:tabs>
          <w:tab w:val="left" w:pos="1338"/>
        </w:tabs>
        <w:ind w:firstLine="600"/>
        <w:jc w:val="both"/>
        <w:rPr>
          <w:sz w:val="24"/>
          <w:szCs w:val="24"/>
        </w:rPr>
      </w:pPr>
      <w:r w:rsidRPr="003B37B6">
        <w:rPr>
          <w:rStyle w:val="ac"/>
          <w:rFonts w:eastAsiaTheme="majorEastAsia"/>
          <w:i/>
          <w:iCs/>
          <w:sz w:val="24"/>
          <w:szCs w:val="24"/>
        </w:rPr>
        <w:t>подтверждена приверженность пациента к лечению</w:t>
      </w:r>
    </w:p>
    <w:p w14:paraId="506C696F" w14:textId="77777777" w:rsidR="00217281" w:rsidRPr="003B37B6" w:rsidRDefault="00217281">
      <w:pPr>
        <w:pStyle w:val="11"/>
        <w:numPr>
          <w:ilvl w:val="0"/>
          <w:numId w:val="27"/>
        </w:numPr>
        <w:tabs>
          <w:tab w:val="left" w:pos="1338"/>
        </w:tabs>
        <w:ind w:firstLine="600"/>
        <w:jc w:val="both"/>
        <w:rPr>
          <w:sz w:val="24"/>
          <w:szCs w:val="24"/>
        </w:rPr>
      </w:pPr>
      <w:r w:rsidRPr="003B37B6">
        <w:rPr>
          <w:rStyle w:val="ac"/>
          <w:rFonts w:eastAsiaTheme="majorEastAsia"/>
          <w:i/>
          <w:iCs/>
          <w:sz w:val="24"/>
          <w:szCs w:val="24"/>
        </w:rPr>
        <w:t>исключены причины псевдорезистентности и причины вторичной АГ.</w:t>
      </w:r>
    </w:p>
    <w:p w14:paraId="6A15B085" w14:textId="77777777" w:rsidR="00217281" w:rsidRPr="003B37B6" w:rsidRDefault="00217281" w:rsidP="00217281">
      <w:pPr>
        <w:pStyle w:val="11"/>
        <w:ind w:firstLine="600"/>
        <w:jc w:val="both"/>
        <w:rPr>
          <w:sz w:val="24"/>
          <w:szCs w:val="24"/>
        </w:rPr>
      </w:pPr>
      <w:r w:rsidRPr="003B37B6">
        <w:rPr>
          <w:rStyle w:val="ac"/>
          <w:rFonts w:eastAsiaTheme="majorEastAsia"/>
          <w:i/>
          <w:iCs/>
          <w:sz w:val="24"/>
          <w:szCs w:val="24"/>
        </w:rPr>
        <w:t>Прежде чем диагностировать резистентную АГ, необходимо исключить причины псевдорезистентности:</w:t>
      </w:r>
    </w:p>
    <w:p w14:paraId="5D21DF6B" w14:textId="77777777" w:rsidR="00217281" w:rsidRPr="003B37B6" w:rsidRDefault="00217281">
      <w:pPr>
        <w:pStyle w:val="11"/>
        <w:numPr>
          <w:ilvl w:val="0"/>
          <w:numId w:val="27"/>
        </w:numPr>
        <w:tabs>
          <w:tab w:val="left" w:pos="1338"/>
        </w:tabs>
        <w:ind w:firstLine="600"/>
        <w:jc w:val="both"/>
        <w:rPr>
          <w:sz w:val="24"/>
          <w:szCs w:val="24"/>
        </w:rPr>
      </w:pPr>
      <w:r w:rsidRPr="003B37B6">
        <w:rPr>
          <w:rStyle w:val="ac"/>
          <w:rFonts w:eastAsiaTheme="majorEastAsia"/>
          <w:i/>
          <w:iCs/>
          <w:sz w:val="24"/>
          <w:szCs w:val="24"/>
        </w:rPr>
        <w:t>низкая приверженность к назначенной терапии является частой причиной</w:t>
      </w:r>
      <w:r w:rsidR="00034BEA" w:rsidRPr="003B37B6">
        <w:rPr>
          <w:rStyle w:val="ac"/>
          <w:rFonts w:eastAsiaTheme="majorEastAsia"/>
          <w:i/>
          <w:iCs/>
          <w:sz w:val="24"/>
          <w:szCs w:val="24"/>
        </w:rPr>
        <w:t xml:space="preserve"> </w:t>
      </w:r>
      <w:r w:rsidRPr="003B37B6">
        <w:rPr>
          <w:rStyle w:val="ac"/>
          <w:rFonts w:eastAsiaTheme="majorEastAsia"/>
          <w:i/>
          <w:iCs/>
          <w:sz w:val="24"/>
          <w:szCs w:val="24"/>
        </w:rPr>
        <w:t>псевдорезистентности, она выявляется у ≤50% пациентов, которых обследовали с помощью методов прямого мониторинга контроля приема препаратов, этот показатель прямо зависит от количества назначенных таблеток</w:t>
      </w:r>
      <w:r w:rsidRPr="003B37B6">
        <w:rPr>
          <w:rStyle w:val="ac"/>
          <w:rFonts w:eastAsiaTheme="majorEastAsia"/>
          <w:sz w:val="24"/>
          <w:szCs w:val="24"/>
        </w:rPr>
        <w:t xml:space="preserve"> [339]</w:t>
      </w:r>
      <w:r w:rsidRPr="003B37B6">
        <w:rPr>
          <w:rStyle w:val="ac"/>
          <w:rFonts w:eastAsiaTheme="majorEastAsia"/>
          <w:i/>
          <w:iCs/>
          <w:sz w:val="24"/>
          <w:szCs w:val="24"/>
        </w:rPr>
        <w:t>.</w:t>
      </w:r>
    </w:p>
    <w:p w14:paraId="7784E46F" w14:textId="77777777" w:rsidR="00217281" w:rsidRPr="003B37B6" w:rsidRDefault="00217281">
      <w:pPr>
        <w:pStyle w:val="11"/>
        <w:numPr>
          <w:ilvl w:val="0"/>
          <w:numId w:val="27"/>
        </w:numPr>
        <w:tabs>
          <w:tab w:val="left" w:pos="820"/>
        </w:tabs>
        <w:ind w:firstLine="600"/>
        <w:jc w:val="both"/>
        <w:rPr>
          <w:sz w:val="24"/>
          <w:szCs w:val="24"/>
        </w:rPr>
      </w:pPr>
      <w:r w:rsidRPr="003B37B6">
        <w:rPr>
          <w:rStyle w:val="ac"/>
          <w:rFonts w:eastAsiaTheme="majorEastAsia"/>
          <w:i/>
          <w:iCs/>
          <w:sz w:val="24"/>
          <w:szCs w:val="24"/>
        </w:rPr>
        <w:t>феномен «белого халата» (при котором АД, измеренное в медицинском учреждении, повышено, но по данным СМАД или ДМАД уровень АД контролируется) встречается нередко, в связи с чем рекомендуется подтвердить наличие АГ с помощью СМАД или ДМАД (возможно также использовать активный мониторинг АД при помощи дистанционных технологий при наличии возможности в медицинском учреждении) до установления диагноза резистентной АГ.</w:t>
      </w:r>
    </w:p>
    <w:p w14:paraId="403C6AFD" w14:textId="77777777" w:rsidR="00217281" w:rsidRPr="003B37B6" w:rsidRDefault="00217281">
      <w:pPr>
        <w:pStyle w:val="11"/>
        <w:numPr>
          <w:ilvl w:val="0"/>
          <w:numId w:val="27"/>
        </w:numPr>
        <w:tabs>
          <w:tab w:val="left" w:pos="1338"/>
        </w:tabs>
        <w:ind w:firstLine="600"/>
        <w:jc w:val="both"/>
        <w:rPr>
          <w:sz w:val="24"/>
          <w:szCs w:val="24"/>
        </w:rPr>
      </w:pPr>
      <w:r w:rsidRPr="003B37B6">
        <w:rPr>
          <w:rStyle w:val="ac"/>
          <w:rFonts w:eastAsiaTheme="majorEastAsia"/>
          <w:i/>
          <w:iCs/>
          <w:sz w:val="24"/>
          <w:szCs w:val="24"/>
        </w:rPr>
        <w:t>нарушение правил измерения АД в медицинском учреждении, включая использование</w:t>
      </w:r>
      <w:r w:rsidRPr="003B37B6">
        <w:rPr>
          <w:sz w:val="24"/>
          <w:szCs w:val="24"/>
        </w:rPr>
        <w:t xml:space="preserve"> </w:t>
      </w:r>
      <w:r w:rsidRPr="003B37B6">
        <w:rPr>
          <w:rStyle w:val="ac"/>
          <w:rFonts w:eastAsiaTheme="majorEastAsia"/>
          <w:i/>
          <w:iCs/>
          <w:sz w:val="24"/>
          <w:szCs w:val="24"/>
        </w:rPr>
        <w:t>манжеты меньшего размера, может привести к ложному выявлению повышенного АД.</w:t>
      </w:r>
    </w:p>
    <w:p w14:paraId="68E13EB4" w14:textId="77777777" w:rsidR="00217281" w:rsidRPr="003B37B6" w:rsidRDefault="00217281">
      <w:pPr>
        <w:pStyle w:val="11"/>
        <w:numPr>
          <w:ilvl w:val="0"/>
          <w:numId w:val="27"/>
        </w:numPr>
        <w:tabs>
          <w:tab w:val="left" w:pos="1338"/>
        </w:tabs>
        <w:ind w:firstLine="600"/>
        <w:jc w:val="both"/>
        <w:rPr>
          <w:sz w:val="24"/>
          <w:szCs w:val="24"/>
        </w:rPr>
      </w:pPr>
      <w:r w:rsidRPr="003B37B6">
        <w:rPr>
          <w:rStyle w:val="ac"/>
          <w:rFonts w:eastAsiaTheme="majorEastAsia"/>
          <w:i/>
          <w:iCs/>
          <w:sz w:val="24"/>
          <w:szCs w:val="24"/>
        </w:rPr>
        <w:t>выраженный кальциноз плечевой артерии, особенно у пожилых пациентов.</w:t>
      </w:r>
    </w:p>
    <w:p w14:paraId="242F7495" w14:textId="77777777" w:rsidR="00217281" w:rsidRPr="003B37B6" w:rsidRDefault="00217281">
      <w:pPr>
        <w:pStyle w:val="11"/>
        <w:numPr>
          <w:ilvl w:val="0"/>
          <w:numId w:val="27"/>
        </w:numPr>
        <w:tabs>
          <w:tab w:val="left" w:pos="1338"/>
        </w:tabs>
        <w:ind w:firstLine="600"/>
        <w:jc w:val="both"/>
        <w:rPr>
          <w:sz w:val="24"/>
          <w:szCs w:val="24"/>
        </w:rPr>
      </w:pPr>
      <w:r w:rsidRPr="003B37B6">
        <w:rPr>
          <w:rStyle w:val="ac"/>
          <w:rFonts w:eastAsiaTheme="majorEastAsia"/>
          <w:i/>
          <w:iCs/>
          <w:sz w:val="24"/>
          <w:szCs w:val="24"/>
        </w:rPr>
        <w:t xml:space="preserve"> клиническая инертность, приводящая к назначению нерациональных комбинаций и неадекватных доз АГП.</w:t>
      </w:r>
    </w:p>
    <w:p w14:paraId="4B982EE7" w14:textId="77777777" w:rsidR="00217281" w:rsidRPr="003B37B6" w:rsidRDefault="00217281" w:rsidP="00217281">
      <w:pPr>
        <w:pStyle w:val="11"/>
        <w:ind w:firstLine="600"/>
        <w:jc w:val="both"/>
        <w:rPr>
          <w:sz w:val="24"/>
          <w:szCs w:val="24"/>
        </w:rPr>
      </w:pPr>
      <w:r w:rsidRPr="003B37B6">
        <w:rPr>
          <w:rStyle w:val="ac"/>
          <w:rFonts w:eastAsiaTheme="majorEastAsia"/>
          <w:i/>
          <w:iCs/>
          <w:sz w:val="24"/>
          <w:szCs w:val="24"/>
        </w:rPr>
        <w:t>Другие причины резистентной гипертензии:</w:t>
      </w:r>
    </w:p>
    <w:p w14:paraId="284C254B" w14:textId="77777777" w:rsidR="00217281" w:rsidRPr="003B37B6" w:rsidRDefault="00217281">
      <w:pPr>
        <w:pStyle w:val="11"/>
        <w:numPr>
          <w:ilvl w:val="0"/>
          <w:numId w:val="27"/>
        </w:numPr>
        <w:tabs>
          <w:tab w:val="left" w:pos="1338"/>
        </w:tabs>
        <w:ind w:firstLine="600"/>
        <w:jc w:val="both"/>
        <w:rPr>
          <w:sz w:val="24"/>
          <w:szCs w:val="24"/>
        </w:rPr>
      </w:pPr>
      <w:r w:rsidRPr="003B37B6">
        <w:rPr>
          <w:rStyle w:val="ac"/>
          <w:rFonts w:eastAsiaTheme="majorEastAsia"/>
          <w:i/>
          <w:iCs/>
          <w:sz w:val="24"/>
          <w:szCs w:val="24"/>
        </w:rPr>
        <w:t>образ жизни, включая ожирение или быструю прибавку веса, чрезмерное</w:t>
      </w:r>
      <w:r w:rsidR="00034BEA" w:rsidRPr="003B37B6">
        <w:rPr>
          <w:sz w:val="24"/>
          <w:szCs w:val="24"/>
        </w:rPr>
        <w:t xml:space="preserve"> </w:t>
      </w:r>
      <w:r w:rsidRPr="003B37B6">
        <w:rPr>
          <w:rStyle w:val="ac"/>
          <w:rFonts w:eastAsiaTheme="majorEastAsia"/>
          <w:i/>
          <w:iCs/>
          <w:sz w:val="24"/>
          <w:szCs w:val="24"/>
        </w:rPr>
        <w:t>употребление алкоголя или поваренной соли.</w:t>
      </w:r>
    </w:p>
    <w:p w14:paraId="0C3F6BC4" w14:textId="77777777" w:rsidR="00217281" w:rsidRPr="003B37B6" w:rsidRDefault="00217281">
      <w:pPr>
        <w:pStyle w:val="11"/>
        <w:numPr>
          <w:ilvl w:val="0"/>
          <w:numId w:val="27"/>
        </w:numPr>
        <w:tabs>
          <w:tab w:val="left" w:pos="1358"/>
        </w:tabs>
        <w:ind w:firstLine="580"/>
        <w:jc w:val="both"/>
        <w:rPr>
          <w:sz w:val="24"/>
          <w:szCs w:val="24"/>
        </w:rPr>
      </w:pPr>
      <w:r w:rsidRPr="003B37B6">
        <w:rPr>
          <w:rStyle w:val="ac"/>
          <w:rFonts w:eastAsiaTheme="majorEastAsia"/>
          <w:i/>
          <w:iCs/>
          <w:sz w:val="24"/>
          <w:szCs w:val="24"/>
        </w:rPr>
        <w:t>применение кардиотонических средств, кроме сердечных гликозидов</w:t>
      </w:r>
      <w:r w:rsidRPr="003B37B6">
        <w:rPr>
          <w:sz w:val="24"/>
          <w:szCs w:val="24"/>
        </w:rPr>
        <w:t xml:space="preserve"> </w:t>
      </w:r>
      <w:r w:rsidRPr="003B37B6">
        <w:rPr>
          <w:rStyle w:val="ac"/>
          <w:rFonts w:eastAsiaTheme="majorEastAsia"/>
          <w:i/>
          <w:iCs/>
          <w:sz w:val="24"/>
          <w:szCs w:val="24"/>
        </w:rPr>
        <w:lastRenderedPageBreak/>
        <w:t>(вазопрессоров) или веществ, способствующих задержке натрия, препаратов, назначенных по поводу сопутствующих заболеваний, растительных препаратов, употребление наркотиков (кокаин и т.п.) или анаболических стероидов</w:t>
      </w:r>
    </w:p>
    <w:p w14:paraId="7815F68C" w14:textId="77777777" w:rsidR="00217281" w:rsidRPr="003B37B6" w:rsidRDefault="00217281">
      <w:pPr>
        <w:pStyle w:val="11"/>
        <w:numPr>
          <w:ilvl w:val="0"/>
          <w:numId w:val="27"/>
        </w:numPr>
        <w:tabs>
          <w:tab w:val="left" w:pos="1338"/>
        </w:tabs>
        <w:ind w:firstLine="600"/>
        <w:jc w:val="both"/>
        <w:rPr>
          <w:sz w:val="24"/>
          <w:szCs w:val="24"/>
        </w:rPr>
      </w:pPr>
      <w:r w:rsidRPr="003B37B6">
        <w:rPr>
          <w:rStyle w:val="ac"/>
          <w:rFonts w:eastAsiaTheme="majorEastAsia"/>
          <w:i/>
          <w:iCs/>
          <w:sz w:val="24"/>
          <w:szCs w:val="24"/>
        </w:rPr>
        <w:t>СОАС</w:t>
      </w:r>
    </w:p>
    <w:p w14:paraId="7DA04979" w14:textId="77777777" w:rsidR="00217281" w:rsidRPr="003B37B6" w:rsidRDefault="00217281">
      <w:pPr>
        <w:pStyle w:val="11"/>
        <w:numPr>
          <w:ilvl w:val="0"/>
          <w:numId w:val="27"/>
        </w:numPr>
        <w:tabs>
          <w:tab w:val="left" w:pos="1338"/>
        </w:tabs>
        <w:ind w:firstLine="600"/>
        <w:jc w:val="both"/>
        <w:rPr>
          <w:sz w:val="24"/>
          <w:szCs w:val="24"/>
        </w:rPr>
      </w:pPr>
      <w:r w:rsidRPr="003B37B6">
        <w:rPr>
          <w:rStyle w:val="ac"/>
          <w:rFonts w:eastAsiaTheme="majorEastAsia"/>
          <w:i/>
          <w:iCs/>
          <w:sz w:val="24"/>
          <w:szCs w:val="24"/>
        </w:rPr>
        <w:t xml:space="preserve">выраженное ПОМ, особенно ХБП или </w:t>
      </w:r>
      <w:r w:rsidR="00034BEA" w:rsidRPr="003B37B6">
        <w:rPr>
          <w:rStyle w:val="ac"/>
          <w:rFonts w:eastAsiaTheme="majorEastAsia"/>
          <w:i/>
          <w:iCs/>
          <w:sz w:val="24"/>
          <w:szCs w:val="24"/>
        </w:rPr>
        <w:t>жёсткость</w:t>
      </w:r>
      <w:r w:rsidRPr="003B37B6">
        <w:rPr>
          <w:rStyle w:val="ac"/>
          <w:rFonts w:eastAsiaTheme="majorEastAsia"/>
          <w:i/>
          <w:iCs/>
          <w:sz w:val="24"/>
          <w:szCs w:val="24"/>
        </w:rPr>
        <w:t xml:space="preserve"> крупных артерий</w:t>
      </w:r>
      <w:r w:rsidRPr="003B37B6">
        <w:rPr>
          <w:rStyle w:val="ac"/>
          <w:rFonts w:eastAsiaTheme="majorEastAsia"/>
          <w:sz w:val="24"/>
          <w:szCs w:val="24"/>
        </w:rPr>
        <w:t xml:space="preserve"> [27]</w:t>
      </w:r>
    </w:p>
    <w:p w14:paraId="092FA776" w14:textId="77777777" w:rsidR="00737ECE" w:rsidRPr="00737ECE" w:rsidRDefault="00217281" w:rsidP="00737ECE">
      <w:pPr>
        <w:pStyle w:val="11"/>
        <w:ind w:firstLine="0"/>
        <w:jc w:val="both"/>
        <w:rPr>
          <w:sz w:val="24"/>
          <w:szCs w:val="24"/>
        </w:rPr>
      </w:pPr>
      <w:r w:rsidRPr="003B37B6">
        <w:rPr>
          <w:rStyle w:val="ac"/>
          <w:rFonts w:eastAsiaTheme="majorEastAsia"/>
          <w:i/>
          <w:iCs/>
          <w:sz w:val="24"/>
          <w:szCs w:val="24"/>
        </w:rPr>
        <w:t>Истинная резистентная АГ встречается, не более чем в 10% случаев среди всей популяции пациентов АГ, однако в отдельных группах пациентов, например, с ХБП, ее распространённость может доходить до 30%</w:t>
      </w:r>
      <w:r w:rsidRPr="003B37B6">
        <w:rPr>
          <w:rStyle w:val="ac"/>
          <w:rFonts w:eastAsiaTheme="majorEastAsia"/>
          <w:sz w:val="24"/>
          <w:szCs w:val="24"/>
        </w:rPr>
        <w:t xml:space="preserve"> [45]</w:t>
      </w:r>
      <w:r w:rsidRPr="003B37B6">
        <w:rPr>
          <w:rStyle w:val="ac"/>
          <w:rFonts w:eastAsiaTheme="majorEastAsia"/>
          <w:i/>
          <w:iCs/>
          <w:sz w:val="24"/>
          <w:szCs w:val="24"/>
        </w:rPr>
        <w:t xml:space="preserve">. В целом распространённость зависит от клинических </w:t>
      </w:r>
      <w:r w:rsidR="00737ECE" w:rsidRPr="003B37B6">
        <w:rPr>
          <w:rStyle w:val="ac"/>
          <w:rFonts w:eastAsiaTheme="majorEastAsia"/>
          <w:i/>
          <w:iCs/>
          <w:sz w:val="24"/>
          <w:szCs w:val="24"/>
        </w:rPr>
        <w:t>условий (общая популяция, третичный специализированный центр, клиническое исследование), классов и дозировок используемых препаратов, исключении или оставлении пациентов, не приверженных к лечению, методов измерения АД и выбора значения АД, соответствующего контролю</w:t>
      </w:r>
      <w:r w:rsidR="00737ECE" w:rsidRPr="003B37B6">
        <w:rPr>
          <w:rStyle w:val="ac"/>
          <w:rFonts w:eastAsiaTheme="majorEastAsia"/>
          <w:sz w:val="24"/>
          <w:szCs w:val="24"/>
        </w:rPr>
        <w:t xml:space="preserve"> [44, 340]</w:t>
      </w:r>
      <w:r w:rsidR="00737ECE" w:rsidRPr="003B37B6">
        <w:rPr>
          <w:rStyle w:val="ac"/>
          <w:rFonts w:eastAsiaTheme="majorEastAsia"/>
          <w:i/>
          <w:iCs/>
          <w:sz w:val="24"/>
          <w:szCs w:val="24"/>
        </w:rPr>
        <w:t>. Истинная резистентная АГ часто наблюдается у пациентов с ожирением, метаболическим синдромом, СД, СОАС, множественным ПОМ, при вторичных формах АГ. Тяжелое ПОМ (выраженная ГЛЖ, снижение</w:t>
      </w:r>
      <w:r w:rsidR="00737ECE" w:rsidRPr="00737ECE">
        <w:rPr>
          <w:rStyle w:val="ac"/>
          <w:rFonts w:eastAsiaTheme="majorEastAsia"/>
          <w:i/>
          <w:iCs/>
          <w:sz w:val="24"/>
          <w:szCs w:val="24"/>
        </w:rPr>
        <w:t xml:space="preserve"> функции почек, атеросклеротическое поражение артерий) способствует развитию резистентности к лечению.</w:t>
      </w:r>
    </w:p>
    <w:p w14:paraId="04382121" w14:textId="77777777" w:rsidR="00737ECE" w:rsidRPr="00737ECE" w:rsidRDefault="00737ECE" w:rsidP="00737ECE">
      <w:pPr>
        <w:pStyle w:val="11"/>
        <w:spacing w:after="40"/>
        <w:ind w:firstLine="600"/>
        <w:jc w:val="both"/>
        <w:rPr>
          <w:sz w:val="24"/>
          <w:szCs w:val="24"/>
        </w:rPr>
      </w:pPr>
      <w:r w:rsidRPr="00737ECE">
        <w:rPr>
          <w:rStyle w:val="ac"/>
          <w:rFonts w:eastAsiaTheme="majorEastAsia"/>
          <w:i/>
          <w:iCs/>
          <w:sz w:val="24"/>
          <w:szCs w:val="24"/>
        </w:rPr>
        <w:t>Рекомендуется лечить резистентную АГ как состояние высокого риска, поскольку она часто ассоциируется с ПОМ и повышенным сердечно-сосудистым риском</w:t>
      </w:r>
      <w:r w:rsidRPr="00737ECE">
        <w:rPr>
          <w:rStyle w:val="ac"/>
          <w:rFonts w:eastAsiaTheme="majorEastAsia"/>
          <w:sz w:val="24"/>
          <w:szCs w:val="24"/>
        </w:rPr>
        <w:t xml:space="preserve"> [341, 342]</w:t>
      </w:r>
      <w:r w:rsidRPr="00737ECE">
        <w:rPr>
          <w:rStyle w:val="ac"/>
          <w:rFonts w:eastAsiaTheme="majorEastAsia"/>
          <w:i/>
          <w:iCs/>
          <w:sz w:val="24"/>
          <w:szCs w:val="24"/>
        </w:rPr>
        <w:t>. Целевое АД при резистентной АГ соответствует &lt;140/90 мм рт.ст. и &lt;130/80 мм рт.ст. при переносимости</w:t>
      </w:r>
      <w:r w:rsidRPr="00737ECE">
        <w:rPr>
          <w:rStyle w:val="ac"/>
          <w:rFonts w:eastAsiaTheme="majorEastAsia"/>
          <w:sz w:val="24"/>
          <w:szCs w:val="24"/>
        </w:rPr>
        <w:t xml:space="preserve"> [12]</w:t>
      </w:r>
      <w:r w:rsidRPr="00737ECE">
        <w:rPr>
          <w:rStyle w:val="ac"/>
          <w:rFonts w:eastAsiaTheme="majorEastAsia"/>
          <w:i/>
          <w:iCs/>
          <w:sz w:val="24"/>
          <w:szCs w:val="24"/>
        </w:rPr>
        <w:t>. Рекомендуется осуществлять подбор терапии с использованием ДМАД (в том числе использование активного мониторинга АД при помощи дистанционных технологий при наличии возможности в медицинском учреждении).</w:t>
      </w:r>
    </w:p>
    <w:p w14:paraId="785B987F" w14:textId="77777777" w:rsidR="00737ECE" w:rsidRPr="00737ECE" w:rsidRDefault="00737ECE">
      <w:pPr>
        <w:pStyle w:val="11"/>
        <w:numPr>
          <w:ilvl w:val="0"/>
          <w:numId w:val="27"/>
        </w:numPr>
        <w:tabs>
          <w:tab w:val="left" w:pos="1375"/>
        </w:tabs>
        <w:ind w:firstLine="600"/>
        <w:jc w:val="both"/>
        <w:rPr>
          <w:sz w:val="24"/>
          <w:szCs w:val="24"/>
        </w:rPr>
      </w:pPr>
      <w:r w:rsidRPr="00737ECE">
        <w:rPr>
          <w:rStyle w:val="ac"/>
          <w:rFonts w:eastAsiaTheme="majorEastAsia"/>
          <w:sz w:val="24"/>
          <w:szCs w:val="24"/>
        </w:rPr>
        <w:t>Всем пациентам с резистентной АГ рекомендовано усиление мероприятий по</w:t>
      </w:r>
    </w:p>
    <w:p w14:paraId="6CF6321A" w14:textId="77777777" w:rsidR="00737ECE" w:rsidRPr="00737ECE" w:rsidRDefault="00737ECE" w:rsidP="00737ECE">
      <w:pPr>
        <w:pStyle w:val="11"/>
        <w:ind w:firstLine="0"/>
        <w:jc w:val="both"/>
        <w:rPr>
          <w:sz w:val="24"/>
          <w:szCs w:val="24"/>
        </w:rPr>
      </w:pPr>
      <w:r w:rsidRPr="00737ECE">
        <w:rPr>
          <w:rStyle w:val="ac"/>
          <w:rFonts w:eastAsiaTheme="majorEastAsia"/>
          <w:sz w:val="24"/>
          <w:szCs w:val="24"/>
        </w:rPr>
        <w:t>изменению образа жизни, особенно ограничение употребления соли с целью достижения целевого уровня АД [343].</w:t>
      </w:r>
    </w:p>
    <w:p w14:paraId="3BECF3ED" w14:textId="6C1063F9" w:rsidR="00737ECE" w:rsidRPr="003B37B6" w:rsidRDefault="00737ECE" w:rsidP="00737ECE">
      <w:pPr>
        <w:pStyle w:val="11"/>
        <w:spacing w:after="40"/>
        <w:ind w:firstLine="600"/>
        <w:jc w:val="both"/>
        <w:rPr>
          <w:rStyle w:val="ac"/>
          <w:rFonts w:eastAsiaTheme="majorEastAsia"/>
          <w:b/>
          <w:bCs/>
          <w:sz w:val="24"/>
          <w:szCs w:val="24"/>
        </w:rPr>
      </w:pPr>
      <w:r w:rsidRPr="00737ECE">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6F58AF" w:rsidRPr="003B37B6">
        <w:rPr>
          <w:rStyle w:val="ac"/>
          <w:rFonts w:eastAsiaTheme="majorEastAsia"/>
          <w:b/>
          <w:bCs/>
          <w:sz w:val="24"/>
          <w:szCs w:val="24"/>
        </w:rPr>
        <w:t xml:space="preserve"> </w:t>
      </w:r>
      <w:r w:rsidRPr="003B37B6">
        <w:rPr>
          <w:rStyle w:val="ac"/>
          <w:rFonts w:eastAsiaTheme="majorEastAsia"/>
          <w:b/>
          <w:bCs/>
          <w:sz w:val="24"/>
          <w:szCs w:val="24"/>
        </w:rPr>
        <w:t xml:space="preserve">В, </w:t>
      </w:r>
      <w:r w:rsidR="006F58AF"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2</w:t>
      </w:r>
      <w:r w:rsidR="006F58AF" w:rsidRPr="003B37B6">
        <w:rPr>
          <w:rStyle w:val="ac"/>
          <w:rFonts w:eastAsiaTheme="majorEastAsia"/>
          <w:b/>
          <w:bCs/>
          <w:sz w:val="24"/>
          <w:szCs w:val="24"/>
        </w:rPr>
        <w:t>); ЕОК/ЕОАГ IВ</w:t>
      </w:r>
      <w:r w:rsidR="00A60173" w:rsidRPr="003B37B6">
        <w:rPr>
          <w:rStyle w:val="ac"/>
          <w:rFonts w:eastAsiaTheme="majorEastAsia"/>
          <w:b/>
          <w:bCs/>
          <w:sz w:val="24"/>
          <w:szCs w:val="24"/>
        </w:rPr>
        <w:t>.</w:t>
      </w:r>
    </w:p>
    <w:p w14:paraId="547F8852" w14:textId="2897C4CC" w:rsidR="006F58AF" w:rsidRPr="003B37B6" w:rsidRDefault="006F58AF" w:rsidP="00737ECE">
      <w:pPr>
        <w:pStyle w:val="11"/>
        <w:spacing w:after="40"/>
        <w:ind w:firstLine="600"/>
        <w:jc w:val="both"/>
        <w:rPr>
          <w:i/>
          <w:iCs/>
          <w:sz w:val="24"/>
          <w:szCs w:val="24"/>
        </w:rPr>
      </w:pPr>
      <w:r w:rsidRPr="003B37B6">
        <w:rPr>
          <w:rStyle w:val="ac"/>
          <w:rFonts w:eastAsiaTheme="majorEastAsia"/>
          <w:b/>
          <w:bCs/>
          <w:sz w:val="24"/>
          <w:szCs w:val="24"/>
        </w:rPr>
        <w:t>Комментарии</w:t>
      </w:r>
      <w:r w:rsidRPr="003B37B6">
        <w:rPr>
          <w:rStyle w:val="ac"/>
          <w:rFonts w:eastAsiaTheme="majorEastAsia"/>
          <w:i/>
          <w:iCs/>
          <w:sz w:val="24"/>
          <w:szCs w:val="24"/>
        </w:rPr>
        <w:t>:</w:t>
      </w:r>
      <w:r w:rsidRPr="003B37B6">
        <w:rPr>
          <w:i/>
          <w:iCs/>
          <w:sz w:val="24"/>
          <w:szCs w:val="24"/>
          <w:shd w:val="clear" w:color="auto" w:fill="FFFFFF"/>
        </w:rPr>
        <w:t xml:space="preserve"> Это пациенты, у которых артериальное давление (АД) остается выше целевого уровня несмотря на одновременный прием </w:t>
      </w:r>
      <w:r w:rsidRPr="003B37B6">
        <w:rPr>
          <w:rStyle w:val="aff9"/>
          <w:rFonts w:eastAsiaTheme="majorEastAsia"/>
          <w:b w:val="0"/>
          <w:bCs w:val="0"/>
          <w:i/>
          <w:iCs/>
          <w:sz w:val="24"/>
          <w:szCs w:val="24"/>
          <w:shd w:val="clear" w:color="auto" w:fill="FFFFFF"/>
        </w:rPr>
        <w:t>трех</w:t>
      </w:r>
      <w:r w:rsidRPr="003B37B6">
        <w:rPr>
          <w:i/>
          <w:iCs/>
          <w:sz w:val="24"/>
          <w:szCs w:val="24"/>
          <w:shd w:val="clear" w:color="auto" w:fill="FFFFFF"/>
        </w:rPr>
        <w:t> антигипертензивных препаратов разных классов (один из которых должен быть диуретиком) в адекватных дозах. Это сложная группа пациентов с высоким риском осложнений.</w:t>
      </w:r>
    </w:p>
    <w:p w14:paraId="0C5694E8" w14:textId="77777777" w:rsidR="00737ECE" w:rsidRPr="003B37B6" w:rsidRDefault="00737ECE">
      <w:pPr>
        <w:pStyle w:val="11"/>
        <w:numPr>
          <w:ilvl w:val="0"/>
          <w:numId w:val="27"/>
        </w:numPr>
        <w:tabs>
          <w:tab w:val="left" w:pos="1375"/>
        </w:tabs>
        <w:ind w:firstLine="600"/>
        <w:jc w:val="both"/>
        <w:rPr>
          <w:sz w:val="24"/>
          <w:szCs w:val="24"/>
        </w:rPr>
      </w:pPr>
      <w:r w:rsidRPr="003B37B6">
        <w:rPr>
          <w:rStyle w:val="ac"/>
          <w:rFonts w:eastAsiaTheme="majorEastAsia"/>
          <w:sz w:val="24"/>
          <w:szCs w:val="24"/>
        </w:rPr>
        <w:t>В качестве основных препаратов, которые рекомендуется добавлять к тройной</w:t>
      </w:r>
    </w:p>
    <w:p w14:paraId="709B3888" w14:textId="3D762CDE" w:rsidR="00737ECE" w:rsidRPr="003B37B6" w:rsidRDefault="00737ECE" w:rsidP="00737ECE">
      <w:pPr>
        <w:pStyle w:val="11"/>
        <w:spacing w:after="40"/>
        <w:ind w:firstLine="0"/>
        <w:jc w:val="both"/>
        <w:rPr>
          <w:sz w:val="24"/>
          <w:szCs w:val="24"/>
        </w:rPr>
      </w:pPr>
      <w:r w:rsidRPr="003B37B6">
        <w:rPr>
          <w:rStyle w:val="ac"/>
          <w:rFonts w:eastAsiaTheme="majorEastAsia"/>
          <w:sz w:val="24"/>
          <w:szCs w:val="24"/>
        </w:rPr>
        <w:t>комбинации при резистентной АГ, рассматриваются [207, 344, 345, 346, 347, 348, 349, 350]. (</w:t>
      </w:r>
      <w:r w:rsidR="00603109" w:rsidRPr="003B37B6">
        <w:rPr>
          <w:rStyle w:val="ac"/>
          <w:rFonts w:eastAsiaTheme="majorEastAsia"/>
          <w:sz w:val="24"/>
          <w:szCs w:val="24"/>
        </w:rPr>
        <w:t>глава 6 Приложения Б к настоящим Клиническим рекомендациям</w:t>
      </w:r>
      <w:r w:rsidRPr="003B37B6">
        <w:rPr>
          <w:rStyle w:val="ac"/>
          <w:rFonts w:eastAsiaTheme="majorEastAsia"/>
          <w:sz w:val="24"/>
          <w:szCs w:val="24"/>
        </w:rPr>
        <w:t>):</w:t>
      </w:r>
    </w:p>
    <w:p w14:paraId="0DD4B8B6" w14:textId="77777777" w:rsidR="00737ECE" w:rsidRPr="003B37B6" w:rsidRDefault="00737ECE" w:rsidP="00424F51">
      <w:pPr>
        <w:pStyle w:val="11"/>
        <w:numPr>
          <w:ilvl w:val="0"/>
          <w:numId w:val="47"/>
        </w:numPr>
        <w:jc w:val="both"/>
        <w:rPr>
          <w:sz w:val="24"/>
          <w:szCs w:val="24"/>
        </w:rPr>
      </w:pPr>
      <w:r w:rsidRPr="003B37B6">
        <w:rPr>
          <w:rStyle w:val="ac"/>
          <w:rFonts w:eastAsiaTheme="majorEastAsia"/>
          <w:sz w:val="24"/>
          <w:szCs w:val="24"/>
        </w:rPr>
        <w:lastRenderedPageBreak/>
        <w:t>спиронолактон**</w:t>
      </w:r>
    </w:p>
    <w:p w14:paraId="34BEE8F9" w14:textId="79A41A56" w:rsidR="00737ECE" w:rsidRPr="003B37B6" w:rsidRDefault="00737ECE" w:rsidP="00737ECE">
      <w:pPr>
        <w:pStyle w:val="11"/>
        <w:spacing w:after="40"/>
        <w:ind w:firstLine="600"/>
        <w:jc w:val="both"/>
        <w:rPr>
          <w:rStyle w:val="ac"/>
          <w:rFonts w:eastAsiaTheme="majorEastAsia"/>
          <w:b/>
          <w:bCs/>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6F58AF" w:rsidRPr="003B37B6">
        <w:rPr>
          <w:rStyle w:val="ac"/>
          <w:rFonts w:eastAsiaTheme="majorEastAsia"/>
          <w:b/>
          <w:bCs/>
          <w:sz w:val="24"/>
          <w:szCs w:val="24"/>
        </w:rPr>
        <w:t xml:space="preserve"> </w:t>
      </w:r>
      <w:r w:rsidRPr="003B37B6">
        <w:rPr>
          <w:rStyle w:val="ac"/>
          <w:rFonts w:eastAsiaTheme="majorEastAsia"/>
          <w:b/>
          <w:bCs/>
          <w:sz w:val="24"/>
          <w:szCs w:val="24"/>
        </w:rPr>
        <w:t xml:space="preserve">А, </w:t>
      </w:r>
      <w:r w:rsidR="006F58AF"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1)</w:t>
      </w:r>
      <w:r w:rsidR="006F58AF" w:rsidRPr="003B37B6">
        <w:rPr>
          <w:rStyle w:val="ac"/>
          <w:rFonts w:eastAsiaTheme="majorEastAsia"/>
          <w:b/>
          <w:bCs/>
          <w:sz w:val="24"/>
          <w:szCs w:val="24"/>
        </w:rPr>
        <w:t xml:space="preserve"> ЕОК/ЕОАГ IВ</w:t>
      </w:r>
      <w:r w:rsidR="00603109" w:rsidRPr="003B37B6">
        <w:rPr>
          <w:rStyle w:val="ac"/>
          <w:rFonts w:eastAsiaTheme="majorEastAsia"/>
          <w:b/>
          <w:bCs/>
          <w:sz w:val="24"/>
          <w:szCs w:val="24"/>
        </w:rPr>
        <w:t>.</w:t>
      </w:r>
    </w:p>
    <w:p w14:paraId="57B9B6A1" w14:textId="77777777" w:rsidR="008263E2" w:rsidRPr="003B37B6" w:rsidRDefault="006F58AF" w:rsidP="008263E2">
      <w:pPr>
        <w:pStyle w:val="11"/>
        <w:spacing w:after="40"/>
        <w:ind w:firstLine="600"/>
        <w:jc w:val="both"/>
        <w:rPr>
          <w:i/>
          <w:iCs/>
          <w:color w:val="404040"/>
          <w:sz w:val="24"/>
          <w:szCs w:val="24"/>
          <w:shd w:val="clear" w:color="auto" w:fill="FFFFFF"/>
        </w:rPr>
      </w:pPr>
      <w:r w:rsidRPr="003B37B6">
        <w:rPr>
          <w:rStyle w:val="ac"/>
          <w:rFonts w:eastAsiaTheme="majorEastAsia"/>
          <w:b/>
          <w:bCs/>
          <w:sz w:val="24"/>
          <w:szCs w:val="24"/>
        </w:rPr>
        <w:t>Комментарии:</w:t>
      </w:r>
      <w:r w:rsidRPr="003B37B6">
        <w:rPr>
          <w:rFonts w:ascii="Segoe UI" w:hAnsi="Segoe UI" w:cs="Segoe UI"/>
          <w:color w:val="404040"/>
          <w:shd w:val="clear" w:color="auto" w:fill="FFFFFF"/>
        </w:rPr>
        <w:t xml:space="preserve"> </w:t>
      </w:r>
      <w:r w:rsidRPr="003B37B6">
        <w:rPr>
          <w:i/>
          <w:iCs/>
          <w:color w:val="404040"/>
          <w:sz w:val="24"/>
          <w:szCs w:val="24"/>
          <w:shd w:val="clear" w:color="auto" w:fill="FFFFFF"/>
        </w:rPr>
        <w:t>Рекомендован как </w:t>
      </w:r>
      <w:r w:rsidRPr="003B37B6">
        <w:rPr>
          <w:rStyle w:val="aff9"/>
          <w:rFonts w:eastAsiaTheme="majorEastAsia"/>
          <w:b w:val="0"/>
          <w:bCs w:val="0"/>
          <w:i/>
          <w:iCs/>
          <w:color w:val="404040"/>
          <w:sz w:val="24"/>
          <w:szCs w:val="24"/>
          <w:shd w:val="clear" w:color="auto" w:fill="FFFFFF"/>
        </w:rPr>
        <w:t>препарат 1-й линии</w:t>
      </w:r>
      <w:r w:rsidRPr="003B37B6">
        <w:rPr>
          <w:b/>
          <w:bCs/>
          <w:i/>
          <w:iCs/>
          <w:color w:val="404040"/>
          <w:sz w:val="24"/>
          <w:szCs w:val="24"/>
          <w:shd w:val="clear" w:color="auto" w:fill="FFFFFF"/>
        </w:rPr>
        <w:t> </w:t>
      </w:r>
      <w:r w:rsidRPr="003B37B6">
        <w:rPr>
          <w:i/>
          <w:iCs/>
          <w:color w:val="404040"/>
          <w:sz w:val="24"/>
          <w:szCs w:val="24"/>
          <w:shd w:val="clear" w:color="auto" w:fill="FFFFFF"/>
        </w:rPr>
        <w:t>для четвертого шага терапии</w:t>
      </w:r>
    </w:p>
    <w:p w14:paraId="3D21122A" w14:textId="1DC1F173" w:rsidR="00CD1F09" w:rsidRPr="003B37B6" w:rsidRDefault="00737ECE" w:rsidP="00CD1F09">
      <w:pPr>
        <w:pStyle w:val="11"/>
        <w:spacing w:after="40"/>
        <w:ind w:firstLine="600"/>
        <w:jc w:val="both"/>
        <w:rPr>
          <w:rStyle w:val="ac"/>
          <w:rFonts w:eastAsiaTheme="majorEastAsia"/>
          <w:i/>
          <w:iCs/>
          <w:sz w:val="24"/>
          <w:szCs w:val="24"/>
        </w:rPr>
      </w:pPr>
      <w:r w:rsidRPr="003B37B6">
        <w:rPr>
          <w:rStyle w:val="ac"/>
          <w:rFonts w:eastAsiaTheme="majorEastAsia"/>
          <w:i/>
          <w:iCs/>
          <w:sz w:val="24"/>
          <w:szCs w:val="24"/>
        </w:rPr>
        <w:t>,</w:t>
      </w:r>
      <w:r w:rsidR="008263E2" w:rsidRPr="003B37B6">
        <w:rPr>
          <w:i/>
          <w:iCs/>
          <w:color w:val="404040"/>
          <w:sz w:val="24"/>
          <w:szCs w:val="24"/>
        </w:rPr>
        <w:t xml:space="preserve"> Эффективность подтверждена в РКИ: снижает САД на </w:t>
      </w:r>
      <w:r w:rsidR="008263E2" w:rsidRPr="003B37B6">
        <w:rPr>
          <w:rStyle w:val="aff9"/>
          <w:rFonts w:eastAsiaTheme="majorEastAsia"/>
          <w:b w:val="0"/>
          <w:bCs w:val="0"/>
          <w:i/>
          <w:iCs/>
          <w:color w:val="404040"/>
          <w:sz w:val="24"/>
          <w:szCs w:val="24"/>
        </w:rPr>
        <w:t>8–12 мм рт. ст.</w:t>
      </w:r>
      <w:r w:rsidR="008263E2" w:rsidRPr="003B37B6">
        <w:rPr>
          <w:i/>
          <w:iCs/>
          <w:color w:val="404040"/>
          <w:sz w:val="24"/>
          <w:szCs w:val="24"/>
        </w:rPr>
        <w:t> больше, чем плацебо/другие АГП.</w:t>
      </w:r>
      <w:r w:rsidR="00CD1F09" w:rsidRPr="003B37B6">
        <w:rPr>
          <w:rStyle w:val="ac"/>
          <w:rFonts w:eastAsiaTheme="majorEastAsia"/>
          <w:i/>
          <w:iCs/>
          <w:sz w:val="24"/>
          <w:szCs w:val="24"/>
        </w:rPr>
        <w:t xml:space="preserve"> Риск гиперкалиемии при назначении спиронолактона** выше у пациентов с ХБП, особенно при добавлении препарата к иРААС</w:t>
      </w:r>
      <w:r w:rsidR="00CD1F09" w:rsidRPr="003B37B6">
        <w:rPr>
          <w:rStyle w:val="ac"/>
          <w:rFonts w:eastAsiaTheme="majorEastAsia"/>
          <w:sz w:val="24"/>
          <w:szCs w:val="24"/>
        </w:rPr>
        <w:t xml:space="preserve"> [351]</w:t>
      </w:r>
      <w:r w:rsidR="00CD1F09" w:rsidRPr="003B37B6">
        <w:rPr>
          <w:rStyle w:val="ac"/>
          <w:rFonts w:eastAsiaTheme="majorEastAsia"/>
          <w:i/>
          <w:iCs/>
          <w:sz w:val="24"/>
          <w:szCs w:val="24"/>
        </w:rPr>
        <w:t>, что требует тщательного мониторинга уровня калия и СКФ после начала лечения. Частота контрольных анализов определяется индивидуальным риском и стадией ХБП: минимум раз в год или каждые 3-6 мес.</w:t>
      </w:r>
    </w:p>
    <w:p w14:paraId="38C29852" w14:textId="77777777" w:rsidR="00CD1F09" w:rsidRPr="003B37B6" w:rsidRDefault="00CD1F09" w:rsidP="00CD1F09">
      <w:pPr>
        <w:pStyle w:val="11"/>
        <w:ind w:firstLine="600"/>
        <w:jc w:val="both"/>
        <w:rPr>
          <w:sz w:val="24"/>
          <w:szCs w:val="24"/>
        </w:rPr>
      </w:pPr>
      <w:r w:rsidRPr="003B37B6">
        <w:rPr>
          <w:rStyle w:val="ac"/>
          <w:rFonts w:eastAsiaTheme="majorEastAsia"/>
          <w:i/>
          <w:iCs/>
          <w:sz w:val="24"/>
          <w:szCs w:val="24"/>
        </w:rPr>
        <w:t>Применение спиронолактона** противопоказано пациентам с СКФ ≤ 30 мл/мин/1,73 м</w:t>
      </w:r>
      <w:r w:rsidRPr="003B37B6">
        <w:rPr>
          <w:rStyle w:val="ac"/>
          <w:rFonts w:eastAsiaTheme="majorEastAsia"/>
          <w:i/>
          <w:iCs/>
          <w:sz w:val="24"/>
          <w:szCs w:val="24"/>
          <w:vertAlign w:val="superscript"/>
        </w:rPr>
        <w:t>2</w:t>
      </w:r>
      <w:r w:rsidRPr="003B37B6">
        <w:rPr>
          <w:rStyle w:val="ac"/>
          <w:rFonts w:eastAsiaTheme="majorEastAsia"/>
          <w:i/>
          <w:iCs/>
          <w:sz w:val="24"/>
          <w:szCs w:val="24"/>
        </w:rPr>
        <w:t xml:space="preserve"> и концентрацией калия в плазме ≥ 5 ммоль/л из-за риска гиперкалиемии.</w:t>
      </w:r>
    </w:p>
    <w:p w14:paraId="1AFC5D8B" w14:textId="67FD23E8" w:rsidR="00737ECE" w:rsidRPr="003B37B6" w:rsidRDefault="008263E2" w:rsidP="00424F51">
      <w:pPr>
        <w:pStyle w:val="11"/>
        <w:numPr>
          <w:ilvl w:val="0"/>
          <w:numId w:val="47"/>
        </w:numPr>
        <w:jc w:val="both"/>
        <w:rPr>
          <w:sz w:val="24"/>
          <w:szCs w:val="24"/>
        </w:rPr>
      </w:pPr>
      <w:r w:rsidRPr="003B37B6">
        <w:rPr>
          <w:rStyle w:val="ac"/>
          <w:rFonts w:eastAsiaTheme="majorEastAsia"/>
          <w:sz w:val="24"/>
          <w:szCs w:val="24"/>
        </w:rPr>
        <w:t>или ББ</w:t>
      </w:r>
    </w:p>
    <w:p w14:paraId="5E9D631A" w14:textId="24ACA2A0" w:rsidR="00737ECE" w:rsidRPr="003B37B6" w:rsidRDefault="00737ECE" w:rsidP="00737ECE">
      <w:pPr>
        <w:pStyle w:val="11"/>
        <w:spacing w:after="40"/>
        <w:ind w:firstLine="600"/>
        <w:jc w:val="both"/>
        <w:rPr>
          <w:rStyle w:val="ac"/>
          <w:rFonts w:eastAsiaTheme="majorEastAsia"/>
          <w:b/>
          <w:bCs/>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713C8C" w:rsidRPr="003B37B6">
        <w:rPr>
          <w:rStyle w:val="ac"/>
          <w:rFonts w:eastAsiaTheme="majorEastAsia"/>
          <w:b/>
          <w:bCs/>
          <w:sz w:val="24"/>
          <w:szCs w:val="24"/>
        </w:rPr>
        <w:t xml:space="preserve"> </w:t>
      </w:r>
      <w:r w:rsidRPr="003B37B6">
        <w:rPr>
          <w:rStyle w:val="ac"/>
          <w:rFonts w:eastAsiaTheme="majorEastAsia"/>
          <w:b/>
          <w:bCs/>
          <w:sz w:val="24"/>
          <w:szCs w:val="24"/>
        </w:rPr>
        <w:t xml:space="preserve">С, </w:t>
      </w:r>
      <w:r w:rsidR="00713C8C"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4)</w:t>
      </w:r>
      <w:r w:rsidR="00713C8C" w:rsidRPr="003B37B6">
        <w:rPr>
          <w:rStyle w:val="ac"/>
          <w:rFonts w:eastAsiaTheme="majorEastAsia"/>
          <w:b/>
          <w:bCs/>
          <w:sz w:val="24"/>
          <w:szCs w:val="24"/>
        </w:rPr>
        <w:t>; ЕОК/ЕОАГ IВ</w:t>
      </w:r>
      <w:r w:rsidR="00B90B4B" w:rsidRPr="003B37B6">
        <w:rPr>
          <w:rStyle w:val="ac"/>
          <w:rFonts w:eastAsiaTheme="majorEastAsia"/>
          <w:b/>
          <w:bCs/>
          <w:sz w:val="24"/>
          <w:szCs w:val="24"/>
        </w:rPr>
        <w:t>.</w:t>
      </w:r>
    </w:p>
    <w:p w14:paraId="3196FDD6" w14:textId="7B316C76" w:rsidR="00713C8C" w:rsidRPr="003B37B6" w:rsidRDefault="00713C8C" w:rsidP="00737ECE">
      <w:pPr>
        <w:pStyle w:val="11"/>
        <w:spacing w:after="40"/>
        <w:ind w:firstLine="600"/>
        <w:jc w:val="both"/>
        <w:rPr>
          <w:i/>
          <w:iCs/>
          <w:sz w:val="24"/>
          <w:szCs w:val="24"/>
        </w:rPr>
      </w:pPr>
      <w:r w:rsidRPr="003B37B6">
        <w:rPr>
          <w:rStyle w:val="ac"/>
          <w:rFonts w:eastAsiaTheme="majorEastAsia"/>
          <w:b/>
          <w:bCs/>
          <w:sz w:val="24"/>
          <w:szCs w:val="24"/>
        </w:rPr>
        <w:t>Комментарии:</w:t>
      </w:r>
      <w:r w:rsidRPr="003B37B6">
        <w:t xml:space="preserve"> </w:t>
      </w:r>
      <w:r w:rsidRPr="003B37B6">
        <w:rPr>
          <w:i/>
          <w:iCs/>
          <w:sz w:val="24"/>
          <w:szCs w:val="24"/>
        </w:rPr>
        <w:t xml:space="preserve">При </w:t>
      </w:r>
      <w:r w:rsidRPr="003B37B6">
        <w:rPr>
          <w:rStyle w:val="aff9"/>
          <w:rFonts w:eastAsiaTheme="majorEastAsia"/>
          <w:b w:val="0"/>
          <w:bCs w:val="0"/>
          <w:i/>
          <w:iCs/>
          <w:sz w:val="24"/>
          <w:szCs w:val="24"/>
        </w:rPr>
        <w:t>резистентной артериальной гипертензии (АГ)</w:t>
      </w:r>
      <w:r w:rsidRPr="003B37B6">
        <w:rPr>
          <w:b/>
          <w:bCs/>
          <w:i/>
          <w:iCs/>
          <w:sz w:val="24"/>
          <w:szCs w:val="24"/>
        </w:rPr>
        <w:t>,</w:t>
      </w:r>
      <w:r w:rsidRPr="003B37B6">
        <w:rPr>
          <w:i/>
          <w:iCs/>
          <w:sz w:val="24"/>
          <w:szCs w:val="24"/>
        </w:rPr>
        <w:t xml:space="preserve"> когда тройная терапия (обычно иРААС + диуретик + блокатор кальциевых каналов) недостаточно эффективна, рекомендуется добавить к схеме дополнительные препараты.</w:t>
      </w:r>
      <w:r w:rsidRPr="003B37B6">
        <w:rPr>
          <w:rStyle w:val="10"/>
          <w:i/>
          <w:iCs/>
          <w:sz w:val="24"/>
          <w:szCs w:val="24"/>
        </w:rPr>
        <w:t xml:space="preserve"> </w:t>
      </w:r>
      <w:r w:rsidRPr="003B37B6">
        <w:rPr>
          <w:rStyle w:val="aff9"/>
          <w:rFonts w:eastAsiaTheme="majorEastAsia"/>
          <w:b w:val="0"/>
          <w:bCs w:val="0"/>
          <w:i/>
          <w:iCs/>
          <w:sz w:val="24"/>
          <w:szCs w:val="24"/>
        </w:rPr>
        <w:t>Бета-блокаторы (ББ)</w:t>
      </w:r>
      <w:r w:rsidRPr="003B37B6">
        <w:rPr>
          <w:i/>
          <w:iCs/>
          <w:sz w:val="24"/>
          <w:szCs w:val="24"/>
        </w:rPr>
        <w:t xml:space="preserve"> — особенно у пациентов с сопутствующими сердечно-сосудистыми заболеваниями (ишемическая болезнь сердца, сердечная недостаточность), а также при наличии тахикардии.</w:t>
      </w:r>
      <w:r w:rsidR="00CD1F09" w:rsidRPr="003B37B6">
        <w:rPr>
          <w:sz w:val="24"/>
          <w:szCs w:val="24"/>
        </w:rPr>
        <w:t xml:space="preserve"> </w:t>
      </w:r>
      <w:r w:rsidR="00CD1F09" w:rsidRPr="003B37B6">
        <w:rPr>
          <w:i/>
          <w:iCs/>
          <w:sz w:val="24"/>
          <w:szCs w:val="24"/>
        </w:rPr>
        <w:t>Важно, что подбор четвёртого препарата должен учитывать индивидуальные особенности пациента, профиль побочных эффектов и противопоказания.</w:t>
      </w:r>
    </w:p>
    <w:p w14:paraId="56EFD2D5" w14:textId="77777777" w:rsidR="00737ECE" w:rsidRPr="003B37B6" w:rsidRDefault="00737ECE" w:rsidP="00424F51">
      <w:pPr>
        <w:pStyle w:val="11"/>
        <w:numPr>
          <w:ilvl w:val="0"/>
          <w:numId w:val="47"/>
        </w:numPr>
        <w:jc w:val="both"/>
        <w:rPr>
          <w:sz w:val="24"/>
          <w:szCs w:val="24"/>
        </w:rPr>
      </w:pPr>
      <w:r w:rsidRPr="003B37B6">
        <w:rPr>
          <w:rStyle w:val="ac"/>
          <w:rFonts w:eastAsiaTheme="majorEastAsia"/>
          <w:sz w:val="24"/>
          <w:szCs w:val="24"/>
        </w:rPr>
        <w:t>или альфа1-АБ,</w:t>
      </w:r>
    </w:p>
    <w:p w14:paraId="49780EEB" w14:textId="66CF7F8E" w:rsidR="00737ECE" w:rsidRPr="003B37B6" w:rsidRDefault="00737ECE" w:rsidP="00737ECE">
      <w:pPr>
        <w:pStyle w:val="11"/>
        <w:spacing w:after="40"/>
        <w:ind w:firstLine="600"/>
        <w:jc w:val="both"/>
        <w:rPr>
          <w:rStyle w:val="ac"/>
          <w:rFonts w:eastAsiaTheme="majorEastAsia"/>
          <w:b/>
          <w:bCs/>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CD1F09" w:rsidRPr="003B37B6">
        <w:rPr>
          <w:rStyle w:val="ac"/>
          <w:rFonts w:eastAsiaTheme="majorEastAsia"/>
          <w:b/>
          <w:bCs/>
          <w:sz w:val="24"/>
          <w:szCs w:val="24"/>
        </w:rPr>
        <w:t xml:space="preserve"> </w:t>
      </w:r>
      <w:r w:rsidRPr="003B37B6">
        <w:rPr>
          <w:rStyle w:val="ac"/>
          <w:rFonts w:eastAsiaTheme="majorEastAsia"/>
          <w:b/>
          <w:bCs/>
          <w:sz w:val="24"/>
          <w:szCs w:val="24"/>
        </w:rPr>
        <w:t xml:space="preserve">А, </w:t>
      </w:r>
      <w:r w:rsidR="00CD1F09"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1)</w:t>
      </w:r>
      <w:r w:rsidR="00CD1F09" w:rsidRPr="003B37B6">
        <w:rPr>
          <w:rStyle w:val="ac"/>
          <w:rFonts w:eastAsiaTheme="majorEastAsia"/>
          <w:b/>
          <w:bCs/>
          <w:sz w:val="24"/>
          <w:szCs w:val="24"/>
        </w:rPr>
        <w:t>; ЕОК/ЕОАГ IВ</w:t>
      </w:r>
    </w:p>
    <w:p w14:paraId="31B04FDA" w14:textId="1B9F54AD" w:rsidR="00CD1F09" w:rsidRPr="003B37B6" w:rsidRDefault="00CD1F09" w:rsidP="00737ECE">
      <w:pPr>
        <w:pStyle w:val="11"/>
        <w:spacing w:after="40"/>
        <w:ind w:firstLine="600"/>
        <w:jc w:val="both"/>
        <w:rPr>
          <w:i/>
          <w:iCs/>
          <w:sz w:val="24"/>
          <w:szCs w:val="24"/>
        </w:rPr>
      </w:pPr>
      <w:r w:rsidRPr="003B37B6">
        <w:rPr>
          <w:rStyle w:val="ac"/>
          <w:rFonts w:eastAsiaTheme="majorEastAsia"/>
          <w:b/>
          <w:bCs/>
          <w:sz w:val="24"/>
          <w:szCs w:val="24"/>
        </w:rPr>
        <w:t>Комментарии:</w:t>
      </w:r>
      <w:r w:rsidRPr="003B37B6">
        <w:t xml:space="preserve"> </w:t>
      </w:r>
      <w:r w:rsidRPr="003B37B6">
        <w:rPr>
          <w:i/>
          <w:iCs/>
        </w:rPr>
        <w:t>альфа1-АБ снижают сосудистое сопротивление за счет блокирования альфа1-адренорецепторов в стенках сосудов, что приводит к вазодилатации и снижению артериального давления, особенно полезны у пациентов с сопутствующей доброкачественной гиперплазией предстательной железы (ДГПЖ), так как помогают облегчить симптомы нарушения мочеиспускания.</w:t>
      </w:r>
    </w:p>
    <w:p w14:paraId="1DE12989" w14:textId="77777777" w:rsidR="00737ECE" w:rsidRPr="003B37B6" w:rsidRDefault="00737ECE" w:rsidP="00424F51">
      <w:pPr>
        <w:pStyle w:val="11"/>
        <w:numPr>
          <w:ilvl w:val="0"/>
          <w:numId w:val="47"/>
        </w:numPr>
        <w:jc w:val="both"/>
        <w:rPr>
          <w:sz w:val="24"/>
          <w:szCs w:val="24"/>
        </w:rPr>
      </w:pPr>
      <w:r w:rsidRPr="003B37B6">
        <w:rPr>
          <w:rStyle w:val="ac"/>
          <w:rFonts w:eastAsiaTheme="majorEastAsia"/>
          <w:sz w:val="24"/>
          <w:szCs w:val="24"/>
        </w:rPr>
        <w:t>или препараты центрального действия (клонидин**).</w:t>
      </w:r>
    </w:p>
    <w:p w14:paraId="62033047" w14:textId="4BD82BDC" w:rsidR="00737ECE" w:rsidRPr="003B37B6" w:rsidRDefault="00737ECE" w:rsidP="00737ECE">
      <w:pPr>
        <w:pStyle w:val="11"/>
        <w:ind w:firstLine="600"/>
        <w:jc w:val="both"/>
        <w:rPr>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CD1F09" w:rsidRPr="003B37B6">
        <w:rPr>
          <w:rStyle w:val="ac"/>
          <w:rFonts w:eastAsiaTheme="majorEastAsia"/>
          <w:b/>
          <w:bCs/>
          <w:sz w:val="24"/>
          <w:szCs w:val="24"/>
        </w:rPr>
        <w:t xml:space="preserve"> </w:t>
      </w:r>
      <w:r w:rsidRPr="003B37B6">
        <w:rPr>
          <w:rStyle w:val="ac"/>
          <w:rFonts w:eastAsiaTheme="majorEastAsia"/>
          <w:b/>
          <w:bCs/>
          <w:sz w:val="24"/>
          <w:szCs w:val="24"/>
        </w:rPr>
        <w:t xml:space="preserve">А, </w:t>
      </w:r>
      <w:r w:rsidR="00CD1F09"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2)</w:t>
      </w:r>
      <w:r w:rsidR="00CD1F09" w:rsidRPr="003B37B6">
        <w:rPr>
          <w:rStyle w:val="ac"/>
          <w:rFonts w:eastAsiaTheme="majorEastAsia"/>
          <w:b/>
          <w:bCs/>
          <w:sz w:val="24"/>
          <w:szCs w:val="24"/>
        </w:rPr>
        <w:t>; ЕОК/ЕОАГ IВ</w:t>
      </w:r>
      <w:r w:rsidR="00A60173" w:rsidRPr="003B37B6">
        <w:rPr>
          <w:rStyle w:val="ac"/>
          <w:rFonts w:eastAsiaTheme="majorEastAsia"/>
          <w:b/>
          <w:bCs/>
          <w:sz w:val="24"/>
          <w:szCs w:val="24"/>
        </w:rPr>
        <w:t>.</w:t>
      </w:r>
    </w:p>
    <w:p w14:paraId="2CF7C072" w14:textId="77777777" w:rsidR="00CD1F09" w:rsidRPr="003B37B6" w:rsidRDefault="00737ECE" w:rsidP="00CD1F09">
      <w:pPr>
        <w:pStyle w:val="11"/>
        <w:spacing w:after="40"/>
        <w:ind w:firstLine="600"/>
        <w:jc w:val="both"/>
        <w:rPr>
          <w:i/>
          <w:iCs/>
          <w:sz w:val="24"/>
          <w:szCs w:val="24"/>
        </w:rPr>
      </w:pPr>
      <w:r w:rsidRPr="003B37B6">
        <w:rPr>
          <w:rStyle w:val="ac"/>
          <w:rFonts w:eastAsiaTheme="majorEastAsia"/>
          <w:b/>
          <w:bCs/>
          <w:sz w:val="24"/>
          <w:szCs w:val="24"/>
        </w:rPr>
        <w:t>Комментарии</w:t>
      </w:r>
      <w:r w:rsidR="00CD1F09" w:rsidRPr="003B37B6">
        <w:rPr>
          <w:rStyle w:val="ac"/>
          <w:rFonts w:eastAsiaTheme="majorEastAsia"/>
          <w:b/>
          <w:bCs/>
          <w:sz w:val="24"/>
          <w:szCs w:val="24"/>
        </w:rPr>
        <w:t>:</w:t>
      </w:r>
      <w:r w:rsidR="00CD1F09" w:rsidRPr="003B37B6">
        <w:t xml:space="preserve"> </w:t>
      </w:r>
      <w:r w:rsidR="00CD1F09" w:rsidRPr="003B37B6">
        <w:rPr>
          <w:i/>
          <w:iCs/>
          <w:sz w:val="24"/>
          <w:szCs w:val="24"/>
        </w:rPr>
        <w:t xml:space="preserve">клонидин и другие центральные антигипертензивные средства </w:t>
      </w:r>
      <w:r w:rsidR="00CD1F09" w:rsidRPr="003B37B6">
        <w:rPr>
          <w:i/>
          <w:iCs/>
          <w:sz w:val="24"/>
          <w:szCs w:val="24"/>
        </w:rPr>
        <w:lastRenderedPageBreak/>
        <w:t>уменьшают симпатическую активность через стимуляцию альфа2-адренорецепторов в центральной нервной системе, что приводит к снижению периферического сосудистого сопротивления и артериального давления.</w:t>
      </w:r>
    </w:p>
    <w:p w14:paraId="126808A6" w14:textId="3F17800C" w:rsidR="003B71BC" w:rsidRPr="003B37B6" w:rsidRDefault="003B71BC" w:rsidP="003B71BC">
      <w:pPr>
        <w:pStyle w:val="11"/>
        <w:numPr>
          <w:ilvl w:val="0"/>
          <w:numId w:val="27"/>
        </w:numPr>
        <w:tabs>
          <w:tab w:val="left" w:pos="1297"/>
        </w:tabs>
        <w:ind w:firstLine="600"/>
        <w:jc w:val="both"/>
        <w:rPr>
          <w:sz w:val="24"/>
          <w:szCs w:val="24"/>
        </w:rPr>
      </w:pPr>
      <w:r w:rsidRPr="003B37B6">
        <w:rPr>
          <w:rStyle w:val="ac"/>
          <w:rFonts w:eastAsiaTheme="majorEastAsia"/>
          <w:sz w:val="24"/>
          <w:szCs w:val="24"/>
        </w:rPr>
        <w:t>Тиазидные/тиазидоподобные диуретики рекомендуются при резистентной АГ, если</w:t>
      </w:r>
      <w:r w:rsidRPr="003B37B6">
        <w:rPr>
          <w:sz w:val="24"/>
          <w:szCs w:val="24"/>
        </w:rPr>
        <w:t xml:space="preserve"> </w:t>
      </w:r>
      <w:r w:rsidRPr="003B37B6">
        <w:rPr>
          <w:rStyle w:val="ac"/>
          <w:rFonts w:eastAsiaTheme="majorEastAsia"/>
          <w:sz w:val="24"/>
          <w:szCs w:val="24"/>
        </w:rPr>
        <w:t>расчетная рСКФ составляет ≥ 30 мл/мин/1,73 м</w:t>
      </w:r>
      <w:r w:rsidRPr="003B37B6">
        <w:rPr>
          <w:rStyle w:val="ac"/>
          <w:rFonts w:eastAsiaTheme="majorEastAsia"/>
          <w:sz w:val="24"/>
          <w:szCs w:val="24"/>
          <w:vertAlign w:val="superscript"/>
        </w:rPr>
        <w:t>2</w:t>
      </w:r>
      <w:r w:rsidRPr="003B37B6">
        <w:rPr>
          <w:rStyle w:val="ac"/>
          <w:rFonts w:eastAsiaTheme="majorEastAsia"/>
          <w:sz w:val="24"/>
          <w:szCs w:val="24"/>
        </w:rPr>
        <w:t xml:space="preserve"> [352] (</w:t>
      </w:r>
      <w:r w:rsidR="008B00E6" w:rsidRPr="003B37B6">
        <w:rPr>
          <w:rStyle w:val="ac"/>
          <w:rFonts w:eastAsiaTheme="majorEastAsia"/>
          <w:sz w:val="24"/>
          <w:szCs w:val="24"/>
        </w:rPr>
        <w:t>глава 6 Приложения Б к настоящим Клиническим рекомендациям</w:t>
      </w:r>
      <w:r w:rsidRPr="003B37B6">
        <w:rPr>
          <w:rStyle w:val="ac"/>
          <w:rFonts w:eastAsiaTheme="majorEastAsia"/>
          <w:sz w:val="24"/>
          <w:szCs w:val="24"/>
        </w:rPr>
        <w:t>)</w:t>
      </w:r>
      <w:r w:rsidR="008B00E6" w:rsidRPr="003B37B6">
        <w:rPr>
          <w:rStyle w:val="ac"/>
          <w:rFonts w:eastAsiaTheme="majorEastAsia"/>
          <w:sz w:val="24"/>
          <w:szCs w:val="24"/>
        </w:rPr>
        <w:t>.</w:t>
      </w:r>
    </w:p>
    <w:p w14:paraId="00AF041A" w14:textId="5D7F112A" w:rsidR="00737ECE" w:rsidRPr="003B37B6" w:rsidRDefault="00737ECE" w:rsidP="00CD1F09">
      <w:pPr>
        <w:pStyle w:val="11"/>
        <w:spacing w:after="40"/>
        <w:ind w:firstLine="600"/>
        <w:jc w:val="both"/>
        <w:rPr>
          <w:rStyle w:val="ac"/>
          <w:rFonts w:eastAsiaTheme="majorEastAsia"/>
          <w:b/>
          <w:bCs/>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3B71BC" w:rsidRPr="003B37B6">
        <w:rPr>
          <w:rStyle w:val="ac"/>
          <w:rFonts w:eastAsiaTheme="majorEastAsia"/>
          <w:b/>
          <w:bCs/>
          <w:sz w:val="24"/>
          <w:szCs w:val="24"/>
        </w:rPr>
        <w:t xml:space="preserve"> </w:t>
      </w:r>
      <w:r w:rsidRPr="003B37B6">
        <w:rPr>
          <w:rStyle w:val="ac"/>
          <w:rFonts w:eastAsiaTheme="majorEastAsia"/>
          <w:b/>
          <w:bCs/>
          <w:sz w:val="24"/>
          <w:szCs w:val="24"/>
        </w:rPr>
        <w:t xml:space="preserve">С, </w:t>
      </w:r>
      <w:r w:rsidR="003B71BC"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5</w:t>
      </w:r>
      <w:r w:rsidR="003B71BC" w:rsidRPr="003B37B6">
        <w:rPr>
          <w:rStyle w:val="ac"/>
          <w:rFonts w:eastAsiaTheme="majorEastAsia"/>
          <w:b/>
          <w:bCs/>
          <w:sz w:val="24"/>
          <w:szCs w:val="24"/>
        </w:rPr>
        <w:t xml:space="preserve">); ЕОАГ </w:t>
      </w:r>
      <w:r w:rsidR="003B71BC" w:rsidRPr="003B37B6">
        <w:rPr>
          <w:rStyle w:val="ac"/>
          <w:rFonts w:eastAsiaTheme="majorEastAsia"/>
          <w:b/>
          <w:bCs/>
          <w:sz w:val="24"/>
          <w:szCs w:val="24"/>
          <w:lang w:val="en-US"/>
        </w:rPr>
        <w:t>IB</w:t>
      </w:r>
      <w:r w:rsidR="008B00E6" w:rsidRPr="003B37B6">
        <w:rPr>
          <w:rStyle w:val="ac"/>
          <w:rFonts w:eastAsiaTheme="majorEastAsia"/>
          <w:b/>
          <w:bCs/>
          <w:sz w:val="24"/>
          <w:szCs w:val="24"/>
        </w:rPr>
        <w:t>.</w:t>
      </w:r>
    </w:p>
    <w:p w14:paraId="395354BD" w14:textId="348A9500" w:rsidR="003B71BC" w:rsidRPr="003B37B6" w:rsidRDefault="003B71BC" w:rsidP="00CD1F09">
      <w:pPr>
        <w:pStyle w:val="11"/>
        <w:spacing w:after="40"/>
        <w:ind w:firstLine="600"/>
        <w:jc w:val="both"/>
        <w:rPr>
          <w:i/>
          <w:iCs/>
          <w:sz w:val="32"/>
          <w:szCs w:val="32"/>
        </w:rPr>
      </w:pPr>
      <w:r w:rsidRPr="003B37B6">
        <w:rPr>
          <w:rStyle w:val="ac"/>
          <w:rFonts w:eastAsiaTheme="majorEastAsia"/>
          <w:b/>
          <w:bCs/>
          <w:sz w:val="24"/>
          <w:szCs w:val="24"/>
        </w:rPr>
        <w:t>Комментарии:</w:t>
      </w:r>
      <w:r w:rsidRPr="003B37B6">
        <w:t xml:space="preserve"> </w:t>
      </w:r>
      <w:r w:rsidRPr="003B37B6">
        <w:rPr>
          <w:i/>
          <w:iCs/>
          <w:sz w:val="24"/>
          <w:szCs w:val="24"/>
        </w:rPr>
        <w:t>при более низких показателях рСКФ эффективность тиазидных диуретиков значительно снижается, и в таких случаях предпочтение отдают петлевым диуретикам.</w:t>
      </w:r>
      <w:r w:rsidRPr="003B37B6">
        <w:t xml:space="preserve"> </w:t>
      </w:r>
      <w:r w:rsidRPr="003B37B6">
        <w:rPr>
          <w:i/>
          <w:iCs/>
          <w:sz w:val="24"/>
          <w:szCs w:val="24"/>
        </w:rPr>
        <w:t>Тиазиды способствуют выведению натрия и воды, уменьшая объем циркулирующей крови и снижая артериальное давление.</w:t>
      </w:r>
    </w:p>
    <w:p w14:paraId="553D0162" w14:textId="07B35605" w:rsidR="00737ECE" w:rsidRPr="003B37B6" w:rsidRDefault="00737ECE">
      <w:pPr>
        <w:pStyle w:val="11"/>
        <w:numPr>
          <w:ilvl w:val="0"/>
          <w:numId w:val="27"/>
        </w:numPr>
        <w:tabs>
          <w:tab w:val="left" w:pos="1297"/>
        </w:tabs>
        <w:ind w:firstLine="600"/>
        <w:jc w:val="both"/>
        <w:rPr>
          <w:sz w:val="24"/>
          <w:szCs w:val="24"/>
        </w:rPr>
      </w:pPr>
      <w:r w:rsidRPr="003B37B6">
        <w:rPr>
          <w:rStyle w:val="ac"/>
          <w:rFonts w:eastAsiaTheme="majorEastAsia"/>
          <w:sz w:val="24"/>
          <w:szCs w:val="24"/>
        </w:rPr>
        <w:t>«Петлевые» диуретики могут быть рекомендованы пациентам с предполагаемой</w:t>
      </w:r>
      <w:r w:rsidR="00034BEA" w:rsidRPr="003B37B6">
        <w:rPr>
          <w:sz w:val="24"/>
          <w:szCs w:val="24"/>
        </w:rPr>
        <w:t xml:space="preserve"> </w:t>
      </w:r>
      <w:r w:rsidRPr="003B37B6">
        <w:rPr>
          <w:rStyle w:val="ac"/>
          <w:rFonts w:eastAsiaTheme="majorEastAsia"/>
          <w:sz w:val="24"/>
          <w:szCs w:val="24"/>
        </w:rPr>
        <w:t>рСКФ &lt; 45 мл/мин/1,73 м</w:t>
      </w:r>
      <w:r w:rsidRPr="003B37B6">
        <w:rPr>
          <w:rStyle w:val="ac"/>
          <w:rFonts w:eastAsiaTheme="majorEastAsia"/>
          <w:sz w:val="24"/>
          <w:szCs w:val="24"/>
          <w:vertAlign w:val="superscript"/>
        </w:rPr>
        <w:t>2</w:t>
      </w:r>
      <w:r w:rsidRPr="003B37B6">
        <w:rPr>
          <w:rStyle w:val="ac"/>
          <w:rFonts w:eastAsiaTheme="majorEastAsia"/>
          <w:sz w:val="24"/>
          <w:szCs w:val="24"/>
        </w:rPr>
        <w:t xml:space="preserve"> и должны применяться, если рСКФ падает ниже 30 мл/мин/1,73 м</w:t>
      </w:r>
      <w:r w:rsidRPr="003B37B6">
        <w:rPr>
          <w:rStyle w:val="ac"/>
          <w:rFonts w:eastAsiaTheme="majorEastAsia"/>
          <w:sz w:val="24"/>
          <w:szCs w:val="24"/>
          <w:vertAlign w:val="superscript"/>
        </w:rPr>
        <w:t>2</w:t>
      </w:r>
      <w:r w:rsidRPr="003B37B6">
        <w:rPr>
          <w:rStyle w:val="ac"/>
          <w:rFonts w:eastAsiaTheme="majorEastAsia"/>
          <w:sz w:val="24"/>
          <w:szCs w:val="24"/>
        </w:rPr>
        <w:t>. [352]</w:t>
      </w:r>
      <w:r w:rsidR="0050123A" w:rsidRPr="003B37B6">
        <w:rPr>
          <w:rStyle w:val="ac"/>
          <w:rFonts w:eastAsiaTheme="majorEastAsia"/>
          <w:sz w:val="24"/>
          <w:szCs w:val="24"/>
        </w:rPr>
        <w:t xml:space="preserve"> </w:t>
      </w:r>
      <w:r w:rsidRPr="003B37B6">
        <w:rPr>
          <w:rStyle w:val="ac"/>
          <w:rFonts w:eastAsiaTheme="majorEastAsia"/>
          <w:sz w:val="24"/>
          <w:szCs w:val="24"/>
        </w:rPr>
        <w:t>(</w:t>
      </w:r>
      <w:r w:rsidR="0050123A" w:rsidRPr="003B37B6">
        <w:rPr>
          <w:rStyle w:val="ac"/>
          <w:rFonts w:eastAsiaTheme="majorEastAsia"/>
          <w:sz w:val="24"/>
          <w:szCs w:val="24"/>
        </w:rPr>
        <w:t>глава 6 Приложения Б к настоящим Клиническим рекомендациям</w:t>
      </w:r>
      <w:r w:rsidRPr="003B37B6">
        <w:rPr>
          <w:rStyle w:val="ac"/>
          <w:rFonts w:eastAsiaTheme="majorEastAsia"/>
          <w:sz w:val="24"/>
          <w:szCs w:val="24"/>
        </w:rPr>
        <w:t>)</w:t>
      </w:r>
      <w:r w:rsidR="0050123A" w:rsidRPr="003B37B6">
        <w:rPr>
          <w:rStyle w:val="ac"/>
          <w:rFonts w:eastAsiaTheme="majorEastAsia"/>
          <w:sz w:val="24"/>
          <w:szCs w:val="24"/>
        </w:rPr>
        <w:t>.</w:t>
      </w:r>
    </w:p>
    <w:p w14:paraId="206ADF53" w14:textId="6EC26BDF" w:rsidR="00737ECE" w:rsidRPr="003B37B6" w:rsidRDefault="00737ECE" w:rsidP="00737ECE">
      <w:pPr>
        <w:pStyle w:val="11"/>
        <w:ind w:firstLine="600"/>
        <w:jc w:val="both"/>
        <w:rPr>
          <w:rStyle w:val="ac"/>
          <w:rFonts w:eastAsiaTheme="majorEastAsia"/>
          <w:b/>
          <w:bCs/>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3B71BC" w:rsidRPr="003B37B6">
        <w:rPr>
          <w:rStyle w:val="ac"/>
          <w:rFonts w:eastAsiaTheme="majorEastAsia"/>
          <w:b/>
          <w:bCs/>
          <w:sz w:val="24"/>
          <w:szCs w:val="24"/>
        </w:rPr>
        <w:t xml:space="preserve"> </w:t>
      </w:r>
      <w:r w:rsidRPr="003B37B6">
        <w:rPr>
          <w:rStyle w:val="ac"/>
          <w:rFonts w:eastAsiaTheme="majorEastAsia"/>
          <w:b/>
          <w:bCs/>
          <w:sz w:val="24"/>
          <w:szCs w:val="24"/>
        </w:rPr>
        <w:t xml:space="preserve">С, </w:t>
      </w:r>
      <w:r w:rsidR="003B71BC"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5</w:t>
      </w:r>
      <w:r w:rsidR="003B71BC" w:rsidRPr="003B37B6">
        <w:rPr>
          <w:rStyle w:val="ac"/>
          <w:rFonts w:eastAsiaTheme="majorEastAsia"/>
          <w:b/>
          <w:bCs/>
          <w:sz w:val="24"/>
          <w:szCs w:val="24"/>
        </w:rPr>
        <w:t xml:space="preserve">); ЕОАГ </w:t>
      </w:r>
      <w:r w:rsidR="003B71BC" w:rsidRPr="003B37B6">
        <w:rPr>
          <w:rStyle w:val="ac"/>
          <w:rFonts w:eastAsiaTheme="majorEastAsia"/>
          <w:b/>
          <w:bCs/>
          <w:sz w:val="24"/>
          <w:szCs w:val="24"/>
          <w:lang w:val="en-US"/>
        </w:rPr>
        <w:t>IB</w:t>
      </w:r>
      <w:r w:rsidR="008B00E6" w:rsidRPr="003B37B6">
        <w:rPr>
          <w:rStyle w:val="ac"/>
          <w:rFonts w:eastAsiaTheme="majorEastAsia"/>
          <w:b/>
          <w:bCs/>
          <w:sz w:val="24"/>
          <w:szCs w:val="24"/>
        </w:rPr>
        <w:t>.</w:t>
      </w:r>
    </w:p>
    <w:p w14:paraId="2306701A" w14:textId="4B6B4A4D" w:rsidR="003B71BC" w:rsidRPr="003B37B6" w:rsidRDefault="003B71BC" w:rsidP="00737ECE">
      <w:pPr>
        <w:pStyle w:val="11"/>
        <w:ind w:firstLine="600"/>
        <w:jc w:val="both"/>
        <w:rPr>
          <w:i/>
          <w:iCs/>
          <w:sz w:val="24"/>
          <w:szCs w:val="24"/>
        </w:rPr>
      </w:pPr>
      <w:r w:rsidRPr="003B37B6">
        <w:rPr>
          <w:rStyle w:val="ac"/>
          <w:rFonts w:eastAsiaTheme="majorEastAsia"/>
          <w:b/>
          <w:bCs/>
          <w:sz w:val="24"/>
          <w:szCs w:val="24"/>
        </w:rPr>
        <w:t>Комментарии</w:t>
      </w:r>
      <w:r w:rsidRPr="003B37B6">
        <w:rPr>
          <w:rStyle w:val="ac"/>
          <w:rFonts w:eastAsiaTheme="majorEastAsia"/>
          <w:b/>
          <w:bCs/>
          <w:i/>
          <w:iCs/>
          <w:sz w:val="24"/>
          <w:szCs w:val="24"/>
        </w:rPr>
        <w:t>:</w:t>
      </w:r>
      <w:r w:rsidRPr="003B37B6">
        <w:rPr>
          <w:i/>
          <w:iCs/>
        </w:rPr>
        <w:t xml:space="preserve"> При </w:t>
      </w:r>
      <w:r w:rsidRPr="003B37B6">
        <w:rPr>
          <w:rStyle w:val="aff9"/>
          <w:rFonts w:eastAsiaTheme="majorEastAsia"/>
          <w:b w:val="0"/>
          <w:bCs w:val="0"/>
          <w:i/>
          <w:iCs/>
        </w:rPr>
        <w:t xml:space="preserve">рСКФ </w:t>
      </w:r>
      <w:proofErr w:type="gramStart"/>
      <w:r w:rsidRPr="003B37B6">
        <w:rPr>
          <w:rStyle w:val="aff9"/>
          <w:rFonts w:eastAsiaTheme="majorEastAsia"/>
          <w:b w:val="0"/>
          <w:bCs w:val="0"/>
          <w:i/>
          <w:iCs/>
        </w:rPr>
        <w:t>&lt; 45</w:t>
      </w:r>
      <w:proofErr w:type="gramEnd"/>
      <w:r w:rsidRPr="003B37B6">
        <w:rPr>
          <w:rStyle w:val="aff9"/>
          <w:rFonts w:eastAsiaTheme="majorEastAsia"/>
          <w:b w:val="0"/>
          <w:bCs w:val="0"/>
          <w:i/>
          <w:iCs/>
        </w:rPr>
        <w:t xml:space="preserve"> мл/мин/1,73 м²</w:t>
      </w:r>
      <w:r w:rsidRPr="003B37B6">
        <w:rPr>
          <w:i/>
          <w:iCs/>
        </w:rPr>
        <w:t xml:space="preserve"> петлевые диуретики могут быть назначены для улучшения контроля объёма жидкости и артериального давления. При дальнейшем снижении функции почек — </w:t>
      </w:r>
      <w:r w:rsidRPr="003B37B6">
        <w:rPr>
          <w:rStyle w:val="aff9"/>
          <w:rFonts w:eastAsiaTheme="majorEastAsia"/>
          <w:b w:val="0"/>
          <w:bCs w:val="0"/>
          <w:i/>
          <w:iCs/>
        </w:rPr>
        <w:t>рСКФ &lt;30 мл/мин/1,73 м²</w:t>
      </w:r>
      <w:r w:rsidRPr="003B37B6">
        <w:rPr>
          <w:i/>
          <w:iCs/>
        </w:rPr>
        <w:t xml:space="preserve"> — применение петлевых диуретиков становится обязательным, поскольку тиазидные диуретики теряют эффективность.</w:t>
      </w:r>
    </w:p>
    <w:p w14:paraId="3F064679" w14:textId="03982022" w:rsidR="00737ECE" w:rsidRPr="003B37B6" w:rsidRDefault="00737ECE">
      <w:pPr>
        <w:pStyle w:val="11"/>
        <w:numPr>
          <w:ilvl w:val="0"/>
          <w:numId w:val="27"/>
        </w:numPr>
        <w:tabs>
          <w:tab w:val="left" w:pos="1297"/>
        </w:tabs>
        <w:ind w:firstLine="600"/>
        <w:jc w:val="both"/>
        <w:rPr>
          <w:sz w:val="24"/>
          <w:szCs w:val="24"/>
        </w:rPr>
      </w:pPr>
      <w:r w:rsidRPr="003B37B6">
        <w:rPr>
          <w:rStyle w:val="ac"/>
          <w:rFonts w:eastAsiaTheme="majorEastAsia"/>
          <w:sz w:val="24"/>
          <w:szCs w:val="24"/>
        </w:rPr>
        <w:t>Хлорталидон (от 12,5 до 25 мг один раз в день) или другой</w:t>
      </w:r>
      <w:r w:rsidR="00034BEA" w:rsidRPr="003B37B6">
        <w:rPr>
          <w:sz w:val="24"/>
          <w:szCs w:val="24"/>
        </w:rPr>
        <w:t xml:space="preserve"> </w:t>
      </w:r>
      <w:r w:rsidRPr="003B37B6">
        <w:rPr>
          <w:rStyle w:val="ac"/>
          <w:rFonts w:eastAsiaTheme="majorEastAsia"/>
          <w:sz w:val="24"/>
          <w:szCs w:val="24"/>
        </w:rPr>
        <w:t>тиазидный/тиазидоподобный диуретик можно рекомендовать для применения с петлевым диуретиком или без него, если рСКФ составляет &lt;30 мл/мин/1,73 м</w:t>
      </w:r>
      <w:r w:rsidRPr="003B37B6">
        <w:rPr>
          <w:rStyle w:val="ac"/>
          <w:rFonts w:eastAsiaTheme="majorEastAsia"/>
          <w:sz w:val="24"/>
          <w:szCs w:val="24"/>
          <w:vertAlign w:val="superscript"/>
        </w:rPr>
        <w:t>2</w:t>
      </w:r>
      <w:r w:rsidRPr="003B37B6">
        <w:rPr>
          <w:rStyle w:val="ac"/>
          <w:rFonts w:eastAsiaTheme="majorEastAsia"/>
          <w:sz w:val="24"/>
          <w:szCs w:val="24"/>
        </w:rPr>
        <w:t xml:space="preserve"> [189, 12] (</w:t>
      </w:r>
      <w:r w:rsidR="00987CBD" w:rsidRPr="003B37B6">
        <w:rPr>
          <w:rStyle w:val="ac"/>
          <w:rFonts w:eastAsiaTheme="majorEastAsia"/>
          <w:sz w:val="24"/>
          <w:szCs w:val="24"/>
        </w:rPr>
        <w:t>глава 6 Приложения Б к настоящим Клиническим рекомендациям</w:t>
      </w:r>
      <w:r w:rsidRPr="003B37B6">
        <w:rPr>
          <w:rStyle w:val="ac"/>
          <w:rFonts w:eastAsiaTheme="majorEastAsia"/>
          <w:sz w:val="24"/>
          <w:szCs w:val="24"/>
        </w:rPr>
        <w:t>)</w:t>
      </w:r>
      <w:r w:rsidR="00987CBD" w:rsidRPr="003B37B6">
        <w:rPr>
          <w:rStyle w:val="ac"/>
          <w:rFonts w:eastAsiaTheme="majorEastAsia"/>
          <w:sz w:val="24"/>
          <w:szCs w:val="24"/>
        </w:rPr>
        <w:t>.</w:t>
      </w:r>
    </w:p>
    <w:p w14:paraId="6ECA6932" w14:textId="3673190F" w:rsidR="00737ECE" w:rsidRPr="003B37B6" w:rsidRDefault="00737ECE" w:rsidP="00737ECE">
      <w:pPr>
        <w:pStyle w:val="11"/>
        <w:ind w:firstLine="600"/>
        <w:jc w:val="both"/>
        <w:rPr>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3B71BC" w:rsidRPr="003B37B6">
        <w:rPr>
          <w:rStyle w:val="ac"/>
          <w:rFonts w:eastAsiaTheme="majorEastAsia"/>
          <w:b/>
          <w:bCs/>
          <w:sz w:val="24"/>
          <w:szCs w:val="24"/>
        </w:rPr>
        <w:t xml:space="preserve"> </w:t>
      </w:r>
      <w:r w:rsidRPr="003B37B6">
        <w:rPr>
          <w:rStyle w:val="ac"/>
          <w:rFonts w:eastAsiaTheme="majorEastAsia"/>
          <w:b/>
          <w:bCs/>
          <w:sz w:val="24"/>
          <w:szCs w:val="24"/>
        </w:rPr>
        <w:t xml:space="preserve">С, </w:t>
      </w:r>
      <w:r w:rsidR="003B71BC"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5</w:t>
      </w:r>
      <w:r w:rsidR="00987CBD" w:rsidRPr="003B37B6">
        <w:rPr>
          <w:rStyle w:val="ac"/>
          <w:rFonts w:eastAsiaTheme="majorEastAsia"/>
          <w:b/>
          <w:bCs/>
          <w:sz w:val="24"/>
          <w:szCs w:val="24"/>
        </w:rPr>
        <w:t>); ЕОАГ</w:t>
      </w:r>
      <w:r w:rsidR="003B71BC" w:rsidRPr="003B37B6">
        <w:rPr>
          <w:rStyle w:val="ac"/>
          <w:rFonts w:eastAsiaTheme="majorEastAsia"/>
          <w:b/>
          <w:bCs/>
          <w:sz w:val="24"/>
          <w:szCs w:val="24"/>
        </w:rPr>
        <w:t xml:space="preserve"> </w:t>
      </w:r>
      <w:r w:rsidR="003B71BC" w:rsidRPr="003B37B6">
        <w:rPr>
          <w:rStyle w:val="ac"/>
          <w:rFonts w:eastAsiaTheme="majorEastAsia"/>
          <w:b/>
          <w:bCs/>
          <w:sz w:val="24"/>
          <w:szCs w:val="24"/>
          <w:lang w:val="en-US"/>
        </w:rPr>
        <w:t>IB</w:t>
      </w:r>
      <w:r w:rsidR="00987CBD" w:rsidRPr="003B37B6">
        <w:rPr>
          <w:rStyle w:val="ac"/>
          <w:rFonts w:eastAsiaTheme="majorEastAsia"/>
          <w:b/>
          <w:bCs/>
          <w:sz w:val="24"/>
          <w:szCs w:val="24"/>
        </w:rPr>
        <w:t>.</w:t>
      </w:r>
    </w:p>
    <w:p w14:paraId="663289D0" w14:textId="77777777" w:rsidR="00737ECE" w:rsidRPr="003B37B6" w:rsidRDefault="00737ECE" w:rsidP="00737ECE">
      <w:pPr>
        <w:pStyle w:val="11"/>
        <w:ind w:firstLine="600"/>
        <w:jc w:val="both"/>
        <w:rPr>
          <w:sz w:val="24"/>
          <w:szCs w:val="24"/>
        </w:rPr>
      </w:pPr>
      <w:r w:rsidRPr="003B37B6">
        <w:rPr>
          <w:rStyle w:val="ac"/>
          <w:rFonts w:eastAsiaTheme="majorEastAsia"/>
          <w:b/>
          <w:bCs/>
          <w:sz w:val="24"/>
          <w:szCs w:val="24"/>
        </w:rPr>
        <w:t xml:space="preserve">Комментарии. </w:t>
      </w:r>
      <w:r w:rsidRPr="003B37B6">
        <w:rPr>
          <w:rStyle w:val="ac"/>
          <w:rFonts w:eastAsiaTheme="majorEastAsia"/>
          <w:i/>
          <w:iCs/>
          <w:sz w:val="24"/>
          <w:szCs w:val="24"/>
        </w:rPr>
        <w:t>При СКФ ≥30 мл/мин/1,73 м</w:t>
      </w:r>
      <w:r w:rsidRPr="003B37B6">
        <w:rPr>
          <w:rStyle w:val="ac"/>
          <w:rFonts w:eastAsiaTheme="majorEastAsia"/>
          <w:i/>
          <w:iCs/>
          <w:sz w:val="24"/>
          <w:szCs w:val="24"/>
          <w:vertAlign w:val="superscript"/>
        </w:rPr>
        <w:t>2</w:t>
      </w:r>
      <w:r w:rsidRPr="003B37B6">
        <w:rPr>
          <w:rStyle w:val="ac"/>
          <w:rFonts w:eastAsiaTheme="majorEastAsia"/>
          <w:i/>
          <w:iCs/>
          <w:sz w:val="24"/>
          <w:szCs w:val="24"/>
        </w:rPr>
        <w:t xml:space="preserve"> контроль над АД можно улучшить, увеличив дозу принимаемого тазидного диуретика или его заменой на тиазидоподобный диуретик. У пациентов с СКФ &lt;30 мл/мин/1,73 м</w:t>
      </w:r>
      <w:r w:rsidRPr="003B37B6">
        <w:rPr>
          <w:rStyle w:val="ac"/>
          <w:rFonts w:eastAsiaTheme="majorEastAsia"/>
          <w:i/>
          <w:iCs/>
          <w:sz w:val="24"/>
          <w:szCs w:val="24"/>
          <w:vertAlign w:val="superscript"/>
        </w:rPr>
        <w:t>2</w:t>
      </w:r>
      <w:r w:rsidRPr="003B37B6">
        <w:rPr>
          <w:rStyle w:val="ac"/>
          <w:rFonts w:eastAsiaTheme="majorEastAsia"/>
          <w:i/>
          <w:iCs/>
          <w:sz w:val="24"/>
          <w:szCs w:val="24"/>
        </w:rPr>
        <w:t xml:space="preserve"> необходимо менять тиазидный или тиазидоподобный диуретик на петлевой, так как в этих условиях антигипертензивная эффективность и натрийуретический эффект первых снижается.</w:t>
      </w:r>
    </w:p>
    <w:p w14:paraId="3BDDEB12" w14:textId="77777777" w:rsidR="00737ECE" w:rsidRPr="003B37B6" w:rsidRDefault="00737ECE" w:rsidP="00737ECE">
      <w:pPr>
        <w:pStyle w:val="11"/>
        <w:ind w:firstLine="600"/>
        <w:jc w:val="both"/>
        <w:rPr>
          <w:sz w:val="24"/>
          <w:szCs w:val="24"/>
        </w:rPr>
      </w:pPr>
      <w:r w:rsidRPr="003B37B6">
        <w:rPr>
          <w:rStyle w:val="ac"/>
          <w:rFonts w:eastAsiaTheme="majorEastAsia"/>
          <w:i/>
          <w:iCs/>
          <w:sz w:val="24"/>
          <w:szCs w:val="24"/>
        </w:rPr>
        <w:t xml:space="preserve">Эффективность хлорталидона при ХБП 4 стадии продемонстрирована в исследовании </w:t>
      </w:r>
      <w:r w:rsidRPr="003B37B6">
        <w:rPr>
          <w:rStyle w:val="ac"/>
          <w:rFonts w:eastAsiaTheme="majorEastAsia"/>
          <w:i/>
          <w:iCs/>
          <w:sz w:val="24"/>
          <w:szCs w:val="24"/>
          <w:lang w:val="en-US"/>
        </w:rPr>
        <w:t>CLICK</w:t>
      </w:r>
      <w:r w:rsidRPr="003B37B6">
        <w:rPr>
          <w:rStyle w:val="ac"/>
          <w:rFonts w:eastAsiaTheme="majorEastAsia"/>
          <w:sz w:val="24"/>
          <w:szCs w:val="24"/>
        </w:rPr>
        <w:t xml:space="preserve"> [241]</w:t>
      </w:r>
      <w:r w:rsidRPr="003B37B6">
        <w:rPr>
          <w:rStyle w:val="ac"/>
          <w:rFonts w:eastAsiaTheme="majorEastAsia"/>
          <w:i/>
          <w:iCs/>
          <w:sz w:val="24"/>
          <w:szCs w:val="24"/>
        </w:rPr>
        <w:t xml:space="preserve">. У пациентов с тяжелой ХБП и/или альбуминурией можно </w:t>
      </w:r>
      <w:r w:rsidRPr="003B37B6">
        <w:rPr>
          <w:rStyle w:val="ac"/>
          <w:rFonts w:eastAsiaTheme="majorEastAsia"/>
          <w:i/>
          <w:iCs/>
          <w:sz w:val="24"/>
          <w:szCs w:val="24"/>
        </w:rPr>
        <w:lastRenderedPageBreak/>
        <w:t>увеличивать дозу или частоту приема петлевых диуретиков</w:t>
      </w:r>
      <w:r w:rsidRPr="003B37B6">
        <w:rPr>
          <w:rStyle w:val="ac"/>
          <w:rFonts w:eastAsiaTheme="majorEastAsia"/>
          <w:sz w:val="24"/>
          <w:szCs w:val="24"/>
        </w:rPr>
        <w:t xml:space="preserve"> [353]</w:t>
      </w:r>
      <w:r w:rsidRPr="003B37B6">
        <w:rPr>
          <w:rStyle w:val="ac"/>
          <w:rFonts w:eastAsiaTheme="majorEastAsia"/>
          <w:i/>
          <w:iCs/>
          <w:sz w:val="24"/>
          <w:szCs w:val="24"/>
        </w:rPr>
        <w:t>. Любое назначение диуретиков требует мониторинга электролитов сыворотки и волемии для своевременного выявления признаков дегидратации, гипокалиемии, гипонатриемии, гиповолемии и ухудшения функции почек.</w:t>
      </w:r>
    </w:p>
    <w:p w14:paraId="4B8FEAB4" w14:textId="77777777" w:rsidR="00737ECE" w:rsidRPr="003B37B6" w:rsidRDefault="00737ECE">
      <w:pPr>
        <w:pStyle w:val="11"/>
        <w:numPr>
          <w:ilvl w:val="0"/>
          <w:numId w:val="27"/>
        </w:numPr>
        <w:tabs>
          <w:tab w:val="left" w:pos="1297"/>
        </w:tabs>
        <w:ind w:firstLine="600"/>
        <w:jc w:val="both"/>
        <w:rPr>
          <w:sz w:val="24"/>
          <w:szCs w:val="24"/>
        </w:rPr>
      </w:pPr>
      <w:r w:rsidRPr="003B37B6">
        <w:rPr>
          <w:rStyle w:val="ac"/>
          <w:rFonts w:eastAsiaTheme="majorEastAsia"/>
          <w:sz w:val="24"/>
          <w:szCs w:val="24"/>
        </w:rPr>
        <w:t>Денервация почечных артерий (трансаортальная радиочастотная абляция почечных</w:t>
      </w:r>
      <w:r w:rsidR="00034BEA" w:rsidRPr="003B37B6">
        <w:rPr>
          <w:sz w:val="24"/>
          <w:szCs w:val="24"/>
        </w:rPr>
        <w:t xml:space="preserve"> </w:t>
      </w:r>
      <w:r w:rsidRPr="003B37B6">
        <w:rPr>
          <w:rStyle w:val="ac"/>
          <w:rFonts w:eastAsiaTheme="majorEastAsia"/>
          <w:sz w:val="24"/>
          <w:szCs w:val="24"/>
        </w:rPr>
        <w:t>артерий)) может быть рекомендована как дополнительный вариант лечения у пациентов с резистентной АГ, если рСКФ составляет &gt;40 мл/мин/1,73 м</w:t>
      </w:r>
      <w:r w:rsidRPr="003B37B6">
        <w:rPr>
          <w:rStyle w:val="ac"/>
          <w:rFonts w:eastAsiaTheme="majorEastAsia"/>
          <w:sz w:val="24"/>
          <w:szCs w:val="24"/>
          <w:vertAlign w:val="superscript"/>
        </w:rPr>
        <w:t>2</w:t>
      </w:r>
      <w:r w:rsidRPr="003B37B6">
        <w:rPr>
          <w:rStyle w:val="ac"/>
          <w:rFonts w:eastAsiaTheme="majorEastAsia"/>
          <w:sz w:val="24"/>
          <w:szCs w:val="24"/>
        </w:rPr>
        <w:t xml:space="preserve"> [210, 211, 212, 354, 355, 218, 214, 219].</w:t>
      </w:r>
    </w:p>
    <w:p w14:paraId="6B2BDB12" w14:textId="7B23F537" w:rsidR="00737ECE" w:rsidRPr="003B37B6" w:rsidRDefault="00737ECE" w:rsidP="00737ECE">
      <w:pPr>
        <w:pStyle w:val="11"/>
        <w:ind w:firstLine="600"/>
        <w:jc w:val="both"/>
        <w:rPr>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120705" w:rsidRPr="003B37B6">
        <w:rPr>
          <w:rStyle w:val="ac"/>
          <w:rFonts w:eastAsiaTheme="majorEastAsia"/>
          <w:b/>
          <w:bCs/>
          <w:sz w:val="24"/>
          <w:szCs w:val="24"/>
        </w:rPr>
        <w:t xml:space="preserve"> </w:t>
      </w:r>
      <w:r w:rsidRPr="003B37B6">
        <w:rPr>
          <w:rStyle w:val="ac"/>
          <w:rFonts w:eastAsiaTheme="majorEastAsia"/>
          <w:b/>
          <w:bCs/>
          <w:sz w:val="24"/>
          <w:szCs w:val="24"/>
        </w:rPr>
        <w:t xml:space="preserve">В </w:t>
      </w:r>
      <w:r w:rsidR="00120705"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2</w:t>
      </w:r>
      <w:r w:rsidR="00987CBD" w:rsidRPr="003B37B6">
        <w:rPr>
          <w:rStyle w:val="ac"/>
          <w:rFonts w:eastAsiaTheme="majorEastAsia"/>
          <w:b/>
          <w:bCs/>
          <w:sz w:val="24"/>
          <w:szCs w:val="24"/>
        </w:rPr>
        <w:t>); ЕОАГ</w:t>
      </w:r>
      <w:r w:rsidR="00120705" w:rsidRPr="003B37B6">
        <w:rPr>
          <w:rStyle w:val="ac"/>
          <w:rFonts w:eastAsiaTheme="majorEastAsia"/>
          <w:b/>
          <w:bCs/>
          <w:sz w:val="24"/>
          <w:szCs w:val="24"/>
        </w:rPr>
        <w:t xml:space="preserve"> </w:t>
      </w:r>
      <w:r w:rsidR="00120705" w:rsidRPr="003B37B6">
        <w:rPr>
          <w:rStyle w:val="ac"/>
          <w:rFonts w:eastAsiaTheme="majorEastAsia"/>
          <w:b/>
          <w:bCs/>
          <w:sz w:val="24"/>
          <w:szCs w:val="24"/>
          <w:lang w:val="en-US"/>
        </w:rPr>
        <w:t>IIB</w:t>
      </w:r>
      <w:r w:rsidR="00987CBD" w:rsidRPr="003B37B6">
        <w:rPr>
          <w:rStyle w:val="ac"/>
          <w:rFonts w:eastAsiaTheme="majorEastAsia"/>
          <w:b/>
          <w:bCs/>
          <w:sz w:val="24"/>
          <w:szCs w:val="24"/>
        </w:rPr>
        <w:t>.</w:t>
      </w:r>
    </w:p>
    <w:p w14:paraId="0C804005" w14:textId="77777777" w:rsidR="001A1A33" w:rsidRPr="003B37B6" w:rsidRDefault="00737ECE" w:rsidP="00E903CB">
      <w:pPr>
        <w:pStyle w:val="11"/>
        <w:ind w:firstLine="567"/>
        <w:jc w:val="both"/>
        <w:rPr>
          <w:sz w:val="24"/>
          <w:szCs w:val="24"/>
        </w:rPr>
      </w:pPr>
      <w:r w:rsidRPr="003B37B6">
        <w:rPr>
          <w:rStyle w:val="ac"/>
          <w:rFonts w:eastAsiaTheme="majorEastAsia"/>
          <w:b/>
          <w:bCs/>
          <w:sz w:val="24"/>
          <w:szCs w:val="24"/>
        </w:rPr>
        <w:t>Комментарии.</w:t>
      </w:r>
      <w:r w:rsidRPr="003B37B6">
        <w:rPr>
          <w:rStyle w:val="ac"/>
          <w:rFonts w:eastAsiaTheme="majorEastAsia"/>
          <w:b/>
          <w:bCs/>
          <w:i/>
          <w:iCs/>
          <w:sz w:val="24"/>
          <w:szCs w:val="24"/>
        </w:rPr>
        <w:t xml:space="preserve"> </w:t>
      </w:r>
      <w:r w:rsidRPr="003B37B6">
        <w:rPr>
          <w:rStyle w:val="ac"/>
          <w:rFonts w:eastAsiaTheme="majorEastAsia"/>
          <w:i/>
          <w:iCs/>
          <w:sz w:val="24"/>
          <w:szCs w:val="24"/>
        </w:rPr>
        <w:t>Частое сочетание резистентной АГ с другими заболеваниями требует соответствующих терапевтических стратегий: назначения CPAP-терапии при СОАС</w:t>
      </w:r>
      <w:r w:rsidRPr="003B37B6">
        <w:rPr>
          <w:rStyle w:val="ac"/>
          <w:rFonts w:eastAsiaTheme="majorEastAsia"/>
          <w:sz w:val="24"/>
          <w:szCs w:val="24"/>
        </w:rPr>
        <w:t xml:space="preserve"> [332, 356,</w:t>
      </w:r>
      <w:r w:rsidR="00034BEA" w:rsidRPr="003B37B6">
        <w:rPr>
          <w:rStyle w:val="ac"/>
          <w:rFonts w:eastAsiaTheme="majorEastAsia"/>
          <w:sz w:val="24"/>
          <w:szCs w:val="24"/>
        </w:rPr>
        <w:t xml:space="preserve"> </w:t>
      </w:r>
      <w:r w:rsidRPr="003B37B6">
        <w:rPr>
          <w:rStyle w:val="ac"/>
          <w:rFonts w:eastAsiaTheme="majorEastAsia"/>
          <w:sz w:val="24"/>
          <w:szCs w:val="24"/>
        </w:rPr>
        <w:t>357]</w:t>
      </w:r>
      <w:r w:rsidRPr="003B37B6">
        <w:rPr>
          <w:rStyle w:val="ac"/>
          <w:rFonts w:eastAsiaTheme="majorEastAsia"/>
          <w:i/>
          <w:iCs/>
          <w:sz w:val="24"/>
          <w:szCs w:val="24"/>
        </w:rPr>
        <w:t>, агонистов</w:t>
      </w:r>
      <w:r w:rsidR="00034BEA" w:rsidRPr="003B37B6">
        <w:rPr>
          <w:rStyle w:val="ac"/>
          <w:rFonts w:eastAsiaTheme="majorEastAsia"/>
          <w:i/>
          <w:iCs/>
          <w:sz w:val="24"/>
          <w:szCs w:val="24"/>
        </w:rPr>
        <w:t xml:space="preserve"> </w:t>
      </w:r>
      <w:r w:rsidRPr="003B37B6">
        <w:rPr>
          <w:rStyle w:val="ac"/>
          <w:rFonts w:eastAsiaTheme="majorEastAsia"/>
          <w:i/>
          <w:iCs/>
          <w:sz w:val="24"/>
          <w:szCs w:val="24"/>
        </w:rPr>
        <w:t>рецепторов ГПП-1 при ожирении</w:t>
      </w:r>
      <w:r w:rsidRPr="003B37B6">
        <w:rPr>
          <w:rStyle w:val="ac"/>
          <w:rFonts w:eastAsiaTheme="majorEastAsia"/>
          <w:sz w:val="24"/>
          <w:szCs w:val="24"/>
        </w:rPr>
        <w:t xml:space="preserve"> [358,</w:t>
      </w:r>
      <w:r w:rsidR="00034BEA" w:rsidRPr="003B37B6">
        <w:rPr>
          <w:rStyle w:val="ac"/>
          <w:rFonts w:eastAsiaTheme="majorEastAsia"/>
          <w:sz w:val="24"/>
          <w:szCs w:val="24"/>
        </w:rPr>
        <w:t xml:space="preserve"> </w:t>
      </w:r>
      <w:r w:rsidRPr="003B37B6">
        <w:rPr>
          <w:rStyle w:val="ac"/>
          <w:rFonts w:eastAsiaTheme="majorEastAsia"/>
          <w:sz w:val="24"/>
          <w:szCs w:val="24"/>
        </w:rPr>
        <w:t>359,</w:t>
      </w:r>
      <w:r w:rsidR="00034BEA" w:rsidRPr="003B37B6">
        <w:rPr>
          <w:rStyle w:val="ac"/>
          <w:rFonts w:eastAsiaTheme="majorEastAsia"/>
          <w:sz w:val="24"/>
          <w:szCs w:val="24"/>
        </w:rPr>
        <w:t xml:space="preserve"> </w:t>
      </w:r>
      <w:r w:rsidRPr="003B37B6">
        <w:rPr>
          <w:rStyle w:val="ac"/>
          <w:rFonts w:eastAsiaTheme="majorEastAsia"/>
          <w:sz w:val="24"/>
          <w:szCs w:val="24"/>
        </w:rPr>
        <w:t>360]</w:t>
      </w:r>
      <w:r w:rsidRPr="003B37B6">
        <w:rPr>
          <w:rStyle w:val="ac"/>
          <w:rFonts w:eastAsiaTheme="majorEastAsia"/>
          <w:i/>
          <w:iCs/>
          <w:sz w:val="24"/>
          <w:szCs w:val="24"/>
        </w:rPr>
        <w:t>,</w:t>
      </w:r>
      <w:r w:rsidR="001A1A33" w:rsidRPr="003B37B6">
        <w:rPr>
          <w:rStyle w:val="ac"/>
          <w:rFonts w:eastAsiaTheme="majorEastAsia"/>
          <w:i/>
          <w:iCs/>
          <w:sz w:val="24"/>
          <w:szCs w:val="24"/>
        </w:rPr>
        <w:t xml:space="preserve"> </w:t>
      </w:r>
      <w:r w:rsidRPr="003B37B6">
        <w:rPr>
          <w:rStyle w:val="ac"/>
          <w:rFonts w:eastAsiaTheme="majorEastAsia"/>
          <w:i/>
          <w:iCs/>
          <w:sz w:val="24"/>
          <w:szCs w:val="24"/>
        </w:rPr>
        <w:t>проведения</w:t>
      </w:r>
      <w:r w:rsidR="00034BEA" w:rsidRPr="003B37B6">
        <w:rPr>
          <w:sz w:val="24"/>
          <w:szCs w:val="24"/>
        </w:rPr>
        <w:t xml:space="preserve"> </w:t>
      </w:r>
      <w:r w:rsidRPr="003B37B6">
        <w:rPr>
          <w:rStyle w:val="ac"/>
          <w:rFonts w:eastAsiaTheme="majorEastAsia"/>
          <w:i/>
          <w:iCs/>
          <w:sz w:val="24"/>
          <w:szCs w:val="24"/>
        </w:rPr>
        <w:t xml:space="preserve">бариатрических операция при </w:t>
      </w:r>
      <w:r w:rsidR="001A1A33" w:rsidRPr="003B37B6">
        <w:rPr>
          <w:rStyle w:val="ac"/>
          <w:rFonts w:eastAsiaTheme="majorEastAsia"/>
          <w:i/>
          <w:iCs/>
          <w:sz w:val="24"/>
          <w:szCs w:val="24"/>
        </w:rPr>
        <w:t>тяжёлом</w:t>
      </w:r>
      <w:r w:rsidRPr="003B37B6">
        <w:rPr>
          <w:rStyle w:val="ac"/>
          <w:rFonts w:eastAsiaTheme="majorEastAsia"/>
          <w:i/>
          <w:iCs/>
          <w:sz w:val="24"/>
          <w:szCs w:val="24"/>
        </w:rPr>
        <w:t xml:space="preserve"> ожирении</w:t>
      </w:r>
      <w:r w:rsidRPr="003B37B6">
        <w:rPr>
          <w:rStyle w:val="ac"/>
          <w:rFonts w:eastAsiaTheme="majorEastAsia"/>
          <w:sz w:val="24"/>
          <w:szCs w:val="24"/>
        </w:rPr>
        <w:t xml:space="preserve"> [361]</w:t>
      </w:r>
      <w:r w:rsidRPr="003B37B6">
        <w:rPr>
          <w:rStyle w:val="ac"/>
          <w:rFonts w:eastAsiaTheme="majorEastAsia"/>
          <w:i/>
          <w:iCs/>
          <w:sz w:val="24"/>
          <w:szCs w:val="24"/>
        </w:rPr>
        <w:t>, добавления иНГЛТ-2 при наличии показаний</w:t>
      </w:r>
      <w:r w:rsidRPr="003B37B6">
        <w:rPr>
          <w:rStyle w:val="ac"/>
          <w:rFonts w:eastAsiaTheme="majorEastAsia"/>
          <w:sz w:val="24"/>
          <w:szCs w:val="24"/>
        </w:rPr>
        <w:t xml:space="preserve"> [362]</w:t>
      </w:r>
      <w:r w:rsidRPr="003B37B6">
        <w:rPr>
          <w:rStyle w:val="ac"/>
          <w:rFonts w:eastAsiaTheme="majorEastAsia"/>
          <w:i/>
          <w:iCs/>
          <w:sz w:val="24"/>
          <w:szCs w:val="24"/>
        </w:rPr>
        <w:t>. Кроме того, можно обсуждать назначение валсартан+сакубитрил**</w:t>
      </w:r>
      <w:r w:rsidRPr="003B37B6">
        <w:rPr>
          <w:rStyle w:val="ac"/>
          <w:rFonts w:eastAsiaTheme="majorEastAsia"/>
          <w:sz w:val="24"/>
          <w:szCs w:val="24"/>
        </w:rPr>
        <w:t xml:space="preserve"> [195, 70</w:t>
      </w:r>
      <w:r w:rsidR="001A1A33" w:rsidRPr="003B37B6">
        <w:rPr>
          <w:rStyle w:val="ac"/>
          <w:rFonts w:eastAsiaTheme="majorEastAsia"/>
          <w:sz w:val="24"/>
          <w:szCs w:val="24"/>
        </w:rPr>
        <w:t>, 363]</w:t>
      </w:r>
      <w:r w:rsidR="001A1A33" w:rsidRPr="003B37B6">
        <w:rPr>
          <w:rStyle w:val="ac"/>
          <w:rFonts w:eastAsiaTheme="majorEastAsia"/>
          <w:i/>
          <w:iCs/>
          <w:sz w:val="24"/>
          <w:szCs w:val="24"/>
        </w:rPr>
        <w:t>. Пациенты с резистентной АГ должны находиться под очень пристальным наблюдением. Последующее наблюдение включает периодический контроль АД и оценку ПОМ, особенно функции почек и уровня калия в сыворотке крови. Рекомендуется проводить наблюдение пациентов с использованием ДМАД (в том числе активного мониторинга АД при помощи дистанционных технологий при наличии возможности в медицинском учреждении), а также мониторинг приверженности к лекарственным препаратам. Наиболее предпочтительным является наблюдение таких пациентов узкими специалистами по АГ или в профильных центрах по лечению АГ.</w:t>
      </w:r>
    </w:p>
    <w:p w14:paraId="2F24CAAC" w14:textId="77777777" w:rsidR="003A7819" w:rsidRPr="003B37B6" w:rsidRDefault="001A1A33" w:rsidP="001A1A33">
      <w:pPr>
        <w:pStyle w:val="11"/>
        <w:tabs>
          <w:tab w:val="left" w:pos="1541"/>
        </w:tabs>
        <w:ind w:firstLine="0"/>
        <w:jc w:val="center"/>
        <w:rPr>
          <w:rStyle w:val="ac"/>
          <w:rFonts w:eastAsiaTheme="majorEastAsia"/>
          <w:b/>
          <w:bCs/>
          <w:sz w:val="24"/>
          <w:szCs w:val="24"/>
        </w:rPr>
      </w:pPr>
      <w:bookmarkStart w:id="49" w:name="bookmark38"/>
      <w:bookmarkStart w:id="50" w:name="_Hlk206159117"/>
      <w:r w:rsidRPr="003B37B6">
        <w:rPr>
          <w:rStyle w:val="ac"/>
          <w:rFonts w:eastAsiaTheme="majorEastAsia"/>
          <w:b/>
          <w:bCs/>
          <w:sz w:val="24"/>
          <w:szCs w:val="24"/>
        </w:rPr>
        <w:t>Изолированная офисная артериальная гипертензия</w:t>
      </w:r>
    </w:p>
    <w:p w14:paraId="317FED92" w14:textId="77777777" w:rsidR="001A1A33" w:rsidRPr="003B37B6" w:rsidRDefault="001A1A33" w:rsidP="001A1A33">
      <w:pPr>
        <w:pStyle w:val="11"/>
        <w:tabs>
          <w:tab w:val="left" w:pos="1541"/>
        </w:tabs>
        <w:ind w:firstLine="0"/>
        <w:jc w:val="center"/>
        <w:rPr>
          <w:sz w:val="24"/>
          <w:szCs w:val="24"/>
        </w:rPr>
      </w:pPr>
      <w:r w:rsidRPr="003B37B6">
        <w:rPr>
          <w:rStyle w:val="ac"/>
          <w:rFonts w:eastAsiaTheme="majorEastAsia"/>
          <w:b/>
          <w:bCs/>
          <w:sz w:val="24"/>
          <w:szCs w:val="24"/>
        </w:rPr>
        <w:t xml:space="preserve"> (артериальная гипертензия «белого халата»)</w:t>
      </w:r>
      <w:bookmarkEnd w:id="49"/>
    </w:p>
    <w:bookmarkEnd w:id="50"/>
    <w:p w14:paraId="13C9BFA7" w14:textId="77777777" w:rsidR="001A1A33" w:rsidRPr="003B37B6" w:rsidRDefault="001A1A33">
      <w:pPr>
        <w:pStyle w:val="11"/>
        <w:numPr>
          <w:ilvl w:val="0"/>
          <w:numId w:val="28"/>
        </w:numPr>
        <w:tabs>
          <w:tab w:val="left" w:pos="1272"/>
        </w:tabs>
        <w:ind w:firstLine="600"/>
        <w:jc w:val="both"/>
        <w:rPr>
          <w:sz w:val="24"/>
          <w:szCs w:val="24"/>
        </w:rPr>
      </w:pPr>
      <w:r w:rsidRPr="003B37B6">
        <w:rPr>
          <w:rStyle w:val="ac"/>
          <w:rFonts w:eastAsiaTheme="majorEastAsia"/>
          <w:sz w:val="24"/>
          <w:szCs w:val="24"/>
        </w:rPr>
        <w:t>Пациентам с изолированной офисной АГ рекомендуется проводить мероприятия по изменению образа жизни, направленные на уменьшение СС риска [27, 364, 365, 366, 367, 368].</w:t>
      </w:r>
    </w:p>
    <w:p w14:paraId="3DCA1354" w14:textId="03610514" w:rsidR="001A1A33" w:rsidRPr="003B37B6" w:rsidRDefault="001A1A33" w:rsidP="001A1A33">
      <w:pPr>
        <w:pStyle w:val="11"/>
        <w:ind w:firstLine="600"/>
        <w:jc w:val="both"/>
        <w:rPr>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120705" w:rsidRPr="003B37B6">
        <w:rPr>
          <w:rStyle w:val="ac"/>
          <w:rFonts w:eastAsiaTheme="majorEastAsia"/>
          <w:b/>
          <w:bCs/>
          <w:sz w:val="24"/>
          <w:szCs w:val="24"/>
        </w:rPr>
        <w:t xml:space="preserve"> </w:t>
      </w:r>
      <w:r w:rsidRPr="003B37B6">
        <w:rPr>
          <w:rStyle w:val="ac"/>
          <w:rFonts w:eastAsiaTheme="majorEastAsia"/>
          <w:b/>
          <w:bCs/>
          <w:sz w:val="24"/>
          <w:szCs w:val="24"/>
        </w:rPr>
        <w:t xml:space="preserve">В, </w:t>
      </w:r>
      <w:r w:rsidR="00120705"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2)</w:t>
      </w:r>
      <w:r w:rsidR="00120705" w:rsidRPr="003B37B6">
        <w:rPr>
          <w:rStyle w:val="ac"/>
          <w:rFonts w:eastAsiaTheme="majorEastAsia"/>
          <w:b/>
          <w:bCs/>
          <w:sz w:val="24"/>
          <w:szCs w:val="24"/>
        </w:rPr>
        <w:t>; ЕОК/ЕОАГ IС</w:t>
      </w:r>
      <w:r w:rsidR="00E903CB" w:rsidRPr="003B37B6">
        <w:rPr>
          <w:rStyle w:val="ac"/>
          <w:rFonts w:eastAsiaTheme="majorEastAsia"/>
          <w:b/>
          <w:bCs/>
          <w:sz w:val="24"/>
          <w:szCs w:val="24"/>
        </w:rPr>
        <w:t>.</w:t>
      </w:r>
    </w:p>
    <w:p w14:paraId="0C54570F" w14:textId="77777777" w:rsidR="001A1A33" w:rsidRPr="003B37B6" w:rsidRDefault="001A1A33">
      <w:pPr>
        <w:pStyle w:val="11"/>
        <w:numPr>
          <w:ilvl w:val="0"/>
          <w:numId w:val="28"/>
        </w:numPr>
        <w:tabs>
          <w:tab w:val="left" w:pos="1272"/>
        </w:tabs>
        <w:ind w:firstLine="600"/>
        <w:jc w:val="both"/>
        <w:rPr>
          <w:sz w:val="24"/>
          <w:szCs w:val="24"/>
        </w:rPr>
      </w:pPr>
      <w:r w:rsidRPr="003B37B6">
        <w:rPr>
          <w:rStyle w:val="ac"/>
          <w:rFonts w:eastAsiaTheme="majorEastAsia"/>
          <w:sz w:val="24"/>
          <w:szCs w:val="24"/>
        </w:rPr>
        <w:t>Всем пациентам с изолированной офисной АГ рекомендуется проводить регулярные обследования (не менее 1 раза в 2 года) с периодическим мониторированием АД, вне медицинского учреждения [27, 364, 365, 366, 367, 368].</w:t>
      </w:r>
    </w:p>
    <w:p w14:paraId="1A9C9040" w14:textId="3C0C86E4" w:rsidR="001A1A33" w:rsidRPr="003B37B6" w:rsidRDefault="001A1A33" w:rsidP="001A1A33">
      <w:pPr>
        <w:pStyle w:val="11"/>
        <w:ind w:firstLine="600"/>
        <w:jc w:val="both"/>
        <w:rPr>
          <w:sz w:val="24"/>
          <w:szCs w:val="24"/>
        </w:rPr>
      </w:pPr>
      <w:r w:rsidRPr="003B37B6">
        <w:rPr>
          <w:rStyle w:val="ac"/>
          <w:rFonts w:eastAsiaTheme="majorEastAsia"/>
          <w:b/>
          <w:bCs/>
          <w:sz w:val="24"/>
          <w:szCs w:val="24"/>
        </w:rPr>
        <w:lastRenderedPageBreak/>
        <w:t xml:space="preserve"> </w:t>
      </w:r>
      <w:r w:rsidR="003D51B3" w:rsidRPr="003B37B6">
        <w:rPr>
          <w:rStyle w:val="ac"/>
          <w:rFonts w:eastAsiaTheme="majorEastAsia"/>
          <w:b/>
          <w:bCs/>
          <w:sz w:val="24"/>
          <w:szCs w:val="24"/>
        </w:rPr>
        <w:t>Уровень убедительности рекомендаций</w:t>
      </w:r>
      <w:r w:rsidR="00120705" w:rsidRPr="003B37B6">
        <w:rPr>
          <w:rStyle w:val="ac"/>
          <w:rFonts w:eastAsiaTheme="majorEastAsia"/>
          <w:b/>
          <w:bCs/>
          <w:sz w:val="24"/>
          <w:szCs w:val="24"/>
        </w:rPr>
        <w:t xml:space="preserve"> </w:t>
      </w:r>
      <w:r w:rsidRPr="003B37B6">
        <w:rPr>
          <w:rStyle w:val="ac"/>
          <w:rFonts w:eastAsiaTheme="majorEastAsia"/>
          <w:b/>
          <w:bCs/>
          <w:sz w:val="24"/>
          <w:szCs w:val="24"/>
          <w:lang w:val="en-US"/>
        </w:rPr>
        <w:t>A</w:t>
      </w:r>
      <w:r w:rsidRPr="003B37B6">
        <w:rPr>
          <w:rStyle w:val="ac"/>
          <w:rFonts w:eastAsiaTheme="majorEastAsia"/>
          <w:b/>
          <w:bCs/>
          <w:sz w:val="24"/>
          <w:szCs w:val="24"/>
        </w:rPr>
        <w:t xml:space="preserve">, </w:t>
      </w:r>
      <w:r w:rsidR="00120705"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2)</w:t>
      </w:r>
      <w:r w:rsidR="00120705" w:rsidRPr="003B37B6">
        <w:rPr>
          <w:rStyle w:val="ac"/>
          <w:rFonts w:eastAsiaTheme="majorEastAsia"/>
          <w:b/>
          <w:bCs/>
          <w:sz w:val="24"/>
          <w:szCs w:val="24"/>
        </w:rPr>
        <w:t>; ЕОК/ЕОАГ IС</w:t>
      </w:r>
      <w:r w:rsidR="00E903CB" w:rsidRPr="003B37B6">
        <w:rPr>
          <w:rStyle w:val="ac"/>
          <w:rFonts w:eastAsiaTheme="majorEastAsia"/>
          <w:b/>
          <w:bCs/>
          <w:sz w:val="24"/>
          <w:szCs w:val="24"/>
        </w:rPr>
        <w:t>.</w:t>
      </w:r>
    </w:p>
    <w:p w14:paraId="0356AAC4" w14:textId="77777777" w:rsidR="001A1A33" w:rsidRPr="003B37B6" w:rsidRDefault="001A1A33" w:rsidP="001A1A33">
      <w:pPr>
        <w:pStyle w:val="11"/>
        <w:ind w:firstLine="600"/>
        <w:jc w:val="both"/>
        <w:rPr>
          <w:sz w:val="24"/>
          <w:szCs w:val="24"/>
        </w:rPr>
      </w:pPr>
      <w:r w:rsidRPr="003B37B6">
        <w:rPr>
          <w:rStyle w:val="ac"/>
          <w:rFonts w:eastAsiaTheme="majorEastAsia"/>
          <w:b/>
          <w:bCs/>
          <w:sz w:val="24"/>
          <w:szCs w:val="24"/>
        </w:rPr>
        <w:t xml:space="preserve">Комментарии. </w:t>
      </w:r>
      <w:r w:rsidRPr="003B37B6">
        <w:rPr>
          <w:rStyle w:val="ac"/>
          <w:rFonts w:eastAsiaTheme="majorEastAsia"/>
          <w:i/>
          <w:iCs/>
          <w:sz w:val="24"/>
          <w:szCs w:val="24"/>
        </w:rPr>
        <w:t>Изолированная офисная АГ диагностируется при выявлении повышенного АД, измеренного в медицинском учреждении и нормальных показателей АД, измеренного вне медицинского учреждения. Изолированная офисная АГ может иметь место у многих людей с повышением клинического АД, особенно с АГ 1-й степени, а также у очень пожилых пациентов (&gt;50%)</w:t>
      </w:r>
      <w:r w:rsidRPr="003B37B6">
        <w:rPr>
          <w:rStyle w:val="ac"/>
          <w:rFonts w:eastAsiaTheme="majorEastAsia"/>
          <w:sz w:val="24"/>
          <w:szCs w:val="24"/>
        </w:rPr>
        <w:t xml:space="preserve"> [27, 364, 365, 366, 367, 368]. </w:t>
      </w:r>
      <w:r w:rsidRPr="003B37B6">
        <w:rPr>
          <w:rStyle w:val="ac"/>
          <w:rFonts w:eastAsiaTheme="majorEastAsia"/>
          <w:i/>
          <w:iCs/>
          <w:sz w:val="24"/>
          <w:szCs w:val="24"/>
        </w:rPr>
        <w:t>По сравнению со здоровыми лицами изолированная офисная АГ ассоциируется с более высокой распространенностью метаболических факторов риска и ПОМ. Она также ассоциирована с более высоким риском развития сахарного диабета типа 2 и устойчивой АГ, а также с повышенным сердечно-сосудистым риском</w:t>
      </w:r>
      <w:r w:rsidRPr="003B37B6">
        <w:rPr>
          <w:rStyle w:val="ac"/>
          <w:rFonts w:eastAsiaTheme="majorEastAsia"/>
          <w:sz w:val="24"/>
          <w:szCs w:val="24"/>
        </w:rPr>
        <w:t xml:space="preserve"> [27, 364, 365, 366, 367, 368]. </w:t>
      </w:r>
      <w:r w:rsidRPr="003B37B6">
        <w:rPr>
          <w:rStyle w:val="ac"/>
          <w:rFonts w:eastAsiaTheme="majorEastAsia"/>
          <w:i/>
          <w:iCs/>
          <w:sz w:val="24"/>
          <w:szCs w:val="24"/>
        </w:rPr>
        <w:t>Различают «эффект белого халата», являющийся дополнительным прессорным ответом (реакцией) у пациента с АГ на измерение АД на периферических артериях (реакция тревоги), чаще наблюдаемый в условиях медицинской организации.</w:t>
      </w:r>
    </w:p>
    <w:p w14:paraId="2EE1C791" w14:textId="479F9C43" w:rsidR="001A1A33" w:rsidRPr="003B37B6" w:rsidRDefault="001A1A33">
      <w:pPr>
        <w:pStyle w:val="11"/>
        <w:numPr>
          <w:ilvl w:val="0"/>
          <w:numId w:val="28"/>
        </w:numPr>
        <w:tabs>
          <w:tab w:val="left" w:pos="1272"/>
        </w:tabs>
        <w:ind w:firstLine="600"/>
        <w:jc w:val="both"/>
        <w:rPr>
          <w:sz w:val="24"/>
          <w:szCs w:val="24"/>
        </w:rPr>
      </w:pPr>
      <w:r w:rsidRPr="003B37B6">
        <w:rPr>
          <w:rStyle w:val="ac"/>
          <w:rFonts w:eastAsiaTheme="majorEastAsia"/>
          <w:sz w:val="24"/>
          <w:szCs w:val="24"/>
        </w:rPr>
        <w:t>Для пациентов с изолированной офисной АГ рекомендуется рассмотреть возможность медикаментозной антигипертензивной терапии при наличии признаков ПОМ или высоком/очень высоком СС риске (раздел 2.4</w:t>
      </w:r>
      <w:r w:rsidR="00A87D4C" w:rsidRPr="003B37B6">
        <w:rPr>
          <w:rStyle w:val="ac"/>
          <w:rFonts w:eastAsiaTheme="majorEastAsia"/>
          <w:sz w:val="24"/>
          <w:szCs w:val="24"/>
        </w:rPr>
        <w:t>)</w:t>
      </w:r>
      <w:r w:rsidR="00E903CB" w:rsidRPr="003B37B6">
        <w:rPr>
          <w:rStyle w:val="ac"/>
          <w:rFonts w:eastAsiaTheme="majorEastAsia"/>
          <w:sz w:val="24"/>
          <w:szCs w:val="24"/>
        </w:rPr>
        <w:t xml:space="preserve"> </w:t>
      </w:r>
      <w:r w:rsidRPr="003B37B6">
        <w:rPr>
          <w:rStyle w:val="ac"/>
          <w:rFonts w:eastAsiaTheme="majorEastAsia"/>
          <w:sz w:val="24"/>
          <w:szCs w:val="24"/>
        </w:rPr>
        <w:t>[27].</w:t>
      </w:r>
    </w:p>
    <w:p w14:paraId="26B1DF84" w14:textId="517766D4" w:rsidR="001A1A33" w:rsidRPr="003B37B6" w:rsidRDefault="001A1A33" w:rsidP="001A1A33">
      <w:pPr>
        <w:pStyle w:val="11"/>
        <w:ind w:firstLine="600"/>
        <w:jc w:val="both"/>
        <w:rPr>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120705" w:rsidRPr="003B37B6">
        <w:rPr>
          <w:rStyle w:val="ac"/>
          <w:rFonts w:eastAsiaTheme="majorEastAsia"/>
          <w:b/>
          <w:bCs/>
          <w:sz w:val="24"/>
          <w:szCs w:val="24"/>
        </w:rPr>
        <w:t xml:space="preserve"> </w:t>
      </w:r>
      <w:r w:rsidRPr="003B37B6">
        <w:rPr>
          <w:rStyle w:val="ac"/>
          <w:rFonts w:eastAsiaTheme="majorEastAsia"/>
          <w:b/>
          <w:bCs/>
          <w:sz w:val="24"/>
          <w:szCs w:val="24"/>
          <w:lang w:val="en-US"/>
        </w:rPr>
        <w:t>C</w:t>
      </w:r>
      <w:r w:rsidRPr="003B37B6">
        <w:rPr>
          <w:rStyle w:val="ac"/>
          <w:rFonts w:eastAsiaTheme="majorEastAsia"/>
          <w:b/>
          <w:bCs/>
          <w:sz w:val="24"/>
          <w:szCs w:val="24"/>
        </w:rPr>
        <w:t xml:space="preserve">, </w:t>
      </w:r>
      <w:r w:rsidR="00120705"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5)</w:t>
      </w:r>
      <w:r w:rsidR="00120705" w:rsidRPr="003B37B6">
        <w:rPr>
          <w:rStyle w:val="ac"/>
          <w:rFonts w:eastAsiaTheme="majorEastAsia"/>
          <w:b/>
          <w:bCs/>
          <w:sz w:val="24"/>
          <w:szCs w:val="24"/>
        </w:rPr>
        <w:t xml:space="preserve">; ЕОК/ЕОАГ </w:t>
      </w:r>
      <w:r w:rsidR="00120705" w:rsidRPr="003B37B6">
        <w:rPr>
          <w:rStyle w:val="ac"/>
          <w:rFonts w:eastAsiaTheme="majorEastAsia"/>
          <w:b/>
          <w:bCs/>
          <w:sz w:val="24"/>
          <w:szCs w:val="24"/>
          <w:lang w:val="en-US"/>
        </w:rPr>
        <w:t>IIbC</w:t>
      </w:r>
      <w:r w:rsidR="00E903CB" w:rsidRPr="003B37B6">
        <w:rPr>
          <w:rStyle w:val="ac"/>
          <w:rFonts w:eastAsiaTheme="majorEastAsia"/>
          <w:b/>
          <w:bCs/>
          <w:sz w:val="24"/>
          <w:szCs w:val="24"/>
        </w:rPr>
        <w:t>.</w:t>
      </w:r>
    </w:p>
    <w:p w14:paraId="10D89CA1" w14:textId="77777777" w:rsidR="001A1A33" w:rsidRPr="003B37B6" w:rsidRDefault="001A1A33" w:rsidP="001A1A33">
      <w:pPr>
        <w:pStyle w:val="11"/>
        <w:ind w:firstLine="620"/>
        <w:jc w:val="both"/>
        <w:rPr>
          <w:sz w:val="24"/>
          <w:szCs w:val="24"/>
        </w:rPr>
      </w:pPr>
      <w:r w:rsidRPr="003B37B6">
        <w:rPr>
          <w:rStyle w:val="ac"/>
          <w:rFonts w:eastAsiaTheme="majorEastAsia"/>
          <w:b/>
          <w:bCs/>
          <w:i/>
          <w:iCs/>
          <w:sz w:val="24"/>
          <w:szCs w:val="24"/>
        </w:rPr>
        <w:t xml:space="preserve">Комментарии. </w:t>
      </w:r>
      <w:r w:rsidRPr="003B37B6">
        <w:rPr>
          <w:rStyle w:val="ac"/>
          <w:rFonts w:eastAsiaTheme="majorEastAsia"/>
          <w:i/>
          <w:iCs/>
          <w:sz w:val="24"/>
          <w:szCs w:val="24"/>
        </w:rPr>
        <w:t>Для остальных пациентов с изолированной офисной АГ рутинная медикаментозная терапия не рекомендована</w:t>
      </w:r>
      <w:r w:rsidRPr="003B37B6">
        <w:rPr>
          <w:rStyle w:val="ac"/>
          <w:rFonts w:eastAsiaTheme="majorEastAsia"/>
          <w:sz w:val="24"/>
          <w:szCs w:val="24"/>
        </w:rPr>
        <w:t xml:space="preserve"> [27].</w:t>
      </w:r>
    </w:p>
    <w:p w14:paraId="60FD7F83" w14:textId="77777777" w:rsidR="001A1A33" w:rsidRPr="003B37B6" w:rsidRDefault="001A1A33" w:rsidP="001A1A33">
      <w:pPr>
        <w:pStyle w:val="11"/>
        <w:ind w:firstLine="620"/>
        <w:jc w:val="both"/>
        <w:rPr>
          <w:sz w:val="24"/>
          <w:szCs w:val="24"/>
        </w:rPr>
      </w:pPr>
      <w:r w:rsidRPr="003B37B6">
        <w:rPr>
          <w:rStyle w:val="ac"/>
          <w:rFonts w:eastAsiaTheme="majorEastAsia"/>
          <w:i/>
          <w:iCs/>
          <w:sz w:val="24"/>
          <w:szCs w:val="24"/>
          <w:u w:val="single"/>
        </w:rPr>
        <w:t>Неконтролируемая АГ белого халата</w:t>
      </w:r>
      <w:r w:rsidRPr="003B37B6">
        <w:rPr>
          <w:rStyle w:val="ac"/>
          <w:rFonts w:eastAsiaTheme="majorEastAsia"/>
          <w:i/>
          <w:iCs/>
          <w:sz w:val="24"/>
          <w:szCs w:val="24"/>
        </w:rPr>
        <w:t xml:space="preserve"> характеризуется контролем АД на фоне терапии в течение 24 часов, но не при клиническом измерении. Характеризуется более высокой артериальной жёсткостью, но при этом сердечно-сосудистый риск не отличается от пациентов с истинно контролируемой АГ</w:t>
      </w:r>
      <w:r w:rsidRPr="003B37B6">
        <w:rPr>
          <w:rStyle w:val="ac"/>
          <w:rFonts w:eastAsiaTheme="majorEastAsia"/>
          <w:sz w:val="24"/>
          <w:szCs w:val="24"/>
        </w:rPr>
        <w:t xml:space="preserve"> [364, 369]</w:t>
      </w:r>
      <w:r w:rsidRPr="003B37B6">
        <w:rPr>
          <w:rStyle w:val="ac"/>
          <w:rFonts w:eastAsiaTheme="majorEastAsia"/>
          <w:i/>
          <w:iCs/>
          <w:sz w:val="24"/>
          <w:szCs w:val="24"/>
        </w:rPr>
        <w:t>. При хорошей переносимости можно рассмотреть повышение дозировок АГП для достижения идеального контроля АД</w:t>
      </w:r>
      <w:r w:rsidRPr="003B37B6">
        <w:rPr>
          <w:rStyle w:val="ac"/>
          <w:rFonts w:eastAsiaTheme="majorEastAsia"/>
          <w:sz w:val="24"/>
          <w:szCs w:val="24"/>
        </w:rPr>
        <w:t xml:space="preserve"> [12]</w:t>
      </w:r>
      <w:r w:rsidRPr="003B37B6">
        <w:rPr>
          <w:rStyle w:val="ac"/>
          <w:rFonts w:eastAsiaTheme="majorEastAsia"/>
          <w:i/>
          <w:iCs/>
          <w:sz w:val="24"/>
          <w:szCs w:val="24"/>
        </w:rPr>
        <w:t>.</w:t>
      </w:r>
    </w:p>
    <w:p w14:paraId="7811B92D" w14:textId="77777777" w:rsidR="001A1A33" w:rsidRPr="003B37B6" w:rsidRDefault="001A1A33" w:rsidP="001A1A33">
      <w:pPr>
        <w:pStyle w:val="11"/>
        <w:tabs>
          <w:tab w:val="left" w:pos="1345"/>
        </w:tabs>
        <w:ind w:firstLine="0"/>
        <w:jc w:val="center"/>
        <w:rPr>
          <w:sz w:val="24"/>
          <w:szCs w:val="24"/>
        </w:rPr>
      </w:pPr>
      <w:bookmarkStart w:id="51" w:name="bookmark39"/>
      <w:r w:rsidRPr="003B37B6">
        <w:rPr>
          <w:rStyle w:val="ac"/>
          <w:rFonts w:eastAsiaTheme="majorEastAsia"/>
          <w:b/>
          <w:bCs/>
          <w:sz w:val="24"/>
          <w:szCs w:val="24"/>
        </w:rPr>
        <w:t>Изолированная амбулаторная артериальная гипертензия («маскированная» артериальная гипертензия)</w:t>
      </w:r>
      <w:bookmarkEnd w:id="51"/>
    </w:p>
    <w:p w14:paraId="5AF9E576" w14:textId="77777777" w:rsidR="001A1A33" w:rsidRPr="003B37B6" w:rsidRDefault="001A1A33" w:rsidP="001A1A33">
      <w:pPr>
        <w:pStyle w:val="11"/>
        <w:ind w:firstLine="620"/>
        <w:jc w:val="both"/>
        <w:rPr>
          <w:sz w:val="24"/>
          <w:szCs w:val="24"/>
        </w:rPr>
      </w:pPr>
      <w:r w:rsidRPr="003B37B6">
        <w:rPr>
          <w:rStyle w:val="ac"/>
          <w:rFonts w:eastAsiaTheme="majorEastAsia"/>
          <w:sz w:val="24"/>
          <w:szCs w:val="24"/>
        </w:rPr>
        <w:t xml:space="preserve">Изолированная амбулаторная АГ («маскированная» гипертензия (МГ), скрытая гипертензия) диагностируется у пациентов с нормальными показателями АД, измеренного в медицинском учреждении, но с повышенными значениями АД, измеренного вне медицинского учреждения. У таких пациентов метаболические факторы риска и ПОМ, встречается чаще, чем у пациентов с истинной нормотензией [367, 368, 41]. Проблему </w:t>
      </w:r>
      <w:r w:rsidRPr="003B37B6">
        <w:rPr>
          <w:rStyle w:val="ac"/>
          <w:rFonts w:eastAsiaTheme="majorEastAsia"/>
          <w:sz w:val="24"/>
          <w:szCs w:val="24"/>
        </w:rPr>
        <w:lastRenderedPageBreak/>
        <w:t>представляет диагностика изолированной амбулаторной АГ, поскольку большинство скрининговых программ основано на использовании показателей АД, измеренного в медицинском учреждении, которое является нормальным. Изолированная амбулаторная АГ чаще встречается у молодых пациентов, чем у пожилых, а также у тех, чьи показатели клинического АД находятся в пределах значений высокого нормального АД (130–139/80–89 мм рт. ст.). Она редко встречается у лиц с показателями клинического АД &lt;130/80 мм рт. ст. Изолированная амбулаторная АГ ассоциируется с повышением риска прогрессирования заболевания до стойкой АГ, повышенной частотой развития СД типа 2 и наличием ПОМ [27]. Уровень отдаленного риска развития фатальных и нефатальных СС событий приближается к значению этого показателя у пациентов с устойчивой АГ [367, 368, 41, 370].</w:t>
      </w:r>
    </w:p>
    <w:p w14:paraId="4863FC02" w14:textId="7EDE59B1" w:rsidR="001A1A33" w:rsidRPr="003B37B6" w:rsidRDefault="001A1A33" w:rsidP="00120705">
      <w:pPr>
        <w:pStyle w:val="11"/>
        <w:numPr>
          <w:ilvl w:val="0"/>
          <w:numId w:val="29"/>
        </w:numPr>
        <w:tabs>
          <w:tab w:val="left" w:pos="1373"/>
        </w:tabs>
        <w:ind w:firstLine="620"/>
        <w:jc w:val="both"/>
        <w:rPr>
          <w:sz w:val="24"/>
          <w:szCs w:val="24"/>
        </w:rPr>
      </w:pPr>
      <w:r w:rsidRPr="003B37B6">
        <w:rPr>
          <w:rStyle w:val="ac"/>
          <w:rFonts w:eastAsiaTheme="majorEastAsia"/>
          <w:sz w:val="24"/>
          <w:szCs w:val="24"/>
        </w:rPr>
        <w:t>Всем пациентам с изолированной амбулаторной АГ рекомендуются мероприятия</w:t>
      </w:r>
      <w:r w:rsidR="00120705" w:rsidRPr="003B37B6">
        <w:rPr>
          <w:sz w:val="24"/>
          <w:szCs w:val="24"/>
        </w:rPr>
        <w:t xml:space="preserve"> </w:t>
      </w:r>
      <w:r w:rsidRPr="003B37B6">
        <w:rPr>
          <w:rStyle w:val="ac"/>
          <w:rFonts w:eastAsiaTheme="majorEastAsia"/>
          <w:sz w:val="24"/>
          <w:szCs w:val="24"/>
        </w:rPr>
        <w:t>по изменению образа жизни с целью уменьшения СС риска [27].</w:t>
      </w:r>
    </w:p>
    <w:p w14:paraId="3EC7A920" w14:textId="6CB0A44F" w:rsidR="001A1A33" w:rsidRPr="003B37B6" w:rsidRDefault="003D51B3" w:rsidP="001A1A33">
      <w:pPr>
        <w:pStyle w:val="11"/>
        <w:ind w:firstLine="600"/>
        <w:jc w:val="both"/>
        <w:rPr>
          <w:sz w:val="24"/>
          <w:szCs w:val="24"/>
        </w:rPr>
      </w:pPr>
      <w:r w:rsidRPr="003B37B6">
        <w:rPr>
          <w:rStyle w:val="ac"/>
          <w:rFonts w:eastAsiaTheme="majorEastAsia"/>
          <w:b/>
          <w:bCs/>
          <w:sz w:val="24"/>
          <w:szCs w:val="24"/>
        </w:rPr>
        <w:t>Уровень убедительности рекомендаций</w:t>
      </w:r>
      <w:r w:rsidR="00120705" w:rsidRPr="003B37B6">
        <w:rPr>
          <w:rStyle w:val="ac"/>
          <w:rFonts w:eastAsiaTheme="majorEastAsia"/>
          <w:b/>
          <w:bCs/>
          <w:sz w:val="24"/>
          <w:szCs w:val="24"/>
        </w:rPr>
        <w:t xml:space="preserve"> </w:t>
      </w:r>
      <w:r w:rsidR="001A1A33" w:rsidRPr="003B37B6">
        <w:rPr>
          <w:rStyle w:val="ac"/>
          <w:rFonts w:eastAsiaTheme="majorEastAsia"/>
          <w:b/>
          <w:bCs/>
          <w:sz w:val="24"/>
          <w:szCs w:val="24"/>
          <w:lang w:val="en-US"/>
        </w:rPr>
        <w:t>C</w:t>
      </w:r>
      <w:r w:rsidR="001A1A33" w:rsidRPr="003B37B6">
        <w:rPr>
          <w:rStyle w:val="ac"/>
          <w:rFonts w:eastAsiaTheme="majorEastAsia"/>
          <w:b/>
          <w:bCs/>
          <w:sz w:val="24"/>
          <w:szCs w:val="24"/>
        </w:rPr>
        <w:t xml:space="preserve">, </w:t>
      </w:r>
      <w:r w:rsidR="00120705" w:rsidRPr="003B37B6">
        <w:rPr>
          <w:rStyle w:val="ac"/>
          <w:rFonts w:eastAsiaTheme="majorEastAsia"/>
          <w:b/>
          <w:bCs/>
          <w:sz w:val="24"/>
          <w:szCs w:val="24"/>
        </w:rPr>
        <w:t>(</w:t>
      </w:r>
      <w:r w:rsidRPr="003B37B6">
        <w:rPr>
          <w:rStyle w:val="ac"/>
          <w:rFonts w:eastAsiaTheme="majorEastAsia"/>
          <w:b/>
          <w:bCs/>
          <w:sz w:val="24"/>
          <w:szCs w:val="24"/>
        </w:rPr>
        <w:t>Уровень достоверности доказательств</w:t>
      </w:r>
      <w:r w:rsidR="001A1A33" w:rsidRPr="003B37B6">
        <w:rPr>
          <w:rStyle w:val="ac"/>
          <w:rFonts w:eastAsiaTheme="majorEastAsia"/>
          <w:b/>
          <w:bCs/>
          <w:sz w:val="24"/>
          <w:szCs w:val="24"/>
        </w:rPr>
        <w:t xml:space="preserve"> 5)</w:t>
      </w:r>
      <w:r w:rsidR="00120705" w:rsidRPr="003B37B6">
        <w:rPr>
          <w:rStyle w:val="ac"/>
          <w:rFonts w:eastAsiaTheme="majorEastAsia"/>
          <w:b/>
          <w:bCs/>
          <w:sz w:val="24"/>
          <w:szCs w:val="24"/>
        </w:rPr>
        <w:t>; ЕОК/ЕОАГ 1С</w:t>
      </w:r>
      <w:r w:rsidR="00E903CB" w:rsidRPr="003B37B6">
        <w:rPr>
          <w:rStyle w:val="ac"/>
          <w:rFonts w:eastAsiaTheme="majorEastAsia"/>
          <w:b/>
          <w:bCs/>
          <w:sz w:val="24"/>
          <w:szCs w:val="24"/>
        </w:rPr>
        <w:t>.</w:t>
      </w:r>
    </w:p>
    <w:p w14:paraId="0CB006A5" w14:textId="77777777" w:rsidR="001A1A33" w:rsidRPr="003B37B6" w:rsidRDefault="001A1A33">
      <w:pPr>
        <w:pStyle w:val="11"/>
        <w:numPr>
          <w:ilvl w:val="0"/>
          <w:numId w:val="29"/>
        </w:numPr>
        <w:tabs>
          <w:tab w:val="left" w:pos="1393"/>
        </w:tabs>
        <w:ind w:firstLine="600"/>
        <w:jc w:val="both"/>
        <w:rPr>
          <w:sz w:val="24"/>
          <w:szCs w:val="24"/>
        </w:rPr>
      </w:pPr>
      <w:r w:rsidRPr="003B37B6">
        <w:rPr>
          <w:rStyle w:val="ac"/>
          <w:rFonts w:eastAsiaTheme="majorEastAsia"/>
          <w:sz w:val="24"/>
          <w:szCs w:val="24"/>
        </w:rPr>
        <w:t>Всем пациентам с изолированной амбулаторной АГ рекомендуется регулярное</w:t>
      </w:r>
      <w:r w:rsidRPr="003B37B6">
        <w:rPr>
          <w:sz w:val="24"/>
          <w:szCs w:val="24"/>
        </w:rPr>
        <w:t xml:space="preserve"> </w:t>
      </w:r>
      <w:r w:rsidRPr="003B37B6">
        <w:rPr>
          <w:rStyle w:val="ac"/>
          <w:rFonts w:eastAsiaTheme="majorEastAsia"/>
          <w:sz w:val="24"/>
          <w:szCs w:val="24"/>
        </w:rPr>
        <w:t>наблюдение, включающее периодическое мониторирование показателей АД, измеренного вне медицинского учреждения [367, 368, 41, 370, 27].</w:t>
      </w:r>
    </w:p>
    <w:p w14:paraId="57FBAF7F" w14:textId="4F9C6DF9" w:rsidR="001A1A33" w:rsidRPr="003B37B6" w:rsidRDefault="001A1A33" w:rsidP="001A1A33">
      <w:pPr>
        <w:pStyle w:val="11"/>
        <w:ind w:firstLine="600"/>
        <w:jc w:val="both"/>
        <w:rPr>
          <w:rStyle w:val="ac"/>
          <w:rFonts w:eastAsiaTheme="majorEastAsia"/>
          <w:b/>
          <w:bCs/>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 xml:space="preserve">Уровень убедительности </w:t>
      </w:r>
      <w:r w:rsidR="00120705" w:rsidRPr="003B37B6">
        <w:rPr>
          <w:rStyle w:val="ac"/>
          <w:rFonts w:eastAsiaTheme="majorEastAsia"/>
          <w:b/>
          <w:bCs/>
          <w:sz w:val="24"/>
          <w:szCs w:val="24"/>
        </w:rPr>
        <w:t>рекомендаций В</w:t>
      </w:r>
      <w:r w:rsidRPr="003B37B6">
        <w:rPr>
          <w:rStyle w:val="ac"/>
          <w:rFonts w:eastAsiaTheme="majorEastAsia"/>
          <w:b/>
          <w:bCs/>
          <w:sz w:val="24"/>
          <w:szCs w:val="24"/>
        </w:rPr>
        <w:t xml:space="preserve">, </w:t>
      </w:r>
      <w:r w:rsidR="00120705"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2</w:t>
      </w:r>
      <w:r w:rsidR="00120705" w:rsidRPr="003B37B6">
        <w:rPr>
          <w:rStyle w:val="ac"/>
          <w:rFonts w:eastAsiaTheme="majorEastAsia"/>
          <w:b/>
          <w:bCs/>
          <w:sz w:val="24"/>
          <w:szCs w:val="24"/>
        </w:rPr>
        <w:t>); ЕОК/ЕОАГ 1С</w:t>
      </w:r>
      <w:r w:rsidR="00E903CB" w:rsidRPr="003B37B6">
        <w:rPr>
          <w:rStyle w:val="ac"/>
          <w:rFonts w:eastAsiaTheme="majorEastAsia"/>
          <w:b/>
          <w:bCs/>
          <w:sz w:val="24"/>
          <w:szCs w:val="24"/>
        </w:rPr>
        <w:t>.</w:t>
      </w:r>
    </w:p>
    <w:p w14:paraId="6D8886E2" w14:textId="77777777" w:rsidR="001A1A33" w:rsidRPr="003B37B6" w:rsidRDefault="001A1A33" w:rsidP="001A1A33">
      <w:pPr>
        <w:pStyle w:val="11"/>
        <w:ind w:firstLine="600"/>
        <w:jc w:val="both"/>
        <w:rPr>
          <w:i/>
          <w:iCs/>
          <w:sz w:val="24"/>
          <w:szCs w:val="24"/>
        </w:rPr>
      </w:pPr>
      <w:r w:rsidRPr="003B37B6">
        <w:rPr>
          <w:rStyle w:val="ac"/>
          <w:rFonts w:eastAsiaTheme="majorEastAsia"/>
          <w:b/>
          <w:bCs/>
          <w:sz w:val="24"/>
          <w:szCs w:val="24"/>
        </w:rPr>
        <w:t xml:space="preserve">Комментарии. </w:t>
      </w:r>
      <w:r w:rsidRPr="003B37B6">
        <w:rPr>
          <w:rStyle w:val="ac"/>
          <w:rFonts w:eastAsiaTheme="majorEastAsia"/>
          <w:i/>
          <w:iCs/>
          <w:sz w:val="24"/>
          <w:szCs w:val="24"/>
        </w:rPr>
        <w:t>Рекомендуется проводить наблюдение пациентов с использованием ДМАД (возможно также использовать активный мониторинг АД при помощи дистанционных технологий при наличии возможности в медицинском учреждении) с целью повышения качества контроля АД.</w:t>
      </w:r>
    </w:p>
    <w:p w14:paraId="29AB6D96" w14:textId="77777777" w:rsidR="001A1A33" w:rsidRPr="003B37B6" w:rsidRDefault="001A1A33">
      <w:pPr>
        <w:pStyle w:val="11"/>
        <w:numPr>
          <w:ilvl w:val="0"/>
          <w:numId w:val="29"/>
        </w:numPr>
        <w:tabs>
          <w:tab w:val="left" w:pos="1355"/>
        </w:tabs>
        <w:ind w:firstLine="600"/>
        <w:jc w:val="both"/>
        <w:rPr>
          <w:sz w:val="24"/>
          <w:szCs w:val="24"/>
        </w:rPr>
      </w:pPr>
      <w:r w:rsidRPr="003B37B6">
        <w:rPr>
          <w:rStyle w:val="ac"/>
          <w:rFonts w:eastAsiaTheme="majorEastAsia"/>
          <w:sz w:val="24"/>
          <w:szCs w:val="24"/>
        </w:rPr>
        <w:t>Всем пациентам с изолированной амбулаторной АГ рекомендуется проведение</w:t>
      </w:r>
      <w:r w:rsidRPr="003B37B6">
        <w:rPr>
          <w:sz w:val="24"/>
          <w:szCs w:val="24"/>
        </w:rPr>
        <w:t xml:space="preserve"> </w:t>
      </w:r>
      <w:r w:rsidRPr="003B37B6">
        <w:rPr>
          <w:rStyle w:val="ac"/>
          <w:rFonts w:eastAsiaTheme="majorEastAsia"/>
          <w:sz w:val="24"/>
          <w:szCs w:val="24"/>
        </w:rPr>
        <w:t>антигипертензивной медикаментозной терапии, учитывая прогностическое значение высоких значений АД, измеренного вне медицинского учреждения [367, 368, 41, 370, 27].</w:t>
      </w:r>
    </w:p>
    <w:p w14:paraId="3097D31C" w14:textId="3F33CC4A" w:rsidR="001A1A33" w:rsidRPr="003B37B6" w:rsidRDefault="003D51B3" w:rsidP="001A1A33">
      <w:pPr>
        <w:pStyle w:val="11"/>
        <w:ind w:firstLine="600"/>
        <w:jc w:val="both"/>
        <w:rPr>
          <w:sz w:val="24"/>
          <w:szCs w:val="24"/>
        </w:rPr>
      </w:pPr>
      <w:r w:rsidRPr="003B37B6">
        <w:rPr>
          <w:rStyle w:val="ac"/>
          <w:rFonts w:eastAsiaTheme="majorEastAsia"/>
          <w:b/>
          <w:bCs/>
          <w:sz w:val="24"/>
          <w:szCs w:val="24"/>
        </w:rPr>
        <w:t>Уровень убедительности рекомендаций</w:t>
      </w:r>
      <w:r w:rsidR="00120705" w:rsidRPr="003B37B6">
        <w:rPr>
          <w:rStyle w:val="ac"/>
          <w:rFonts w:eastAsiaTheme="majorEastAsia"/>
          <w:b/>
          <w:bCs/>
          <w:sz w:val="24"/>
          <w:szCs w:val="24"/>
        </w:rPr>
        <w:t xml:space="preserve"> </w:t>
      </w:r>
      <w:r w:rsidR="001A1A33" w:rsidRPr="003B37B6">
        <w:rPr>
          <w:rStyle w:val="ac"/>
          <w:rFonts w:eastAsiaTheme="majorEastAsia"/>
          <w:b/>
          <w:bCs/>
          <w:sz w:val="24"/>
          <w:szCs w:val="24"/>
        </w:rPr>
        <w:t xml:space="preserve">А, </w:t>
      </w:r>
      <w:r w:rsidR="00120705" w:rsidRPr="003B37B6">
        <w:rPr>
          <w:rStyle w:val="ac"/>
          <w:rFonts w:eastAsiaTheme="majorEastAsia"/>
          <w:b/>
          <w:bCs/>
          <w:sz w:val="24"/>
          <w:szCs w:val="24"/>
        </w:rPr>
        <w:t>(</w:t>
      </w:r>
      <w:r w:rsidRPr="003B37B6">
        <w:rPr>
          <w:rStyle w:val="ac"/>
          <w:rFonts w:eastAsiaTheme="majorEastAsia"/>
          <w:b/>
          <w:bCs/>
          <w:sz w:val="24"/>
          <w:szCs w:val="24"/>
        </w:rPr>
        <w:t>Уровень достоверности доказательств</w:t>
      </w:r>
      <w:r w:rsidR="001A1A33" w:rsidRPr="003B37B6">
        <w:rPr>
          <w:rStyle w:val="ac"/>
          <w:rFonts w:eastAsiaTheme="majorEastAsia"/>
          <w:b/>
          <w:bCs/>
          <w:sz w:val="24"/>
          <w:szCs w:val="24"/>
        </w:rPr>
        <w:t xml:space="preserve"> 2)</w:t>
      </w:r>
      <w:r w:rsidR="00120705" w:rsidRPr="003B37B6">
        <w:rPr>
          <w:rStyle w:val="ac"/>
          <w:rFonts w:eastAsiaTheme="majorEastAsia"/>
          <w:b/>
          <w:bCs/>
          <w:sz w:val="24"/>
          <w:szCs w:val="24"/>
        </w:rPr>
        <w:t xml:space="preserve">; ЕОК/ЕОАГ </w:t>
      </w:r>
      <w:r w:rsidR="00120705" w:rsidRPr="003B37B6">
        <w:rPr>
          <w:rStyle w:val="ac"/>
          <w:rFonts w:eastAsiaTheme="majorEastAsia"/>
          <w:b/>
          <w:bCs/>
          <w:sz w:val="24"/>
          <w:szCs w:val="24"/>
          <w:lang w:val="en-US"/>
        </w:rPr>
        <w:t>IIaC</w:t>
      </w:r>
      <w:r w:rsidR="00E903CB" w:rsidRPr="003B37B6">
        <w:rPr>
          <w:rStyle w:val="ac"/>
          <w:rFonts w:eastAsiaTheme="majorEastAsia"/>
          <w:b/>
          <w:bCs/>
          <w:sz w:val="24"/>
          <w:szCs w:val="24"/>
        </w:rPr>
        <w:t>.</w:t>
      </w:r>
    </w:p>
    <w:p w14:paraId="4B8A94D0" w14:textId="77777777" w:rsidR="001A1A33" w:rsidRPr="003B37B6" w:rsidRDefault="001A1A33" w:rsidP="001A1A33">
      <w:pPr>
        <w:pStyle w:val="11"/>
        <w:ind w:firstLine="600"/>
        <w:jc w:val="both"/>
        <w:rPr>
          <w:sz w:val="24"/>
          <w:szCs w:val="24"/>
        </w:rPr>
      </w:pPr>
      <w:r w:rsidRPr="003B37B6">
        <w:rPr>
          <w:rStyle w:val="ac"/>
          <w:rFonts w:eastAsiaTheme="majorEastAsia"/>
          <w:b/>
          <w:bCs/>
          <w:i/>
          <w:iCs/>
          <w:sz w:val="24"/>
          <w:szCs w:val="24"/>
        </w:rPr>
        <w:t xml:space="preserve">Комментарии. </w:t>
      </w:r>
      <w:r w:rsidRPr="003B37B6">
        <w:rPr>
          <w:rStyle w:val="ac"/>
          <w:rFonts w:eastAsiaTheme="majorEastAsia"/>
          <w:i/>
          <w:iCs/>
          <w:sz w:val="24"/>
          <w:szCs w:val="24"/>
          <w:u w:val="single"/>
        </w:rPr>
        <w:t>Скрытая неконтролируемая АГ</w:t>
      </w:r>
      <w:r w:rsidRPr="003B37B6">
        <w:rPr>
          <w:rStyle w:val="ac"/>
          <w:rFonts w:eastAsiaTheme="majorEastAsia"/>
          <w:i/>
          <w:iCs/>
          <w:sz w:val="24"/>
          <w:szCs w:val="24"/>
        </w:rPr>
        <w:t xml:space="preserve"> – целевые значения клинического АД на фоне терапии, но отсутствие контроля в течение суток. Ассоциирована с худшим метаболическим профилем, ПОМ и худшим СС прогнозом</w:t>
      </w:r>
      <w:r w:rsidRPr="003B37B6">
        <w:rPr>
          <w:rStyle w:val="ac"/>
          <w:rFonts w:eastAsiaTheme="majorEastAsia"/>
          <w:sz w:val="24"/>
          <w:szCs w:val="24"/>
        </w:rPr>
        <w:t xml:space="preserve"> [371, 372]</w:t>
      </w:r>
      <w:r w:rsidRPr="003B37B6">
        <w:rPr>
          <w:rStyle w:val="ac"/>
          <w:rFonts w:eastAsiaTheme="majorEastAsia"/>
          <w:i/>
          <w:iCs/>
          <w:sz w:val="24"/>
          <w:szCs w:val="24"/>
        </w:rPr>
        <w:t>.</w:t>
      </w:r>
    </w:p>
    <w:p w14:paraId="1E7BDFE2" w14:textId="77777777" w:rsidR="001A1A33" w:rsidRPr="003B37B6" w:rsidRDefault="001A1A33" w:rsidP="00E903CB">
      <w:pPr>
        <w:pStyle w:val="11"/>
        <w:numPr>
          <w:ilvl w:val="0"/>
          <w:numId w:val="29"/>
        </w:numPr>
        <w:tabs>
          <w:tab w:val="left" w:pos="1355"/>
        </w:tabs>
        <w:ind w:firstLine="567"/>
        <w:jc w:val="both"/>
        <w:rPr>
          <w:sz w:val="24"/>
          <w:szCs w:val="24"/>
        </w:rPr>
      </w:pPr>
      <w:r w:rsidRPr="003B37B6">
        <w:rPr>
          <w:rStyle w:val="ac"/>
          <w:rFonts w:eastAsiaTheme="majorEastAsia"/>
          <w:sz w:val="24"/>
          <w:szCs w:val="24"/>
        </w:rPr>
        <w:t xml:space="preserve">Получающим медикаментозное лечение пациентам с изолированной неконтролируемой амбулаторной АГ (достигнуто целевое клиническое АД, но сохраняется </w:t>
      </w:r>
      <w:r w:rsidRPr="003B37B6">
        <w:rPr>
          <w:rStyle w:val="ac"/>
          <w:rFonts w:eastAsiaTheme="majorEastAsia"/>
          <w:sz w:val="24"/>
          <w:szCs w:val="24"/>
        </w:rPr>
        <w:lastRenderedPageBreak/>
        <w:t>повышенным АД, измеренное вне медицинского учреждения), рекомендуется усиление АГТ с целью снижения ССР [367, 368, 41, 370, 27].</w:t>
      </w:r>
    </w:p>
    <w:p w14:paraId="11489F4C" w14:textId="73C09B08" w:rsidR="00C55B77" w:rsidRPr="003B37B6" w:rsidRDefault="001A1A33" w:rsidP="0008732C">
      <w:pPr>
        <w:pStyle w:val="11"/>
        <w:ind w:firstLine="600"/>
        <w:jc w:val="both"/>
        <w:rPr>
          <w:rStyle w:val="ac"/>
          <w:rFonts w:eastAsiaTheme="majorEastAsia"/>
          <w:b/>
          <w:bCs/>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120705" w:rsidRPr="003B37B6">
        <w:rPr>
          <w:rStyle w:val="ac"/>
          <w:rFonts w:eastAsiaTheme="majorEastAsia"/>
          <w:b/>
          <w:bCs/>
          <w:sz w:val="24"/>
          <w:szCs w:val="24"/>
        </w:rPr>
        <w:t xml:space="preserve"> </w:t>
      </w:r>
      <w:r w:rsidRPr="003B37B6">
        <w:rPr>
          <w:rStyle w:val="ac"/>
          <w:rFonts w:eastAsiaTheme="majorEastAsia"/>
          <w:b/>
          <w:bCs/>
          <w:sz w:val="24"/>
          <w:szCs w:val="24"/>
        </w:rPr>
        <w:t xml:space="preserve">А, </w:t>
      </w:r>
      <w:r w:rsidR="00120705"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2</w:t>
      </w:r>
      <w:bookmarkStart w:id="52" w:name="bookmark40"/>
      <w:r w:rsidR="00120705" w:rsidRPr="003B37B6">
        <w:rPr>
          <w:rStyle w:val="ac"/>
          <w:rFonts w:eastAsiaTheme="majorEastAsia"/>
          <w:b/>
          <w:bCs/>
          <w:sz w:val="24"/>
          <w:szCs w:val="24"/>
        </w:rPr>
        <w:t xml:space="preserve">); ЕОК/ЕОАГ </w:t>
      </w:r>
      <w:r w:rsidR="00120705" w:rsidRPr="003B37B6">
        <w:rPr>
          <w:rStyle w:val="ac"/>
          <w:rFonts w:eastAsiaTheme="majorEastAsia"/>
          <w:b/>
          <w:bCs/>
          <w:sz w:val="24"/>
          <w:szCs w:val="24"/>
          <w:lang w:val="en-US"/>
        </w:rPr>
        <w:t>IIaC</w:t>
      </w:r>
      <w:r w:rsidR="00E903CB" w:rsidRPr="003B37B6">
        <w:rPr>
          <w:rStyle w:val="ac"/>
          <w:rFonts w:eastAsiaTheme="majorEastAsia"/>
          <w:b/>
          <w:bCs/>
          <w:sz w:val="24"/>
          <w:szCs w:val="24"/>
        </w:rPr>
        <w:t>.</w:t>
      </w:r>
    </w:p>
    <w:p w14:paraId="2F195A74" w14:textId="0BDF59DC" w:rsidR="00120705" w:rsidRPr="003B37B6" w:rsidRDefault="00120705" w:rsidP="0008732C">
      <w:pPr>
        <w:pStyle w:val="11"/>
        <w:ind w:firstLine="600"/>
        <w:jc w:val="both"/>
        <w:rPr>
          <w:i/>
          <w:iCs/>
          <w:sz w:val="28"/>
          <w:szCs w:val="28"/>
        </w:rPr>
      </w:pPr>
      <w:r w:rsidRPr="003B37B6">
        <w:rPr>
          <w:rStyle w:val="ac"/>
          <w:rFonts w:eastAsiaTheme="majorEastAsia"/>
          <w:b/>
          <w:bCs/>
          <w:sz w:val="24"/>
          <w:szCs w:val="24"/>
        </w:rPr>
        <w:t>Комментарии:</w:t>
      </w:r>
      <w:r w:rsidRPr="003B37B6">
        <w:t xml:space="preserve"> </w:t>
      </w:r>
      <w:r w:rsidRPr="003B37B6">
        <w:rPr>
          <w:i/>
          <w:iCs/>
          <w:sz w:val="24"/>
          <w:szCs w:val="24"/>
        </w:rPr>
        <w:t>Такая ситуация свидетельствует о наличии скрытой или маскированной гипертензии, которая связана с повышенным сердечно-сосудистым риском (ССР). Усиление терапии направлено на достижение контроля артериального давления не только в условиях клиники, но и в повседневной жизни пациента, что существенно снижает риск осложнений. Рекомендуется регулярный мониторинг АД вне кабинета, чтобы адекватно оценить эффективность лечения и корректировать терапию.</w:t>
      </w:r>
    </w:p>
    <w:p w14:paraId="2A13D0F2" w14:textId="77777777" w:rsidR="001A1A33" w:rsidRPr="003B37B6" w:rsidRDefault="001A1A33" w:rsidP="0008732C">
      <w:pPr>
        <w:pStyle w:val="11"/>
        <w:ind w:firstLine="0"/>
        <w:jc w:val="center"/>
        <w:rPr>
          <w:sz w:val="24"/>
          <w:szCs w:val="24"/>
        </w:rPr>
      </w:pPr>
      <w:r w:rsidRPr="003B37B6">
        <w:rPr>
          <w:rStyle w:val="ac"/>
          <w:rFonts w:eastAsiaTheme="majorEastAsia"/>
          <w:b/>
          <w:bCs/>
          <w:sz w:val="24"/>
          <w:szCs w:val="24"/>
        </w:rPr>
        <w:t>Изолированная систолическая артериальная гипертензия</w:t>
      </w:r>
      <w:bookmarkEnd w:id="52"/>
    </w:p>
    <w:p w14:paraId="55439F71" w14:textId="3F087FB6" w:rsidR="001A1A33" w:rsidRPr="003B37B6" w:rsidRDefault="001A1A33" w:rsidP="00C55B77">
      <w:pPr>
        <w:pStyle w:val="11"/>
        <w:ind w:firstLine="600"/>
        <w:jc w:val="both"/>
        <w:rPr>
          <w:sz w:val="24"/>
          <w:szCs w:val="24"/>
        </w:rPr>
      </w:pPr>
      <w:r w:rsidRPr="003B37B6">
        <w:rPr>
          <w:rStyle w:val="ac"/>
          <w:rFonts w:eastAsiaTheme="majorEastAsia"/>
          <w:sz w:val="24"/>
          <w:szCs w:val="24"/>
        </w:rPr>
        <w:t>Изолированная систолическая АГ: повышение САД ≥140 мм рт. ст. при ДАД &lt;90 мм рт. ст.</w:t>
      </w:r>
    </w:p>
    <w:p w14:paraId="1E488F7D" w14:textId="77777777" w:rsidR="001A1A33" w:rsidRPr="003B37B6" w:rsidRDefault="001A1A33" w:rsidP="001A1A33">
      <w:pPr>
        <w:pStyle w:val="11"/>
        <w:ind w:firstLine="600"/>
        <w:jc w:val="both"/>
        <w:rPr>
          <w:sz w:val="24"/>
          <w:szCs w:val="24"/>
        </w:rPr>
      </w:pPr>
      <w:r w:rsidRPr="003B37B6">
        <w:rPr>
          <w:rStyle w:val="ac"/>
          <w:rFonts w:eastAsiaTheme="majorEastAsia"/>
          <w:sz w:val="24"/>
          <w:szCs w:val="24"/>
        </w:rPr>
        <w:t>Наиболее распространена у пожилых пациентов (до 29,4%), у которых является основным вариантом повышения АД, может встречаться и у пациентов молодого (1,8% среди пациентов 18–39 лет, основной вариант АГ среди молодых мужчин) и среднего возраста (6% среди пациентов 40–60 лет) [373, 374]. В основе развития ИСАГ лежат артериолосклероз и повышение артериальной ригидности, эндотелиальная дисфункция, провоспалительная активность, кальцификация эластина, активация РААС. Наблюдается у пожилых, пациентов с СД, ХБП, остеопорозом с кальцификацией сосудов [375]. Основными факторами риска ИСАГ у молодых являются ожирение и метаболический синдром [60]. ИСАГ независимо ассоциирована с риском неблагоприятных СС исходов и смертности [376, 377].</w:t>
      </w:r>
    </w:p>
    <w:p w14:paraId="60B5754A" w14:textId="77777777" w:rsidR="00C55B77" w:rsidRPr="003B37B6" w:rsidRDefault="001A1A33" w:rsidP="00E903CB">
      <w:pPr>
        <w:pStyle w:val="11"/>
        <w:ind w:firstLine="567"/>
        <w:jc w:val="both"/>
        <w:rPr>
          <w:sz w:val="24"/>
          <w:szCs w:val="24"/>
        </w:rPr>
      </w:pPr>
      <w:r w:rsidRPr="003B37B6">
        <w:rPr>
          <w:rStyle w:val="ac"/>
          <w:rFonts w:eastAsiaTheme="majorEastAsia"/>
          <w:sz w:val="24"/>
          <w:szCs w:val="24"/>
        </w:rPr>
        <w:t xml:space="preserve">Лечение ИСАГ у пожилых доказано снижает риск неблагоприятных СС исходов, в том числе, инсульта, ИБС [378, 379, 380, 123]. Пороговым значением САД для начала АГТ является ≥140 мм рт. ст. Лечение пациентов с ИСАГ проводят в соответствии с алгоритмом антигипертензивной терапии, при этом необходимо ориентироваться на уровень САД, а нормальное значение ДАД не должно препятствовать назначению оптимального лечения для </w:t>
      </w:r>
      <w:r w:rsidR="00C55B77" w:rsidRPr="003B37B6">
        <w:rPr>
          <w:rStyle w:val="ac"/>
          <w:rFonts w:eastAsiaTheme="majorEastAsia"/>
          <w:sz w:val="24"/>
          <w:szCs w:val="24"/>
        </w:rPr>
        <w:t>достижения целевого САД [27, 36]. Предпочтительными лекарственными препаратами в данной клинической ситуации являются тиазидные, тиазидоподобные диуретики и дигидропиридиновые АК (производные дигидропиридина) (АТХ «Селективные блокаторы кальциевых каналов с преимущественным действием на сосуды») [22], возможна их комбинация. Кроме того, можно рассматривать назначение АРНИ, так как в клинических исследованиях показано его влияние на ПД [363, 381, 193].</w:t>
      </w:r>
    </w:p>
    <w:p w14:paraId="2C6191A5" w14:textId="77777777" w:rsidR="00C55B77" w:rsidRPr="003B37B6" w:rsidRDefault="00C55B77" w:rsidP="00C55B77">
      <w:pPr>
        <w:pStyle w:val="11"/>
        <w:ind w:firstLine="620"/>
        <w:jc w:val="both"/>
        <w:rPr>
          <w:sz w:val="24"/>
          <w:szCs w:val="24"/>
        </w:rPr>
      </w:pPr>
      <w:r w:rsidRPr="003B37B6">
        <w:rPr>
          <w:rStyle w:val="ac"/>
          <w:rFonts w:eastAsiaTheme="majorEastAsia"/>
          <w:sz w:val="24"/>
          <w:szCs w:val="24"/>
        </w:rPr>
        <w:lastRenderedPageBreak/>
        <w:t>Первичной рекомендацией является снижение САД в диапазоне 140-150 мм рт.ст. [382, 122, 379, 380], дополнительной – снижение САД в диапазоне 130-140 мм рт.ст. [123, 383]. При этом необходимо избегать чрезмерного снижения ДАД [384], которое ассоциировалось с повышением распространенности ЦВБ в популяционных исследованиях [385]. При лечении ИСАГ с исходно низким ДАД следует попытаться найти баланс между оптимальным снижением САД и достижением значений ДАД, которые не приведут к гипоперфузии органов и будут хорошо переноситься. При этом достижение контроля САД является первичной целью лечения для улучшения исходов и при хорошей переносимости следует стремиться к ее достижению даже при исходно низком ДАД [382].</w:t>
      </w:r>
    </w:p>
    <w:p w14:paraId="361D20C9" w14:textId="77777777" w:rsidR="00C55B77" w:rsidRPr="003B37B6" w:rsidRDefault="00C55B77" w:rsidP="00C55B77">
      <w:pPr>
        <w:pStyle w:val="11"/>
        <w:ind w:firstLine="620"/>
        <w:jc w:val="both"/>
        <w:rPr>
          <w:sz w:val="24"/>
          <w:szCs w:val="24"/>
        </w:rPr>
      </w:pPr>
      <w:r w:rsidRPr="003B37B6">
        <w:rPr>
          <w:rStyle w:val="ac"/>
          <w:rFonts w:eastAsiaTheme="majorEastAsia"/>
          <w:sz w:val="24"/>
          <w:szCs w:val="24"/>
        </w:rPr>
        <w:t>Помимо истинной ИСАГ, у некоторых молодых здоровых людей, чаще у мужчин, может выявляться ложная ИСАГ 1-й степени, сопровождающаяся нормальными показателями центрального САД за счет гиперкинетической гемодинамики, чрезмерной амплификации периферического САД [386]. Показано, что у молодых пациентов с ИСАГ сердечно-сосудистый риск аналогичен риску пациентов с высоким нормальным АД, причем, риск развития ИСАГ ассоциирован с курением [387, 60].</w:t>
      </w:r>
    </w:p>
    <w:p w14:paraId="167FA18E" w14:textId="77777777" w:rsidR="00A5017E" w:rsidRPr="003B37B6" w:rsidRDefault="00C55B77" w:rsidP="00A5017E">
      <w:pPr>
        <w:pStyle w:val="11"/>
        <w:ind w:firstLine="620"/>
        <w:jc w:val="both"/>
        <w:rPr>
          <w:sz w:val="24"/>
          <w:szCs w:val="24"/>
        </w:rPr>
      </w:pPr>
      <w:r w:rsidRPr="003B37B6">
        <w:rPr>
          <w:rStyle w:val="ac"/>
          <w:rFonts w:eastAsiaTheme="majorEastAsia"/>
          <w:sz w:val="24"/>
          <w:szCs w:val="24"/>
        </w:rPr>
        <w:t>Основными шагами по выявлению ИСАГ у молодых являются подтверждение повышения САД амбулаторными методами и оценка центрального АД. Далее пациентам с нормальным центральным АД с ИСАГ 1-й степени следует рекомендовать мероприятия по изменению образа жизни (особенно прекращение курения); необходимость назначения АГТ на настоящий момент не доказана; показано длительное наблюдение, поскольку у многих из них в дальнейшем возможно развитие стойкой АГ [27, 36]. У пациентов с повышением центрального АД можно рассмотреть назначение медикаментозной терапии [60].</w:t>
      </w:r>
      <w:bookmarkStart w:id="53" w:name="bookmark41"/>
    </w:p>
    <w:p w14:paraId="39657298" w14:textId="77777777" w:rsidR="00A5017E" w:rsidRPr="003B37B6" w:rsidRDefault="00A5017E" w:rsidP="00A5017E">
      <w:pPr>
        <w:pStyle w:val="11"/>
        <w:ind w:firstLine="0"/>
        <w:jc w:val="center"/>
        <w:rPr>
          <w:sz w:val="24"/>
          <w:szCs w:val="24"/>
        </w:rPr>
      </w:pPr>
      <w:r w:rsidRPr="003B37B6">
        <w:rPr>
          <w:rStyle w:val="ac"/>
          <w:rFonts w:eastAsiaTheme="majorEastAsia"/>
          <w:b/>
          <w:bCs/>
          <w:sz w:val="24"/>
          <w:szCs w:val="24"/>
        </w:rPr>
        <w:t>Изолированная диастолическая артериальная гипертензия</w:t>
      </w:r>
      <w:bookmarkEnd w:id="53"/>
    </w:p>
    <w:p w14:paraId="03E9F8EE" w14:textId="77777777" w:rsidR="00385070" w:rsidRPr="003B37B6" w:rsidRDefault="00A5017E" w:rsidP="00B15BF8">
      <w:pPr>
        <w:pStyle w:val="11"/>
        <w:ind w:firstLine="600"/>
        <w:jc w:val="both"/>
        <w:rPr>
          <w:sz w:val="24"/>
          <w:szCs w:val="24"/>
        </w:rPr>
      </w:pPr>
      <w:r w:rsidRPr="003B37B6">
        <w:rPr>
          <w:rStyle w:val="ac"/>
          <w:rFonts w:eastAsiaTheme="majorEastAsia"/>
          <w:sz w:val="24"/>
          <w:szCs w:val="24"/>
        </w:rPr>
        <w:t>Изолированная диастолическая АГ: повышение ДАД ≥90 мм рт.ст. при САД &lt;140 мм рт.ст.</w:t>
      </w:r>
      <w:r w:rsidR="00385070" w:rsidRPr="003B37B6">
        <w:rPr>
          <w:rStyle w:val="ac"/>
          <w:rFonts w:eastAsiaTheme="majorEastAsia"/>
          <w:sz w:val="24"/>
          <w:szCs w:val="24"/>
        </w:rPr>
        <w:t xml:space="preserve"> В общей взрослой популяции распространённость варьирует от 2,5 до 7,8% [388], достигая максимума в диапазоне 30-39 лет и снижаясь на пятой и шестой декадах жизни (&lt;15%). После 70 лет случаи ИДАГ практически не регистрируются [389]. ИДАГ чаще встречается у мужчин. В некоторых исследованиях показано, что информированность о заболевании и частота АГТ у пациентов с ИДАГ крайне низки. Чаще всего данный фенотип встречается у пациентов с избыточной массой тела и абдоминальным ожирением, а также связан с другими компонентами метаболического синдрома. По сравнению с другими фенотипами АГ пациенты с ИДАГ, как правило, более молодые мужчины, чаще курящие, употребляющие больше алкоголя и чаще страдающие СД [390, 391]. У пациентов с ИДАГ по сравнению с нормотониками выше шансы развития систоло-диастолической АГ [392] и </w:t>
      </w:r>
      <w:r w:rsidR="00385070" w:rsidRPr="003B37B6">
        <w:rPr>
          <w:rStyle w:val="ac"/>
          <w:rFonts w:eastAsiaTheme="majorEastAsia"/>
          <w:sz w:val="24"/>
          <w:szCs w:val="24"/>
        </w:rPr>
        <w:lastRenderedPageBreak/>
        <w:t>СС риск [393], хотя отмечены противоречия в отношении гендерных различий (риск выше у мужчин), различий между ИДАГ, ИСАГ или систоло-диастолической АГ и наличием более высокого риска при использовании более низких пороговых критериев ИДАГ (САД &lt;130, ДАД &gt;80 мм рт.ст.) [394]. Долгосрочные исследования демонстрируют, что риск, ассоциированный с ИДАГ, зависит от возраста и имеет значение в основном для пациентов моложе 60 или даже 50 лет [395]. Достоверных данных о благоприятных эффектах АГТ при данном фенотипе в настоящее время нет [396]. Всем пациентам с ИДАГ рекомендован периодический контроль АД и изменение образа жизни. У пациентов моложе 50 лет можно рассмотреть инициацию АГТ, особенно при высоком общем СС риске. У пожилых пациентов с ИДАГ лечение чаще всего сводится к изменению образа жизни и тщательному наблюдению [12].</w:t>
      </w:r>
    </w:p>
    <w:p w14:paraId="41FF6F6B" w14:textId="77777777" w:rsidR="00385070" w:rsidRPr="003B37B6" w:rsidRDefault="00385070" w:rsidP="00B15BF8">
      <w:pPr>
        <w:pStyle w:val="11"/>
        <w:tabs>
          <w:tab w:val="left" w:pos="1383"/>
        </w:tabs>
        <w:ind w:firstLine="0"/>
        <w:jc w:val="center"/>
        <w:rPr>
          <w:sz w:val="24"/>
          <w:szCs w:val="24"/>
        </w:rPr>
      </w:pPr>
      <w:bookmarkStart w:id="54" w:name="bookmark42"/>
      <w:r w:rsidRPr="003B37B6">
        <w:rPr>
          <w:rStyle w:val="ac"/>
          <w:rFonts w:eastAsiaTheme="majorEastAsia"/>
          <w:b/>
          <w:bCs/>
          <w:sz w:val="24"/>
          <w:szCs w:val="24"/>
        </w:rPr>
        <w:t xml:space="preserve">Артериальная гипертензия у молодых пациентов </w:t>
      </w:r>
      <w:r w:rsidRPr="003B37B6">
        <w:rPr>
          <w:rStyle w:val="ac"/>
          <w:rFonts w:eastAsiaTheme="majorEastAsia"/>
          <w:b/>
          <w:bCs/>
          <w:i/>
          <w:iCs/>
          <w:sz w:val="24"/>
          <w:szCs w:val="24"/>
        </w:rPr>
        <w:t>(&lt;50 лет)</w:t>
      </w:r>
      <w:bookmarkEnd w:id="54"/>
    </w:p>
    <w:p w14:paraId="7F62351B" w14:textId="0B89EB3A" w:rsidR="00385070" w:rsidRPr="003B37B6" w:rsidRDefault="00385070" w:rsidP="00385070">
      <w:pPr>
        <w:pStyle w:val="11"/>
        <w:ind w:firstLine="600"/>
        <w:jc w:val="both"/>
        <w:rPr>
          <w:sz w:val="24"/>
          <w:szCs w:val="24"/>
        </w:rPr>
      </w:pPr>
      <w:r w:rsidRPr="003B37B6">
        <w:rPr>
          <w:rStyle w:val="ac"/>
          <w:rFonts w:eastAsiaTheme="majorEastAsia"/>
          <w:sz w:val="24"/>
          <w:szCs w:val="24"/>
        </w:rPr>
        <w:t xml:space="preserve">АГ у молодых пациентов характеризуется более высокой частотой повышения ДАД и изолированной диастолической АГ [127]. При обследовании пациентов этой возрастной группы, </w:t>
      </w:r>
      <w:r w:rsidR="005D5E8F" w:rsidRPr="003B37B6">
        <w:rPr>
          <w:rStyle w:val="ac"/>
          <w:rFonts w:eastAsiaTheme="majorEastAsia"/>
          <w:sz w:val="24"/>
          <w:szCs w:val="24"/>
        </w:rPr>
        <w:t>особенно</w:t>
      </w:r>
      <w:r w:rsidRPr="003B37B6">
        <w:rPr>
          <w:rStyle w:val="ac"/>
          <w:rFonts w:eastAsiaTheme="majorEastAsia"/>
          <w:sz w:val="24"/>
          <w:szCs w:val="24"/>
        </w:rPr>
        <w:t xml:space="preserve"> при наличии тяжелой АГ, следует учитывать, что вероятность обнаружения вторичной гипертензии, может достигать 10% [27].</w:t>
      </w:r>
    </w:p>
    <w:p w14:paraId="759C59D2" w14:textId="77777777" w:rsidR="00385070" w:rsidRPr="003B37B6" w:rsidRDefault="00385070" w:rsidP="00B15BF8">
      <w:pPr>
        <w:pStyle w:val="11"/>
        <w:tabs>
          <w:tab w:val="left" w:pos="1344"/>
        </w:tabs>
        <w:ind w:firstLine="600"/>
        <w:jc w:val="both"/>
        <w:rPr>
          <w:sz w:val="24"/>
          <w:szCs w:val="24"/>
        </w:rPr>
      </w:pPr>
      <w:r w:rsidRPr="003B37B6">
        <w:rPr>
          <w:rStyle w:val="ac"/>
          <w:rFonts w:eastAsia="Arial"/>
          <w:sz w:val="24"/>
          <w:szCs w:val="24"/>
        </w:rPr>
        <w:t>•</w:t>
      </w:r>
      <w:r w:rsidRPr="003B37B6">
        <w:rPr>
          <w:rStyle w:val="ac"/>
          <w:rFonts w:eastAsia="Arial"/>
          <w:sz w:val="24"/>
          <w:szCs w:val="24"/>
        </w:rPr>
        <w:tab/>
      </w:r>
      <w:r w:rsidRPr="003B37B6">
        <w:rPr>
          <w:rStyle w:val="ac"/>
          <w:rFonts w:eastAsiaTheme="majorEastAsia"/>
          <w:sz w:val="24"/>
          <w:szCs w:val="24"/>
        </w:rPr>
        <w:t>Всем пациентам моложе 50 лет при наличии АГ 2 и 3 степени, а также АГ 1 степени</w:t>
      </w:r>
      <w:r w:rsidR="00B15BF8" w:rsidRPr="003B37B6">
        <w:rPr>
          <w:sz w:val="24"/>
          <w:szCs w:val="24"/>
        </w:rPr>
        <w:t xml:space="preserve"> </w:t>
      </w:r>
      <w:r w:rsidRPr="003B37B6">
        <w:rPr>
          <w:rStyle w:val="ac"/>
          <w:rFonts w:eastAsiaTheme="majorEastAsia"/>
          <w:sz w:val="24"/>
          <w:szCs w:val="24"/>
        </w:rPr>
        <w:t>в сочетании с множественными ФР, ПОМ, СД, сердечно-сосудистыми, цереброваскулярными или почечные заболеваниями рекомендовано назначать АГТ одновременно с рекомендациями по изменению образа жизни в соответствии с общими принципами [27].</w:t>
      </w:r>
    </w:p>
    <w:p w14:paraId="0A2EC7CD" w14:textId="554C7973" w:rsidR="00385070" w:rsidRPr="003B37B6" w:rsidRDefault="00385070" w:rsidP="006B266D">
      <w:pPr>
        <w:pStyle w:val="11"/>
        <w:ind w:firstLine="567"/>
        <w:jc w:val="both"/>
        <w:rPr>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5D5E8F" w:rsidRPr="003B37B6">
        <w:rPr>
          <w:rStyle w:val="ac"/>
          <w:rFonts w:eastAsiaTheme="majorEastAsia"/>
          <w:b/>
          <w:bCs/>
          <w:sz w:val="24"/>
          <w:szCs w:val="24"/>
        </w:rPr>
        <w:t xml:space="preserve"> </w:t>
      </w:r>
      <w:r w:rsidRPr="003B37B6">
        <w:rPr>
          <w:rStyle w:val="ac"/>
          <w:rFonts w:eastAsiaTheme="majorEastAsia"/>
          <w:b/>
          <w:bCs/>
          <w:sz w:val="24"/>
          <w:szCs w:val="24"/>
        </w:rPr>
        <w:t xml:space="preserve">С, </w:t>
      </w:r>
      <w:r w:rsidR="005D5E8F" w:rsidRPr="003B37B6">
        <w:rPr>
          <w:rStyle w:val="ac"/>
          <w:rFonts w:eastAsiaTheme="majorEastAsia"/>
          <w:b/>
          <w:bCs/>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5)</w:t>
      </w:r>
      <w:r w:rsidR="005D5E8F" w:rsidRPr="003B37B6">
        <w:rPr>
          <w:rStyle w:val="ac"/>
          <w:rFonts w:eastAsiaTheme="majorEastAsia"/>
          <w:b/>
          <w:bCs/>
          <w:sz w:val="24"/>
          <w:szCs w:val="24"/>
        </w:rPr>
        <w:t>; ЕОК/ЕОАГ нет</w:t>
      </w:r>
      <w:r w:rsidR="006B266D" w:rsidRPr="003B37B6">
        <w:rPr>
          <w:rStyle w:val="ac"/>
          <w:rFonts w:eastAsiaTheme="majorEastAsia"/>
          <w:b/>
          <w:bCs/>
          <w:sz w:val="24"/>
          <w:szCs w:val="24"/>
        </w:rPr>
        <w:t>.</w:t>
      </w:r>
    </w:p>
    <w:p w14:paraId="3FB3B659" w14:textId="77777777" w:rsidR="00385070" w:rsidRPr="003B37B6" w:rsidRDefault="00385070" w:rsidP="006B266D">
      <w:pPr>
        <w:pStyle w:val="11"/>
        <w:ind w:firstLine="567"/>
        <w:jc w:val="both"/>
        <w:rPr>
          <w:sz w:val="24"/>
          <w:szCs w:val="24"/>
        </w:rPr>
      </w:pPr>
      <w:r w:rsidRPr="003B37B6">
        <w:rPr>
          <w:rStyle w:val="ac"/>
          <w:rFonts w:eastAsiaTheme="majorEastAsia"/>
          <w:b/>
          <w:bCs/>
          <w:sz w:val="24"/>
          <w:szCs w:val="24"/>
        </w:rPr>
        <w:t xml:space="preserve">Комментарии. </w:t>
      </w:r>
      <w:r w:rsidRPr="003B37B6">
        <w:rPr>
          <w:rStyle w:val="ac"/>
          <w:rFonts w:eastAsiaTheme="majorEastAsia"/>
          <w:i/>
          <w:iCs/>
          <w:sz w:val="24"/>
          <w:szCs w:val="24"/>
        </w:rPr>
        <w:t>В связи с тем, что ранее назначение АГТ может предотвратить более тяжелую АГ и развитие ПОМ в будущем, молодым пациентам с АГ 1 степени при</w:t>
      </w:r>
      <w:r w:rsidR="00B15BF8" w:rsidRPr="003B37B6">
        <w:rPr>
          <w:rStyle w:val="ac"/>
          <w:rFonts w:eastAsiaTheme="majorEastAsia"/>
          <w:i/>
          <w:iCs/>
          <w:sz w:val="24"/>
          <w:szCs w:val="24"/>
        </w:rPr>
        <w:t xml:space="preserve"> </w:t>
      </w:r>
      <w:r w:rsidRPr="003B37B6">
        <w:rPr>
          <w:rStyle w:val="ac"/>
          <w:rFonts w:eastAsiaTheme="majorEastAsia"/>
          <w:i/>
          <w:iCs/>
          <w:sz w:val="24"/>
          <w:szCs w:val="24"/>
        </w:rPr>
        <w:t xml:space="preserve">отсутствии ФР, ПОМ и ССЗ можно обсуждать назначение АГТ одновременно с изменениями образа жизни </w:t>
      </w:r>
      <w:r w:rsidRPr="003B37B6">
        <w:rPr>
          <w:rStyle w:val="ac"/>
          <w:rFonts w:eastAsiaTheme="majorEastAsia"/>
          <w:sz w:val="24"/>
          <w:szCs w:val="24"/>
        </w:rPr>
        <w:t xml:space="preserve">[27]. </w:t>
      </w:r>
      <w:r w:rsidRPr="003B37B6">
        <w:rPr>
          <w:rStyle w:val="ac"/>
          <w:rFonts w:eastAsiaTheme="majorEastAsia"/>
          <w:i/>
          <w:iCs/>
          <w:sz w:val="24"/>
          <w:szCs w:val="24"/>
        </w:rPr>
        <w:t>При этом целевой уровень АД составляет 120-130/70-79 мм рт. ст. (см. раздел 3.2). В случае, если принимается решение о немедикаментозной коррекции АД или пациент отказывается принимать АГТ, необходимо дать подробные рекомендации по изменению образа жизни и длительно наблюдать пациента, так как со временем АД неизбежно будет расти</w:t>
      </w:r>
      <w:r w:rsidRPr="003B37B6">
        <w:rPr>
          <w:rStyle w:val="ac"/>
          <w:rFonts w:eastAsiaTheme="majorEastAsia"/>
          <w:sz w:val="24"/>
          <w:szCs w:val="24"/>
        </w:rPr>
        <w:t xml:space="preserve"> [27].</w:t>
      </w:r>
    </w:p>
    <w:p w14:paraId="6C675AFB" w14:textId="77777777" w:rsidR="00A03C23" w:rsidRPr="003B37B6" w:rsidRDefault="00A03C23" w:rsidP="00A03C23">
      <w:pPr>
        <w:pStyle w:val="11"/>
        <w:tabs>
          <w:tab w:val="left" w:pos="1388"/>
        </w:tabs>
        <w:spacing w:after="40"/>
        <w:ind w:firstLine="0"/>
        <w:jc w:val="center"/>
        <w:rPr>
          <w:sz w:val="24"/>
          <w:szCs w:val="24"/>
        </w:rPr>
      </w:pPr>
      <w:bookmarkStart w:id="55" w:name="bookmark43"/>
      <w:r w:rsidRPr="003B37B6">
        <w:rPr>
          <w:rStyle w:val="ac"/>
          <w:rFonts w:eastAsiaTheme="majorEastAsia"/>
          <w:b/>
          <w:bCs/>
          <w:sz w:val="24"/>
          <w:szCs w:val="24"/>
        </w:rPr>
        <w:t>Артериальная гипертензия у пожилых пациентов (≥60 лет)</w:t>
      </w:r>
      <w:bookmarkEnd w:id="55"/>
    </w:p>
    <w:p w14:paraId="541A498A" w14:textId="77777777" w:rsidR="00A03C23" w:rsidRPr="003B37B6" w:rsidRDefault="00A03C23">
      <w:pPr>
        <w:pStyle w:val="11"/>
        <w:numPr>
          <w:ilvl w:val="0"/>
          <w:numId w:val="30"/>
        </w:numPr>
        <w:tabs>
          <w:tab w:val="left" w:pos="1355"/>
        </w:tabs>
        <w:ind w:firstLine="600"/>
        <w:jc w:val="both"/>
        <w:rPr>
          <w:sz w:val="24"/>
          <w:szCs w:val="24"/>
        </w:rPr>
      </w:pPr>
      <w:r w:rsidRPr="003B37B6">
        <w:rPr>
          <w:rStyle w:val="ac"/>
          <w:rFonts w:eastAsiaTheme="majorEastAsia"/>
          <w:sz w:val="24"/>
          <w:szCs w:val="24"/>
        </w:rPr>
        <w:t>У пациентов 60 лет и старше с АГ, обратившихся за медицинской помощью в</w:t>
      </w:r>
    </w:p>
    <w:p w14:paraId="0F8424CD" w14:textId="3B62B905" w:rsidR="00A03C23" w:rsidRPr="003B37B6" w:rsidRDefault="00A03C23" w:rsidP="00A03C23">
      <w:pPr>
        <w:pStyle w:val="11"/>
        <w:ind w:firstLine="0"/>
        <w:jc w:val="both"/>
        <w:rPr>
          <w:sz w:val="24"/>
          <w:szCs w:val="24"/>
        </w:rPr>
      </w:pPr>
      <w:r w:rsidRPr="003B37B6">
        <w:rPr>
          <w:rStyle w:val="ac"/>
          <w:rFonts w:eastAsiaTheme="majorEastAsia"/>
          <w:sz w:val="24"/>
          <w:szCs w:val="24"/>
        </w:rPr>
        <w:t xml:space="preserve">учреждения амбулаторного или стационарного типа, рекомендуется проводить скрининг </w:t>
      </w:r>
      <w:r w:rsidRPr="003B37B6">
        <w:rPr>
          <w:rStyle w:val="ac"/>
          <w:rFonts w:eastAsiaTheme="majorEastAsia"/>
          <w:sz w:val="24"/>
          <w:szCs w:val="24"/>
        </w:rPr>
        <w:lastRenderedPageBreak/>
        <w:t>синдрома старческой астении с использованием опросника «Возраст не помеха</w:t>
      </w:r>
      <w:proofErr w:type="gramStart"/>
      <w:r w:rsidRPr="003B37B6">
        <w:rPr>
          <w:rStyle w:val="ac"/>
          <w:rFonts w:eastAsiaTheme="majorEastAsia"/>
          <w:sz w:val="24"/>
          <w:szCs w:val="24"/>
        </w:rPr>
        <w:t>» ,</w:t>
      </w:r>
      <w:proofErr w:type="gramEnd"/>
      <w:r w:rsidRPr="003B37B6">
        <w:rPr>
          <w:rStyle w:val="ac"/>
          <w:rFonts w:eastAsiaTheme="majorEastAsia"/>
          <w:sz w:val="24"/>
          <w:szCs w:val="24"/>
        </w:rPr>
        <w:t xml:space="preserve"> поскольку выявление старческой астении может влиять на тактику АГТ и уровень целевого АД [8].</w:t>
      </w:r>
    </w:p>
    <w:p w14:paraId="5B849500" w14:textId="7E09881D" w:rsidR="00A03C23" w:rsidRPr="003B37B6" w:rsidRDefault="00A03C23" w:rsidP="00A03C23">
      <w:pPr>
        <w:pStyle w:val="11"/>
        <w:ind w:firstLine="600"/>
        <w:jc w:val="both"/>
        <w:rPr>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5D5E8F" w:rsidRPr="003B37B6">
        <w:rPr>
          <w:rStyle w:val="ac"/>
          <w:rFonts w:eastAsiaTheme="majorEastAsia"/>
          <w:b/>
          <w:bCs/>
          <w:sz w:val="24"/>
          <w:szCs w:val="24"/>
        </w:rPr>
        <w:t xml:space="preserve"> </w:t>
      </w:r>
      <w:r w:rsidRPr="003B37B6">
        <w:rPr>
          <w:rStyle w:val="ac"/>
          <w:rFonts w:eastAsiaTheme="majorEastAsia"/>
          <w:b/>
          <w:bCs/>
          <w:sz w:val="24"/>
          <w:szCs w:val="24"/>
        </w:rPr>
        <w:t xml:space="preserve">С, </w:t>
      </w:r>
      <w:r w:rsidR="005D5E8F" w:rsidRPr="003B37B6">
        <w:rPr>
          <w:rStyle w:val="ac"/>
          <w:rFonts w:eastAsiaTheme="majorEastAsia"/>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5)</w:t>
      </w:r>
      <w:r w:rsidR="005D5E8F" w:rsidRPr="003B37B6">
        <w:rPr>
          <w:rStyle w:val="ac"/>
          <w:rFonts w:eastAsiaTheme="majorEastAsia"/>
          <w:b/>
          <w:bCs/>
          <w:sz w:val="24"/>
          <w:szCs w:val="24"/>
        </w:rPr>
        <w:t>; ЕОК/ЕОАГ нет</w:t>
      </w:r>
      <w:r w:rsidR="006B266D" w:rsidRPr="003B37B6">
        <w:rPr>
          <w:rStyle w:val="ac"/>
          <w:rFonts w:eastAsiaTheme="majorEastAsia"/>
          <w:b/>
          <w:bCs/>
          <w:sz w:val="24"/>
          <w:szCs w:val="24"/>
        </w:rPr>
        <w:t>.</w:t>
      </w:r>
    </w:p>
    <w:p w14:paraId="08551A9D" w14:textId="77777777" w:rsidR="00A03C23" w:rsidRPr="003B37B6" w:rsidRDefault="00A03C23" w:rsidP="00A03C23">
      <w:pPr>
        <w:pStyle w:val="11"/>
        <w:spacing w:after="40"/>
        <w:ind w:firstLine="600"/>
        <w:jc w:val="both"/>
        <w:rPr>
          <w:sz w:val="24"/>
          <w:szCs w:val="24"/>
        </w:rPr>
      </w:pPr>
      <w:r w:rsidRPr="003B37B6">
        <w:rPr>
          <w:rStyle w:val="ac"/>
          <w:rFonts w:eastAsiaTheme="majorEastAsia"/>
          <w:b/>
          <w:bCs/>
          <w:sz w:val="24"/>
          <w:szCs w:val="24"/>
        </w:rPr>
        <w:t xml:space="preserve">Комментарии. </w:t>
      </w:r>
      <w:r w:rsidRPr="003B37B6">
        <w:rPr>
          <w:rStyle w:val="ac"/>
          <w:rFonts w:eastAsiaTheme="majorEastAsia"/>
          <w:i/>
          <w:iCs/>
          <w:sz w:val="24"/>
          <w:szCs w:val="24"/>
        </w:rPr>
        <w:t>При выявлении отдельных гериатрических синдромов в зависимости от ответа пациента на вопросы шкалы «Возраст не помеха» руководствоваться клиническими рекомендациям «Старческая астения» для их коррекции</w:t>
      </w:r>
      <w:r w:rsidRPr="003B37B6">
        <w:rPr>
          <w:rStyle w:val="ac"/>
          <w:rFonts w:eastAsiaTheme="majorEastAsia"/>
          <w:sz w:val="24"/>
          <w:szCs w:val="24"/>
        </w:rPr>
        <w:t xml:space="preserve"> [8].</w:t>
      </w:r>
    </w:p>
    <w:p w14:paraId="43EAA4F1" w14:textId="77777777" w:rsidR="00A03C23" w:rsidRPr="003B37B6" w:rsidRDefault="00A03C23">
      <w:pPr>
        <w:pStyle w:val="11"/>
        <w:numPr>
          <w:ilvl w:val="0"/>
          <w:numId w:val="30"/>
        </w:numPr>
        <w:tabs>
          <w:tab w:val="left" w:pos="1355"/>
        </w:tabs>
        <w:ind w:firstLine="600"/>
        <w:jc w:val="both"/>
        <w:rPr>
          <w:sz w:val="24"/>
          <w:szCs w:val="24"/>
        </w:rPr>
      </w:pPr>
      <w:r w:rsidRPr="003B37B6">
        <w:rPr>
          <w:rStyle w:val="ac"/>
          <w:rFonts w:eastAsiaTheme="majorEastAsia"/>
          <w:sz w:val="24"/>
          <w:szCs w:val="24"/>
        </w:rPr>
        <w:t>Пациентам ≥65 лет с АГ рекомендуется назначение антигипертензивной терапии с</w:t>
      </w:r>
      <w:r w:rsidRPr="003B37B6">
        <w:rPr>
          <w:sz w:val="24"/>
          <w:szCs w:val="24"/>
        </w:rPr>
        <w:t xml:space="preserve"> </w:t>
      </w:r>
      <w:r w:rsidRPr="003B37B6">
        <w:rPr>
          <w:rStyle w:val="ac"/>
          <w:rFonts w:eastAsiaTheme="majorEastAsia"/>
          <w:sz w:val="24"/>
          <w:szCs w:val="24"/>
        </w:rPr>
        <w:t>использованием любого из основных классов АГП [397, 398].</w:t>
      </w:r>
    </w:p>
    <w:p w14:paraId="1BC69C53" w14:textId="7C118DB9" w:rsidR="00A03C23" w:rsidRPr="003B37B6" w:rsidRDefault="00A03C23" w:rsidP="00A03C23">
      <w:pPr>
        <w:pStyle w:val="11"/>
        <w:ind w:firstLine="600"/>
        <w:jc w:val="both"/>
        <w:rPr>
          <w:sz w:val="24"/>
          <w:szCs w:val="24"/>
        </w:rPr>
      </w:pPr>
      <w:r w:rsidRPr="003B37B6">
        <w:rPr>
          <w:rStyle w:val="ac"/>
          <w:rFonts w:eastAsiaTheme="majorEastAsia"/>
          <w:b/>
          <w:bCs/>
          <w:sz w:val="24"/>
          <w:szCs w:val="24"/>
        </w:rPr>
        <w:t xml:space="preserve"> </w:t>
      </w:r>
      <w:r w:rsidR="003D51B3" w:rsidRPr="003B37B6">
        <w:rPr>
          <w:rStyle w:val="ac"/>
          <w:rFonts w:eastAsiaTheme="majorEastAsia"/>
          <w:b/>
          <w:bCs/>
          <w:sz w:val="24"/>
          <w:szCs w:val="24"/>
        </w:rPr>
        <w:t>Уровень убедительности рекомендаций</w:t>
      </w:r>
      <w:r w:rsidR="005D5E8F" w:rsidRPr="003B37B6">
        <w:rPr>
          <w:rStyle w:val="ac"/>
          <w:rFonts w:eastAsiaTheme="majorEastAsia"/>
          <w:b/>
          <w:bCs/>
          <w:sz w:val="24"/>
          <w:szCs w:val="24"/>
        </w:rPr>
        <w:t xml:space="preserve"> </w:t>
      </w:r>
      <w:r w:rsidRPr="003B37B6">
        <w:rPr>
          <w:rStyle w:val="ac"/>
          <w:rFonts w:eastAsiaTheme="majorEastAsia"/>
          <w:b/>
          <w:bCs/>
          <w:sz w:val="24"/>
          <w:szCs w:val="24"/>
        </w:rPr>
        <w:t xml:space="preserve">В, </w:t>
      </w:r>
      <w:r w:rsidR="005D5E8F" w:rsidRPr="003B37B6">
        <w:rPr>
          <w:rStyle w:val="ac"/>
          <w:rFonts w:eastAsiaTheme="majorEastAsia"/>
          <w:sz w:val="24"/>
          <w:szCs w:val="24"/>
        </w:rPr>
        <w:t>(</w:t>
      </w:r>
      <w:r w:rsidR="003D51B3" w:rsidRPr="003B37B6">
        <w:rPr>
          <w:rStyle w:val="ac"/>
          <w:rFonts w:eastAsiaTheme="majorEastAsia"/>
          <w:b/>
          <w:bCs/>
          <w:sz w:val="24"/>
          <w:szCs w:val="24"/>
        </w:rPr>
        <w:t>Уровень достоверности доказательств</w:t>
      </w:r>
      <w:r w:rsidRPr="003B37B6">
        <w:rPr>
          <w:rStyle w:val="ac"/>
          <w:rFonts w:eastAsiaTheme="majorEastAsia"/>
          <w:b/>
          <w:bCs/>
          <w:sz w:val="24"/>
          <w:szCs w:val="24"/>
        </w:rPr>
        <w:t xml:space="preserve"> 1)</w:t>
      </w:r>
      <w:r w:rsidR="005D5E8F" w:rsidRPr="003B37B6">
        <w:rPr>
          <w:rStyle w:val="ac"/>
          <w:rFonts w:eastAsiaTheme="majorEastAsia"/>
          <w:b/>
          <w:bCs/>
          <w:sz w:val="24"/>
          <w:szCs w:val="24"/>
        </w:rPr>
        <w:t>;</w:t>
      </w:r>
      <w:r w:rsidR="003A3DB2" w:rsidRPr="003B37B6">
        <w:rPr>
          <w:rStyle w:val="ac"/>
          <w:rFonts w:eastAsiaTheme="majorEastAsia"/>
          <w:b/>
          <w:bCs/>
          <w:sz w:val="24"/>
          <w:szCs w:val="24"/>
        </w:rPr>
        <w:t xml:space="preserve"> </w:t>
      </w:r>
      <w:r w:rsidR="005D5E8F" w:rsidRPr="003B37B6">
        <w:rPr>
          <w:rStyle w:val="ac"/>
          <w:rFonts w:eastAsiaTheme="majorEastAsia"/>
          <w:b/>
          <w:bCs/>
          <w:sz w:val="24"/>
          <w:szCs w:val="24"/>
        </w:rPr>
        <w:t>ЕОК/ЕОАГ нет</w:t>
      </w:r>
      <w:r w:rsidR="003A3DB2" w:rsidRPr="003B37B6">
        <w:rPr>
          <w:rStyle w:val="ac"/>
          <w:rFonts w:eastAsiaTheme="majorEastAsia"/>
          <w:b/>
          <w:bCs/>
          <w:sz w:val="24"/>
          <w:szCs w:val="24"/>
        </w:rPr>
        <w:t>.</w:t>
      </w:r>
    </w:p>
    <w:p w14:paraId="2D67EFC6" w14:textId="1DEA1F59" w:rsidR="00A03C23" w:rsidRPr="003B37B6" w:rsidRDefault="00A03C23" w:rsidP="00A03C23">
      <w:pPr>
        <w:pStyle w:val="11"/>
        <w:ind w:firstLine="600"/>
        <w:jc w:val="both"/>
        <w:rPr>
          <w:sz w:val="24"/>
          <w:szCs w:val="24"/>
        </w:rPr>
      </w:pPr>
      <w:r w:rsidRPr="003B37B6">
        <w:rPr>
          <w:rStyle w:val="ac"/>
          <w:rFonts w:eastAsiaTheme="majorEastAsia"/>
          <w:b/>
          <w:bCs/>
          <w:sz w:val="24"/>
          <w:szCs w:val="24"/>
        </w:rPr>
        <w:t xml:space="preserve">Комментарии. </w:t>
      </w:r>
      <w:r w:rsidRPr="003B37B6">
        <w:rPr>
          <w:rStyle w:val="ac"/>
          <w:rFonts w:eastAsiaTheme="majorEastAsia"/>
          <w:i/>
          <w:iCs/>
          <w:sz w:val="24"/>
          <w:szCs w:val="24"/>
        </w:rPr>
        <w:t xml:space="preserve">Пациенты старше 65 лет должны получать АГТ в соответствии с общим алгоритмом, приведённом в </w:t>
      </w:r>
      <w:r w:rsidR="003A3DB2" w:rsidRPr="003B37B6">
        <w:rPr>
          <w:rStyle w:val="ac"/>
          <w:rFonts w:eastAsiaTheme="majorEastAsia"/>
          <w:i/>
          <w:iCs/>
          <w:sz w:val="24"/>
          <w:szCs w:val="24"/>
        </w:rPr>
        <w:t xml:space="preserve">главе 2 </w:t>
      </w:r>
      <w:r w:rsidRPr="003B37B6">
        <w:rPr>
          <w:rStyle w:val="ac"/>
          <w:rFonts w:eastAsiaTheme="majorEastAsia"/>
          <w:i/>
          <w:iCs/>
          <w:sz w:val="24"/>
          <w:szCs w:val="24"/>
        </w:rPr>
        <w:t>Приложени</w:t>
      </w:r>
      <w:r w:rsidR="003A3DB2" w:rsidRPr="003B37B6">
        <w:rPr>
          <w:rStyle w:val="ac"/>
          <w:rFonts w:eastAsiaTheme="majorEastAsia"/>
          <w:i/>
          <w:iCs/>
          <w:sz w:val="24"/>
          <w:szCs w:val="24"/>
        </w:rPr>
        <w:t>я</w:t>
      </w:r>
      <w:r w:rsidRPr="003B37B6">
        <w:rPr>
          <w:rStyle w:val="ac"/>
          <w:rFonts w:eastAsiaTheme="majorEastAsia"/>
          <w:i/>
          <w:iCs/>
          <w:sz w:val="24"/>
          <w:szCs w:val="24"/>
        </w:rPr>
        <w:t xml:space="preserve"> Б</w:t>
      </w:r>
      <w:r w:rsidR="003A3DB2" w:rsidRPr="003B37B6">
        <w:rPr>
          <w:rStyle w:val="ac"/>
          <w:rFonts w:eastAsiaTheme="majorEastAsia"/>
          <w:i/>
          <w:iCs/>
          <w:sz w:val="24"/>
          <w:szCs w:val="24"/>
        </w:rPr>
        <w:t xml:space="preserve"> к настоящим Клиническим рекомендациям</w:t>
      </w:r>
      <w:r w:rsidRPr="003B37B6">
        <w:rPr>
          <w:rStyle w:val="ac"/>
          <w:rFonts w:eastAsiaTheme="majorEastAsia"/>
          <w:i/>
          <w:iCs/>
          <w:sz w:val="24"/>
          <w:szCs w:val="24"/>
        </w:rPr>
        <w:t>. У пациентов очень пожилого возраста (&gt;80 лет) может быть целесообразно начинать лечение с монотерапии. У всех пожилых пациентов комбинированную терапию следует начинать с минимальных доз препаратов. При отсутствии дополнительных показаний следует избегать назначения «петлевых» диуретиков и альфа- адреноблокаторов, так как они увеличивают риск падений</w:t>
      </w:r>
      <w:r w:rsidRPr="003B37B6">
        <w:rPr>
          <w:rStyle w:val="ac"/>
          <w:rFonts w:eastAsiaTheme="majorEastAsia"/>
          <w:sz w:val="24"/>
          <w:szCs w:val="24"/>
        </w:rPr>
        <w:t xml:space="preserve"> [399, 400]</w:t>
      </w:r>
      <w:r w:rsidRPr="003B37B6">
        <w:rPr>
          <w:rStyle w:val="ac"/>
          <w:rFonts w:eastAsiaTheme="majorEastAsia"/>
          <w:i/>
          <w:iCs/>
          <w:sz w:val="24"/>
          <w:szCs w:val="24"/>
        </w:rPr>
        <w:t>. При лечении пожилых пациентов старше 65 лет первичное целевое АД составляет &lt;140</w:t>
      </w:r>
      <w:proofErr w:type="gramStart"/>
      <w:r w:rsidRPr="003B37B6">
        <w:rPr>
          <w:rStyle w:val="ac"/>
          <w:rFonts w:eastAsiaTheme="majorEastAsia"/>
          <w:i/>
          <w:iCs/>
          <w:sz w:val="24"/>
          <w:szCs w:val="24"/>
        </w:rPr>
        <w:t>/&lt;</w:t>
      </w:r>
      <w:proofErr w:type="gramEnd"/>
      <w:r w:rsidRPr="003B37B6">
        <w:rPr>
          <w:rStyle w:val="ac"/>
          <w:rFonts w:eastAsiaTheme="majorEastAsia"/>
          <w:i/>
          <w:iCs/>
          <w:sz w:val="24"/>
          <w:szCs w:val="24"/>
        </w:rPr>
        <w:t>90 мм рт.ст., при хорошей переносимости - 120-129/70-79 мм рт.ст.</w:t>
      </w:r>
      <w:r w:rsidRPr="003B37B6">
        <w:rPr>
          <w:rStyle w:val="ac"/>
          <w:rFonts w:eastAsiaTheme="majorEastAsia"/>
          <w:sz w:val="24"/>
          <w:szCs w:val="24"/>
        </w:rPr>
        <w:t xml:space="preserve"> [27, 8]</w:t>
      </w:r>
      <w:r w:rsidRPr="003B37B6">
        <w:rPr>
          <w:rStyle w:val="ac"/>
          <w:rFonts w:eastAsiaTheme="majorEastAsia"/>
          <w:i/>
          <w:iCs/>
          <w:sz w:val="24"/>
          <w:szCs w:val="24"/>
        </w:rPr>
        <w:t xml:space="preserve">. При наличии ИСАГ первичное целевое САД находится в дипазоне 140-150 мм рт.ст., можно рассмотреть снижение до 130-139 мм рт.ст. </w:t>
      </w:r>
      <w:r w:rsidRPr="003B37B6">
        <w:rPr>
          <w:rStyle w:val="ac"/>
          <w:rFonts w:eastAsiaTheme="majorEastAsia"/>
          <w:sz w:val="24"/>
          <w:szCs w:val="24"/>
        </w:rPr>
        <w:t xml:space="preserve">[120, 121, 129, 132, 133]. </w:t>
      </w:r>
      <w:r w:rsidRPr="003B37B6">
        <w:rPr>
          <w:rStyle w:val="ac"/>
          <w:rFonts w:eastAsiaTheme="majorEastAsia"/>
          <w:i/>
          <w:iCs/>
          <w:sz w:val="24"/>
          <w:szCs w:val="24"/>
        </w:rPr>
        <w:t>Особую осторожность при этом соблюдать при исходном уровне ДАД &lt;70 мм рт.ст.</w:t>
      </w:r>
      <w:r w:rsidRPr="003B37B6">
        <w:rPr>
          <w:rStyle w:val="ac"/>
          <w:rFonts w:eastAsiaTheme="majorEastAsia"/>
          <w:sz w:val="24"/>
          <w:szCs w:val="24"/>
        </w:rPr>
        <w:t xml:space="preserve"> [401]</w:t>
      </w:r>
      <w:r w:rsidRPr="003B37B6">
        <w:rPr>
          <w:rStyle w:val="ac"/>
          <w:rFonts w:eastAsiaTheme="majorEastAsia"/>
          <w:i/>
          <w:iCs/>
          <w:sz w:val="24"/>
          <w:szCs w:val="24"/>
        </w:rPr>
        <w:t>. У пацентов старше 80 лет следует начинать с более низких доз и проводить более медленное увеличение доз препаратов.</w:t>
      </w:r>
      <w:r w:rsidRPr="003B37B6">
        <w:rPr>
          <w:sz w:val="24"/>
          <w:szCs w:val="24"/>
        </w:rPr>
        <w:t xml:space="preserve"> </w:t>
      </w:r>
      <w:r w:rsidRPr="003B37B6">
        <w:rPr>
          <w:rStyle w:val="ac"/>
          <w:rFonts w:eastAsiaTheme="majorEastAsia"/>
          <w:i/>
          <w:iCs/>
          <w:sz w:val="24"/>
          <w:szCs w:val="24"/>
        </w:rPr>
        <w:t xml:space="preserve">В многоцентровом рандомизированном исследовании </w:t>
      </w:r>
      <w:r w:rsidRPr="003B37B6">
        <w:rPr>
          <w:rStyle w:val="ac"/>
          <w:rFonts w:eastAsiaTheme="majorEastAsia"/>
          <w:i/>
          <w:iCs/>
          <w:sz w:val="24"/>
          <w:szCs w:val="24"/>
          <w:lang w:val="en-US"/>
        </w:rPr>
        <w:t>STEP</w:t>
      </w:r>
      <w:r w:rsidRPr="003B37B6">
        <w:rPr>
          <w:rStyle w:val="ac"/>
          <w:rFonts w:eastAsiaTheme="majorEastAsia"/>
          <w:i/>
          <w:iCs/>
          <w:sz w:val="24"/>
          <w:szCs w:val="24"/>
        </w:rPr>
        <w:t xml:space="preserve"> показано, что у пациентов старше 60 лет достижение целевых значений САД &lt;130 мм рт.ст. приводит к меньшему числу </w:t>
      </w:r>
      <w:r w:rsidRPr="003B37B6">
        <w:rPr>
          <w:rStyle w:val="ac"/>
          <w:rFonts w:eastAsiaTheme="majorEastAsia"/>
          <w:sz w:val="24"/>
          <w:szCs w:val="24"/>
        </w:rPr>
        <w:t xml:space="preserve"> </w:t>
      </w:r>
      <w:r w:rsidRPr="003B37B6">
        <w:rPr>
          <w:rStyle w:val="ac"/>
          <w:rFonts w:eastAsiaTheme="majorEastAsia"/>
          <w:i/>
          <w:iCs/>
          <w:sz w:val="24"/>
          <w:szCs w:val="24"/>
        </w:rPr>
        <w:t>сердечно-сосудистых осложнений - в группе интенсивной терапии было зарегистрировано 147 больших сердечно-сосудистых событий (3,5%), в группе стандартной терапии — 196 событий (4,6%) (ОР, 0.74; 95% ДИ, 0.60 -0.92; р=0.007). Таким образом, при лечении пациентов старших возрастных групп более интенсивная терапия АГ может быть предпочтительнее стандартных подходов, однако выбор целевых значений АД должен проводиться индивидуально для каждого пациента</w:t>
      </w:r>
      <w:r w:rsidRPr="003B37B6">
        <w:rPr>
          <w:rStyle w:val="ac"/>
          <w:rFonts w:eastAsiaTheme="majorEastAsia"/>
          <w:sz w:val="24"/>
          <w:szCs w:val="24"/>
        </w:rPr>
        <w:t xml:space="preserve"> [402]</w:t>
      </w:r>
      <w:r w:rsidRPr="003B37B6">
        <w:rPr>
          <w:rStyle w:val="ac"/>
          <w:rFonts w:eastAsiaTheme="majorEastAsia"/>
          <w:i/>
          <w:iCs/>
          <w:sz w:val="24"/>
          <w:szCs w:val="24"/>
        </w:rPr>
        <w:t>.</w:t>
      </w:r>
    </w:p>
    <w:p w14:paraId="07664DAF" w14:textId="77777777" w:rsidR="00A03C23" w:rsidRPr="003B37B6" w:rsidRDefault="00A03C23" w:rsidP="0008732C">
      <w:pPr>
        <w:pStyle w:val="11"/>
        <w:ind w:firstLine="600"/>
        <w:jc w:val="both"/>
        <w:rPr>
          <w:sz w:val="24"/>
          <w:szCs w:val="24"/>
        </w:rPr>
      </w:pPr>
      <w:r w:rsidRPr="003B37B6">
        <w:rPr>
          <w:rStyle w:val="ac"/>
          <w:rFonts w:eastAsiaTheme="majorEastAsia"/>
          <w:i/>
          <w:iCs/>
          <w:sz w:val="24"/>
          <w:szCs w:val="24"/>
        </w:rPr>
        <w:t xml:space="preserve">До назначения и в процессе приема АГТ необходим тщательный мониторинг функции </w:t>
      </w:r>
      <w:r w:rsidRPr="003B37B6">
        <w:rPr>
          <w:rStyle w:val="ac"/>
          <w:rFonts w:eastAsiaTheme="majorEastAsia"/>
          <w:i/>
          <w:iCs/>
          <w:sz w:val="24"/>
          <w:szCs w:val="24"/>
        </w:rPr>
        <w:lastRenderedPageBreak/>
        <w:t>почек для выявления ее возможного ухудшения вследствие АД-обусловленного снижения почечной перфузии. Всех пациентов 65 лет и старше, особенно старше 80 лет, и пациентов со старческой астенией необходимо тщательно наблюдать на предмет возможного развития ортостатической гипотензии (при необходимости — использовать СМАД) и мониторировать переносимость и развитие возможных побочных эффектов</w:t>
      </w:r>
      <w:r w:rsidRPr="003B37B6">
        <w:rPr>
          <w:rStyle w:val="ac"/>
          <w:rFonts w:eastAsiaTheme="majorEastAsia"/>
          <w:sz w:val="24"/>
          <w:szCs w:val="24"/>
        </w:rPr>
        <w:t xml:space="preserve"> [27]. </w:t>
      </w:r>
      <w:r w:rsidRPr="003B37B6">
        <w:rPr>
          <w:rStyle w:val="ac"/>
          <w:rFonts w:eastAsiaTheme="majorEastAsia"/>
          <w:i/>
          <w:iCs/>
          <w:sz w:val="24"/>
          <w:szCs w:val="24"/>
        </w:rPr>
        <w:t>Не рекомендуется отмена медикаментозной АГТ на основании возраста, даже при достижении 80 лет, при условии, что лечение хорошо переносится. У всех пожилых пациентов с АГ необходимо регулярно проверять функциональное состояние, способность к самообслуживанию и когнитивную функцию. При нарушении способности к самообслуживанию, развитии деменции используется индивидуальный подход к лечению</w:t>
      </w:r>
      <w:r w:rsidRPr="003B37B6">
        <w:rPr>
          <w:rStyle w:val="ac"/>
          <w:rFonts w:eastAsiaTheme="majorEastAsia"/>
          <w:sz w:val="24"/>
          <w:szCs w:val="24"/>
        </w:rPr>
        <w:t xml:space="preserve"> [137]</w:t>
      </w:r>
      <w:r w:rsidRPr="003B37B6">
        <w:rPr>
          <w:rStyle w:val="ac"/>
          <w:rFonts w:eastAsiaTheme="majorEastAsia"/>
          <w:i/>
          <w:iCs/>
          <w:sz w:val="24"/>
          <w:szCs w:val="24"/>
        </w:rPr>
        <w:t>.</w:t>
      </w:r>
    </w:p>
    <w:p w14:paraId="7ABEE260" w14:textId="77777777" w:rsidR="00A03C23" w:rsidRPr="003B37B6" w:rsidRDefault="00A03C23" w:rsidP="0008732C">
      <w:pPr>
        <w:pStyle w:val="11"/>
        <w:tabs>
          <w:tab w:val="left" w:pos="1388"/>
        </w:tabs>
        <w:ind w:firstLine="0"/>
        <w:jc w:val="center"/>
        <w:rPr>
          <w:sz w:val="24"/>
          <w:szCs w:val="24"/>
        </w:rPr>
      </w:pPr>
      <w:bookmarkStart w:id="56" w:name="bookmark44"/>
      <w:r w:rsidRPr="003B37B6">
        <w:rPr>
          <w:rStyle w:val="ac"/>
          <w:rFonts w:eastAsiaTheme="majorEastAsia"/>
          <w:b/>
          <w:bCs/>
          <w:sz w:val="24"/>
          <w:szCs w:val="24"/>
        </w:rPr>
        <w:t>Артериальная гипертензия при беременности и лактации</w:t>
      </w:r>
      <w:bookmarkEnd w:id="56"/>
    </w:p>
    <w:p w14:paraId="07FF78BC" w14:textId="77777777" w:rsidR="00A03C23" w:rsidRPr="003B37B6" w:rsidRDefault="00A03C23" w:rsidP="00A03C23">
      <w:pPr>
        <w:pStyle w:val="11"/>
        <w:ind w:firstLine="709"/>
        <w:jc w:val="both"/>
        <w:rPr>
          <w:sz w:val="24"/>
          <w:szCs w:val="24"/>
        </w:rPr>
      </w:pPr>
      <w:r w:rsidRPr="003B37B6">
        <w:rPr>
          <w:rStyle w:val="ac"/>
          <w:rFonts w:eastAsiaTheme="majorEastAsia"/>
          <w:sz w:val="24"/>
          <w:szCs w:val="24"/>
        </w:rPr>
        <w:t>Выделяют следующие клинические варианты АГ при беременности [27, 36]:</w:t>
      </w:r>
    </w:p>
    <w:p w14:paraId="6EC78183" w14:textId="77777777" w:rsidR="00A03C23" w:rsidRPr="003B37B6" w:rsidRDefault="00A03C23">
      <w:pPr>
        <w:pStyle w:val="11"/>
        <w:numPr>
          <w:ilvl w:val="0"/>
          <w:numId w:val="31"/>
        </w:numPr>
        <w:tabs>
          <w:tab w:val="left" w:pos="1277"/>
        </w:tabs>
        <w:ind w:firstLine="600"/>
        <w:jc w:val="both"/>
        <w:rPr>
          <w:sz w:val="24"/>
          <w:szCs w:val="24"/>
        </w:rPr>
      </w:pPr>
      <w:r w:rsidRPr="003B37B6">
        <w:rPr>
          <w:rStyle w:val="ac"/>
          <w:rFonts w:eastAsiaTheme="majorEastAsia"/>
          <w:sz w:val="24"/>
          <w:szCs w:val="24"/>
        </w:rPr>
        <w:t>АГ, развившаяся до беременности (хроническая АГ — ХАГ) — АГ, определяемая до беременности или проявившаяся до 20 нед. беременности и персистирующая более 6 недель после родов. АГ, диагностированная после 20-й недели гестации и не исчезнувшая в течение 6 недель после родов, также классифицируется как существовавшая ранее АГ, но уже ретроспективно;</w:t>
      </w:r>
    </w:p>
    <w:p w14:paraId="76C067C9" w14:textId="77777777" w:rsidR="00A03C23" w:rsidRPr="003B37B6" w:rsidRDefault="00A03C23">
      <w:pPr>
        <w:pStyle w:val="11"/>
        <w:numPr>
          <w:ilvl w:val="0"/>
          <w:numId w:val="31"/>
        </w:numPr>
        <w:tabs>
          <w:tab w:val="left" w:pos="1277"/>
        </w:tabs>
        <w:ind w:firstLine="600"/>
        <w:jc w:val="both"/>
        <w:rPr>
          <w:sz w:val="24"/>
          <w:szCs w:val="24"/>
        </w:rPr>
      </w:pPr>
      <w:r w:rsidRPr="003B37B6">
        <w:rPr>
          <w:rStyle w:val="ac"/>
          <w:rFonts w:eastAsiaTheme="majorEastAsia"/>
          <w:sz w:val="24"/>
          <w:szCs w:val="24"/>
        </w:rPr>
        <w:t>Гестационная артериальная гипертензия (ГАГ) — состояние, индуцированное беременностью и проявляющееся повышением АД &gt;140/90 мм рт. ст. впервые после 20 нед., не сопровожающееся протеинурией, со спонтанной нормализацией АД в течение 6 нед. после родов;</w:t>
      </w:r>
    </w:p>
    <w:p w14:paraId="4E5A8B1F" w14:textId="77777777" w:rsidR="00A03C23" w:rsidRPr="003B37B6" w:rsidRDefault="00A03C23">
      <w:pPr>
        <w:pStyle w:val="11"/>
        <w:numPr>
          <w:ilvl w:val="0"/>
          <w:numId w:val="31"/>
        </w:numPr>
        <w:tabs>
          <w:tab w:val="left" w:pos="1277"/>
        </w:tabs>
        <w:ind w:firstLine="600"/>
        <w:jc w:val="both"/>
        <w:rPr>
          <w:sz w:val="24"/>
          <w:szCs w:val="24"/>
        </w:rPr>
      </w:pPr>
      <w:r w:rsidRPr="003B37B6">
        <w:rPr>
          <w:rStyle w:val="ac"/>
          <w:rFonts w:eastAsiaTheme="majorEastAsia"/>
          <w:sz w:val="24"/>
          <w:szCs w:val="24"/>
        </w:rPr>
        <w:t>Преэклампсия (ПЭ) — гестационная АГ с протеинурией (&gt;300 мг/сут или альбумин/креатинин в разовой порции мочи &gt;30 мг/ммоль, или показатель индикаторной полоски &gt;2+) и/или с проявлениями полиорганной недостаточности (поражение почек, печени, неврологические, гематологические осложнения, маточно-плацентарная дисфункция).</w:t>
      </w:r>
    </w:p>
    <w:p w14:paraId="0297FCE8" w14:textId="77777777" w:rsidR="00737ECE" w:rsidRPr="00737ECE" w:rsidRDefault="00A03C23" w:rsidP="00A03C23">
      <w:pPr>
        <w:pStyle w:val="11"/>
        <w:ind w:firstLine="620"/>
        <w:jc w:val="both"/>
        <w:rPr>
          <w:sz w:val="24"/>
          <w:szCs w:val="24"/>
        </w:rPr>
      </w:pPr>
      <w:r w:rsidRPr="003B37B6">
        <w:rPr>
          <w:rStyle w:val="ac"/>
          <w:rFonts w:eastAsiaTheme="majorEastAsia"/>
          <w:sz w:val="24"/>
          <w:szCs w:val="24"/>
        </w:rPr>
        <w:t xml:space="preserve">ХАГ, осложненная преэклампсией. </w:t>
      </w:r>
      <w:r w:rsidR="00737ECE" w:rsidRPr="003B37B6">
        <w:rPr>
          <w:rStyle w:val="ac"/>
          <w:rFonts w:eastAsiaTheme="majorEastAsia"/>
          <w:sz w:val="24"/>
          <w:szCs w:val="24"/>
        </w:rPr>
        <w:t>Рекомендовано проводить</w:t>
      </w:r>
      <w:r w:rsidR="00737ECE" w:rsidRPr="00737ECE">
        <w:rPr>
          <w:rStyle w:val="ac"/>
          <w:rFonts w:eastAsiaTheme="majorEastAsia"/>
          <w:sz w:val="24"/>
          <w:szCs w:val="24"/>
        </w:rPr>
        <w:t xml:space="preserve"> ежедневный самостоятельный мониторинг АД на</w:t>
      </w:r>
      <w:r>
        <w:rPr>
          <w:sz w:val="24"/>
          <w:szCs w:val="24"/>
        </w:rPr>
        <w:t xml:space="preserve"> </w:t>
      </w:r>
      <w:r w:rsidR="00737ECE" w:rsidRPr="00737ECE">
        <w:rPr>
          <w:rStyle w:val="ac"/>
          <w:rFonts w:eastAsiaTheme="majorEastAsia"/>
          <w:sz w:val="24"/>
          <w:szCs w:val="24"/>
        </w:rPr>
        <w:t>протяжении всей беременности [403].</w:t>
      </w:r>
    </w:p>
    <w:p w14:paraId="1BCDFF30" w14:textId="5713DCBC" w:rsidR="00737ECE" w:rsidRPr="00737ECE" w:rsidRDefault="00737ECE" w:rsidP="00737ECE">
      <w:pPr>
        <w:pStyle w:val="11"/>
        <w:ind w:firstLine="600"/>
        <w:jc w:val="both"/>
        <w:rPr>
          <w:sz w:val="24"/>
          <w:szCs w:val="24"/>
        </w:rPr>
      </w:pPr>
      <w:r w:rsidRPr="00737EC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5D5E8F">
        <w:rPr>
          <w:rStyle w:val="ac"/>
          <w:rFonts w:eastAsiaTheme="majorEastAsia"/>
          <w:b/>
          <w:bCs/>
          <w:sz w:val="24"/>
          <w:szCs w:val="24"/>
        </w:rPr>
        <w:t xml:space="preserve"> </w:t>
      </w:r>
      <w:r w:rsidRPr="00737ECE">
        <w:rPr>
          <w:rStyle w:val="ac"/>
          <w:rFonts w:eastAsiaTheme="majorEastAsia"/>
          <w:b/>
          <w:bCs/>
          <w:sz w:val="24"/>
          <w:szCs w:val="24"/>
        </w:rPr>
        <w:t xml:space="preserve">С, </w:t>
      </w:r>
      <w:r w:rsidR="005D5E8F" w:rsidRPr="00737ECE">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737ECE">
        <w:rPr>
          <w:rStyle w:val="ac"/>
          <w:rFonts w:eastAsiaTheme="majorEastAsia"/>
          <w:b/>
          <w:bCs/>
          <w:sz w:val="24"/>
          <w:szCs w:val="24"/>
        </w:rPr>
        <w:t>- 5)</w:t>
      </w:r>
      <w:r w:rsidR="005D5E8F">
        <w:rPr>
          <w:rStyle w:val="ac"/>
          <w:rFonts w:eastAsiaTheme="majorEastAsia"/>
          <w:b/>
          <w:bCs/>
          <w:sz w:val="24"/>
          <w:szCs w:val="24"/>
        </w:rPr>
        <w:t>;</w:t>
      </w:r>
      <w:r w:rsidR="006B266D">
        <w:rPr>
          <w:rStyle w:val="ac"/>
          <w:rFonts w:eastAsiaTheme="majorEastAsia"/>
          <w:b/>
          <w:bCs/>
          <w:sz w:val="24"/>
          <w:szCs w:val="24"/>
        </w:rPr>
        <w:t xml:space="preserve"> </w:t>
      </w:r>
      <w:r w:rsidR="005D5E8F" w:rsidRPr="00737ECE">
        <w:rPr>
          <w:rStyle w:val="ac"/>
          <w:rFonts w:eastAsiaTheme="majorEastAsia"/>
          <w:b/>
          <w:bCs/>
          <w:sz w:val="24"/>
          <w:szCs w:val="24"/>
        </w:rPr>
        <w:t>ЕОК/ЕОАГ нет</w:t>
      </w:r>
      <w:r w:rsidR="006B266D">
        <w:rPr>
          <w:rStyle w:val="ac"/>
          <w:rFonts w:eastAsiaTheme="majorEastAsia"/>
          <w:b/>
          <w:bCs/>
          <w:sz w:val="24"/>
          <w:szCs w:val="24"/>
        </w:rPr>
        <w:t>.</w:t>
      </w:r>
    </w:p>
    <w:p w14:paraId="48C3A30A" w14:textId="77777777" w:rsidR="00737ECE" w:rsidRPr="00737ECE" w:rsidRDefault="00737ECE" w:rsidP="00A03C23">
      <w:pPr>
        <w:pStyle w:val="11"/>
        <w:tabs>
          <w:tab w:val="left" w:pos="2592"/>
        </w:tabs>
        <w:ind w:firstLine="600"/>
        <w:jc w:val="both"/>
        <w:rPr>
          <w:sz w:val="24"/>
          <w:szCs w:val="24"/>
        </w:rPr>
      </w:pPr>
      <w:r w:rsidRPr="00737ECE">
        <w:rPr>
          <w:rStyle w:val="ac"/>
          <w:rFonts w:eastAsiaTheme="majorEastAsia"/>
          <w:b/>
          <w:bCs/>
          <w:i/>
          <w:iCs/>
          <w:sz w:val="24"/>
          <w:szCs w:val="24"/>
        </w:rPr>
        <w:t>Комментарий:</w:t>
      </w:r>
      <w:r w:rsidRPr="00737ECE">
        <w:rPr>
          <w:rStyle w:val="ac"/>
          <w:rFonts w:eastAsiaTheme="majorEastAsia"/>
          <w:b/>
          <w:bCs/>
          <w:i/>
          <w:iCs/>
          <w:sz w:val="24"/>
          <w:szCs w:val="24"/>
        </w:rPr>
        <w:tab/>
      </w:r>
      <w:r w:rsidRPr="00737ECE">
        <w:rPr>
          <w:rStyle w:val="ac"/>
          <w:rFonts w:eastAsiaTheme="majorEastAsia"/>
          <w:i/>
          <w:iCs/>
          <w:sz w:val="24"/>
          <w:szCs w:val="24"/>
        </w:rPr>
        <w:t>Ежедневный мониторинг может проводиться пациенткой</w:t>
      </w:r>
      <w:r w:rsidR="00A03C23">
        <w:rPr>
          <w:sz w:val="24"/>
          <w:szCs w:val="24"/>
        </w:rPr>
        <w:t xml:space="preserve"> </w:t>
      </w:r>
      <w:r w:rsidRPr="00737ECE">
        <w:rPr>
          <w:rStyle w:val="ac"/>
          <w:rFonts w:eastAsiaTheme="majorEastAsia"/>
          <w:i/>
          <w:iCs/>
          <w:sz w:val="24"/>
          <w:szCs w:val="24"/>
        </w:rPr>
        <w:t>самостоятельно 1-2 раза в день с ведением дневника.</w:t>
      </w:r>
    </w:p>
    <w:p w14:paraId="145295DF" w14:textId="77777777" w:rsidR="00737ECE" w:rsidRPr="00A03C23" w:rsidRDefault="00737ECE">
      <w:pPr>
        <w:pStyle w:val="11"/>
        <w:numPr>
          <w:ilvl w:val="0"/>
          <w:numId w:val="31"/>
        </w:numPr>
        <w:tabs>
          <w:tab w:val="left" w:pos="1348"/>
        </w:tabs>
        <w:ind w:firstLine="0"/>
        <w:jc w:val="both"/>
        <w:rPr>
          <w:sz w:val="24"/>
          <w:szCs w:val="24"/>
        </w:rPr>
      </w:pPr>
      <w:r w:rsidRPr="00A03C23">
        <w:rPr>
          <w:rStyle w:val="ac"/>
          <w:rFonts w:eastAsiaTheme="majorEastAsia"/>
          <w:sz w:val="24"/>
          <w:szCs w:val="24"/>
        </w:rPr>
        <w:t>При подозрении на гипертензию «белого халата» рекомендовано проведение</w:t>
      </w:r>
      <w:r w:rsidR="00A03C23">
        <w:rPr>
          <w:sz w:val="24"/>
          <w:szCs w:val="24"/>
        </w:rPr>
        <w:t xml:space="preserve"> </w:t>
      </w:r>
      <w:r w:rsidRPr="00A03C23">
        <w:rPr>
          <w:rStyle w:val="ac"/>
          <w:rFonts w:eastAsiaTheme="majorEastAsia"/>
          <w:sz w:val="24"/>
          <w:szCs w:val="24"/>
        </w:rPr>
        <w:lastRenderedPageBreak/>
        <w:t>регулярного самоконтроля АД в домашних условиях [404].</w:t>
      </w:r>
    </w:p>
    <w:p w14:paraId="3F4C3A51" w14:textId="3008029F" w:rsidR="00737ECE" w:rsidRDefault="00737ECE" w:rsidP="00737ECE">
      <w:pPr>
        <w:pStyle w:val="11"/>
        <w:ind w:firstLine="600"/>
        <w:jc w:val="both"/>
        <w:rPr>
          <w:rStyle w:val="ac"/>
          <w:rFonts w:eastAsiaTheme="majorEastAsia"/>
          <w:b/>
          <w:bCs/>
          <w:sz w:val="24"/>
          <w:szCs w:val="24"/>
        </w:rPr>
      </w:pPr>
      <w:r w:rsidRPr="00737EC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5D5E8F">
        <w:rPr>
          <w:rStyle w:val="ac"/>
          <w:rFonts w:eastAsiaTheme="majorEastAsia"/>
          <w:b/>
          <w:bCs/>
          <w:sz w:val="24"/>
          <w:szCs w:val="24"/>
        </w:rPr>
        <w:t xml:space="preserve"> </w:t>
      </w:r>
      <w:r w:rsidRPr="00737ECE">
        <w:rPr>
          <w:rStyle w:val="ac"/>
          <w:rFonts w:eastAsiaTheme="majorEastAsia"/>
          <w:b/>
          <w:bCs/>
          <w:sz w:val="24"/>
          <w:szCs w:val="24"/>
        </w:rPr>
        <w:t xml:space="preserve">С, </w:t>
      </w:r>
      <w:r w:rsidR="005D5E8F" w:rsidRPr="00737ECE">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737ECE">
        <w:rPr>
          <w:rStyle w:val="ac"/>
          <w:rFonts w:eastAsiaTheme="majorEastAsia"/>
          <w:b/>
          <w:bCs/>
          <w:sz w:val="24"/>
          <w:szCs w:val="24"/>
        </w:rPr>
        <w:t>- 5)</w:t>
      </w:r>
      <w:r w:rsidR="005D5E8F">
        <w:rPr>
          <w:rStyle w:val="ac"/>
          <w:rFonts w:eastAsiaTheme="majorEastAsia"/>
          <w:b/>
          <w:bCs/>
          <w:sz w:val="24"/>
          <w:szCs w:val="24"/>
        </w:rPr>
        <w:t>;</w:t>
      </w:r>
      <w:r w:rsidR="005D5E8F" w:rsidRPr="005D5E8F">
        <w:rPr>
          <w:rStyle w:val="ac"/>
          <w:rFonts w:eastAsiaTheme="majorEastAsia"/>
          <w:b/>
          <w:bCs/>
          <w:sz w:val="24"/>
          <w:szCs w:val="24"/>
        </w:rPr>
        <w:t xml:space="preserve"> </w:t>
      </w:r>
      <w:r w:rsidR="005D5E8F" w:rsidRPr="00737ECE">
        <w:rPr>
          <w:rStyle w:val="ac"/>
          <w:rFonts w:eastAsiaTheme="majorEastAsia"/>
          <w:b/>
          <w:bCs/>
          <w:sz w:val="24"/>
          <w:szCs w:val="24"/>
        </w:rPr>
        <w:t>ЕОК/ЕОАГ нет</w:t>
      </w:r>
      <w:r w:rsidR="006B266D">
        <w:rPr>
          <w:rStyle w:val="ac"/>
          <w:rFonts w:eastAsiaTheme="majorEastAsia"/>
          <w:b/>
          <w:bCs/>
          <w:sz w:val="24"/>
          <w:szCs w:val="24"/>
        </w:rPr>
        <w:t>.</w:t>
      </w:r>
    </w:p>
    <w:p w14:paraId="29802530" w14:textId="4A985EE9" w:rsidR="00CD1E12" w:rsidRPr="00CD1E12" w:rsidRDefault="00CD1E12" w:rsidP="00737ECE">
      <w:pPr>
        <w:pStyle w:val="11"/>
        <w:ind w:firstLine="600"/>
        <w:jc w:val="both"/>
        <w:rPr>
          <w:i/>
          <w:iCs/>
          <w:sz w:val="28"/>
          <w:szCs w:val="28"/>
        </w:rPr>
      </w:pPr>
      <w:r w:rsidRPr="00737ECE">
        <w:rPr>
          <w:rStyle w:val="ac"/>
          <w:rFonts w:eastAsiaTheme="majorEastAsia"/>
          <w:b/>
          <w:bCs/>
          <w:i/>
          <w:iCs/>
          <w:sz w:val="24"/>
          <w:szCs w:val="24"/>
        </w:rPr>
        <w:t>Комментарий:</w:t>
      </w:r>
      <w:r w:rsidRPr="00CD1E12">
        <w:t xml:space="preserve"> </w:t>
      </w:r>
      <w:r w:rsidRPr="00CD1E12">
        <w:rPr>
          <w:i/>
          <w:iCs/>
          <w:sz w:val="24"/>
          <w:szCs w:val="24"/>
        </w:rPr>
        <w:t xml:space="preserve">домашний мониторинг позволяет получить более точные данные о реальном уровне АД в повседневной жизни пациента и отличить истинную гипертензию от ситуационной (стимульной). </w:t>
      </w:r>
      <w:r>
        <w:rPr>
          <w:i/>
          <w:iCs/>
          <w:sz w:val="24"/>
          <w:szCs w:val="24"/>
        </w:rPr>
        <w:t>П</w:t>
      </w:r>
      <w:r w:rsidRPr="00CD1E12">
        <w:rPr>
          <w:i/>
          <w:iCs/>
          <w:sz w:val="24"/>
          <w:szCs w:val="24"/>
        </w:rPr>
        <w:t>ациентам следует обучить правильной технике измерения давления и фиксировать результаты для анализа врачом.</w:t>
      </w:r>
    </w:p>
    <w:p w14:paraId="6A661901" w14:textId="77777777" w:rsidR="00737ECE" w:rsidRPr="00A03C23" w:rsidRDefault="00737ECE">
      <w:pPr>
        <w:pStyle w:val="11"/>
        <w:numPr>
          <w:ilvl w:val="0"/>
          <w:numId w:val="31"/>
        </w:numPr>
        <w:tabs>
          <w:tab w:val="left" w:pos="1348"/>
        </w:tabs>
        <w:ind w:firstLine="0"/>
        <w:jc w:val="both"/>
        <w:rPr>
          <w:sz w:val="24"/>
          <w:szCs w:val="24"/>
        </w:rPr>
      </w:pPr>
      <w:r w:rsidRPr="00A03C23">
        <w:rPr>
          <w:rStyle w:val="ac"/>
          <w:rFonts w:eastAsiaTheme="majorEastAsia"/>
          <w:sz w:val="24"/>
          <w:szCs w:val="24"/>
        </w:rPr>
        <w:t>Беременным женщинам, имеющим ФР, ПОМ, СД или поражение почек,</w:t>
      </w:r>
      <w:r w:rsidR="00A03C23">
        <w:rPr>
          <w:sz w:val="24"/>
          <w:szCs w:val="24"/>
        </w:rPr>
        <w:t xml:space="preserve"> </w:t>
      </w:r>
      <w:r w:rsidRPr="00A03C23">
        <w:rPr>
          <w:rStyle w:val="ac"/>
          <w:rFonts w:eastAsiaTheme="majorEastAsia"/>
          <w:sz w:val="24"/>
          <w:szCs w:val="24"/>
        </w:rPr>
        <w:t>рекомендуется проведение СМАД для подтверждения АГ [12].</w:t>
      </w:r>
    </w:p>
    <w:p w14:paraId="69DA248F" w14:textId="3E595DEF" w:rsidR="00737ECE" w:rsidRDefault="00737ECE" w:rsidP="006B266D">
      <w:pPr>
        <w:pStyle w:val="11"/>
        <w:tabs>
          <w:tab w:val="left" w:pos="1348"/>
        </w:tabs>
        <w:ind w:firstLine="567"/>
        <w:jc w:val="both"/>
        <w:rPr>
          <w:rStyle w:val="ac"/>
          <w:rFonts w:eastAsiaTheme="majorEastAsia"/>
          <w:b/>
          <w:bCs/>
          <w:sz w:val="24"/>
          <w:szCs w:val="24"/>
        </w:rPr>
      </w:pPr>
      <w:r w:rsidRPr="00737EC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5D5E8F">
        <w:rPr>
          <w:rStyle w:val="ac"/>
          <w:rFonts w:eastAsiaTheme="majorEastAsia"/>
          <w:b/>
          <w:bCs/>
          <w:sz w:val="24"/>
          <w:szCs w:val="24"/>
        </w:rPr>
        <w:t xml:space="preserve"> </w:t>
      </w:r>
      <w:r w:rsidRPr="00737ECE">
        <w:rPr>
          <w:rStyle w:val="ac"/>
          <w:rFonts w:eastAsiaTheme="majorEastAsia"/>
          <w:b/>
          <w:bCs/>
          <w:sz w:val="24"/>
          <w:szCs w:val="24"/>
        </w:rPr>
        <w:t xml:space="preserve">С, </w:t>
      </w:r>
      <w:r w:rsidR="005D5E8F" w:rsidRPr="00737ECE">
        <w:rPr>
          <w:rStyle w:val="ac"/>
          <w:rFonts w:eastAsiaTheme="majorEastAsia"/>
          <w:sz w:val="24"/>
          <w:szCs w:val="24"/>
        </w:rPr>
        <w:t>(</w:t>
      </w:r>
      <w:r w:rsidR="003D51B3">
        <w:rPr>
          <w:rStyle w:val="ac"/>
          <w:rFonts w:eastAsiaTheme="majorEastAsia"/>
          <w:b/>
          <w:bCs/>
          <w:sz w:val="24"/>
          <w:szCs w:val="24"/>
        </w:rPr>
        <w:t>Уровень достоверности доказательств</w:t>
      </w:r>
      <w:r w:rsidRPr="00737ECE">
        <w:rPr>
          <w:rStyle w:val="ac"/>
          <w:rFonts w:eastAsiaTheme="majorEastAsia"/>
          <w:b/>
          <w:bCs/>
          <w:sz w:val="24"/>
          <w:szCs w:val="24"/>
        </w:rPr>
        <w:t xml:space="preserve"> 5</w:t>
      </w:r>
      <w:r w:rsidR="005D5E8F" w:rsidRPr="00737ECE">
        <w:rPr>
          <w:rStyle w:val="ac"/>
          <w:rFonts w:eastAsiaTheme="majorEastAsia"/>
          <w:b/>
          <w:bCs/>
          <w:sz w:val="24"/>
          <w:szCs w:val="24"/>
        </w:rPr>
        <w:t>)</w:t>
      </w:r>
      <w:r w:rsidR="005D5E8F" w:rsidRPr="005D5E8F">
        <w:rPr>
          <w:rStyle w:val="ac"/>
          <w:rFonts w:eastAsiaTheme="majorEastAsia"/>
          <w:b/>
          <w:bCs/>
          <w:sz w:val="24"/>
          <w:szCs w:val="24"/>
        </w:rPr>
        <w:t>;</w:t>
      </w:r>
      <w:r w:rsidR="005D5E8F">
        <w:rPr>
          <w:rStyle w:val="ac"/>
          <w:rFonts w:eastAsiaTheme="majorEastAsia"/>
          <w:b/>
          <w:bCs/>
          <w:sz w:val="24"/>
          <w:szCs w:val="24"/>
        </w:rPr>
        <w:t xml:space="preserve"> </w:t>
      </w:r>
      <w:r w:rsidR="005D5E8F" w:rsidRPr="00737ECE">
        <w:rPr>
          <w:rStyle w:val="ac"/>
          <w:rFonts w:eastAsiaTheme="majorEastAsia"/>
          <w:b/>
          <w:bCs/>
          <w:sz w:val="24"/>
          <w:szCs w:val="24"/>
        </w:rPr>
        <w:t>ЕОК/ЕОАГ нет</w:t>
      </w:r>
      <w:r w:rsidR="006B266D">
        <w:rPr>
          <w:rStyle w:val="ac"/>
          <w:rFonts w:eastAsiaTheme="majorEastAsia"/>
          <w:b/>
          <w:bCs/>
          <w:sz w:val="24"/>
          <w:szCs w:val="24"/>
        </w:rPr>
        <w:t>.</w:t>
      </w:r>
    </w:p>
    <w:p w14:paraId="146E3BE6" w14:textId="5F3BEC14" w:rsidR="005D5E8F" w:rsidRPr="005D5E8F" w:rsidRDefault="005D5E8F" w:rsidP="005D5E8F">
      <w:pPr>
        <w:pStyle w:val="11"/>
        <w:tabs>
          <w:tab w:val="left" w:pos="1348"/>
        </w:tabs>
        <w:jc w:val="both"/>
        <w:rPr>
          <w:i/>
          <w:iCs/>
          <w:sz w:val="28"/>
          <w:szCs w:val="28"/>
        </w:rPr>
      </w:pPr>
      <w:r>
        <w:rPr>
          <w:rStyle w:val="ac"/>
          <w:rFonts w:eastAsiaTheme="majorEastAsia"/>
          <w:b/>
          <w:bCs/>
          <w:sz w:val="24"/>
          <w:szCs w:val="24"/>
        </w:rPr>
        <w:t>Комментарии:</w:t>
      </w:r>
      <w:r w:rsidRPr="005D5E8F">
        <w:t xml:space="preserve"> </w:t>
      </w:r>
      <w:r w:rsidRPr="005D5E8F">
        <w:rPr>
          <w:i/>
          <w:iCs/>
          <w:sz w:val="24"/>
          <w:szCs w:val="24"/>
        </w:rPr>
        <w:t xml:space="preserve">у таких пациенток повышен риск развития гипертензии беременных, а СМАД позволяет выявить как истинную гипертензию, так и </w:t>
      </w:r>
      <w:r w:rsidRPr="005D5E8F">
        <w:rPr>
          <w:rStyle w:val="ac"/>
          <w:rFonts w:eastAsiaTheme="majorEastAsia"/>
          <w:i/>
          <w:iCs/>
          <w:sz w:val="24"/>
          <w:szCs w:val="24"/>
        </w:rPr>
        <w:t>гипертензию «белого халата»</w:t>
      </w:r>
      <w:r w:rsidRPr="00A03C23">
        <w:rPr>
          <w:rStyle w:val="ac"/>
          <w:rFonts w:eastAsiaTheme="majorEastAsia"/>
          <w:sz w:val="24"/>
          <w:szCs w:val="24"/>
        </w:rPr>
        <w:t xml:space="preserve"> </w:t>
      </w:r>
      <w:r w:rsidRPr="005D5E8F">
        <w:rPr>
          <w:i/>
          <w:iCs/>
          <w:sz w:val="24"/>
          <w:szCs w:val="24"/>
        </w:rPr>
        <w:t>или маскированную гипертензию. СМАД обеспечивает более точную оценку артериального давления в течение суток, выявляет ночную гипертензию и помогает в правильном выборе терапии.</w:t>
      </w:r>
    </w:p>
    <w:p w14:paraId="70B9830C" w14:textId="327666E9" w:rsidR="00737ECE" w:rsidRPr="00A03C23" w:rsidRDefault="00737ECE">
      <w:pPr>
        <w:pStyle w:val="11"/>
        <w:numPr>
          <w:ilvl w:val="0"/>
          <w:numId w:val="31"/>
        </w:numPr>
        <w:tabs>
          <w:tab w:val="left" w:pos="1348"/>
        </w:tabs>
        <w:ind w:firstLine="0"/>
        <w:jc w:val="both"/>
        <w:rPr>
          <w:sz w:val="24"/>
          <w:szCs w:val="24"/>
        </w:rPr>
      </w:pPr>
      <w:r w:rsidRPr="00A03C23">
        <w:rPr>
          <w:rStyle w:val="ac"/>
          <w:rFonts w:eastAsiaTheme="majorEastAsia"/>
          <w:sz w:val="24"/>
          <w:szCs w:val="24"/>
        </w:rPr>
        <w:t>Беременным женщинам рекомендуется проведение СМАД при подозрении на</w:t>
      </w:r>
      <w:r w:rsidR="00A03C23">
        <w:rPr>
          <w:sz w:val="24"/>
          <w:szCs w:val="24"/>
        </w:rPr>
        <w:t xml:space="preserve"> </w:t>
      </w:r>
      <w:r w:rsidRPr="00A03C23">
        <w:rPr>
          <w:rStyle w:val="ac"/>
          <w:rFonts w:eastAsiaTheme="majorEastAsia"/>
          <w:sz w:val="24"/>
          <w:szCs w:val="24"/>
        </w:rPr>
        <w:t xml:space="preserve">гипертензию </w:t>
      </w:r>
      <w:r w:rsidR="00D128E3">
        <w:rPr>
          <w:rStyle w:val="ac"/>
          <w:rFonts w:eastAsiaTheme="majorEastAsia"/>
          <w:sz w:val="24"/>
          <w:szCs w:val="24"/>
        </w:rPr>
        <w:t>«</w:t>
      </w:r>
      <w:r w:rsidRPr="00A03C23">
        <w:rPr>
          <w:rStyle w:val="ac"/>
          <w:rFonts w:eastAsiaTheme="majorEastAsia"/>
          <w:sz w:val="24"/>
          <w:szCs w:val="24"/>
        </w:rPr>
        <w:t>белого халата</w:t>
      </w:r>
      <w:r w:rsidR="00D128E3">
        <w:rPr>
          <w:rStyle w:val="ac"/>
          <w:rFonts w:eastAsiaTheme="majorEastAsia"/>
          <w:sz w:val="24"/>
          <w:szCs w:val="24"/>
        </w:rPr>
        <w:t>»</w:t>
      </w:r>
      <w:r w:rsidRPr="00A03C23">
        <w:rPr>
          <w:rStyle w:val="ac"/>
          <w:rFonts w:eastAsiaTheme="majorEastAsia"/>
          <w:sz w:val="24"/>
          <w:szCs w:val="24"/>
        </w:rPr>
        <w:t>, маскированную гипертензию, для оценки эффективности антигипертензивной терапии, при плохо контролируемой АГ [405, 12].</w:t>
      </w:r>
    </w:p>
    <w:p w14:paraId="17E5624A" w14:textId="6CC9A0D7" w:rsidR="00737ECE" w:rsidRDefault="00737ECE" w:rsidP="00737ECE">
      <w:pPr>
        <w:pStyle w:val="11"/>
        <w:ind w:firstLine="600"/>
        <w:jc w:val="both"/>
        <w:rPr>
          <w:rStyle w:val="ac"/>
          <w:rFonts w:eastAsiaTheme="majorEastAsia"/>
          <w:b/>
          <w:bCs/>
          <w:sz w:val="24"/>
          <w:szCs w:val="24"/>
        </w:rPr>
      </w:pPr>
      <w:r w:rsidRPr="00737EC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D128E3">
        <w:rPr>
          <w:rStyle w:val="ac"/>
          <w:rFonts w:eastAsiaTheme="majorEastAsia"/>
          <w:b/>
          <w:bCs/>
          <w:sz w:val="24"/>
          <w:szCs w:val="24"/>
        </w:rPr>
        <w:t xml:space="preserve"> </w:t>
      </w:r>
      <w:r w:rsidRPr="00737ECE">
        <w:rPr>
          <w:rStyle w:val="ac"/>
          <w:rFonts w:eastAsiaTheme="majorEastAsia"/>
          <w:b/>
          <w:bCs/>
          <w:sz w:val="24"/>
          <w:szCs w:val="24"/>
        </w:rPr>
        <w:t xml:space="preserve">С, </w:t>
      </w:r>
      <w:r w:rsidR="00D128E3" w:rsidRPr="00737ECE">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737ECE">
        <w:rPr>
          <w:rStyle w:val="ac"/>
          <w:rFonts w:eastAsiaTheme="majorEastAsia"/>
          <w:b/>
          <w:bCs/>
          <w:sz w:val="24"/>
          <w:szCs w:val="24"/>
        </w:rPr>
        <w:t xml:space="preserve"> 5)</w:t>
      </w:r>
      <w:r w:rsidR="00D128E3">
        <w:rPr>
          <w:rStyle w:val="ac"/>
          <w:rFonts w:eastAsiaTheme="majorEastAsia"/>
          <w:b/>
          <w:bCs/>
          <w:sz w:val="24"/>
          <w:szCs w:val="24"/>
        </w:rPr>
        <w:t xml:space="preserve">; </w:t>
      </w:r>
      <w:r w:rsidR="00D128E3" w:rsidRPr="00737ECE">
        <w:rPr>
          <w:rStyle w:val="ac"/>
          <w:rFonts w:eastAsiaTheme="majorEastAsia"/>
          <w:b/>
          <w:bCs/>
          <w:sz w:val="24"/>
          <w:szCs w:val="24"/>
        </w:rPr>
        <w:t>ЕОК/ЕОАГ нет</w:t>
      </w:r>
      <w:r w:rsidR="006B266D">
        <w:rPr>
          <w:rStyle w:val="ac"/>
          <w:rFonts w:eastAsiaTheme="majorEastAsia"/>
          <w:b/>
          <w:bCs/>
          <w:sz w:val="24"/>
          <w:szCs w:val="24"/>
        </w:rPr>
        <w:t>.</w:t>
      </w:r>
    </w:p>
    <w:p w14:paraId="313AFA3C" w14:textId="0E2C3924" w:rsidR="00D128E3" w:rsidRPr="00D128E3" w:rsidRDefault="00D128E3" w:rsidP="00737ECE">
      <w:pPr>
        <w:pStyle w:val="11"/>
        <w:ind w:firstLine="600"/>
        <w:jc w:val="both"/>
        <w:rPr>
          <w:i/>
          <w:iCs/>
          <w:sz w:val="28"/>
          <w:szCs w:val="28"/>
        </w:rPr>
      </w:pPr>
      <w:r>
        <w:rPr>
          <w:rStyle w:val="ac"/>
          <w:rFonts w:eastAsiaTheme="majorEastAsia"/>
          <w:b/>
          <w:bCs/>
          <w:sz w:val="24"/>
          <w:szCs w:val="24"/>
        </w:rPr>
        <w:t>Комментарии:</w:t>
      </w:r>
      <w:r w:rsidRPr="00D128E3">
        <w:t xml:space="preserve"> </w:t>
      </w:r>
      <w:r w:rsidRPr="00D128E3">
        <w:rPr>
          <w:i/>
          <w:iCs/>
          <w:sz w:val="24"/>
          <w:szCs w:val="24"/>
        </w:rPr>
        <w:t xml:space="preserve">Беременным женщинам рекомендуется проведение суточного мониторинга артериального давления (СМАД) при </w:t>
      </w:r>
      <w:r>
        <w:rPr>
          <w:i/>
          <w:iCs/>
          <w:sz w:val="24"/>
          <w:szCs w:val="24"/>
        </w:rPr>
        <w:t>п</w:t>
      </w:r>
      <w:r w:rsidRPr="00D128E3">
        <w:rPr>
          <w:i/>
          <w:iCs/>
          <w:sz w:val="24"/>
          <w:szCs w:val="24"/>
        </w:rPr>
        <w:t>одозрени</w:t>
      </w:r>
      <w:r>
        <w:rPr>
          <w:i/>
          <w:iCs/>
          <w:sz w:val="24"/>
          <w:szCs w:val="24"/>
        </w:rPr>
        <w:t>и</w:t>
      </w:r>
      <w:r w:rsidRPr="00D128E3">
        <w:rPr>
          <w:i/>
          <w:iCs/>
          <w:sz w:val="24"/>
          <w:szCs w:val="24"/>
        </w:rPr>
        <w:t xml:space="preserve"> на гипертензию «белого халата»,</w:t>
      </w:r>
      <w:r>
        <w:rPr>
          <w:i/>
          <w:iCs/>
          <w:sz w:val="24"/>
          <w:szCs w:val="24"/>
        </w:rPr>
        <w:t xml:space="preserve"> </w:t>
      </w:r>
      <w:r w:rsidRPr="00D128E3">
        <w:rPr>
          <w:i/>
          <w:iCs/>
          <w:sz w:val="24"/>
          <w:szCs w:val="24"/>
        </w:rPr>
        <w:t>когда повышение АД наблюдается только в медицинской обстановке</w:t>
      </w:r>
      <w:r>
        <w:rPr>
          <w:i/>
          <w:iCs/>
          <w:sz w:val="24"/>
          <w:szCs w:val="24"/>
        </w:rPr>
        <w:t>;</w:t>
      </w:r>
      <w:r w:rsidRPr="00D128E3">
        <w:rPr>
          <w:rStyle w:val="10"/>
          <w:rFonts w:ascii="Times New Roman" w:hAnsi="Times New Roman" w:cs="Times New Roman"/>
          <w:i/>
          <w:iCs/>
          <w:color w:val="auto"/>
          <w:sz w:val="24"/>
          <w:szCs w:val="24"/>
        </w:rPr>
        <w:t xml:space="preserve"> </w:t>
      </w:r>
      <w:r>
        <w:rPr>
          <w:rStyle w:val="10"/>
          <w:rFonts w:ascii="Times New Roman" w:hAnsi="Times New Roman" w:cs="Times New Roman"/>
          <w:i/>
          <w:iCs/>
          <w:color w:val="auto"/>
          <w:sz w:val="24"/>
          <w:szCs w:val="24"/>
        </w:rPr>
        <w:t>п</w:t>
      </w:r>
      <w:r w:rsidRPr="00D128E3">
        <w:rPr>
          <w:rStyle w:val="10"/>
          <w:rFonts w:ascii="Times New Roman" w:hAnsi="Times New Roman" w:cs="Times New Roman"/>
          <w:i/>
          <w:iCs/>
          <w:color w:val="auto"/>
          <w:sz w:val="24"/>
          <w:szCs w:val="24"/>
        </w:rPr>
        <w:t xml:space="preserve">ри </w:t>
      </w:r>
      <w:r>
        <w:rPr>
          <w:rStyle w:val="aff9"/>
          <w:rFonts w:eastAsiaTheme="majorEastAsia"/>
          <w:b w:val="0"/>
          <w:bCs w:val="0"/>
          <w:i/>
          <w:iCs/>
          <w:sz w:val="24"/>
          <w:szCs w:val="24"/>
        </w:rPr>
        <w:t>п</w:t>
      </w:r>
      <w:r w:rsidRPr="00D128E3">
        <w:rPr>
          <w:rStyle w:val="aff9"/>
          <w:rFonts w:eastAsiaTheme="majorEastAsia"/>
          <w:b w:val="0"/>
          <w:bCs w:val="0"/>
          <w:i/>
          <w:iCs/>
          <w:sz w:val="24"/>
          <w:szCs w:val="24"/>
        </w:rPr>
        <w:t>одозрени</w:t>
      </w:r>
      <w:r>
        <w:rPr>
          <w:rStyle w:val="aff9"/>
          <w:rFonts w:eastAsiaTheme="majorEastAsia"/>
          <w:b w:val="0"/>
          <w:bCs w:val="0"/>
          <w:i/>
          <w:iCs/>
          <w:sz w:val="24"/>
          <w:szCs w:val="24"/>
        </w:rPr>
        <w:t>и</w:t>
      </w:r>
      <w:r w:rsidRPr="00D128E3">
        <w:rPr>
          <w:rStyle w:val="aff9"/>
          <w:rFonts w:eastAsiaTheme="majorEastAsia"/>
          <w:b w:val="0"/>
          <w:bCs w:val="0"/>
          <w:i/>
          <w:iCs/>
          <w:sz w:val="24"/>
          <w:szCs w:val="24"/>
        </w:rPr>
        <w:t xml:space="preserve"> на маскированную гипертензию</w:t>
      </w:r>
      <w:r w:rsidRPr="00D128E3">
        <w:rPr>
          <w:i/>
          <w:iCs/>
          <w:sz w:val="24"/>
          <w:szCs w:val="24"/>
        </w:rPr>
        <w:t xml:space="preserve"> — нормальное давление в клинике, но повышенное вне её.</w:t>
      </w:r>
      <w:r w:rsidRPr="00D128E3">
        <w:t xml:space="preserve"> </w:t>
      </w:r>
      <w:r w:rsidRPr="00D128E3">
        <w:rPr>
          <w:i/>
          <w:iCs/>
          <w:sz w:val="24"/>
          <w:szCs w:val="24"/>
        </w:rPr>
        <w:t>СМАД позволяет более точно оценить профиль артериального давления в течение суток, выявить ночную гипертензию и адаптировать терапию, что особенно важно для безопасности матери и плода.</w:t>
      </w:r>
    </w:p>
    <w:p w14:paraId="55F87F55" w14:textId="77777777" w:rsidR="00737ECE" w:rsidRPr="00A03C23" w:rsidRDefault="00737ECE">
      <w:pPr>
        <w:pStyle w:val="11"/>
        <w:numPr>
          <w:ilvl w:val="0"/>
          <w:numId w:val="31"/>
        </w:numPr>
        <w:tabs>
          <w:tab w:val="left" w:pos="1348"/>
        </w:tabs>
        <w:ind w:firstLine="600"/>
        <w:jc w:val="both"/>
        <w:rPr>
          <w:sz w:val="24"/>
          <w:szCs w:val="24"/>
        </w:rPr>
      </w:pPr>
      <w:r w:rsidRPr="00737ECE">
        <w:rPr>
          <w:rStyle w:val="ac"/>
          <w:rFonts w:eastAsiaTheme="majorEastAsia"/>
          <w:sz w:val="24"/>
          <w:szCs w:val="24"/>
        </w:rPr>
        <w:t>Антигипертензивная терапия рекомендована при АД ≥140/90 мм рт.ст. в любом</w:t>
      </w:r>
      <w:r w:rsidR="00A03C23">
        <w:rPr>
          <w:sz w:val="24"/>
          <w:szCs w:val="24"/>
        </w:rPr>
        <w:t xml:space="preserve"> </w:t>
      </w:r>
      <w:r w:rsidRPr="00A03C23">
        <w:rPr>
          <w:rStyle w:val="ac"/>
          <w:rFonts w:eastAsiaTheme="majorEastAsia"/>
          <w:sz w:val="24"/>
          <w:szCs w:val="24"/>
        </w:rPr>
        <w:t>сроке беременности при любой форме АГ с целью снижения СС риска [36, 12, 406, 407].</w:t>
      </w:r>
    </w:p>
    <w:p w14:paraId="3939C08A" w14:textId="5198D63F" w:rsidR="00737ECE" w:rsidRDefault="00737ECE" w:rsidP="00737ECE">
      <w:pPr>
        <w:pStyle w:val="11"/>
        <w:ind w:firstLine="600"/>
        <w:jc w:val="both"/>
        <w:rPr>
          <w:rStyle w:val="ac"/>
          <w:rFonts w:eastAsiaTheme="majorEastAsia"/>
          <w:b/>
          <w:bCs/>
          <w:sz w:val="24"/>
          <w:szCs w:val="24"/>
        </w:rPr>
      </w:pPr>
      <w:r w:rsidRPr="00737EC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D128E3">
        <w:rPr>
          <w:rStyle w:val="ac"/>
          <w:rFonts w:eastAsiaTheme="majorEastAsia"/>
          <w:b/>
          <w:bCs/>
          <w:sz w:val="24"/>
          <w:szCs w:val="24"/>
        </w:rPr>
        <w:t xml:space="preserve"> </w:t>
      </w:r>
      <w:r w:rsidRPr="00737ECE">
        <w:rPr>
          <w:rStyle w:val="ac"/>
          <w:rFonts w:eastAsiaTheme="majorEastAsia"/>
          <w:b/>
          <w:bCs/>
          <w:sz w:val="24"/>
          <w:szCs w:val="24"/>
          <w:lang w:val="en-US"/>
        </w:rPr>
        <w:t>B</w:t>
      </w:r>
      <w:r w:rsidRPr="00737ECE">
        <w:rPr>
          <w:rStyle w:val="ac"/>
          <w:rFonts w:eastAsiaTheme="majorEastAsia"/>
          <w:b/>
          <w:bCs/>
          <w:sz w:val="24"/>
          <w:szCs w:val="24"/>
        </w:rPr>
        <w:t xml:space="preserve">, </w:t>
      </w:r>
      <w:r w:rsidR="00D128E3" w:rsidRPr="00737ECE">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737ECE">
        <w:rPr>
          <w:rStyle w:val="ac"/>
          <w:rFonts w:eastAsiaTheme="majorEastAsia"/>
          <w:b/>
          <w:bCs/>
          <w:sz w:val="24"/>
          <w:szCs w:val="24"/>
        </w:rPr>
        <w:t xml:space="preserve"> 2</w:t>
      </w:r>
      <w:r w:rsidR="00D128E3" w:rsidRPr="00737ECE">
        <w:rPr>
          <w:rStyle w:val="ac"/>
          <w:rFonts w:eastAsiaTheme="majorEastAsia"/>
          <w:b/>
          <w:bCs/>
          <w:sz w:val="24"/>
          <w:szCs w:val="24"/>
        </w:rPr>
        <w:t>)</w:t>
      </w:r>
      <w:r w:rsidR="00D128E3" w:rsidRPr="00D128E3">
        <w:rPr>
          <w:rStyle w:val="ac"/>
          <w:rFonts w:eastAsiaTheme="majorEastAsia"/>
          <w:b/>
          <w:bCs/>
          <w:sz w:val="24"/>
          <w:szCs w:val="24"/>
        </w:rPr>
        <w:t>;</w:t>
      </w:r>
      <w:r w:rsidR="00D128E3">
        <w:rPr>
          <w:rStyle w:val="ac"/>
          <w:rFonts w:eastAsiaTheme="majorEastAsia"/>
          <w:b/>
          <w:bCs/>
          <w:sz w:val="24"/>
          <w:szCs w:val="24"/>
        </w:rPr>
        <w:t xml:space="preserve"> </w:t>
      </w:r>
      <w:r w:rsidR="00D128E3" w:rsidRPr="00737ECE">
        <w:rPr>
          <w:rStyle w:val="ac"/>
          <w:rFonts w:eastAsiaTheme="majorEastAsia"/>
          <w:b/>
          <w:bCs/>
          <w:sz w:val="24"/>
          <w:szCs w:val="24"/>
        </w:rPr>
        <w:t>ЕОК/ЕОАГ IС</w:t>
      </w:r>
      <w:r w:rsidR="006B266D">
        <w:rPr>
          <w:rStyle w:val="ac"/>
          <w:rFonts w:eastAsiaTheme="majorEastAsia"/>
          <w:b/>
          <w:bCs/>
          <w:sz w:val="24"/>
          <w:szCs w:val="24"/>
        </w:rPr>
        <w:t>.</w:t>
      </w:r>
    </w:p>
    <w:p w14:paraId="33DB20C0" w14:textId="6EEA3D88" w:rsidR="00D128E3" w:rsidRPr="00D128E3" w:rsidRDefault="00D128E3" w:rsidP="00737ECE">
      <w:pPr>
        <w:pStyle w:val="11"/>
        <w:ind w:firstLine="600"/>
        <w:jc w:val="both"/>
        <w:rPr>
          <w:i/>
          <w:iCs/>
          <w:sz w:val="28"/>
          <w:szCs w:val="28"/>
        </w:rPr>
      </w:pPr>
      <w:r>
        <w:rPr>
          <w:rStyle w:val="ac"/>
          <w:rFonts w:eastAsiaTheme="majorEastAsia"/>
          <w:b/>
          <w:bCs/>
          <w:sz w:val="24"/>
          <w:szCs w:val="24"/>
        </w:rPr>
        <w:t>Комментарии:</w:t>
      </w:r>
      <w:r w:rsidRPr="00D128E3">
        <w:t xml:space="preserve"> </w:t>
      </w:r>
      <w:r>
        <w:rPr>
          <w:i/>
          <w:iCs/>
          <w:sz w:val="24"/>
          <w:szCs w:val="24"/>
        </w:rPr>
        <w:t>П</w:t>
      </w:r>
      <w:r w:rsidRPr="00D128E3">
        <w:rPr>
          <w:i/>
          <w:iCs/>
          <w:sz w:val="24"/>
          <w:szCs w:val="24"/>
        </w:rPr>
        <w:t xml:space="preserve">оддержание АД ниже этого порога снижает риск осложнений для </w:t>
      </w:r>
      <w:r w:rsidRPr="00D128E3">
        <w:rPr>
          <w:i/>
          <w:iCs/>
          <w:sz w:val="24"/>
          <w:szCs w:val="24"/>
        </w:rPr>
        <w:lastRenderedPageBreak/>
        <w:t xml:space="preserve">матери и плода, включая преэклампсию, инсульт и другие сердечно-сосудистые события. </w:t>
      </w:r>
      <w:r>
        <w:rPr>
          <w:i/>
          <w:iCs/>
          <w:sz w:val="24"/>
          <w:szCs w:val="24"/>
        </w:rPr>
        <w:t>Т</w:t>
      </w:r>
      <w:r w:rsidRPr="00D128E3">
        <w:rPr>
          <w:i/>
          <w:iCs/>
          <w:sz w:val="24"/>
          <w:szCs w:val="24"/>
        </w:rPr>
        <w:t xml:space="preserve">ерапия показана как при хронической, так и при гестационной гипертензии и преэклампсии с гипертензией. </w:t>
      </w:r>
      <w:r>
        <w:rPr>
          <w:i/>
          <w:iCs/>
          <w:sz w:val="24"/>
          <w:szCs w:val="24"/>
        </w:rPr>
        <w:t>П</w:t>
      </w:r>
      <w:r w:rsidRPr="00D128E3">
        <w:rPr>
          <w:i/>
          <w:iCs/>
          <w:sz w:val="24"/>
          <w:szCs w:val="24"/>
        </w:rPr>
        <w:t>одбор препаратов должен учитывать безопасность для плода и особенности беременности.</w:t>
      </w:r>
    </w:p>
    <w:p w14:paraId="779C2DBE" w14:textId="77777777" w:rsidR="00737ECE" w:rsidRPr="00A03C23" w:rsidRDefault="00737ECE">
      <w:pPr>
        <w:pStyle w:val="11"/>
        <w:numPr>
          <w:ilvl w:val="0"/>
          <w:numId w:val="31"/>
        </w:numPr>
        <w:tabs>
          <w:tab w:val="left" w:pos="1348"/>
        </w:tabs>
        <w:ind w:firstLine="600"/>
        <w:jc w:val="both"/>
        <w:rPr>
          <w:sz w:val="24"/>
          <w:szCs w:val="24"/>
        </w:rPr>
      </w:pPr>
      <w:r w:rsidRPr="00737ECE">
        <w:rPr>
          <w:rStyle w:val="ac"/>
          <w:rFonts w:eastAsiaTheme="majorEastAsia"/>
          <w:sz w:val="24"/>
          <w:szCs w:val="24"/>
        </w:rPr>
        <w:t>Женщинам с гестационной АГ (</w:t>
      </w:r>
      <w:r w:rsidRPr="00737ECE">
        <w:rPr>
          <w:rStyle w:val="ac"/>
          <w:rFonts w:eastAsiaTheme="majorEastAsia"/>
          <w:sz w:val="24"/>
          <w:szCs w:val="24"/>
          <w:lang w:val="en-US"/>
        </w:rPr>
        <w:t>c</w:t>
      </w:r>
      <w:r w:rsidRPr="00737ECE">
        <w:rPr>
          <w:rStyle w:val="ac"/>
          <w:rFonts w:eastAsiaTheme="majorEastAsia"/>
          <w:sz w:val="24"/>
          <w:szCs w:val="24"/>
        </w:rPr>
        <w:t xml:space="preserve"> преэклампсией или без) рекомендуется достигать</w:t>
      </w:r>
      <w:r w:rsidR="00A03C23">
        <w:rPr>
          <w:sz w:val="24"/>
          <w:szCs w:val="24"/>
        </w:rPr>
        <w:t xml:space="preserve"> </w:t>
      </w:r>
      <w:r w:rsidRPr="00A03C23">
        <w:rPr>
          <w:rStyle w:val="ac"/>
          <w:rFonts w:eastAsiaTheme="majorEastAsia"/>
          <w:sz w:val="24"/>
          <w:szCs w:val="24"/>
        </w:rPr>
        <w:t>целевых цифр ≤140/90 мм рт. ст. с целью снижения СС риска [36, 12, 406, 407].</w:t>
      </w:r>
    </w:p>
    <w:p w14:paraId="3D93DA65" w14:textId="5169C2AF" w:rsidR="00737ECE" w:rsidRDefault="003D51B3" w:rsidP="00737ECE">
      <w:pPr>
        <w:pStyle w:val="11"/>
        <w:ind w:firstLine="600"/>
        <w:jc w:val="both"/>
        <w:rPr>
          <w:rStyle w:val="ac"/>
          <w:rFonts w:eastAsiaTheme="majorEastAsia"/>
          <w:b/>
          <w:bCs/>
          <w:sz w:val="24"/>
          <w:szCs w:val="24"/>
        </w:rPr>
      </w:pPr>
      <w:r>
        <w:rPr>
          <w:rStyle w:val="ac"/>
          <w:rFonts w:eastAsiaTheme="majorEastAsia"/>
          <w:b/>
          <w:bCs/>
          <w:sz w:val="24"/>
          <w:szCs w:val="24"/>
        </w:rPr>
        <w:t>Уровень убедительности рекомендаций</w:t>
      </w:r>
      <w:r w:rsidR="00D128E3">
        <w:rPr>
          <w:rStyle w:val="ac"/>
          <w:rFonts w:eastAsiaTheme="majorEastAsia"/>
          <w:b/>
          <w:bCs/>
          <w:sz w:val="24"/>
          <w:szCs w:val="24"/>
        </w:rPr>
        <w:t xml:space="preserve"> </w:t>
      </w:r>
      <w:r w:rsidR="00737ECE" w:rsidRPr="00737ECE">
        <w:rPr>
          <w:rStyle w:val="ac"/>
          <w:rFonts w:eastAsiaTheme="majorEastAsia"/>
          <w:b/>
          <w:bCs/>
          <w:sz w:val="24"/>
          <w:szCs w:val="24"/>
        </w:rPr>
        <w:t xml:space="preserve">С, </w:t>
      </w:r>
      <w:r w:rsidR="00D128E3" w:rsidRPr="00737ECE">
        <w:rPr>
          <w:rStyle w:val="ac"/>
          <w:rFonts w:eastAsiaTheme="majorEastAsia"/>
          <w:b/>
          <w:bCs/>
          <w:sz w:val="24"/>
          <w:szCs w:val="24"/>
        </w:rPr>
        <w:t>(</w:t>
      </w:r>
      <w:r>
        <w:rPr>
          <w:rStyle w:val="ac"/>
          <w:rFonts w:eastAsiaTheme="majorEastAsia"/>
          <w:b/>
          <w:bCs/>
          <w:sz w:val="24"/>
          <w:szCs w:val="24"/>
        </w:rPr>
        <w:t>Уровень достоверности доказательств</w:t>
      </w:r>
      <w:r w:rsidR="00737ECE" w:rsidRPr="00737ECE">
        <w:rPr>
          <w:rStyle w:val="ac"/>
          <w:rFonts w:eastAsiaTheme="majorEastAsia"/>
          <w:b/>
          <w:bCs/>
          <w:sz w:val="24"/>
          <w:szCs w:val="24"/>
        </w:rPr>
        <w:t xml:space="preserve"> 5)</w:t>
      </w:r>
      <w:r w:rsidR="00D128E3">
        <w:rPr>
          <w:rStyle w:val="ac"/>
          <w:rFonts w:eastAsiaTheme="majorEastAsia"/>
          <w:b/>
          <w:bCs/>
          <w:sz w:val="24"/>
          <w:szCs w:val="24"/>
        </w:rPr>
        <w:t xml:space="preserve">; </w:t>
      </w:r>
      <w:r w:rsidR="00D128E3" w:rsidRPr="00737ECE">
        <w:rPr>
          <w:rStyle w:val="ac"/>
          <w:rFonts w:eastAsiaTheme="majorEastAsia"/>
          <w:b/>
          <w:bCs/>
          <w:sz w:val="24"/>
          <w:szCs w:val="24"/>
        </w:rPr>
        <w:t>ЕОК/ЕОАГ нет</w:t>
      </w:r>
      <w:r w:rsidR="006B266D">
        <w:rPr>
          <w:rStyle w:val="ac"/>
          <w:rFonts w:eastAsiaTheme="majorEastAsia"/>
          <w:b/>
          <w:bCs/>
          <w:sz w:val="24"/>
          <w:szCs w:val="24"/>
        </w:rPr>
        <w:t>.</w:t>
      </w:r>
    </w:p>
    <w:p w14:paraId="738AE7CB" w14:textId="32487D08" w:rsidR="00D128E3" w:rsidRPr="00D128E3" w:rsidRDefault="00D128E3" w:rsidP="00D128E3">
      <w:pPr>
        <w:pStyle w:val="11"/>
        <w:ind w:firstLine="600"/>
        <w:jc w:val="both"/>
        <w:rPr>
          <w:i/>
          <w:iCs/>
          <w:sz w:val="24"/>
          <w:szCs w:val="24"/>
        </w:rPr>
      </w:pPr>
      <w:r>
        <w:rPr>
          <w:rStyle w:val="ac"/>
          <w:rFonts w:eastAsiaTheme="majorEastAsia"/>
          <w:b/>
          <w:bCs/>
          <w:sz w:val="24"/>
          <w:szCs w:val="24"/>
        </w:rPr>
        <w:t>Комментарии:</w:t>
      </w:r>
      <w:r w:rsidRPr="00D128E3">
        <w:t xml:space="preserve"> </w:t>
      </w:r>
      <w:r w:rsidRPr="00D128E3">
        <w:rPr>
          <w:i/>
          <w:iCs/>
          <w:sz w:val="24"/>
          <w:szCs w:val="24"/>
        </w:rPr>
        <w:t>контроль АД на этом уровне способствует снижению риска осложнений беременности, таких как инсульт, отёк лёгких, преждевременные роды. Необходимо индивидуальное назначение антигипертензивной терапии с учётом безопасности для плода. Регулярный контроль АД и оценка состояния матери и плода обязательны для достижения оптимального результата.</w:t>
      </w:r>
    </w:p>
    <w:p w14:paraId="6C2E1EA5" w14:textId="6B428F93" w:rsidR="00737ECE" w:rsidRPr="00A03C23" w:rsidRDefault="00737ECE" w:rsidP="00D128E3">
      <w:pPr>
        <w:pStyle w:val="11"/>
        <w:ind w:firstLine="600"/>
        <w:jc w:val="both"/>
        <w:rPr>
          <w:sz w:val="24"/>
          <w:szCs w:val="24"/>
        </w:rPr>
      </w:pPr>
      <w:r w:rsidRPr="00A03C23">
        <w:rPr>
          <w:rStyle w:val="ac"/>
          <w:rFonts w:eastAsiaTheme="majorEastAsia"/>
          <w:sz w:val="24"/>
          <w:szCs w:val="24"/>
        </w:rPr>
        <w:t>Беременным женщинам с предшествующей АГ (</w:t>
      </w:r>
      <w:r w:rsidRPr="00A03C23">
        <w:rPr>
          <w:rStyle w:val="ac"/>
          <w:rFonts w:eastAsiaTheme="majorEastAsia"/>
          <w:sz w:val="24"/>
          <w:szCs w:val="24"/>
          <w:lang w:val="en-US"/>
        </w:rPr>
        <w:t>c</w:t>
      </w:r>
      <w:r w:rsidRPr="00A03C23">
        <w:rPr>
          <w:rStyle w:val="ac"/>
          <w:rFonts w:eastAsiaTheme="majorEastAsia"/>
          <w:sz w:val="24"/>
          <w:szCs w:val="24"/>
        </w:rPr>
        <w:t xml:space="preserve"> преэклампсией или без)</w:t>
      </w:r>
      <w:r w:rsidR="00A03C23">
        <w:rPr>
          <w:sz w:val="24"/>
          <w:szCs w:val="24"/>
        </w:rPr>
        <w:t xml:space="preserve"> </w:t>
      </w:r>
      <w:r w:rsidRPr="00A03C23">
        <w:rPr>
          <w:rStyle w:val="ac"/>
          <w:rFonts w:eastAsiaTheme="majorEastAsia"/>
          <w:sz w:val="24"/>
          <w:szCs w:val="24"/>
        </w:rPr>
        <w:t>рекомендуется достигать целевых цифр ≤140/90 мм рт. ст. с целью снижения СС риска [36, 12, 406, 407].</w:t>
      </w:r>
    </w:p>
    <w:p w14:paraId="405A847F" w14:textId="615E86F8" w:rsidR="00737ECE" w:rsidRDefault="00737ECE" w:rsidP="00737ECE">
      <w:pPr>
        <w:pStyle w:val="11"/>
        <w:ind w:firstLine="600"/>
        <w:jc w:val="both"/>
        <w:rPr>
          <w:rStyle w:val="ac"/>
          <w:rFonts w:eastAsiaTheme="majorEastAsia"/>
          <w:b/>
          <w:bCs/>
          <w:sz w:val="24"/>
          <w:szCs w:val="24"/>
        </w:rPr>
      </w:pPr>
      <w:r w:rsidRPr="00737EC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D128E3">
        <w:rPr>
          <w:rStyle w:val="ac"/>
          <w:rFonts w:eastAsiaTheme="majorEastAsia"/>
          <w:b/>
          <w:bCs/>
          <w:sz w:val="24"/>
          <w:szCs w:val="24"/>
        </w:rPr>
        <w:t xml:space="preserve"> </w:t>
      </w:r>
      <w:r w:rsidRPr="00737ECE">
        <w:rPr>
          <w:rStyle w:val="ac"/>
          <w:rFonts w:eastAsiaTheme="majorEastAsia"/>
          <w:b/>
          <w:bCs/>
          <w:sz w:val="24"/>
          <w:szCs w:val="24"/>
        </w:rPr>
        <w:t xml:space="preserve">С, </w:t>
      </w:r>
      <w:r w:rsidR="00D128E3" w:rsidRPr="00737ECE">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737ECE">
        <w:rPr>
          <w:rStyle w:val="ac"/>
          <w:rFonts w:eastAsiaTheme="majorEastAsia"/>
          <w:b/>
          <w:bCs/>
          <w:sz w:val="24"/>
          <w:szCs w:val="24"/>
        </w:rPr>
        <w:t xml:space="preserve"> 5</w:t>
      </w:r>
      <w:r w:rsidR="00D128E3" w:rsidRPr="00737ECE">
        <w:rPr>
          <w:rStyle w:val="ac"/>
          <w:rFonts w:eastAsiaTheme="majorEastAsia"/>
          <w:b/>
          <w:bCs/>
          <w:sz w:val="24"/>
          <w:szCs w:val="24"/>
        </w:rPr>
        <w:t>)</w:t>
      </w:r>
      <w:r w:rsidR="00D128E3" w:rsidRPr="00D128E3">
        <w:rPr>
          <w:rStyle w:val="ac"/>
          <w:rFonts w:eastAsiaTheme="majorEastAsia"/>
          <w:b/>
          <w:bCs/>
          <w:sz w:val="24"/>
          <w:szCs w:val="24"/>
        </w:rPr>
        <w:t>;</w:t>
      </w:r>
      <w:r w:rsidR="00D128E3">
        <w:rPr>
          <w:rStyle w:val="ac"/>
          <w:rFonts w:eastAsiaTheme="majorEastAsia"/>
          <w:b/>
          <w:bCs/>
          <w:sz w:val="24"/>
          <w:szCs w:val="24"/>
        </w:rPr>
        <w:t xml:space="preserve"> </w:t>
      </w:r>
      <w:r w:rsidR="00D128E3" w:rsidRPr="00737ECE">
        <w:rPr>
          <w:rStyle w:val="ac"/>
          <w:rFonts w:eastAsiaTheme="majorEastAsia"/>
          <w:b/>
          <w:bCs/>
          <w:sz w:val="24"/>
          <w:szCs w:val="24"/>
        </w:rPr>
        <w:t>ЕОК/ЕОАГ нет</w:t>
      </w:r>
      <w:r w:rsidR="006B266D">
        <w:rPr>
          <w:rStyle w:val="ac"/>
          <w:rFonts w:eastAsiaTheme="majorEastAsia"/>
          <w:b/>
          <w:bCs/>
          <w:sz w:val="24"/>
          <w:szCs w:val="24"/>
        </w:rPr>
        <w:t>.</w:t>
      </w:r>
    </w:p>
    <w:p w14:paraId="42E3A43D" w14:textId="72D154F7" w:rsidR="00D128E3" w:rsidRPr="00737ECE" w:rsidRDefault="00D128E3" w:rsidP="00737ECE">
      <w:pPr>
        <w:pStyle w:val="11"/>
        <w:ind w:firstLine="600"/>
        <w:jc w:val="both"/>
        <w:rPr>
          <w:sz w:val="24"/>
          <w:szCs w:val="24"/>
        </w:rPr>
      </w:pPr>
      <w:r>
        <w:rPr>
          <w:rStyle w:val="ac"/>
          <w:rFonts w:eastAsiaTheme="majorEastAsia"/>
          <w:b/>
          <w:bCs/>
          <w:sz w:val="24"/>
          <w:szCs w:val="24"/>
        </w:rPr>
        <w:t>Комментарии</w:t>
      </w:r>
      <w:r w:rsidRPr="00D128E3">
        <w:rPr>
          <w:rStyle w:val="ac"/>
          <w:rFonts w:eastAsiaTheme="majorEastAsia"/>
          <w:b/>
          <w:bCs/>
          <w:sz w:val="28"/>
          <w:szCs w:val="28"/>
        </w:rPr>
        <w:t>:</w:t>
      </w:r>
      <w:r w:rsidRPr="00D128E3">
        <w:rPr>
          <w:i/>
          <w:iCs/>
          <w:sz w:val="24"/>
          <w:szCs w:val="24"/>
        </w:rPr>
        <w:t xml:space="preserve"> поддержание АД на уровне ≤ 140/90 мм рт. ст. снижает риск развития осложнений беременности, повторных эпизодов преэклампсии, а также долгосрочных сердечно-сосудистых заболеваний у матери.</w:t>
      </w:r>
    </w:p>
    <w:p w14:paraId="6B99CCFB" w14:textId="77777777" w:rsidR="00737ECE" w:rsidRPr="00A03C23" w:rsidRDefault="00737ECE">
      <w:pPr>
        <w:pStyle w:val="11"/>
        <w:numPr>
          <w:ilvl w:val="0"/>
          <w:numId w:val="31"/>
        </w:numPr>
        <w:tabs>
          <w:tab w:val="left" w:pos="1348"/>
        </w:tabs>
        <w:ind w:firstLine="600"/>
        <w:jc w:val="both"/>
        <w:rPr>
          <w:sz w:val="24"/>
          <w:szCs w:val="24"/>
        </w:rPr>
      </w:pPr>
      <w:r w:rsidRPr="00737ECE">
        <w:rPr>
          <w:rStyle w:val="ac"/>
          <w:rFonts w:eastAsiaTheme="majorEastAsia"/>
          <w:sz w:val="24"/>
          <w:szCs w:val="24"/>
        </w:rPr>
        <w:t>У женщин с гипертензивными нарушениями во время беременности рекомендовано</w:t>
      </w:r>
      <w:r w:rsidR="00A03C23">
        <w:rPr>
          <w:sz w:val="24"/>
          <w:szCs w:val="24"/>
        </w:rPr>
        <w:t xml:space="preserve"> </w:t>
      </w:r>
      <w:r w:rsidRPr="00A03C23">
        <w:rPr>
          <w:rStyle w:val="ac"/>
          <w:rFonts w:eastAsiaTheme="majorEastAsia"/>
          <w:sz w:val="24"/>
          <w:szCs w:val="24"/>
        </w:rPr>
        <w:t>избегать чрезмерного снижения АД. Целевой диапазон ДАД должен находиться в диапазоне 80</w:t>
      </w:r>
      <w:r w:rsidRPr="00A03C23">
        <w:rPr>
          <w:rStyle w:val="ac"/>
          <w:rFonts w:eastAsiaTheme="majorEastAsia"/>
          <w:sz w:val="24"/>
          <w:szCs w:val="24"/>
        </w:rPr>
        <w:softHyphen/>
      </w:r>
      <w:r w:rsidR="00A03C23">
        <w:rPr>
          <w:rStyle w:val="ac"/>
          <w:rFonts w:eastAsiaTheme="majorEastAsia"/>
          <w:sz w:val="24"/>
          <w:szCs w:val="24"/>
        </w:rPr>
        <w:t>-</w:t>
      </w:r>
      <w:r w:rsidRPr="00A03C23">
        <w:rPr>
          <w:rStyle w:val="ac"/>
          <w:rFonts w:eastAsiaTheme="majorEastAsia"/>
          <w:sz w:val="24"/>
          <w:szCs w:val="24"/>
        </w:rPr>
        <w:t>85 мм рт.ст. [36, 12, 406, 407].</w:t>
      </w:r>
    </w:p>
    <w:p w14:paraId="0659B904" w14:textId="063BDD3D" w:rsidR="00737ECE" w:rsidRPr="006B266D" w:rsidRDefault="00737ECE" w:rsidP="00737ECE">
      <w:pPr>
        <w:pStyle w:val="11"/>
        <w:ind w:firstLine="600"/>
        <w:jc w:val="both"/>
        <w:rPr>
          <w:sz w:val="24"/>
          <w:szCs w:val="24"/>
        </w:rPr>
      </w:pPr>
      <w:r w:rsidRPr="00737EC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530FC3">
        <w:rPr>
          <w:rStyle w:val="ac"/>
          <w:rFonts w:eastAsiaTheme="majorEastAsia"/>
          <w:b/>
          <w:bCs/>
          <w:sz w:val="24"/>
          <w:szCs w:val="24"/>
        </w:rPr>
        <w:t xml:space="preserve"> </w:t>
      </w:r>
      <w:r w:rsidRPr="00737ECE">
        <w:rPr>
          <w:rStyle w:val="ac"/>
          <w:rFonts w:eastAsiaTheme="majorEastAsia"/>
          <w:b/>
          <w:bCs/>
          <w:sz w:val="24"/>
          <w:szCs w:val="24"/>
          <w:lang w:val="en-US"/>
        </w:rPr>
        <w:t>C</w:t>
      </w:r>
      <w:r w:rsidRPr="00737ECE">
        <w:rPr>
          <w:rStyle w:val="ac"/>
          <w:rFonts w:eastAsiaTheme="majorEastAsia"/>
          <w:b/>
          <w:bCs/>
          <w:sz w:val="24"/>
          <w:szCs w:val="24"/>
        </w:rPr>
        <w:t xml:space="preserve">, </w:t>
      </w:r>
      <w:r w:rsidR="00530FC3" w:rsidRPr="00737ECE">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737ECE">
        <w:rPr>
          <w:rStyle w:val="ac"/>
          <w:rFonts w:eastAsiaTheme="majorEastAsia"/>
          <w:b/>
          <w:bCs/>
          <w:sz w:val="24"/>
          <w:szCs w:val="24"/>
        </w:rPr>
        <w:t xml:space="preserve"> 5)</w:t>
      </w:r>
      <w:r w:rsidR="00530FC3">
        <w:rPr>
          <w:rStyle w:val="ac"/>
          <w:rFonts w:eastAsiaTheme="majorEastAsia"/>
          <w:b/>
          <w:bCs/>
          <w:sz w:val="24"/>
          <w:szCs w:val="24"/>
        </w:rPr>
        <w:t>;</w:t>
      </w:r>
      <w:r w:rsidR="006B266D">
        <w:rPr>
          <w:rStyle w:val="ac"/>
          <w:rFonts w:eastAsiaTheme="majorEastAsia"/>
          <w:b/>
          <w:bCs/>
          <w:sz w:val="24"/>
          <w:szCs w:val="24"/>
        </w:rPr>
        <w:t xml:space="preserve"> </w:t>
      </w:r>
      <w:r w:rsidR="00530FC3" w:rsidRPr="00737ECE">
        <w:rPr>
          <w:rStyle w:val="ac"/>
          <w:rFonts w:eastAsiaTheme="majorEastAsia"/>
          <w:b/>
          <w:bCs/>
          <w:sz w:val="24"/>
          <w:szCs w:val="24"/>
        </w:rPr>
        <w:t xml:space="preserve">ЕОК/ЕОАГ </w:t>
      </w:r>
      <w:r w:rsidR="00530FC3" w:rsidRPr="00737ECE">
        <w:rPr>
          <w:rStyle w:val="ac"/>
          <w:rFonts w:eastAsiaTheme="majorEastAsia"/>
          <w:b/>
          <w:bCs/>
          <w:sz w:val="24"/>
          <w:szCs w:val="24"/>
          <w:lang w:val="en-US"/>
        </w:rPr>
        <w:t>IIIC</w:t>
      </w:r>
      <w:r w:rsidR="006B266D">
        <w:rPr>
          <w:rStyle w:val="ac"/>
          <w:rFonts w:eastAsiaTheme="majorEastAsia"/>
          <w:b/>
          <w:bCs/>
          <w:sz w:val="24"/>
          <w:szCs w:val="24"/>
        </w:rPr>
        <w:t>.</w:t>
      </w:r>
    </w:p>
    <w:p w14:paraId="3B1B7D6F" w14:textId="77777777" w:rsidR="00D43D0B" w:rsidRPr="00737ECE" w:rsidRDefault="00737ECE" w:rsidP="00D43D0B">
      <w:pPr>
        <w:pStyle w:val="11"/>
        <w:spacing w:after="120"/>
        <w:ind w:firstLine="0"/>
        <w:jc w:val="both"/>
        <w:rPr>
          <w:sz w:val="24"/>
          <w:szCs w:val="24"/>
        </w:rPr>
      </w:pPr>
      <w:r w:rsidRPr="00737ECE">
        <w:rPr>
          <w:rStyle w:val="ac"/>
          <w:rFonts w:eastAsiaTheme="majorEastAsia"/>
          <w:b/>
          <w:bCs/>
          <w:sz w:val="24"/>
          <w:szCs w:val="24"/>
        </w:rPr>
        <w:t xml:space="preserve">Комментарии. </w:t>
      </w:r>
      <w:r w:rsidRPr="00737ECE">
        <w:rPr>
          <w:rStyle w:val="ac"/>
          <w:rFonts w:eastAsiaTheme="majorEastAsia"/>
          <w:i/>
          <w:iCs/>
          <w:sz w:val="24"/>
          <w:szCs w:val="24"/>
        </w:rPr>
        <w:t>Цель лечения беременных с АГ — предупредить развитие осложнений, обусловленных высоким уровнем АД, обеспечить сохранение беременности, нормальное развитие плода и успешные роды. Целевой уровень АД для беременных &lt;140/90 мм рт. ст. Следует не допускать развития эпизодов гипотонии, чтобы не ухудшить плацентарный</w:t>
      </w:r>
      <w:r w:rsidR="00D43D0B" w:rsidRPr="00D43D0B">
        <w:rPr>
          <w:rStyle w:val="ac"/>
          <w:rFonts w:eastAsiaTheme="majorEastAsia"/>
          <w:i/>
          <w:iCs/>
          <w:sz w:val="24"/>
          <w:szCs w:val="24"/>
        </w:rPr>
        <w:t xml:space="preserve"> </w:t>
      </w:r>
      <w:r w:rsidR="00D43D0B" w:rsidRPr="00737ECE">
        <w:rPr>
          <w:rStyle w:val="ac"/>
          <w:rFonts w:eastAsiaTheme="majorEastAsia"/>
          <w:i/>
          <w:iCs/>
          <w:sz w:val="24"/>
          <w:szCs w:val="24"/>
        </w:rPr>
        <w:t>кровоток.</w:t>
      </w:r>
    </w:p>
    <w:p w14:paraId="28A7E0E5" w14:textId="77777777" w:rsidR="00D43D0B" w:rsidRPr="00737ECE" w:rsidRDefault="00D43D0B" w:rsidP="00D43D0B">
      <w:pPr>
        <w:pStyle w:val="11"/>
        <w:ind w:firstLine="600"/>
        <w:jc w:val="both"/>
        <w:rPr>
          <w:sz w:val="24"/>
          <w:szCs w:val="24"/>
        </w:rPr>
      </w:pPr>
      <w:r w:rsidRPr="00737ECE">
        <w:rPr>
          <w:rStyle w:val="ac"/>
          <w:rFonts w:eastAsiaTheme="majorEastAsia"/>
          <w:i/>
          <w:iCs/>
          <w:sz w:val="24"/>
          <w:szCs w:val="24"/>
        </w:rPr>
        <w:t xml:space="preserve">Решение о применении или прекращении антигипертензивной терапии в первом и начале второго триместра может приниматься индивидуально на основании уровней АД без лечения до беременности, значений АД в начале лечения в первом триместре, наличии </w:t>
      </w:r>
      <w:r w:rsidRPr="00737ECE">
        <w:rPr>
          <w:rStyle w:val="ac"/>
          <w:rFonts w:eastAsiaTheme="majorEastAsia"/>
          <w:i/>
          <w:iCs/>
          <w:sz w:val="24"/>
          <w:szCs w:val="24"/>
        </w:rPr>
        <w:lastRenderedPageBreak/>
        <w:t>ПОМ.</w:t>
      </w:r>
    </w:p>
    <w:p w14:paraId="4B6B754D" w14:textId="77777777" w:rsidR="00D43D0B" w:rsidRPr="00737ECE" w:rsidRDefault="00D43D0B" w:rsidP="00D43D0B">
      <w:pPr>
        <w:pStyle w:val="11"/>
        <w:ind w:firstLine="600"/>
        <w:jc w:val="both"/>
        <w:rPr>
          <w:sz w:val="24"/>
          <w:szCs w:val="24"/>
        </w:rPr>
      </w:pPr>
      <w:r w:rsidRPr="00737ECE">
        <w:rPr>
          <w:rStyle w:val="ac"/>
          <w:rFonts w:eastAsiaTheme="majorEastAsia"/>
          <w:i/>
          <w:iCs/>
          <w:sz w:val="24"/>
          <w:szCs w:val="24"/>
        </w:rPr>
        <w:t xml:space="preserve">В крупных исследованиях </w:t>
      </w:r>
      <w:r w:rsidRPr="00737ECE">
        <w:rPr>
          <w:rStyle w:val="ac"/>
          <w:rFonts w:eastAsiaTheme="majorEastAsia"/>
          <w:i/>
          <w:iCs/>
          <w:sz w:val="24"/>
          <w:szCs w:val="24"/>
          <w:lang w:val="en-US"/>
        </w:rPr>
        <w:t>CHIPS</w:t>
      </w:r>
      <w:r w:rsidRPr="00737ECE">
        <w:rPr>
          <w:rStyle w:val="ac"/>
          <w:rFonts w:eastAsiaTheme="majorEastAsia"/>
          <w:sz w:val="24"/>
          <w:szCs w:val="24"/>
        </w:rPr>
        <w:t xml:space="preserve"> [407] </w:t>
      </w:r>
      <w:r w:rsidRPr="00737ECE">
        <w:rPr>
          <w:rStyle w:val="ac"/>
          <w:rFonts w:eastAsiaTheme="majorEastAsia"/>
          <w:i/>
          <w:iCs/>
          <w:sz w:val="24"/>
          <w:szCs w:val="24"/>
        </w:rPr>
        <w:t xml:space="preserve">и </w:t>
      </w:r>
      <w:r w:rsidRPr="00737ECE">
        <w:rPr>
          <w:rStyle w:val="ac"/>
          <w:rFonts w:eastAsiaTheme="majorEastAsia"/>
          <w:i/>
          <w:iCs/>
          <w:sz w:val="24"/>
          <w:szCs w:val="24"/>
          <w:lang w:val="en-US"/>
        </w:rPr>
        <w:t>CHAP</w:t>
      </w:r>
      <w:r w:rsidRPr="00737ECE">
        <w:rPr>
          <w:rStyle w:val="ac"/>
          <w:rFonts w:eastAsiaTheme="majorEastAsia"/>
          <w:sz w:val="24"/>
          <w:szCs w:val="24"/>
        </w:rPr>
        <w:t xml:space="preserve"> [406] </w:t>
      </w:r>
      <w:r w:rsidRPr="00737ECE">
        <w:rPr>
          <w:rStyle w:val="ac"/>
          <w:rFonts w:eastAsiaTheme="majorEastAsia"/>
          <w:i/>
          <w:iCs/>
          <w:sz w:val="24"/>
          <w:szCs w:val="24"/>
        </w:rPr>
        <w:t>строгий или менее жесткий контроль ДАД или медикаментозное лечение по сравнению с плацебо у женщин с предшествующей гипертонией был более полезным и не нес вреда.</w:t>
      </w:r>
    </w:p>
    <w:p w14:paraId="747FE914" w14:textId="77777777" w:rsidR="00D43D0B" w:rsidRPr="00737ECE" w:rsidRDefault="00D43D0B" w:rsidP="00D43D0B">
      <w:pPr>
        <w:pStyle w:val="11"/>
        <w:ind w:firstLine="600"/>
        <w:jc w:val="both"/>
        <w:rPr>
          <w:sz w:val="24"/>
          <w:szCs w:val="24"/>
        </w:rPr>
      </w:pPr>
      <w:r w:rsidRPr="00737ECE">
        <w:rPr>
          <w:rStyle w:val="ac"/>
          <w:rFonts w:eastAsiaTheme="majorEastAsia"/>
          <w:i/>
          <w:iCs/>
          <w:sz w:val="24"/>
          <w:szCs w:val="24"/>
        </w:rPr>
        <w:t xml:space="preserve">В открытом, многоцентровом, рандомизированном, контролируемом исследовании </w:t>
      </w:r>
      <w:r w:rsidRPr="00737ECE">
        <w:rPr>
          <w:rStyle w:val="ac"/>
          <w:rFonts w:eastAsiaTheme="majorEastAsia"/>
          <w:i/>
          <w:iCs/>
          <w:sz w:val="24"/>
          <w:szCs w:val="24"/>
          <w:lang w:val="en-US"/>
        </w:rPr>
        <w:t>CHAP</w:t>
      </w:r>
      <w:r w:rsidRPr="00737ECE">
        <w:rPr>
          <w:rStyle w:val="ac"/>
          <w:rFonts w:eastAsiaTheme="majorEastAsia"/>
          <w:i/>
          <w:iCs/>
          <w:sz w:val="24"/>
          <w:szCs w:val="24"/>
        </w:rPr>
        <w:t xml:space="preserve"> (</w:t>
      </w:r>
      <w:r w:rsidRPr="00737ECE">
        <w:rPr>
          <w:rStyle w:val="ac"/>
          <w:rFonts w:eastAsiaTheme="majorEastAsia"/>
          <w:i/>
          <w:iCs/>
          <w:sz w:val="24"/>
          <w:szCs w:val="24"/>
          <w:lang w:val="en-US"/>
        </w:rPr>
        <w:t>Antihypertensive</w:t>
      </w:r>
      <w:r w:rsidRPr="00737ECE">
        <w:rPr>
          <w:rStyle w:val="ac"/>
          <w:rFonts w:eastAsiaTheme="majorEastAsia"/>
          <w:i/>
          <w:iCs/>
          <w:sz w:val="24"/>
          <w:szCs w:val="24"/>
        </w:rPr>
        <w:t xml:space="preserve"> </w:t>
      </w:r>
      <w:r w:rsidRPr="00737ECE">
        <w:rPr>
          <w:rStyle w:val="ac"/>
          <w:rFonts w:eastAsiaTheme="majorEastAsia"/>
          <w:i/>
          <w:iCs/>
          <w:sz w:val="24"/>
          <w:szCs w:val="24"/>
          <w:lang w:val="en-US"/>
        </w:rPr>
        <w:t>Therapy</w:t>
      </w:r>
      <w:r w:rsidRPr="00737ECE">
        <w:rPr>
          <w:rStyle w:val="ac"/>
          <w:rFonts w:eastAsiaTheme="majorEastAsia"/>
          <w:i/>
          <w:iCs/>
          <w:sz w:val="24"/>
          <w:szCs w:val="24"/>
        </w:rPr>
        <w:t xml:space="preserve"> </w:t>
      </w:r>
      <w:r w:rsidRPr="00737ECE">
        <w:rPr>
          <w:rStyle w:val="ac"/>
          <w:rFonts w:eastAsiaTheme="majorEastAsia"/>
          <w:i/>
          <w:iCs/>
          <w:sz w:val="24"/>
          <w:szCs w:val="24"/>
          <w:lang w:val="en-US"/>
        </w:rPr>
        <w:t>For</w:t>
      </w:r>
      <w:r w:rsidRPr="00737ECE">
        <w:rPr>
          <w:rStyle w:val="ac"/>
          <w:rFonts w:eastAsiaTheme="majorEastAsia"/>
          <w:i/>
          <w:iCs/>
          <w:sz w:val="24"/>
          <w:szCs w:val="24"/>
        </w:rPr>
        <w:t xml:space="preserve"> </w:t>
      </w:r>
      <w:r w:rsidRPr="00737ECE">
        <w:rPr>
          <w:rStyle w:val="ac"/>
          <w:rFonts w:eastAsiaTheme="majorEastAsia"/>
          <w:i/>
          <w:iCs/>
          <w:sz w:val="24"/>
          <w:szCs w:val="24"/>
          <w:lang w:val="en-US"/>
        </w:rPr>
        <w:t>Mild</w:t>
      </w:r>
      <w:r w:rsidRPr="00737ECE">
        <w:rPr>
          <w:rStyle w:val="ac"/>
          <w:rFonts w:eastAsiaTheme="majorEastAsia"/>
          <w:i/>
          <w:iCs/>
          <w:sz w:val="24"/>
          <w:szCs w:val="24"/>
        </w:rPr>
        <w:t xml:space="preserve"> </w:t>
      </w:r>
      <w:r w:rsidRPr="00737ECE">
        <w:rPr>
          <w:rStyle w:val="ac"/>
          <w:rFonts w:eastAsiaTheme="majorEastAsia"/>
          <w:i/>
          <w:iCs/>
          <w:sz w:val="24"/>
          <w:szCs w:val="24"/>
          <w:lang w:val="en-US"/>
        </w:rPr>
        <w:t>Chronic</w:t>
      </w:r>
      <w:r w:rsidRPr="00737ECE">
        <w:rPr>
          <w:rStyle w:val="ac"/>
          <w:rFonts w:eastAsiaTheme="majorEastAsia"/>
          <w:i/>
          <w:iCs/>
          <w:sz w:val="24"/>
          <w:szCs w:val="24"/>
        </w:rPr>
        <w:t xml:space="preserve"> </w:t>
      </w:r>
      <w:r w:rsidRPr="00737ECE">
        <w:rPr>
          <w:rStyle w:val="ac"/>
          <w:rFonts w:eastAsiaTheme="majorEastAsia"/>
          <w:i/>
          <w:iCs/>
          <w:sz w:val="24"/>
          <w:szCs w:val="24"/>
          <w:lang w:val="en-US"/>
        </w:rPr>
        <w:t>Hypertension</w:t>
      </w:r>
      <w:r w:rsidRPr="00737ECE">
        <w:rPr>
          <w:rStyle w:val="ac"/>
          <w:rFonts w:eastAsiaTheme="majorEastAsia"/>
          <w:i/>
          <w:iCs/>
          <w:sz w:val="24"/>
          <w:szCs w:val="24"/>
        </w:rPr>
        <w:t xml:space="preserve"> </w:t>
      </w:r>
      <w:r w:rsidRPr="00737ECE">
        <w:rPr>
          <w:rStyle w:val="ac"/>
          <w:rFonts w:eastAsiaTheme="majorEastAsia"/>
          <w:i/>
          <w:iCs/>
          <w:sz w:val="24"/>
          <w:szCs w:val="24"/>
          <w:lang w:val="en-US"/>
        </w:rPr>
        <w:t>and</w:t>
      </w:r>
      <w:r w:rsidRPr="00737ECE">
        <w:rPr>
          <w:rStyle w:val="ac"/>
          <w:rFonts w:eastAsiaTheme="majorEastAsia"/>
          <w:i/>
          <w:iCs/>
          <w:sz w:val="24"/>
          <w:szCs w:val="24"/>
        </w:rPr>
        <w:t xml:space="preserve"> </w:t>
      </w:r>
      <w:r w:rsidRPr="00737ECE">
        <w:rPr>
          <w:rStyle w:val="ac"/>
          <w:rFonts w:eastAsiaTheme="majorEastAsia"/>
          <w:i/>
          <w:iCs/>
          <w:sz w:val="24"/>
          <w:szCs w:val="24"/>
          <w:lang w:val="en-US"/>
        </w:rPr>
        <w:t>Pregnancy</w:t>
      </w:r>
      <w:r w:rsidRPr="00737ECE">
        <w:rPr>
          <w:rStyle w:val="ac"/>
          <w:rFonts w:eastAsiaTheme="majorEastAsia"/>
          <w:i/>
          <w:iCs/>
          <w:sz w:val="24"/>
          <w:szCs w:val="24"/>
        </w:rPr>
        <w:t xml:space="preserve"> </w:t>
      </w:r>
      <w:r w:rsidRPr="00737ECE">
        <w:rPr>
          <w:rStyle w:val="ac"/>
          <w:rFonts w:eastAsiaTheme="majorEastAsia"/>
          <w:i/>
          <w:iCs/>
          <w:sz w:val="24"/>
          <w:szCs w:val="24"/>
          <w:lang w:val="en-US"/>
        </w:rPr>
        <w:t>Outcomes</w:t>
      </w:r>
      <w:r w:rsidRPr="00737ECE">
        <w:rPr>
          <w:rStyle w:val="ac"/>
          <w:rFonts w:eastAsiaTheme="majorEastAsia"/>
          <w:i/>
          <w:iCs/>
          <w:sz w:val="24"/>
          <w:szCs w:val="24"/>
        </w:rPr>
        <w:t>) проводилась оценка влияния антигипертензивной терапии на частоту осложнений беременности у женщин с мягкой АГ до 23 недели беременности. В исследование были рандомизированы 2408 беременных женщин с целью достижения целевого уровня АД &lt;140/90 мм рт. ст. (группа активного лечения) (</w:t>
      </w:r>
      <w:r w:rsidRPr="00737ECE">
        <w:rPr>
          <w:rStyle w:val="ac"/>
          <w:rFonts w:eastAsiaTheme="majorEastAsia"/>
          <w:i/>
          <w:iCs/>
          <w:sz w:val="24"/>
          <w:szCs w:val="24"/>
          <w:lang w:val="en-US"/>
        </w:rPr>
        <w:t>n</w:t>
      </w:r>
      <w:r w:rsidRPr="00737ECE">
        <w:rPr>
          <w:rStyle w:val="ac"/>
          <w:rFonts w:eastAsiaTheme="majorEastAsia"/>
          <w:i/>
          <w:iCs/>
          <w:sz w:val="24"/>
          <w:szCs w:val="24"/>
        </w:rPr>
        <w:t>=1208) по сравнению с группой контроля (</w:t>
      </w:r>
      <w:r w:rsidRPr="00737ECE">
        <w:rPr>
          <w:rStyle w:val="ac"/>
          <w:rFonts w:eastAsiaTheme="majorEastAsia"/>
          <w:i/>
          <w:iCs/>
          <w:sz w:val="24"/>
          <w:szCs w:val="24"/>
          <w:lang w:val="en-US"/>
        </w:rPr>
        <w:t>n</w:t>
      </w:r>
      <w:r w:rsidRPr="00737ECE">
        <w:rPr>
          <w:rStyle w:val="ac"/>
          <w:rFonts w:eastAsiaTheme="majorEastAsia"/>
          <w:i/>
          <w:iCs/>
          <w:sz w:val="24"/>
          <w:szCs w:val="24"/>
        </w:rPr>
        <w:t>=1200). Препараты в группе активного лечения: нифедипин** пролонгированного действия; при необходимости добавляли амлодипин** или метилдопа** перорально. В контрольной группе антигипертензивная терапия не назначалась при АД &lt;160/105 мм рт. ст. Длительность наблюдения составила 34 недели. Продемонстрировано, что антигипертензивная терапия, направленная на снижение АД &lt;140/90 мм рт. ст. у беременных женщин с мягкой АГ снижает частоту неблагоприятных исходов беременности по сравнению с обычной терапией без увеличения риска низкого веса при рождении ребенка. Частота первичной конечной точки (преэклампсия с тяжелыми проявлениями, преждевременные роды на сроке менее 35 недель по медицинским показаниям, отслойка плаценты или смерть плода/неонатальная смертность) составила 30.2% в группе антигипертензивной терапии против 37.0% в контрольной группе (</w:t>
      </w:r>
      <w:r w:rsidRPr="00737ECE">
        <w:rPr>
          <w:rStyle w:val="ac"/>
          <w:rFonts w:eastAsiaTheme="majorEastAsia"/>
          <w:i/>
          <w:iCs/>
          <w:sz w:val="24"/>
          <w:szCs w:val="24"/>
          <w:lang w:val="en-US"/>
        </w:rPr>
        <w:t>p</w:t>
      </w:r>
      <w:r w:rsidRPr="00737ECE">
        <w:rPr>
          <w:rStyle w:val="ac"/>
          <w:rFonts w:eastAsiaTheme="majorEastAsia"/>
          <w:i/>
          <w:iCs/>
          <w:sz w:val="24"/>
          <w:szCs w:val="24"/>
        </w:rPr>
        <w:t>&lt;0.001)</w:t>
      </w:r>
      <w:r w:rsidRPr="00737ECE">
        <w:rPr>
          <w:rStyle w:val="ac"/>
          <w:rFonts w:eastAsiaTheme="majorEastAsia"/>
          <w:sz w:val="24"/>
          <w:szCs w:val="24"/>
        </w:rPr>
        <w:t xml:space="preserve"> [406]</w:t>
      </w:r>
      <w:r w:rsidRPr="00737ECE">
        <w:rPr>
          <w:rStyle w:val="ac"/>
          <w:rFonts w:eastAsiaTheme="majorEastAsia"/>
          <w:i/>
          <w:iCs/>
          <w:sz w:val="24"/>
          <w:szCs w:val="24"/>
        </w:rPr>
        <w:t>.</w:t>
      </w:r>
    </w:p>
    <w:p w14:paraId="6A1DA9DC" w14:textId="77777777" w:rsidR="00D43D0B" w:rsidRPr="00737ECE" w:rsidRDefault="00D43D0B" w:rsidP="00D43D0B">
      <w:pPr>
        <w:pStyle w:val="11"/>
        <w:ind w:firstLine="600"/>
        <w:jc w:val="both"/>
        <w:rPr>
          <w:sz w:val="24"/>
          <w:szCs w:val="24"/>
        </w:rPr>
      </w:pPr>
      <w:r w:rsidRPr="00737ECE">
        <w:rPr>
          <w:rStyle w:val="ac"/>
          <w:rFonts w:eastAsiaTheme="majorEastAsia"/>
          <w:i/>
          <w:iCs/>
          <w:sz w:val="24"/>
          <w:szCs w:val="24"/>
        </w:rPr>
        <w:t xml:space="preserve">Кроме того, в ретроспективном анализе исследования </w:t>
      </w:r>
      <w:r w:rsidRPr="00737ECE">
        <w:rPr>
          <w:rStyle w:val="ac"/>
          <w:rFonts w:eastAsiaTheme="majorEastAsia"/>
          <w:i/>
          <w:iCs/>
          <w:sz w:val="24"/>
          <w:szCs w:val="24"/>
          <w:lang w:val="en-US"/>
        </w:rPr>
        <w:t>CHIPS</w:t>
      </w:r>
      <w:r w:rsidRPr="00737ECE">
        <w:rPr>
          <w:rStyle w:val="ac"/>
          <w:rFonts w:eastAsiaTheme="majorEastAsia"/>
          <w:sz w:val="24"/>
          <w:szCs w:val="24"/>
        </w:rPr>
        <w:t xml:space="preserve"> [407] </w:t>
      </w:r>
      <w:r w:rsidRPr="00737ECE">
        <w:rPr>
          <w:rStyle w:val="ac"/>
          <w:rFonts w:eastAsiaTheme="majorEastAsia"/>
          <w:i/>
          <w:iCs/>
          <w:sz w:val="24"/>
          <w:szCs w:val="24"/>
        </w:rPr>
        <w:t xml:space="preserve">эффект снижения АД был благоприятным для основного исхода исследования </w:t>
      </w:r>
      <w:r w:rsidRPr="00737ECE">
        <w:rPr>
          <w:rStyle w:val="ac"/>
          <w:rFonts w:eastAsiaTheme="majorEastAsia"/>
          <w:i/>
          <w:iCs/>
          <w:sz w:val="24"/>
          <w:szCs w:val="24"/>
          <w:lang w:val="en-US"/>
        </w:rPr>
        <w:t>CHAP</w:t>
      </w:r>
      <w:r w:rsidRPr="00737ECE">
        <w:rPr>
          <w:rStyle w:val="ac"/>
          <w:rFonts w:eastAsiaTheme="majorEastAsia"/>
          <w:i/>
          <w:iCs/>
          <w:sz w:val="24"/>
          <w:szCs w:val="24"/>
        </w:rPr>
        <w:t xml:space="preserve">, т. е. преждевременных родов на сроке менее 35 недель беременности, отслойки плаценты или неонатальной смерти плода. Комбинированный исход, связанный с беременностью, был снижен на 35% в исследовании </w:t>
      </w:r>
      <w:r w:rsidRPr="00737ECE">
        <w:rPr>
          <w:rStyle w:val="ac"/>
          <w:rFonts w:eastAsiaTheme="majorEastAsia"/>
          <w:i/>
          <w:iCs/>
          <w:sz w:val="24"/>
          <w:szCs w:val="24"/>
          <w:lang w:val="en-US"/>
        </w:rPr>
        <w:t>CHIPS</w:t>
      </w:r>
      <w:r w:rsidRPr="00737ECE">
        <w:rPr>
          <w:rStyle w:val="ac"/>
          <w:rFonts w:eastAsiaTheme="majorEastAsia"/>
          <w:i/>
          <w:iCs/>
          <w:sz w:val="24"/>
          <w:szCs w:val="24"/>
        </w:rPr>
        <w:t xml:space="preserve"> и на 18% в исследовании </w:t>
      </w:r>
      <w:r w:rsidRPr="00737ECE">
        <w:rPr>
          <w:rStyle w:val="ac"/>
          <w:rFonts w:eastAsiaTheme="majorEastAsia"/>
          <w:i/>
          <w:iCs/>
          <w:sz w:val="24"/>
          <w:szCs w:val="24"/>
          <w:lang w:val="en-US"/>
        </w:rPr>
        <w:t>CHAP</w:t>
      </w:r>
      <w:r w:rsidRPr="00737ECE">
        <w:rPr>
          <w:rStyle w:val="ac"/>
          <w:rFonts w:eastAsiaTheme="majorEastAsia"/>
          <w:i/>
          <w:iCs/>
          <w:sz w:val="24"/>
          <w:szCs w:val="24"/>
        </w:rPr>
        <w:t xml:space="preserve">; оба исследования указывают на снижение тяжелой преэклампсии. Тем не менее, в исследовании </w:t>
      </w:r>
      <w:r w:rsidRPr="00737ECE">
        <w:rPr>
          <w:rStyle w:val="ac"/>
          <w:rFonts w:eastAsiaTheme="majorEastAsia"/>
          <w:i/>
          <w:iCs/>
          <w:sz w:val="24"/>
          <w:szCs w:val="24"/>
          <w:lang w:val="en-US"/>
        </w:rPr>
        <w:t>CHIP</w:t>
      </w:r>
      <w:r w:rsidRPr="00737ECE">
        <w:rPr>
          <w:rStyle w:val="ac"/>
          <w:rFonts w:eastAsiaTheme="majorEastAsia"/>
          <w:i/>
          <w:iCs/>
          <w:sz w:val="24"/>
          <w:szCs w:val="24"/>
        </w:rPr>
        <w:t xml:space="preserve"> наблюдалось увеличение числа исходов у новорожденных с малым для гестационного возраста показателем, хотя это не было обнаружено в исследовании </w:t>
      </w:r>
      <w:r w:rsidRPr="00737ECE">
        <w:rPr>
          <w:rStyle w:val="ac"/>
          <w:rFonts w:eastAsiaTheme="majorEastAsia"/>
          <w:i/>
          <w:iCs/>
          <w:sz w:val="24"/>
          <w:szCs w:val="24"/>
          <w:lang w:val="en-US"/>
        </w:rPr>
        <w:t>CHAP</w:t>
      </w:r>
      <w:r w:rsidRPr="00737ECE">
        <w:rPr>
          <w:rStyle w:val="ac"/>
          <w:rFonts w:eastAsiaTheme="majorEastAsia"/>
          <w:i/>
          <w:iCs/>
          <w:sz w:val="24"/>
          <w:szCs w:val="24"/>
        </w:rPr>
        <w:t xml:space="preserve">. Это сохраняет актуальность проблемы более низких значений АД. Значения АД во время лечения, наблюдаемых в исследованиях </w:t>
      </w:r>
      <w:r w:rsidRPr="00737ECE">
        <w:rPr>
          <w:rStyle w:val="ac"/>
          <w:rFonts w:eastAsiaTheme="majorEastAsia"/>
          <w:i/>
          <w:iCs/>
          <w:sz w:val="24"/>
          <w:szCs w:val="24"/>
          <w:lang w:val="en-US"/>
        </w:rPr>
        <w:t>CHIPS</w:t>
      </w:r>
      <w:r w:rsidRPr="00737ECE">
        <w:rPr>
          <w:rStyle w:val="ac"/>
          <w:rFonts w:eastAsiaTheme="majorEastAsia"/>
          <w:i/>
          <w:iCs/>
          <w:sz w:val="24"/>
          <w:szCs w:val="24"/>
        </w:rPr>
        <w:t xml:space="preserve"> и </w:t>
      </w:r>
      <w:r w:rsidRPr="00737ECE">
        <w:rPr>
          <w:rStyle w:val="ac"/>
          <w:rFonts w:eastAsiaTheme="majorEastAsia"/>
          <w:i/>
          <w:iCs/>
          <w:sz w:val="24"/>
          <w:szCs w:val="24"/>
          <w:lang w:val="en-US"/>
        </w:rPr>
        <w:t>CHAP</w:t>
      </w:r>
      <w:r w:rsidRPr="00737ECE">
        <w:rPr>
          <w:rStyle w:val="ac"/>
          <w:rFonts w:eastAsiaTheme="majorEastAsia"/>
          <w:i/>
          <w:iCs/>
          <w:sz w:val="24"/>
          <w:szCs w:val="24"/>
        </w:rPr>
        <w:t>, составили 133/85 и 129/79 мм рт. ст. соответственно.</w:t>
      </w:r>
    </w:p>
    <w:p w14:paraId="0F0A5808" w14:textId="77777777" w:rsidR="00D43D0B" w:rsidRPr="00737ECE" w:rsidRDefault="00D43D0B" w:rsidP="00D43D0B">
      <w:pPr>
        <w:pStyle w:val="11"/>
        <w:spacing w:after="40"/>
        <w:ind w:firstLine="620"/>
        <w:jc w:val="both"/>
        <w:rPr>
          <w:sz w:val="24"/>
          <w:szCs w:val="24"/>
        </w:rPr>
      </w:pPr>
      <w:r w:rsidRPr="00737ECE">
        <w:rPr>
          <w:rStyle w:val="ac"/>
          <w:rFonts w:eastAsiaTheme="majorEastAsia"/>
          <w:i/>
          <w:iCs/>
          <w:sz w:val="24"/>
          <w:szCs w:val="24"/>
        </w:rPr>
        <w:t xml:space="preserve">Таким образом, пороговым значением для начала или потенцирования АГТ является </w:t>
      </w:r>
      <w:r w:rsidRPr="00737ECE">
        <w:rPr>
          <w:rStyle w:val="ac"/>
          <w:rFonts w:eastAsiaTheme="majorEastAsia"/>
          <w:i/>
          <w:iCs/>
          <w:sz w:val="24"/>
          <w:szCs w:val="24"/>
        </w:rPr>
        <w:lastRenderedPageBreak/>
        <w:t>АД &gt;140/90 мм рт., более интенсивное снижение АД не следует проводить из-за риска гипоперфузии плода. В начале первого триместра у женщин с офисным уровнем АД &lt;130/80 мм рт. ст. гипотензивное лечение может быть прекращено или снижено при тщательном наблюдении за уровнем АД до 16-й недели. АГТ следует возобновить при АД &gt;140/90 мм рт.ст. в любом гестационном периоде. При предшествующей АГ отсутствие умеренного антигипертензивного лечения в начале второго триместра может предотвратить значимое снижение АД, потенциально сопровождающееся прерыванием беременности из-за физиологического снижения АД в этот период беременности.</w:t>
      </w:r>
    </w:p>
    <w:p w14:paraId="1ADFEF18" w14:textId="77777777" w:rsidR="00D43D0B" w:rsidRPr="00737ECE" w:rsidRDefault="00D43D0B">
      <w:pPr>
        <w:pStyle w:val="11"/>
        <w:numPr>
          <w:ilvl w:val="0"/>
          <w:numId w:val="31"/>
        </w:numPr>
        <w:tabs>
          <w:tab w:val="left" w:pos="1277"/>
        </w:tabs>
        <w:ind w:firstLine="620"/>
        <w:jc w:val="both"/>
        <w:rPr>
          <w:sz w:val="24"/>
          <w:szCs w:val="24"/>
        </w:rPr>
      </w:pPr>
      <w:r w:rsidRPr="00737ECE">
        <w:rPr>
          <w:rStyle w:val="ac"/>
          <w:rFonts w:eastAsiaTheme="majorEastAsia"/>
          <w:sz w:val="24"/>
          <w:szCs w:val="24"/>
        </w:rPr>
        <w:t>Беременных женщин с ХАГ и САД ≥ 160 и/или ДАД ≥ 110 мм рт. ст. рекомендуется срочно госпитализировать и расценивать данное состояние как гипертонический криз [27, 36].</w:t>
      </w:r>
    </w:p>
    <w:p w14:paraId="1BE42A70" w14:textId="2AE2B67B" w:rsidR="00D43D0B" w:rsidRDefault="00D43D0B" w:rsidP="00D43D0B">
      <w:pPr>
        <w:pStyle w:val="11"/>
        <w:spacing w:after="40"/>
        <w:ind w:firstLine="620"/>
        <w:jc w:val="both"/>
        <w:rPr>
          <w:rStyle w:val="ac"/>
          <w:rFonts w:eastAsiaTheme="majorEastAsia"/>
          <w:b/>
          <w:bCs/>
          <w:sz w:val="24"/>
          <w:szCs w:val="24"/>
        </w:rPr>
      </w:pPr>
      <w:r w:rsidRPr="00737EC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C27F0F">
        <w:rPr>
          <w:rStyle w:val="ac"/>
          <w:rFonts w:eastAsiaTheme="majorEastAsia"/>
          <w:b/>
          <w:bCs/>
          <w:sz w:val="24"/>
          <w:szCs w:val="24"/>
        </w:rPr>
        <w:t xml:space="preserve"> </w:t>
      </w:r>
      <w:r w:rsidRPr="00737ECE">
        <w:rPr>
          <w:rStyle w:val="ac"/>
          <w:rFonts w:eastAsiaTheme="majorEastAsia"/>
          <w:b/>
          <w:bCs/>
          <w:sz w:val="24"/>
          <w:szCs w:val="24"/>
          <w:lang w:val="en-US"/>
        </w:rPr>
        <w:t>C</w:t>
      </w:r>
      <w:r w:rsidRPr="00737ECE">
        <w:rPr>
          <w:rStyle w:val="ac"/>
          <w:rFonts w:eastAsiaTheme="majorEastAsia"/>
          <w:b/>
          <w:bCs/>
          <w:sz w:val="24"/>
          <w:szCs w:val="24"/>
        </w:rPr>
        <w:t xml:space="preserve">, </w:t>
      </w:r>
      <w:r w:rsidR="00C27F0F" w:rsidRPr="00737ECE">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737ECE">
        <w:rPr>
          <w:rStyle w:val="ac"/>
          <w:rFonts w:eastAsiaTheme="majorEastAsia"/>
          <w:b/>
          <w:bCs/>
          <w:sz w:val="24"/>
          <w:szCs w:val="24"/>
        </w:rPr>
        <w:t xml:space="preserve"> 5)</w:t>
      </w:r>
      <w:r w:rsidR="00C27F0F">
        <w:rPr>
          <w:rStyle w:val="ac"/>
          <w:rFonts w:eastAsiaTheme="majorEastAsia"/>
          <w:b/>
          <w:bCs/>
          <w:sz w:val="24"/>
          <w:szCs w:val="24"/>
        </w:rPr>
        <w:t xml:space="preserve">; </w:t>
      </w:r>
      <w:r w:rsidR="00C27F0F" w:rsidRPr="00737ECE">
        <w:rPr>
          <w:rStyle w:val="ac"/>
          <w:rFonts w:eastAsiaTheme="majorEastAsia"/>
          <w:b/>
          <w:bCs/>
          <w:sz w:val="24"/>
          <w:szCs w:val="24"/>
        </w:rPr>
        <w:t>ЕОК/ЕОАГ IС</w:t>
      </w:r>
      <w:r w:rsidR="006B266D">
        <w:rPr>
          <w:rStyle w:val="ac"/>
          <w:rFonts w:eastAsiaTheme="majorEastAsia"/>
          <w:b/>
          <w:bCs/>
          <w:sz w:val="24"/>
          <w:szCs w:val="24"/>
        </w:rPr>
        <w:t>.</w:t>
      </w:r>
    </w:p>
    <w:p w14:paraId="23D36B7C" w14:textId="0DC54066" w:rsidR="00C27F0F" w:rsidRPr="00C27F0F" w:rsidRDefault="00C27F0F" w:rsidP="00D43D0B">
      <w:pPr>
        <w:pStyle w:val="11"/>
        <w:spacing w:after="40"/>
        <w:ind w:firstLine="620"/>
        <w:jc w:val="both"/>
        <w:rPr>
          <w:i/>
          <w:iCs/>
          <w:sz w:val="28"/>
          <w:szCs w:val="28"/>
        </w:rPr>
      </w:pPr>
      <w:r>
        <w:rPr>
          <w:rStyle w:val="ac"/>
          <w:rFonts w:eastAsiaTheme="majorEastAsia"/>
          <w:b/>
          <w:bCs/>
          <w:sz w:val="24"/>
          <w:szCs w:val="24"/>
        </w:rPr>
        <w:t xml:space="preserve">Комментарии: </w:t>
      </w:r>
      <w:r>
        <w:rPr>
          <w:i/>
          <w:iCs/>
          <w:sz w:val="24"/>
          <w:szCs w:val="24"/>
        </w:rPr>
        <w:t>С</w:t>
      </w:r>
      <w:r w:rsidRPr="00C27F0F">
        <w:rPr>
          <w:i/>
          <w:iCs/>
          <w:sz w:val="24"/>
          <w:szCs w:val="24"/>
        </w:rPr>
        <w:t xml:space="preserve">толь высокие показатели АД представляют угрозу жизни матери и плода, увеличивая риск острого повреждения органов (например, мозга, почек, сердца) и осложнений беременности. </w:t>
      </w:r>
      <w:r>
        <w:rPr>
          <w:i/>
          <w:iCs/>
          <w:sz w:val="24"/>
          <w:szCs w:val="24"/>
        </w:rPr>
        <w:t>С</w:t>
      </w:r>
      <w:r w:rsidRPr="00C27F0F">
        <w:rPr>
          <w:i/>
          <w:iCs/>
          <w:sz w:val="24"/>
          <w:szCs w:val="24"/>
        </w:rPr>
        <w:t>рочная госпитализация необходима для проведения интенсивного мониторинга и немедленного снижения давления под контролем специалиста.</w:t>
      </w:r>
    </w:p>
    <w:p w14:paraId="1B3CBF71" w14:textId="77777777" w:rsidR="00D43D0B" w:rsidRPr="00737ECE" w:rsidRDefault="00D43D0B">
      <w:pPr>
        <w:pStyle w:val="11"/>
        <w:numPr>
          <w:ilvl w:val="0"/>
          <w:numId w:val="31"/>
        </w:numPr>
        <w:tabs>
          <w:tab w:val="left" w:pos="1277"/>
        </w:tabs>
        <w:ind w:firstLine="620"/>
        <w:jc w:val="both"/>
        <w:rPr>
          <w:sz w:val="24"/>
          <w:szCs w:val="24"/>
        </w:rPr>
      </w:pPr>
      <w:r w:rsidRPr="00737ECE">
        <w:rPr>
          <w:rStyle w:val="ac"/>
          <w:rFonts w:eastAsiaTheme="majorEastAsia"/>
          <w:sz w:val="24"/>
          <w:szCs w:val="24"/>
        </w:rPr>
        <w:t>Рекомендуется у всех беременных женщин с ГК контролируемое снижение САД до &lt;160 и ДАД до &lt;105 мм рт. ст. Для пероральной терапии следует использовать метилдопу** или #нифедипин** замедленного высвобождения (внутрь в дозе 10 мг исходно, через 60 и 120 мин (суммарно 30 мг)) [408, 409, 410, 411, 412, 413, 406, 407]</w:t>
      </w:r>
    </w:p>
    <w:p w14:paraId="048900BC" w14:textId="567F66BF" w:rsidR="00D43D0B" w:rsidRPr="00737ECE" w:rsidRDefault="00D43D0B" w:rsidP="00D43D0B">
      <w:pPr>
        <w:pStyle w:val="11"/>
        <w:ind w:firstLine="620"/>
        <w:jc w:val="both"/>
        <w:rPr>
          <w:sz w:val="24"/>
          <w:szCs w:val="24"/>
        </w:rPr>
      </w:pPr>
      <w:r w:rsidRPr="00737EC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0559D0">
        <w:rPr>
          <w:rStyle w:val="ac"/>
          <w:rFonts w:eastAsiaTheme="majorEastAsia"/>
          <w:b/>
          <w:bCs/>
          <w:sz w:val="24"/>
          <w:szCs w:val="24"/>
        </w:rPr>
        <w:t xml:space="preserve"> </w:t>
      </w:r>
      <w:r w:rsidRPr="00737ECE">
        <w:rPr>
          <w:rStyle w:val="ac"/>
          <w:rFonts w:eastAsiaTheme="majorEastAsia"/>
          <w:b/>
          <w:bCs/>
          <w:sz w:val="24"/>
          <w:szCs w:val="24"/>
          <w:lang w:val="en-US"/>
        </w:rPr>
        <w:t>B</w:t>
      </w:r>
      <w:r w:rsidRPr="00737ECE">
        <w:rPr>
          <w:rStyle w:val="ac"/>
          <w:rFonts w:eastAsiaTheme="majorEastAsia"/>
          <w:b/>
          <w:bCs/>
          <w:sz w:val="24"/>
          <w:szCs w:val="24"/>
        </w:rPr>
        <w:t xml:space="preserve">, </w:t>
      </w:r>
      <w:r w:rsidR="000559D0" w:rsidRPr="00737ECE">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737ECE">
        <w:rPr>
          <w:rStyle w:val="ac"/>
          <w:rFonts w:eastAsiaTheme="majorEastAsia"/>
          <w:b/>
          <w:bCs/>
          <w:sz w:val="24"/>
          <w:szCs w:val="24"/>
        </w:rPr>
        <w:t xml:space="preserve"> 2)</w:t>
      </w:r>
      <w:r w:rsidR="000559D0">
        <w:rPr>
          <w:rStyle w:val="ac"/>
          <w:rFonts w:eastAsiaTheme="majorEastAsia"/>
          <w:b/>
          <w:bCs/>
          <w:sz w:val="24"/>
          <w:szCs w:val="24"/>
        </w:rPr>
        <w:t>;</w:t>
      </w:r>
      <w:r w:rsidR="000559D0" w:rsidRPr="000559D0">
        <w:rPr>
          <w:rStyle w:val="ac"/>
          <w:rFonts w:eastAsiaTheme="majorEastAsia"/>
          <w:b/>
          <w:bCs/>
          <w:sz w:val="24"/>
          <w:szCs w:val="24"/>
        </w:rPr>
        <w:t xml:space="preserve"> </w:t>
      </w:r>
      <w:r w:rsidR="000559D0" w:rsidRPr="00737ECE">
        <w:rPr>
          <w:rStyle w:val="ac"/>
          <w:rFonts w:eastAsiaTheme="majorEastAsia"/>
          <w:b/>
          <w:bCs/>
          <w:sz w:val="24"/>
          <w:szCs w:val="24"/>
        </w:rPr>
        <w:t>ЕОК/ЕОАГ IС</w:t>
      </w:r>
      <w:r w:rsidR="006B266D">
        <w:rPr>
          <w:rStyle w:val="ac"/>
          <w:rFonts w:eastAsiaTheme="majorEastAsia"/>
          <w:b/>
          <w:bCs/>
          <w:sz w:val="24"/>
          <w:szCs w:val="24"/>
        </w:rPr>
        <w:t>.</w:t>
      </w:r>
    </w:p>
    <w:p w14:paraId="16EDE5FF" w14:textId="77777777" w:rsidR="00D43D0B" w:rsidRPr="00737ECE" w:rsidRDefault="00D43D0B" w:rsidP="00D43D0B">
      <w:pPr>
        <w:pStyle w:val="11"/>
        <w:spacing w:after="40"/>
        <w:ind w:firstLine="620"/>
        <w:jc w:val="both"/>
        <w:rPr>
          <w:sz w:val="24"/>
          <w:szCs w:val="24"/>
        </w:rPr>
      </w:pPr>
      <w:r w:rsidRPr="00737ECE">
        <w:rPr>
          <w:rStyle w:val="ac"/>
          <w:rFonts w:eastAsiaTheme="majorEastAsia"/>
          <w:b/>
          <w:bCs/>
          <w:sz w:val="24"/>
          <w:szCs w:val="24"/>
        </w:rPr>
        <w:t xml:space="preserve">Комментарии. </w:t>
      </w:r>
      <w:r w:rsidRPr="00737ECE">
        <w:rPr>
          <w:rStyle w:val="ac"/>
          <w:rFonts w:eastAsiaTheme="majorEastAsia"/>
          <w:i/>
          <w:iCs/>
          <w:sz w:val="24"/>
          <w:szCs w:val="24"/>
        </w:rPr>
        <w:t>Среднее АД не должно снижаться более чем на 25% в течение двух часов, САД не должно снижаться ниже 130 мм рт.ст., а ДАД не должно снижаться ниже 80 мм рт.ст. АД в диапазоне от 130 до 150/от 80 до 100 мм рт. ст. является идеальным. Во время лечения следует тщательно контролировать ЧСС и АД у матери и состояние плода. Если роды не происходят в течение нескольких дней или недель, при необходимости можно начать поддерживающую терапию пероральными АГП</w:t>
      </w:r>
      <w:r w:rsidRPr="00737ECE">
        <w:rPr>
          <w:rStyle w:val="ac"/>
          <w:rFonts w:eastAsiaTheme="majorEastAsia"/>
          <w:sz w:val="24"/>
          <w:szCs w:val="24"/>
        </w:rPr>
        <w:t xml:space="preserve"> [414]</w:t>
      </w:r>
      <w:r w:rsidRPr="00737ECE">
        <w:rPr>
          <w:rStyle w:val="ac"/>
          <w:rFonts w:eastAsiaTheme="majorEastAsia"/>
          <w:i/>
          <w:iCs/>
          <w:sz w:val="24"/>
          <w:szCs w:val="24"/>
        </w:rPr>
        <w:t>.</w:t>
      </w:r>
    </w:p>
    <w:p w14:paraId="3F9D15DE" w14:textId="32CD709D" w:rsidR="00D43D0B" w:rsidRPr="00737ECE" w:rsidRDefault="00D43D0B">
      <w:pPr>
        <w:pStyle w:val="11"/>
        <w:numPr>
          <w:ilvl w:val="0"/>
          <w:numId w:val="31"/>
        </w:numPr>
        <w:tabs>
          <w:tab w:val="left" w:pos="1277"/>
        </w:tabs>
        <w:ind w:firstLine="620"/>
        <w:jc w:val="both"/>
        <w:rPr>
          <w:sz w:val="24"/>
          <w:szCs w:val="24"/>
        </w:rPr>
      </w:pPr>
      <w:r w:rsidRPr="00737ECE">
        <w:rPr>
          <w:rStyle w:val="ac"/>
          <w:rFonts w:eastAsiaTheme="majorEastAsia"/>
          <w:sz w:val="24"/>
          <w:szCs w:val="24"/>
        </w:rPr>
        <w:t xml:space="preserve">При САД &gt;160 мм рт. ст. или ДАД &gt;110 мм рт. ст., и тяжелой преэклампсии /эклампсии рекомендована экстренная госпитализация </w:t>
      </w:r>
      <w:r w:rsidRPr="00737ECE">
        <w:rPr>
          <w:rStyle w:val="ac"/>
          <w:rFonts w:eastAsiaTheme="majorEastAsia"/>
          <w:color w:val="212121"/>
          <w:sz w:val="24"/>
          <w:szCs w:val="24"/>
        </w:rPr>
        <w:t>в палату интенсивной терапии (ПИТ) акушерско-гинекологическо</w:t>
      </w:r>
      <w:r w:rsidR="00737CB4">
        <w:rPr>
          <w:rStyle w:val="ac"/>
          <w:rFonts w:eastAsiaTheme="majorEastAsia"/>
          <w:color w:val="212121"/>
          <w:sz w:val="24"/>
          <w:szCs w:val="24"/>
        </w:rPr>
        <w:t>го</w:t>
      </w:r>
      <w:r w:rsidRPr="00737ECE">
        <w:rPr>
          <w:rStyle w:val="ac"/>
          <w:rFonts w:eastAsiaTheme="majorEastAsia"/>
          <w:color w:val="212121"/>
          <w:sz w:val="24"/>
          <w:szCs w:val="24"/>
        </w:rPr>
        <w:t xml:space="preserve"> медицинско</w:t>
      </w:r>
      <w:r w:rsidR="00737CB4">
        <w:rPr>
          <w:rStyle w:val="ac"/>
          <w:rFonts w:eastAsiaTheme="majorEastAsia"/>
          <w:color w:val="212121"/>
          <w:sz w:val="24"/>
          <w:szCs w:val="24"/>
        </w:rPr>
        <w:t xml:space="preserve">го стационара </w:t>
      </w:r>
      <w:r w:rsidRPr="00737ECE">
        <w:rPr>
          <w:rStyle w:val="ac"/>
          <w:rFonts w:eastAsiaTheme="majorEastAsia"/>
          <w:sz w:val="24"/>
          <w:szCs w:val="24"/>
        </w:rPr>
        <w:t>[410].</w:t>
      </w:r>
    </w:p>
    <w:p w14:paraId="085CC243" w14:textId="355A37C2" w:rsidR="00D43D0B" w:rsidRPr="00737ECE" w:rsidRDefault="00D43D0B" w:rsidP="00D43D0B">
      <w:pPr>
        <w:pStyle w:val="11"/>
        <w:ind w:firstLine="620"/>
        <w:jc w:val="both"/>
        <w:rPr>
          <w:sz w:val="24"/>
          <w:szCs w:val="24"/>
        </w:rPr>
      </w:pPr>
      <w:r w:rsidRPr="00737EC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0559D0">
        <w:rPr>
          <w:rStyle w:val="ac"/>
          <w:rFonts w:eastAsiaTheme="majorEastAsia"/>
          <w:b/>
          <w:bCs/>
          <w:sz w:val="24"/>
          <w:szCs w:val="24"/>
        </w:rPr>
        <w:t xml:space="preserve"> </w:t>
      </w:r>
      <w:r w:rsidRPr="00737ECE">
        <w:rPr>
          <w:rStyle w:val="ac"/>
          <w:rFonts w:eastAsiaTheme="majorEastAsia"/>
          <w:b/>
          <w:bCs/>
          <w:sz w:val="24"/>
          <w:szCs w:val="24"/>
        </w:rPr>
        <w:t xml:space="preserve">С, </w:t>
      </w:r>
      <w:r w:rsidR="000559D0" w:rsidRPr="00737ECE">
        <w:rPr>
          <w:rStyle w:val="ac"/>
          <w:rFonts w:eastAsiaTheme="majorEastAsia"/>
          <w:b/>
          <w:bCs/>
          <w:sz w:val="24"/>
          <w:szCs w:val="24"/>
        </w:rPr>
        <w:t>(</w:t>
      </w:r>
      <w:r w:rsidR="003D51B3">
        <w:rPr>
          <w:rStyle w:val="ac"/>
          <w:rFonts w:eastAsiaTheme="majorEastAsia"/>
          <w:b/>
          <w:bCs/>
          <w:sz w:val="24"/>
          <w:szCs w:val="24"/>
        </w:rPr>
        <w:t xml:space="preserve">Уровень достоверности </w:t>
      </w:r>
      <w:r w:rsidR="003D51B3">
        <w:rPr>
          <w:rStyle w:val="ac"/>
          <w:rFonts w:eastAsiaTheme="majorEastAsia"/>
          <w:b/>
          <w:bCs/>
          <w:sz w:val="24"/>
          <w:szCs w:val="24"/>
        </w:rPr>
        <w:lastRenderedPageBreak/>
        <w:t>доказательств</w:t>
      </w:r>
      <w:r w:rsidRPr="00737ECE">
        <w:rPr>
          <w:rStyle w:val="ac"/>
          <w:rFonts w:eastAsiaTheme="majorEastAsia"/>
          <w:b/>
          <w:bCs/>
          <w:sz w:val="24"/>
          <w:szCs w:val="24"/>
        </w:rPr>
        <w:t xml:space="preserve"> 5)</w:t>
      </w:r>
      <w:r w:rsidR="000559D0">
        <w:rPr>
          <w:rStyle w:val="ac"/>
          <w:rFonts w:eastAsiaTheme="majorEastAsia"/>
          <w:b/>
          <w:bCs/>
          <w:sz w:val="24"/>
          <w:szCs w:val="24"/>
        </w:rPr>
        <w:t>;</w:t>
      </w:r>
      <w:r w:rsidR="006B266D">
        <w:rPr>
          <w:rStyle w:val="ac"/>
          <w:rFonts w:eastAsiaTheme="majorEastAsia"/>
          <w:b/>
          <w:bCs/>
          <w:sz w:val="24"/>
          <w:szCs w:val="24"/>
        </w:rPr>
        <w:t xml:space="preserve"> </w:t>
      </w:r>
      <w:r w:rsidR="000559D0" w:rsidRPr="00737ECE">
        <w:rPr>
          <w:rStyle w:val="ac"/>
          <w:rFonts w:eastAsiaTheme="majorEastAsia"/>
          <w:b/>
          <w:bCs/>
          <w:sz w:val="24"/>
          <w:szCs w:val="24"/>
        </w:rPr>
        <w:t>ЕОК/ЕОАГ IС</w:t>
      </w:r>
      <w:r w:rsidR="006B266D">
        <w:rPr>
          <w:rStyle w:val="ac"/>
          <w:rFonts w:eastAsiaTheme="majorEastAsia"/>
          <w:b/>
          <w:bCs/>
          <w:sz w:val="24"/>
          <w:szCs w:val="24"/>
        </w:rPr>
        <w:t>.</w:t>
      </w:r>
    </w:p>
    <w:p w14:paraId="69954B4B" w14:textId="77777777" w:rsidR="00D43D0B" w:rsidRPr="00D43D0B" w:rsidRDefault="00D43D0B">
      <w:pPr>
        <w:pStyle w:val="11"/>
        <w:numPr>
          <w:ilvl w:val="0"/>
          <w:numId w:val="31"/>
        </w:numPr>
        <w:tabs>
          <w:tab w:val="left" w:pos="1277"/>
        </w:tabs>
        <w:ind w:firstLine="600"/>
        <w:jc w:val="both"/>
        <w:rPr>
          <w:rStyle w:val="ac"/>
          <w:sz w:val="24"/>
          <w:szCs w:val="24"/>
        </w:rPr>
      </w:pPr>
      <w:r w:rsidRPr="00737ECE">
        <w:rPr>
          <w:rStyle w:val="ac"/>
          <w:rFonts w:eastAsiaTheme="majorEastAsia"/>
          <w:b/>
          <w:bCs/>
          <w:sz w:val="24"/>
          <w:szCs w:val="24"/>
        </w:rPr>
        <w:t xml:space="preserve">Комментарии. </w:t>
      </w:r>
      <w:r w:rsidRPr="00737ECE">
        <w:rPr>
          <w:rStyle w:val="ac"/>
          <w:rFonts w:eastAsiaTheme="majorEastAsia"/>
          <w:i/>
          <w:iCs/>
          <w:sz w:val="24"/>
          <w:szCs w:val="24"/>
        </w:rPr>
        <w:t>Для лечения преэклампсии с отеком легких препаратом выбора является нитроглицерин**, длительность его применения не должна составлять более 4 часов, из-за отрицательного воздействия на плод и риска развития отека мозга у матери. Применение диуретиков не показано, т.к. при преэклампсии уменьшается объем циркулирующей крови. Для предотвращения эклампсии и лечения судорог рекомендовано в/в введение магния сульфата**.</w:t>
      </w:r>
      <w:r w:rsidRPr="00D43D0B">
        <w:rPr>
          <w:rStyle w:val="ac"/>
          <w:rFonts w:eastAsiaTheme="majorEastAsia"/>
          <w:sz w:val="24"/>
          <w:szCs w:val="24"/>
        </w:rPr>
        <w:t xml:space="preserve"> </w:t>
      </w:r>
    </w:p>
    <w:p w14:paraId="1F767CFA" w14:textId="77777777" w:rsidR="00D43D0B" w:rsidRPr="00F66753" w:rsidRDefault="00D43D0B">
      <w:pPr>
        <w:pStyle w:val="11"/>
        <w:numPr>
          <w:ilvl w:val="0"/>
          <w:numId w:val="31"/>
        </w:numPr>
        <w:tabs>
          <w:tab w:val="left" w:pos="1277"/>
        </w:tabs>
        <w:ind w:firstLine="600"/>
        <w:jc w:val="both"/>
        <w:rPr>
          <w:sz w:val="24"/>
          <w:szCs w:val="24"/>
        </w:rPr>
      </w:pPr>
      <w:r w:rsidRPr="00737ECE">
        <w:rPr>
          <w:rStyle w:val="ac"/>
          <w:rFonts w:eastAsiaTheme="majorEastAsia"/>
          <w:sz w:val="24"/>
          <w:szCs w:val="24"/>
        </w:rPr>
        <w:t>Женщинам с высоким риском преэклампсии с целью ее профилактики рекомендуется назначать малые дозы (100-150 мг) #ацетилсалициловой кислоты** перорально с 12-й недели беременности и до 36-й недели, при условии низкого риска желудочно-кишечных</w:t>
      </w:r>
      <w:r w:rsidR="00F66753">
        <w:rPr>
          <w:sz w:val="24"/>
          <w:szCs w:val="24"/>
        </w:rPr>
        <w:t xml:space="preserve"> </w:t>
      </w:r>
      <w:r w:rsidRPr="00F66753">
        <w:rPr>
          <w:rStyle w:val="ac"/>
          <w:rFonts w:eastAsiaTheme="majorEastAsia"/>
          <w:sz w:val="24"/>
          <w:szCs w:val="24"/>
        </w:rPr>
        <w:t>кровотечений [415, 412, 413, 416, 417].</w:t>
      </w:r>
    </w:p>
    <w:p w14:paraId="1FA5388C" w14:textId="6119DCD3" w:rsidR="00D43D0B" w:rsidRPr="006B266D" w:rsidRDefault="00D43D0B" w:rsidP="00D43D0B">
      <w:pPr>
        <w:pStyle w:val="11"/>
        <w:ind w:firstLine="600"/>
        <w:jc w:val="both"/>
        <w:rPr>
          <w:sz w:val="24"/>
          <w:szCs w:val="24"/>
        </w:rPr>
      </w:pPr>
      <w:r w:rsidRPr="00737EC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0559D0">
        <w:rPr>
          <w:rStyle w:val="ac"/>
          <w:rFonts w:eastAsiaTheme="majorEastAsia"/>
          <w:b/>
          <w:bCs/>
          <w:sz w:val="24"/>
          <w:szCs w:val="24"/>
        </w:rPr>
        <w:t xml:space="preserve"> </w:t>
      </w:r>
      <w:r w:rsidRPr="00737ECE">
        <w:rPr>
          <w:rStyle w:val="ac"/>
          <w:rFonts w:eastAsiaTheme="majorEastAsia"/>
          <w:b/>
          <w:bCs/>
          <w:sz w:val="24"/>
          <w:szCs w:val="24"/>
        </w:rPr>
        <w:t xml:space="preserve">А, </w:t>
      </w:r>
      <w:r w:rsidR="000559D0" w:rsidRPr="00737ECE">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737ECE">
        <w:rPr>
          <w:rStyle w:val="ac"/>
          <w:rFonts w:eastAsiaTheme="majorEastAsia"/>
          <w:b/>
          <w:bCs/>
          <w:sz w:val="24"/>
          <w:szCs w:val="24"/>
        </w:rPr>
        <w:t xml:space="preserve"> 1)</w:t>
      </w:r>
      <w:r w:rsidR="000559D0">
        <w:rPr>
          <w:rStyle w:val="ac"/>
          <w:rFonts w:eastAsiaTheme="majorEastAsia"/>
          <w:b/>
          <w:bCs/>
          <w:sz w:val="24"/>
          <w:szCs w:val="24"/>
        </w:rPr>
        <w:t>;</w:t>
      </w:r>
      <w:r w:rsidR="000559D0" w:rsidRPr="000559D0">
        <w:rPr>
          <w:rStyle w:val="ac"/>
          <w:rFonts w:eastAsiaTheme="majorEastAsia"/>
          <w:b/>
          <w:bCs/>
          <w:sz w:val="24"/>
          <w:szCs w:val="24"/>
        </w:rPr>
        <w:t xml:space="preserve"> </w:t>
      </w:r>
      <w:r w:rsidR="000559D0" w:rsidRPr="00737ECE">
        <w:rPr>
          <w:rStyle w:val="ac"/>
          <w:rFonts w:eastAsiaTheme="majorEastAsia"/>
          <w:b/>
          <w:bCs/>
          <w:sz w:val="24"/>
          <w:szCs w:val="24"/>
        </w:rPr>
        <w:t xml:space="preserve">ЕОК </w:t>
      </w:r>
      <w:r w:rsidR="000559D0" w:rsidRPr="00737ECE">
        <w:rPr>
          <w:rStyle w:val="ac"/>
          <w:rFonts w:eastAsiaTheme="majorEastAsia"/>
          <w:b/>
          <w:bCs/>
          <w:sz w:val="24"/>
          <w:szCs w:val="24"/>
          <w:lang w:val="en-US"/>
        </w:rPr>
        <w:t>IA</w:t>
      </w:r>
      <w:r w:rsidR="006B266D">
        <w:rPr>
          <w:rStyle w:val="ac"/>
          <w:rFonts w:eastAsiaTheme="majorEastAsia"/>
          <w:b/>
          <w:bCs/>
          <w:sz w:val="24"/>
          <w:szCs w:val="24"/>
        </w:rPr>
        <w:t>.</w:t>
      </w:r>
    </w:p>
    <w:p w14:paraId="20770F67" w14:textId="38397234" w:rsidR="00D43D0B" w:rsidRPr="00737ECE" w:rsidRDefault="00D43D0B" w:rsidP="00F66753">
      <w:pPr>
        <w:pStyle w:val="11"/>
        <w:tabs>
          <w:tab w:val="left" w:pos="9202"/>
        </w:tabs>
        <w:ind w:firstLine="600"/>
        <w:jc w:val="both"/>
        <w:rPr>
          <w:sz w:val="24"/>
          <w:szCs w:val="24"/>
        </w:rPr>
      </w:pPr>
      <w:r w:rsidRPr="00737ECE">
        <w:rPr>
          <w:rStyle w:val="ac"/>
          <w:rFonts w:eastAsiaTheme="majorEastAsia"/>
          <w:b/>
          <w:bCs/>
          <w:sz w:val="24"/>
          <w:szCs w:val="24"/>
        </w:rPr>
        <w:t xml:space="preserve">Комментарии. </w:t>
      </w:r>
      <w:r w:rsidRPr="00737ECE">
        <w:rPr>
          <w:rStyle w:val="ac"/>
          <w:rFonts w:eastAsiaTheme="majorEastAsia"/>
          <w:i/>
          <w:iCs/>
          <w:sz w:val="24"/>
          <w:szCs w:val="24"/>
        </w:rPr>
        <w:t>Высокий риск преэклампсии отмечается у женщин с АГ во время предыдущей беременности, ХБП, аутоиммунными заболеваниями (системной красной волчанкой или антифосфолипидным синдромом), СД 1-го или 2-го типа, хронической АГ; к умеренному — первая беременность, возраст &gt;40 лет, интервал между беременностями более 10 лет, ИМТ &gt;35 кг/ м</w:t>
      </w:r>
      <w:r w:rsidRPr="00737ECE">
        <w:rPr>
          <w:rStyle w:val="ac"/>
          <w:rFonts w:eastAsiaTheme="majorEastAsia"/>
          <w:i/>
          <w:iCs/>
          <w:sz w:val="24"/>
          <w:szCs w:val="24"/>
          <w:vertAlign w:val="superscript"/>
        </w:rPr>
        <w:t>2</w:t>
      </w:r>
      <w:r w:rsidRPr="00737ECE">
        <w:rPr>
          <w:rStyle w:val="ac"/>
          <w:rFonts w:eastAsiaTheme="majorEastAsia"/>
          <w:i/>
          <w:iCs/>
          <w:sz w:val="24"/>
          <w:szCs w:val="24"/>
        </w:rPr>
        <w:t xml:space="preserve"> на первом визите, семейный анамнез преэклампсии и многоплодная беременность. Имеются надежные доказательства эффективности</w:t>
      </w:r>
      <w:r w:rsidR="00F66753">
        <w:rPr>
          <w:rStyle w:val="ac"/>
          <w:rFonts w:eastAsiaTheme="majorEastAsia"/>
          <w:i/>
          <w:iCs/>
          <w:sz w:val="24"/>
          <w:szCs w:val="24"/>
        </w:rPr>
        <w:t xml:space="preserve"> </w:t>
      </w:r>
      <w:r w:rsidRPr="00737ECE">
        <w:rPr>
          <w:rStyle w:val="ac"/>
          <w:rFonts w:eastAsiaTheme="majorEastAsia"/>
          <w:i/>
          <w:iCs/>
          <w:sz w:val="24"/>
          <w:szCs w:val="24"/>
        </w:rPr>
        <w:t>приема</w:t>
      </w:r>
      <w:r w:rsidR="00F66753">
        <w:rPr>
          <w:sz w:val="24"/>
          <w:szCs w:val="24"/>
        </w:rPr>
        <w:t xml:space="preserve"> </w:t>
      </w:r>
      <w:r w:rsidRPr="00737ECE">
        <w:rPr>
          <w:rStyle w:val="ac"/>
          <w:rFonts w:eastAsiaTheme="majorEastAsia"/>
          <w:i/>
          <w:iCs/>
          <w:sz w:val="24"/>
          <w:szCs w:val="24"/>
        </w:rPr>
        <w:t>#ацетилсалициловойкислоты** у</w:t>
      </w:r>
      <w:r w:rsidR="006B266D">
        <w:rPr>
          <w:rStyle w:val="ac"/>
          <w:rFonts w:eastAsiaTheme="majorEastAsia"/>
          <w:i/>
          <w:iCs/>
          <w:sz w:val="24"/>
          <w:szCs w:val="24"/>
        </w:rPr>
        <w:t xml:space="preserve"> </w:t>
      </w:r>
      <w:r w:rsidRPr="00737ECE">
        <w:rPr>
          <w:rStyle w:val="ac"/>
          <w:rFonts w:eastAsiaTheme="majorEastAsia"/>
          <w:i/>
          <w:iCs/>
          <w:sz w:val="24"/>
          <w:szCs w:val="24"/>
        </w:rPr>
        <w:t>женщин</w:t>
      </w:r>
      <w:r w:rsidR="00F66753">
        <w:rPr>
          <w:rStyle w:val="ac"/>
          <w:rFonts w:eastAsiaTheme="majorEastAsia"/>
          <w:i/>
          <w:iCs/>
          <w:sz w:val="24"/>
          <w:szCs w:val="24"/>
        </w:rPr>
        <w:t xml:space="preserve"> </w:t>
      </w:r>
      <w:r w:rsidRPr="00737ECE">
        <w:rPr>
          <w:rStyle w:val="ac"/>
          <w:rFonts w:eastAsiaTheme="majorEastAsia"/>
          <w:i/>
          <w:iCs/>
          <w:sz w:val="24"/>
          <w:szCs w:val="24"/>
        </w:rPr>
        <w:t>высокого риска развития ПЭ и</w:t>
      </w:r>
      <w:r w:rsidR="00F66753">
        <w:rPr>
          <w:sz w:val="24"/>
          <w:szCs w:val="24"/>
        </w:rPr>
        <w:t xml:space="preserve"> </w:t>
      </w:r>
      <w:r w:rsidRPr="00737ECE">
        <w:rPr>
          <w:rStyle w:val="ac"/>
          <w:rFonts w:eastAsiaTheme="majorEastAsia"/>
          <w:i/>
          <w:iCs/>
          <w:sz w:val="24"/>
          <w:szCs w:val="24"/>
        </w:rPr>
        <w:t>ассоциированных плацентарных расстройств, в основе которых лежит патологическая плацентация.</w:t>
      </w:r>
      <w:r w:rsidR="00F66753" w:rsidRPr="00737ECE">
        <w:rPr>
          <w:rStyle w:val="ac"/>
          <w:rFonts w:eastAsiaTheme="majorEastAsia"/>
          <w:i/>
          <w:iCs/>
          <w:sz w:val="24"/>
          <w:szCs w:val="24"/>
        </w:rPr>
        <w:t xml:space="preserve"> </w:t>
      </w:r>
      <w:r w:rsidRPr="00737ECE">
        <w:rPr>
          <w:rStyle w:val="ac"/>
          <w:rFonts w:eastAsiaTheme="majorEastAsia"/>
          <w:i/>
          <w:iCs/>
          <w:sz w:val="24"/>
          <w:szCs w:val="24"/>
        </w:rPr>
        <w:t>Анализ приоритетных публикаций убедительно продемонстрировал</w:t>
      </w:r>
      <w:r w:rsidR="00F66753">
        <w:rPr>
          <w:sz w:val="24"/>
          <w:szCs w:val="24"/>
        </w:rPr>
        <w:t xml:space="preserve"> </w:t>
      </w:r>
      <w:r w:rsidRPr="00737ECE">
        <w:rPr>
          <w:rStyle w:val="ac"/>
          <w:rFonts w:eastAsiaTheme="majorEastAsia"/>
          <w:i/>
          <w:iCs/>
          <w:sz w:val="24"/>
          <w:szCs w:val="24"/>
        </w:rPr>
        <w:t>преимущества вечернего приема (перед сном) низких доз #ацетилсалициловой кислоты**, начатого до 16 недель и продолженного до 36 недель беременности с целью снижения риска тяжелой и ранней ПЭ, выявленной на основании результатов расширенного комбинированного скрининга 1-го триместра беременности в дозе 150 мг. При проведении скрининга только на наличие клинических факторов риска и АД следует назначить #ацетилсалициловую кислоту** в дозе 100-150 мг/сут перорально</w:t>
      </w:r>
      <w:r w:rsidRPr="00737ECE">
        <w:rPr>
          <w:rStyle w:val="ac"/>
          <w:rFonts w:eastAsiaTheme="majorEastAsia"/>
          <w:sz w:val="24"/>
          <w:szCs w:val="24"/>
        </w:rPr>
        <w:t xml:space="preserve"> [417]</w:t>
      </w:r>
      <w:r w:rsidRPr="00737ECE">
        <w:rPr>
          <w:rStyle w:val="ac"/>
          <w:rFonts w:eastAsiaTheme="majorEastAsia"/>
          <w:i/>
          <w:iCs/>
          <w:sz w:val="24"/>
          <w:szCs w:val="24"/>
        </w:rPr>
        <w:t>.</w:t>
      </w:r>
    </w:p>
    <w:p w14:paraId="3A68112B" w14:textId="069DB0FE" w:rsidR="00D43D0B" w:rsidRPr="006B266D" w:rsidRDefault="00D43D0B" w:rsidP="006B266D">
      <w:pPr>
        <w:pStyle w:val="11"/>
        <w:numPr>
          <w:ilvl w:val="0"/>
          <w:numId w:val="31"/>
        </w:numPr>
        <w:tabs>
          <w:tab w:val="left" w:pos="1370"/>
        </w:tabs>
        <w:ind w:firstLine="709"/>
        <w:jc w:val="both"/>
        <w:rPr>
          <w:sz w:val="24"/>
          <w:szCs w:val="24"/>
        </w:rPr>
      </w:pPr>
      <w:r w:rsidRPr="006B266D">
        <w:rPr>
          <w:rStyle w:val="ac"/>
          <w:rFonts w:eastAsiaTheme="majorEastAsia"/>
          <w:sz w:val="24"/>
          <w:szCs w:val="24"/>
        </w:rPr>
        <w:t>Беременным женщинам с АГ в качестве АГТ с целью контроля уровня АД</w:t>
      </w:r>
      <w:r w:rsidR="006B266D">
        <w:rPr>
          <w:rStyle w:val="ac"/>
          <w:rFonts w:eastAsiaTheme="majorEastAsia"/>
          <w:sz w:val="24"/>
          <w:szCs w:val="24"/>
        </w:rPr>
        <w:t xml:space="preserve"> </w:t>
      </w:r>
      <w:r w:rsidRPr="006B266D">
        <w:rPr>
          <w:rStyle w:val="ac"/>
          <w:rFonts w:eastAsiaTheme="majorEastAsia"/>
          <w:sz w:val="24"/>
          <w:szCs w:val="24"/>
        </w:rPr>
        <w:t>препаратом первой линии рекомендуется назначение метилдопы** перорально [408, 409, 418].</w:t>
      </w:r>
    </w:p>
    <w:p w14:paraId="456773D1" w14:textId="0EDF0FC8" w:rsidR="00D43D0B" w:rsidRPr="006B266D" w:rsidRDefault="00D43D0B" w:rsidP="00D43D0B">
      <w:pPr>
        <w:pStyle w:val="11"/>
        <w:ind w:firstLine="600"/>
        <w:jc w:val="both"/>
        <w:rPr>
          <w:rStyle w:val="ac"/>
          <w:rFonts w:eastAsiaTheme="majorEastAsia"/>
          <w:b/>
          <w:bCs/>
          <w:sz w:val="24"/>
          <w:szCs w:val="24"/>
        </w:rPr>
      </w:pPr>
      <w:r w:rsidRPr="00737EC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087E19">
        <w:rPr>
          <w:rStyle w:val="ac"/>
          <w:rFonts w:eastAsiaTheme="majorEastAsia"/>
          <w:b/>
          <w:bCs/>
          <w:sz w:val="24"/>
          <w:szCs w:val="24"/>
        </w:rPr>
        <w:t xml:space="preserve"> </w:t>
      </w:r>
      <w:r w:rsidRPr="00737ECE">
        <w:rPr>
          <w:rStyle w:val="ac"/>
          <w:rFonts w:eastAsiaTheme="majorEastAsia"/>
          <w:b/>
          <w:bCs/>
          <w:sz w:val="24"/>
          <w:szCs w:val="24"/>
          <w:lang w:val="en-US"/>
        </w:rPr>
        <w:t>B</w:t>
      </w:r>
      <w:r w:rsidRPr="00737ECE">
        <w:rPr>
          <w:rStyle w:val="ac"/>
          <w:rFonts w:eastAsiaTheme="majorEastAsia"/>
          <w:b/>
          <w:bCs/>
          <w:sz w:val="24"/>
          <w:szCs w:val="24"/>
        </w:rPr>
        <w:t xml:space="preserve">, </w:t>
      </w:r>
      <w:r w:rsidR="00087E19" w:rsidRPr="00737ECE">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737ECE">
        <w:rPr>
          <w:rStyle w:val="ac"/>
          <w:rFonts w:eastAsiaTheme="majorEastAsia"/>
          <w:b/>
          <w:bCs/>
          <w:sz w:val="24"/>
          <w:szCs w:val="24"/>
        </w:rPr>
        <w:t xml:space="preserve"> 2)</w:t>
      </w:r>
      <w:r w:rsidR="00087E19">
        <w:rPr>
          <w:rStyle w:val="ac"/>
          <w:rFonts w:eastAsiaTheme="majorEastAsia"/>
          <w:b/>
          <w:bCs/>
          <w:sz w:val="24"/>
          <w:szCs w:val="24"/>
        </w:rPr>
        <w:t>;</w:t>
      </w:r>
      <w:r w:rsidR="00087E19" w:rsidRPr="00087E19">
        <w:rPr>
          <w:rStyle w:val="ac"/>
          <w:rFonts w:eastAsiaTheme="majorEastAsia"/>
          <w:b/>
          <w:bCs/>
          <w:sz w:val="24"/>
          <w:szCs w:val="24"/>
        </w:rPr>
        <w:t xml:space="preserve"> </w:t>
      </w:r>
      <w:r w:rsidR="00087E19" w:rsidRPr="00737ECE">
        <w:rPr>
          <w:rStyle w:val="ac"/>
          <w:rFonts w:eastAsiaTheme="majorEastAsia"/>
          <w:b/>
          <w:bCs/>
          <w:sz w:val="24"/>
          <w:szCs w:val="24"/>
        </w:rPr>
        <w:t xml:space="preserve">ЕОК/ЕОАГ </w:t>
      </w:r>
      <w:r w:rsidR="00087E19" w:rsidRPr="00737ECE">
        <w:rPr>
          <w:rStyle w:val="ac"/>
          <w:rFonts w:eastAsiaTheme="majorEastAsia"/>
          <w:b/>
          <w:bCs/>
          <w:sz w:val="24"/>
          <w:szCs w:val="24"/>
          <w:lang w:val="en-US"/>
        </w:rPr>
        <w:t>IB</w:t>
      </w:r>
      <w:r w:rsidR="006B266D">
        <w:rPr>
          <w:rStyle w:val="ac"/>
          <w:rFonts w:eastAsiaTheme="majorEastAsia"/>
          <w:b/>
          <w:bCs/>
          <w:sz w:val="24"/>
          <w:szCs w:val="24"/>
        </w:rPr>
        <w:t>.</w:t>
      </w:r>
    </w:p>
    <w:p w14:paraId="64E3931B" w14:textId="07F76E78" w:rsidR="00087E19" w:rsidRPr="00087E19" w:rsidRDefault="00087E19" w:rsidP="00D43D0B">
      <w:pPr>
        <w:pStyle w:val="11"/>
        <w:ind w:firstLine="600"/>
        <w:jc w:val="both"/>
        <w:rPr>
          <w:i/>
          <w:iCs/>
          <w:sz w:val="28"/>
          <w:szCs w:val="28"/>
        </w:rPr>
      </w:pPr>
      <w:r>
        <w:rPr>
          <w:rStyle w:val="ac"/>
          <w:rFonts w:eastAsiaTheme="majorEastAsia"/>
          <w:b/>
          <w:bCs/>
          <w:sz w:val="24"/>
          <w:szCs w:val="24"/>
        </w:rPr>
        <w:t>Комментарии:</w:t>
      </w:r>
      <w:r w:rsidRPr="00087E19">
        <w:t xml:space="preserve"> </w:t>
      </w:r>
      <w:r w:rsidRPr="00087E19">
        <w:rPr>
          <w:i/>
          <w:iCs/>
          <w:sz w:val="24"/>
          <w:szCs w:val="24"/>
        </w:rPr>
        <w:t xml:space="preserve">метилдопа обладает доказанной эффективностью и безопасностью </w:t>
      </w:r>
      <w:r w:rsidRPr="00087E19">
        <w:rPr>
          <w:i/>
          <w:iCs/>
          <w:sz w:val="24"/>
          <w:szCs w:val="24"/>
        </w:rPr>
        <w:lastRenderedPageBreak/>
        <w:t>при беременности, длительно применяется и хорошо переносится</w:t>
      </w:r>
      <w:r>
        <w:rPr>
          <w:i/>
          <w:iCs/>
          <w:sz w:val="24"/>
          <w:szCs w:val="24"/>
        </w:rPr>
        <w:t>,</w:t>
      </w:r>
      <w:r w:rsidRPr="00087E19">
        <w:rPr>
          <w:i/>
          <w:iCs/>
          <w:sz w:val="24"/>
          <w:szCs w:val="24"/>
        </w:rPr>
        <w:t xml:space="preserve"> препарат снижает центральную симпатическую активность, уменьшая периферическое сосудистое сопротивление. </w:t>
      </w:r>
      <w:r>
        <w:rPr>
          <w:i/>
          <w:iCs/>
          <w:sz w:val="24"/>
          <w:szCs w:val="24"/>
        </w:rPr>
        <w:t>В</w:t>
      </w:r>
      <w:r w:rsidRPr="00087E19">
        <w:rPr>
          <w:i/>
          <w:iCs/>
          <w:sz w:val="24"/>
          <w:szCs w:val="24"/>
        </w:rPr>
        <w:t>озможно постепенное начало терапии с титрацией дозы для достижения целевых показателей АД.</w:t>
      </w:r>
    </w:p>
    <w:p w14:paraId="2CD2E08F" w14:textId="77777777" w:rsidR="00D43D0B" w:rsidRPr="00F66753" w:rsidRDefault="00D43D0B">
      <w:pPr>
        <w:pStyle w:val="11"/>
        <w:numPr>
          <w:ilvl w:val="0"/>
          <w:numId w:val="31"/>
        </w:numPr>
        <w:tabs>
          <w:tab w:val="left" w:pos="1370"/>
        </w:tabs>
        <w:ind w:firstLine="600"/>
        <w:jc w:val="both"/>
        <w:rPr>
          <w:sz w:val="24"/>
          <w:szCs w:val="24"/>
        </w:rPr>
      </w:pPr>
      <w:r w:rsidRPr="00737ECE">
        <w:rPr>
          <w:rStyle w:val="ac"/>
          <w:rFonts w:eastAsiaTheme="majorEastAsia"/>
          <w:sz w:val="24"/>
          <w:szCs w:val="24"/>
        </w:rPr>
        <w:t>Беременным женщинам с АГ в качестве второй линии АГТ с целью контроля уровня</w:t>
      </w:r>
      <w:r w:rsidR="00F66753">
        <w:rPr>
          <w:sz w:val="24"/>
          <w:szCs w:val="24"/>
        </w:rPr>
        <w:t xml:space="preserve"> </w:t>
      </w:r>
      <w:r w:rsidRPr="00F66753">
        <w:rPr>
          <w:rStyle w:val="ac"/>
          <w:rFonts w:eastAsiaTheme="majorEastAsia"/>
          <w:sz w:val="24"/>
          <w:szCs w:val="24"/>
        </w:rPr>
        <w:t>АД в случае отсутствия тахикардии рекомендуется назначение лекарственных препаратов с замедленным высвобождением лекарственного вещества (#нифедипин** перорально) [408, 411, 412, 406].</w:t>
      </w:r>
    </w:p>
    <w:p w14:paraId="30FD9A4D" w14:textId="6369D168" w:rsidR="00D43D0B" w:rsidRPr="006B266D" w:rsidRDefault="00D43D0B" w:rsidP="00D43D0B">
      <w:pPr>
        <w:pStyle w:val="11"/>
        <w:ind w:firstLine="600"/>
        <w:jc w:val="both"/>
        <w:rPr>
          <w:sz w:val="24"/>
          <w:szCs w:val="24"/>
        </w:rPr>
      </w:pPr>
      <w:r w:rsidRPr="00737EC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F45EE5">
        <w:rPr>
          <w:rStyle w:val="ac"/>
          <w:rFonts w:eastAsiaTheme="majorEastAsia"/>
          <w:b/>
          <w:bCs/>
          <w:sz w:val="24"/>
          <w:szCs w:val="24"/>
        </w:rPr>
        <w:t xml:space="preserve"> </w:t>
      </w:r>
      <w:r w:rsidRPr="00737ECE">
        <w:rPr>
          <w:rStyle w:val="ac"/>
          <w:rFonts w:eastAsiaTheme="majorEastAsia"/>
          <w:b/>
          <w:bCs/>
          <w:sz w:val="24"/>
          <w:szCs w:val="24"/>
          <w:lang w:val="en-US"/>
        </w:rPr>
        <w:t>B</w:t>
      </w:r>
      <w:r w:rsidRPr="00737ECE">
        <w:rPr>
          <w:rStyle w:val="ac"/>
          <w:rFonts w:eastAsiaTheme="majorEastAsia"/>
          <w:b/>
          <w:bCs/>
          <w:sz w:val="24"/>
          <w:szCs w:val="24"/>
        </w:rPr>
        <w:t xml:space="preserve">, </w:t>
      </w:r>
      <w:r w:rsidR="00F45EE5" w:rsidRPr="00737ECE">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737ECE">
        <w:rPr>
          <w:rStyle w:val="ac"/>
          <w:rFonts w:eastAsiaTheme="majorEastAsia"/>
          <w:b/>
          <w:bCs/>
          <w:sz w:val="24"/>
          <w:szCs w:val="24"/>
        </w:rPr>
        <w:t xml:space="preserve"> 2)</w:t>
      </w:r>
      <w:r w:rsidR="00F45EE5">
        <w:rPr>
          <w:rStyle w:val="ac"/>
          <w:rFonts w:eastAsiaTheme="majorEastAsia"/>
          <w:b/>
          <w:bCs/>
          <w:sz w:val="24"/>
          <w:szCs w:val="24"/>
        </w:rPr>
        <w:t>;</w:t>
      </w:r>
      <w:r w:rsidR="00F45EE5" w:rsidRPr="00F45EE5">
        <w:rPr>
          <w:rStyle w:val="ac"/>
          <w:rFonts w:eastAsiaTheme="majorEastAsia"/>
          <w:b/>
          <w:bCs/>
          <w:sz w:val="24"/>
          <w:szCs w:val="24"/>
        </w:rPr>
        <w:t xml:space="preserve"> </w:t>
      </w:r>
      <w:r w:rsidR="00F45EE5" w:rsidRPr="00737ECE">
        <w:rPr>
          <w:rStyle w:val="ac"/>
          <w:rFonts w:eastAsiaTheme="majorEastAsia"/>
          <w:b/>
          <w:bCs/>
          <w:sz w:val="24"/>
          <w:szCs w:val="24"/>
        </w:rPr>
        <w:t xml:space="preserve">ЕОК/ЕОАГ </w:t>
      </w:r>
      <w:r w:rsidR="00F45EE5" w:rsidRPr="00737ECE">
        <w:rPr>
          <w:rStyle w:val="ac"/>
          <w:rFonts w:eastAsiaTheme="majorEastAsia"/>
          <w:b/>
          <w:bCs/>
          <w:sz w:val="24"/>
          <w:szCs w:val="24"/>
          <w:lang w:val="en-US"/>
        </w:rPr>
        <w:t>IC</w:t>
      </w:r>
      <w:r w:rsidR="006B266D">
        <w:rPr>
          <w:rStyle w:val="ac"/>
          <w:rFonts w:eastAsiaTheme="majorEastAsia"/>
          <w:b/>
          <w:bCs/>
          <w:sz w:val="24"/>
          <w:szCs w:val="24"/>
        </w:rPr>
        <w:t>.</w:t>
      </w:r>
    </w:p>
    <w:p w14:paraId="0C155956" w14:textId="77777777" w:rsidR="00F66753" w:rsidRPr="00F45EE5" w:rsidRDefault="00D43D0B" w:rsidP="006B266D">
      <w:pPr>
        <w:pStyle w:val="11"/>
        <w:ind w:firstLine="709"/>
        <w:jc w:val="both"/>
        <w:rPr>
          <w:i/>
          <w:iCs/>
          <w:sz w:val="24"/>
          <w:szCs w:val="24"/>
        </w:rPr>
      </w:pPr>
      <w:r w:rsidRPr="00737ECE">
        <w:rPr>
          <w:rStyle w:val="ac"/>
          <w:rFonts w:eastAsiaTheme="majorEastAsia"/>
          <w:b/>
          <w:bCs/>
          <w:sz w:val="24"/>
          <w:szCs w:val="24"/>
        </w:rPr>
        <w:t xml:space="preserve">Комментарии. </w:t>
      </w:r>
      <w:r w:rsidRPr="00F45EE5">
        <w:rPr>
          <w:rStyle w:val="ac"/>
          <w:rFonts w:eastAsiaTheme="majorEastAsia"/>
          <w:i/>
          <w:iCs/>
          <w:sz w:val="24"/>
          <w:szCs w:val="24"/>
        </w:rPr>
        <w:t xml:space="preserve">#Нифедипин** с замедленным высвобождением лекарственного вещества назначается в дозах 20-40 мг 2 раза в сутки внутрь, не разжевывая, или 30-60 мг 1 раз в сутки, максимальная суточная доза 120 мг. </w:t>
      </w:r>
      <w:r w:rsidRPr="00F45EE5">
        <w:rPr>
          <w:rStyle w:val="ac"/>
          <w:rFonts w:eastAsiaTheme="majorEastAsia"/>
          <w:b/>
          <w:bCs/>
          <w:i/>
          <w:iCs/>
          <w:sz w:val="24"/>
          <w:szCs w:val="24"/>
        </w:rPr>
        <w:t>#</w:t>
      </w:r>
      <w:r w:rsidRPr="00F45EE5">
        <w:rPr>
          <w:rStyle w:val="ac"/>
          <w:rFonts w:eastAsiaTheme="majorEastAsia"/>
          <w:i/>
          <w:iCs/>
          <w:sz w:val="24"/>
          <w:szCs w:val="24"/>
        </w:rPr>
        <w:t xml:space="preserve">Нифедипин** может вызвать выраженное снижение АД, драматическое снижение плацентарного кровотока и, соответственно, критическое состояние плода. Поэтому при лечении #нифедипином** необходим контроль АД 3 раза в день, </w:t>
      </w:r>
      <w:r w:rsidR="00F66753" w:rsidRPr="00F45EE5">
        <w:rPr>
          <w:rStyle w:val="ac"/>
          <w:rFonts w:eastAsiaTheme="majorEastAsia"/>
          <w:i/>
          <w:iCs/>
          <w:sz w:val="24"/>
          <w:szCs w:val="24"/>
        </w:rPr>
        <w:t>а сублингвальное применение препарата противопоказано [419, 410].</w:t>
      </w:r>
    </w:p>
    <w:p w14:paraId="2A10F828" w14:textId="77777777" w:rsidR="00F66753" w:rsidRPr="00737ECE" w:rsidRDefault="00F66753">
      <w:pPr>
        <w:pStyle w:val="11"/>
        <w:numPr>
          <w:ilvl w:val="0"/>
          <w:numId w:val="31"/>
        </w:numPr>
        <w:tabs>
          <w:tab w:val="left" w:pos="1356"/>
        </w:tabs>
        <w:ind w:firstLine="620"/>
        <w:jc w:val="both"/>
        <w:rPr>
          <w:sz w:val="24"/>
          <w:szCs w:val="24"/>
        </w:rPr>
      </w:pPr>
      <w:r w:rsidRPr="00737ECE">
        <w:rPr>
          <w:rStyle w:val="ac"/>
          <w:rFonts w:eastAsiaTheme="majorEastAsia"/>
          <w:sz w:val="24"/>
          <w:szCs w:val="24"/>
        </w:rPr>
        <w:t>Беременным женщинам с АГ в качестве второй и третьей линии АГТ с целью</w:t>
      </w:r>
    </w:p>
    <w:p w14:paraId="680CEE0C" w14:textId="77777777" w:rsidR="00F66753" w:rsidRPr="00737ECE" w:rsidRDefault="00F66753" w:rsidP="00F66753">
      <w:pPr>
        <w:pStyle w:val="11"/>
        <w:ind w:firstLine="0"/>
        <w:jc w:val="both"/>
        <w:rPr>
          <w:sz w:val="24"/>
          <w:szCs w:val="24"/>
        </w:rPr>
      </w:pPr>
      <w:r w:rsidRPr="00737ECE">
        <w:rPr>
          <w:rStyle w:val="ac"/>
          <w:rFonts w:eastAsiaTheme="majorEastAsia"/>
          <w:sz w:val="24"/>
          <w:szCs w:val="24"/>
        </w:rPr>
        <w:t>контроля уровня АД в случае отсутствия брадикардии рекомендуется назначение селективных бета-адреноблокаторов (бисопролол** и метопролол**) [420, 411, 412, 421, 422, 423].</w:t>
      </w:r>
    </w:p>
    <w:p w14:paraId="53152231" w14:textId="44CE1EA9" w:rsidR="00F66753" w:rsidRPr="009A09B6" w:rsidRDefault="00F66753" w:rsidP="00F66753">
      <w:pPr>
        <w:pStyle w:val="11"/>
        <w:ind w:firstLine="620"/>
        <w:jc w:val="both"/>
        <w:rPr>
          <w:sz w:val="24"/>
          <w:szCs w:val="24"/>
        </w:rPr>
      </w:pPr>
      <w:r w:rsidRPr="00737EC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942F4B">
        <w:rPr>
          <w:rStyle w:val="ac"/>
          <w:rFonts w:eastAsiaTheme="majorEastAsia"/>
          <w:b/>
          <w:bCs/>
          <w:sz w:val="24"/>
          <w:szCs w:val="24"/>
        </w:rPr>
        <w:t xml:space="preserve"> </w:t>
      </w:r>
      <w:r w:rsidRPr="00737ECE">
        <w:rPr>
          <w:rStyle w:val="ac"/>
          <w:rFonts w:eastAsiaTheme="majorEastAsia"/>
          <w:b/>
          <w:bCs/>
          <w:sz w:val="24"/>
          <w:szCs w:val="24"/>
          <w:lang w:val="en-US"/>
        </w:rPr>
        <w:t>B</w:t>
      </w:r>
      <w:r w:rsidRPr="00737ECE">
        <w:rPr>
          <w:rStyle w:val="ac"/>
          <w:rFonts w:eastAsiaTheme="majorEastAsia"/>
          <w:b/>
          <w:bCs/>
          <w:sz w:val="24"/>
          <w:szCs w:val="24"/>
        </w:rPr>
        <w:t xml:space="preserve">, </w:t>
      </w:r>
      <w:r w:rsidR="00942F4B" w:rsidRPr="00737ECE">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737ECE">
        <w:rPr>
          <w:rStyle w:val="ac"/>
          <w:rFonts w:eastAsiaTheme="majorEastAsia"/>
          <w:b/>
          <w:bCs/>
          <w:sz w:val="24"/>
          <w:szCs w:val="24"/>
        </w:rPr>
        <w:t xml:space="preserve"> 3)</w:t>
      </w:r>
      <w:r w:rsidR="00942F4B">
        <w:rPr>
          <w:rStyle w:val="ac"/>
          <w:rFonts w:eastAsiaTheme="majorEastAsia"/>
          <w:b/>
          <w:bCs/>
          <w:sz w:val="24"/>
          <w:szCs w:val="24"/>
        </w:rPr>
        <w:t>;</w:t>
      </w:r>
      <w:r w:rsidR="00942F4B" w:rsidRPr="00942F4B">
        <w:rPr>
          <w:rStyle w:val="ac"/>
          <w:rFonts w:eastAsiaTheme="majorEastAsia"/>
          <w:b/>
          <w:bCs/>
          <w:sz w:val="24"/>
          <w:szCs w:val="24"/>
        </w:rPr>
        <w:t xml:space="preserve"> </w:t>
      </w:r>
      <w:r w:rsidR="00942F4B" w:rsidRPr="00737ECE">
        <w:rPr>
          <w:rStyle w:val="ac"/>
          <w:rFonts w:eastAsiaTheme="majorEastAsia"/>
          <w:b/>
          <w:bCs/>
          <w:sz w:val="24"/>
          <w:szCs w:val="24"/>
        </w:rPr>
        <w:t xml:space="preserve">ЕОК/ЕОАГ </w:t>
      </w:r>
      <w:r w:rsidR="00942F4B" w:rsidRPr="00737ECE">
        <w:rPr>
          <w:rStyle w:val="ac"/>
          <w:rFonts w:eastAsiaTheme="majorEastAsia"/>
          <w:b/>
          <w:bCs/>
          <w:sz w:val="24"/>
          <w:szCs w:val="24"/>
          <w:lang w:val="en-US"/>
        </w:rPr>
        <w:t>IC</w:t>
      </w:r>
      <w:r w:rsidR="009A09B6">
        <w:rPr>
          <w:rStyle w:val="ac"/>
          <w:rFonts w:eastAsiaTheme="majorEastAsia"/>
          <w:b/>
          <w:bCs/>
          <w:sz w:val="24"/>
          <w:szCs w:val="24"/>
        </w:rPr>
        <w:t>.</w:t>
      </w:r>
    </w:p>
    <w:p w14:paraId="6CCD97DA" w14:textId="77777777" w:rsidR="00F66753" w:rsidRPr="00737ECE" w:rsidRDefault="00F66753" w:rsidP="00F66753">
      <w:pPr>
        <w:pStyle w:val="11"/>
        <w:tabs>
          <w:tab w:val="left" w:pos="4963"/>
          <w:tab w:val="left" w:pos="5635"/>
        </w:tabs>
        <w:ind w:firstLine="620"/>
        <w:jc w:val="both"/>
        <w:rPr>
          <w:sz w:val="24"/>
          <w:szCs w:val="24"/>
        </w:rPr>
      </w:pPr>
      <w:r w:rsidRPr="00737ECE">
        <w:rPr>
          <w:rStyle w:val="ac"/>
          <w:rFonts w:eastAsiaTheme="majorEastAsia"/>
          <w:b/>
          <w:bCs/>
          <w:sz w:val="24"/>
          <w:szCs w:val="24"/>
        </w:rPr>
        <w:t xml:space="preserve">Комментарии. </w:t>
      </w:r>
      <w:r w:rsidRPr="00737ECE">
        <w:rPr>
          <w:rStyle w:val="ac"/>
          <w:rFonts w:eastAsiaTheme="majorEastAsia"/>
          <w:i/>
          <w:iCs/>
          <w:sz w:val="24"/>
          <w:szCs w:val="24"/>
        </w:rPr>
        <w:t>Резервными препаратами для плановой АГТ у беременных женщин с АГ являются верапамил**, #клонидин** (таблетки 0,15 мг, прием по 0,075-0,15 мг 2-3 раза/день во время или после приема пищи.)</w:t>
      </w:r>
      <w:r w:rsidRPr="00737ECE">
        <w:rPr>
          <w:rStyle w:val="ac"/>
          <w:rFonts w:eastAsiaTheme="majorEastAsia"/>
          <w:sz w:val="24"/>
          <w:szCs w:val="24"/>
        </w:rPr>
        <w:t xml:space="preserve"> [424, 425, 410]</w:t>
      </w:r>
      <w:r w:rsidRPr="00737ECE">
        <w:rPr>
          <w:rStyle w:val="ac"/>
          <w:rFonts w:eastAsiaTheme="majorEastAsia"/>
          <w:i/>
          <w:iCs/>
          <w:sz w:val="24"/>
          <w:szCs w:val="24"/>
        </w:rPr>
        <w:t>. В качестве двухкомпонентной</w:t>
      </w:r>
      <w:r>
        <w:rPr>
          <w:sz w:val="24"/>
          <w:szCs w:val="24"/>
        </w:rPr>
        <w:t xml:space="preserve"> </w:t>
      </w:r>
      <w:r w:rsidRPr="00737ECE">
        <w:rPr>
          <w:rStyle w:val="ac"/>
          <w:rFonts w:eastAsiaTheme="majorEastAsia"/>
          <w:i/>
          <w:iCs/>
          <w:sz w:val="24"/>
          <w:szCs w:val="24"/>
        </w:rPr>
        <w:t xml:space="preserve">антигипертензивной терапии возможно назначение фиксированной комбинации </w:t>
      </w:r>
      <w:r w:rsidRPr="00737ECE">
        <w:rPr>
          <w:rStyle w:val="ac"/>
          <w:rFonts w:eastAsiaTheme="majorEastAsia"/>
          <w:i/>
          <w:iCs/>
          <w:sz w:val="24"/>
          <w:szCs w:val="24"/>
          <w:lang w:val="en-US"/>
        </w:rPr>
        <w:t>c</w:t>
      </w:r>
      <w:r w:rsidRPr="00737ECE">
        <w:rPr>
          <w:rStyle w:val="ac"/>
          <w:rFonts w:eastAsiaTheme="majorEastAsia"/>
          <w:i/>
          <w:iCs/>
          <w:sz w:val="24"/>
          <w:szCs w:val="24"/>
        </w:rPr>
        <w:t xml:space="preserve"> целью лучшего контроля АД и улучшению приверженности к терапии</w:t>
      </w:r>
      <w:r w:rsidRPr="00737ECE">
        <w:rPr>
          <w:rStyle w:val="ac"/>
          <w:rFonts w:eastAsiaTheme="majorEastAsia"/>
          <w:sz w:val="24"/>
          <w:szCs w:val="24"/>
        </w:rPr>
        <w:t xml:space="preserve"> [159]</w:t>
      </w:r>
      <w:r w:rsidRPr="00737ECE">
        <w:rPr>
          <w:rStyle w:val="ac"/>
          <w:rFonts w:eastAsiaTheme="majorEastAsia"/>
          <w:i/>
          <w:iCs/>
          <w:sz w:val="24"/>
          <w:szCs w:val="24"/>
        </w:rPr>
        <w:t>. АГТ должна быть продолжена в течение 12 недель после родов, особенно у женщин с ПЭ и при рождении недоношенных детей. Можно использовать любые классы АГП, согласно алгоритму АГТ, с рациональным выбором препаратов при лактации и учитывая то, что метилдопа** не рекомендована к назначению в связи с повышением риска послеродовой депрессии.</w:t>
      </w:r>
    </w:p>
    <w:p w14:paraId="26476F2C" w14:textId="77777777" w:rsidR="00F66753" w:rsidRPr="00F66753" w:rsidRDefault="00F66753">
      <w:pPr>
        <w:pStyle w:val="11"/>
        <w:numPr>
          <w:ilvl w:val="0"/>
          <w:numId w:val="31"/>
        </w:numPr>
        <w:tabs>
          <w:tab w:val="left" w:pos="1356"/>
          <w:tab w:val="left" w:pos="9145"/>
        </w:tabs>
        <w:ind w:firstLine="620"/>
        <w:jc w:val="both"/>
        <w:rPr>
          <w:sz w:val="24"/>
          <w:szCs w:val="24"/>
        </w:rPr>
      </w:pPr>
      <w:r w:rsidRPr="00737ECE">
        <w:rPr>
          <w:rStyle w:val="ac"/>
          <w:rFonts w:eastAsiaTheme="majorEastAsia"/>
          <w:sz w:val="24"/>
          <w:szCs w:val="24"/>
        </w:rPr>
        <w:t>Не рекомендовано назначение ИАПФ, БРА, ингибиторов</w:t>
      </w:r>
      <w:r>
        <w:rPr>
          <w:rStyle w:val="ac"/>
          <w:rFonts w:eastAsiaTheme="majorEastAsia"/>
          <w:sz w:val="24"/>
          <w:szCs w:val="24"/>
        </w:rPr>
        <w:t xml:space="preserve"> </w:t>
      </w:r>
      <w:r w:rsidRPr="00737ECE">
        <w:rPr>
          <w:rStyle w:val="ac"/>
          <w:rFonts w:eastAsiaTheme="majorEastAsia"/>
          <w:sz w:val="24"/>
          <w:szCs w:val="24"/>
        </w:rPr>
        <w:t>ренина,</w:t>
      </w:r>
      <w:r>
        <w:rPr>
          <w:sz w:val="24"/>
          <w:szCs w:val="24"/>
        </w:rPr>
        <w:t xml:space="preserve"> </w:t>
      </w:r>
      <w:r w:rsidRPr="00F66753">
        <w:rPr>
          <w:rStyle w:val="ac"/>
          <w:rFonts w:eastAsiaTheme="majorEastAsia"/>
          <w:color w:val="222222"/>
          <w:sz w:val="24"/>
          <w:szCs w:val="24"/>
        </w:rPr>
        <w:t xml:space="preserve">спиронолактона**, эплеренона, атенолола**, блокаторов медленных кальциевых каналов </w:t>
      </w:r>
      <w:r w:rsidRPr="00F66753">
        <w:rPr>
          <w:rStyle w:val="ac"/>
          <w:rFonts w:eastAsiaTheme="majorEastAsia"/>
          <w:color w:val="222222"/>
          <w:sz w:val="24"/>
          <w:szCs w:val="24"/>
        </w:rPr>
        <w:lastRenderedPageBreak/>
        <w:t xml:space="preserve">(дилтиазема, фелодипина) </w:t>
      </w:r>
      <w:r w:rsidRPr="00F66753">
        <w:rPr>
          <w:rStyle w:val="ac"/>
          <w:rFonts w:eastAsiaTheme="majorEastAsia"/>
          <w:sz w:val="24"/>
          <w:szCs w:val="24"/>
        </w:rPr>
        <w:t>при беременности в связи с риском развития врожденных уродств и гибели плода [426, 427, 428, 412].</w:t>
      </w:r>
    </w:p>
    <w:p w14:paraId="1D80B0E5" w14:textId="327B0CCA" w:rsidR="00F66753" w:rsidRPr="009A09B6" w:rsidRDefault="00F66753" w:rsidP="00F66753">
      <w:pPr>
        <w:pStyle w:val="11"/>
        <w:ind w:firstLine="620"/>
        <w:jc w:val="both"/>
        <w:rPr>
          <w:rStyle w:val="ac"/>
          <w:rFonts w:eastAsiaTheme="majorEastAsia"/>
          <w:b/>
          <w:bCs/>
          <w:sz w:val="24"/>
          <w:szCs w:val="24"/>
        </w:rPr>
      </w:pPr>
      <w:r w:rsidRPr="00737EC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5F5B32">
        <w:rPr>
          <w:rStyle w:val="ac"/>
          <w:rFonts w:eastAsiaTheme="majorEastAsia"/>
          <w:b/>
          <w:bCs/>
          <w:sz w:val="24"/>
          <w:szCs w:val="24"/>
        </w:rPr>
        <w:t xml:space="preserve"> </w:t>
      </w:r>
      <w:r w:rsidRPr="00737ECE">
        <w:rPr>
          <w:rStyle w:val="ac"/>
          <w:rFonts w:eastAsiaTheme="majorEastAsia"/>
          <w:b/>
          <w:bCs/>
          <w:sz w:val="24"/>
          <w:szCs w:val="24"/>
          <w:lang w:val="en-US"/>
        </w:rPr>
        <w:t>C</w:t>
      </w:r>
      <w:r w:rsidRPr="00737ECE">
        <w:rPr>
          <w:rStyle w:val="ac"/>
          <w:rFonts w:eastAsiaTheme="majorEastAsia"/>
          <w:b/>
          <w:bCs/>
          <w:sz w:val="24"/>
          <w:szCs w:val="24"/>
        </w:rPr>
        <w:t xml:space="preserve">, </w:t>
      </w:r>
      <w:r w:rsidR="005F5B32" w:rsidRPr="00737ECE">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737ECE">
        <w:rPr>
          <w:rStyle w:val="ac"/>
          <w:rFonts w:eastAsiaTheme="majorEastAsia"/>
          <w:b/>
          <w:bCs/>
          <w:sz w:val="24"/>
          <w:szCs w:val="24"/>
        </w:rPr>
        <w:t xml:space="preserve"> 5</w:t>
      </w:r>
      <w:r w:rsidR="005F5B32" w:rsidRPr="00737ECE">
        <w:rPr>
          <w:rStyle w:val="ac"/>
          <w:rFonts w:eastAsiaTheme="majorEastAsia"/>
          <w:b/>
          <w:bCs/>
          <w:sz w:val="24"/>
          <w:szCs w:val="24"/>
        </w:rPr>
        <w:t>)</w:t>
      </w:r>
      <w:r w:rsidR="005F5B32" w:rsidRPr="005F5B32">
        <w:rPr>
          <w:rStyle w:val="ac"/>
          <w:rFonts w:eastAsiaTheme="majorEastAsia"/>
          <w:b/>
          <w:bCs/>
          <w:sz w:val="24"/>
          <w:szCs w:val="24"/>
        </w:rPr>
        <w:t>;</w:t>
      </w:r>
      <w:r w:rsidR="005F5B32">
        <w:rPr>
          <w:rStyle w:val="ac"/>
          <w:rFonts w:eastAsiaTheme="majorEastAsia"/>
          <w:b/>
          <w:bCs/>
          <w:sz w:val="24"/>
          <w:szCs w:val="24"/>
        </w:rPr>
        <w:t xml:space="preserve"> </w:t>
      </w:r>
      <w:r w:rsidR="005F5B32" w:rsidRPr="00737ECE">
        <w:rPr>
          <w:rStyle w:val="ac"/>
          <w:rFonts w:eastAsiaTheme="majorEastAsia"/>
          <w:b/>
          <w:bCs/>
          <w:sz w:val="24"/>
          <w:szCs w:val="24"/>
        </w:rPr>
        <w:t xml:space="preserve">ЕОК/ЕОАГ </w:t>
      </w:r>
      <w:r w:rsidR="005F5B32" w:rsidRPr="00737ECE">
        <w:rPr>
          <w:rStyle w:val="ac"/>
          <w:rFonts w:eastAsiaTheme="majorEastAsia"/>
          <w:b/>
          <w:bCs/>
          <w:sz w:val="24"/>
          <w:szCs w:val="24"/>
          <w:lang w:val="en-US"/>
        </w:rPr>
        <w:t>IIIC</w:t>
      </w:r>
      <w:r w:rsidR="009A09B6">
        <w:rPr>
          <w:rStyle w:val="ac"/>
          <w:rFonts w:eastAsiaTheme="majorEastAsia"/>
          <w:b/>
          <w:bCs/>
          <w:sz w:val="24"/>
          <w:szCs w:val="24"/>
        </w:rPr>
        <w:t>.</w:t>
      </w:r>
    </w:p>
    <w:p w14:paraId="35D52188" w14:textId="37577BDA" w:rsidR="005F5B32" w:rsidRPr="00AA0B02" w:rsidRDefault="005F5B32" w:rsidP="009A09B6">
      <w:pPr>
        <w:pStyle w:val="affa"/>
        <w:spacing w:before="0" w:beforeAutospacing="0" w:after="0" w:afterAutospacing="0" w:line="360" w:lineRule="auto"/>
        <w:ind w:firstLine="567"/>
        <w:jc w:val="both"/>
        <w:rPr>
          <w:i/>
          <w:iCs/>
        </w:rPr>
      </w:pPr>
      <w:r>
        <w:rPr>
          <w:rStyle w:val="ac"/>
          <w:rFonts w:eastAsiaTheme="majorEastAsia"/>
          <w:b/>
          <w:bCs/>
        </w:rPr>
        <w:t xml:space="preserve">Комментарии: </w:t>
      </w:r>
      <w:r w:rsidRPr="005F5B32">
        <w:rPr>
          <w:rStyle w:val="ac"/>
          <w:rFonts w:eastAsiaTheme="majorEastAsia"/>
          <w:i/>
          <w:iCs/>
        </w:rPr>
        <w:t>Д</w:t>
      </w:r>
      <w:r w:rsidRPr="005F5B32">
        <w:rPr>
          <w:i/>
          <w:iCs/>
        </w:rPr>
        <w:t>анные препараты могут вызывать тератогенные эффекты, нарушать развитие плода, приводить к внутриутробной гибели, нарушениям функции почек и других органов у плода.</w:t>
      </w:r>
      <w:r w:rsidR="00EA59B4">
        <w:rPr>
          <w:i/>
          <w:iCs/>
        </w:rPr>
        <w:t xml:space="preserve"> </w:t>
      </w:r>
      <w:r w:rsidRPr="005F5B32">
        <w:rPr>
          <w:i/>
          <w:iCs/>
        </w:rPr>
        <w:t>При необходимости антигипертензивной терапии беременным следует выбирать безопасные препараты с доказанной безопасностью в беременности.</w:t>
      </w:r>
    </w:p>
    <w:p w14:paraId="6D0F06B9" w14:textId="77777777" w:rsidR="00F66753" w:rsidRPr="00F66753" w:rsidRDefault="00F66753" w:rsidP="00AA0B02">
      <w:pPr>
        <w:pStyle w:val="11"/>
        <w:numPr>
          <w:ilvl w:val="0"/>
          <w:numId w:val="31"/>
        </w:numPr>
        <w:tabs>
          <w:tab w:val="left" w:pos="1356"/>
        </w:tabs>
        <w:ind w:firstLine="620"/>
        <w:jc w:val="both"/>
        <w:rPr>
          <w:sz w:val="24"/>
          <w:szCs w:val="24"/>
        </w:rPr>
      </w:pPr>
      <w:r w:rsidRPr="00737ECE">
        <w:rPr>
          <w:rStyle w:val="ac"/>
          <w:rFonts w:eastAsiaTheme="majorEastAsia"/>
          <w:sz w:val="24"/>
          <w:szCs w:val="24"/>
        </w:rPr>
        <w:t>Женщинам с АГ в репродуктивном возрасте с риском наступления</w:t>
      </w:r>
      <w:r>
        <w:rPr>
          <w:sz w:val="24"/>
          <w:szCs w:val="24"/>
        </w:rPr>
        <w:t xml:space="preserve"> </w:t>
      </w:r>
      <w:r w:rsidRPr="00F66753">
        <w:rPr>
          <w:rStyle w:val="ac"/>
          <w:rFonts w:eastAsiaTheme="majorEastAsia"/>
          <w:sz w:val="24"/>
          <w:szCs w:val="24"/>
        </w:rPr>
        <w:t>незапланированной беременности не рекомендуется назначение иРААС в связи с риском развития врожденных уродств и гибели плода [408, 409, 426, 427, 428].</w:t>
      </w:r>
    </w:p>
    <w:p w14:paraId="7481D69F" w14:textId="35A68197" w:rsidR="00F66753" w:rsidRPr="009A09B6" w:rsidRDefault="00F66753" w:rsidP="00F66753">
      <w:pPr>
        <w:pStyle w:val="11"/>
        <w:ind w:firstLine="620"/>
        <w:jc w:val="both"/>
        <w:rPr>
          <w:rStyle w:val="ac"/>
          <w:rFonts w:eastAsiaTheme="majorEastAsia"/>
          <w:b/>
          <w:bCs/>
          <w:sz w:val="24"/>
          <w:szCs w:val="24"/>
        </w:rPr>
      </w:pPr>
      <w:r w:rsidRPr="00737EC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63644B">
        <w:rPr>
          <w:rStyle w:val="ac"/>
          <w:rFonts w:eastAsiaTheme="majorEastAsia"/>
          <w:b/>
          <w:bCs/>
          <w:sz w:val="24"/>
          <w:szCs w:val="24"/>
        </w:rPr>
        <w:t xml:space="preserve"> </w:t>
      </w:r>
      <w:r w:rsidRPr="00737ECE">
        <w:rPr>
          <w:rStyle w:val="ac"/>
          <w:rFonts w:eastAsiaTheme="majorEastAsia"/>
          <w:b/>
          <w:bCs/>
          <w:sz w:val="24"/>
          <w:szCs w:val="24"/>
        </w:rPr>
        <w:t xml:space="preserve">В, </w:t>
      </w:r>
      <w:r w:rsidR="0063644B" w:rsidRPr="00737ECE">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737ECE">
        <w:rPr>
          <w:rStyle w:val="ac"/>
          <w:rFonts w:eastAsiaTheme="majorEastAsia"/>
          <w:b/>
          <w:bCs/>
          <w:sz w:val="24"/>
          <w:szCs w:val="24"/>
        </w:rPr>
        <w:t xml:space="preserve"> 2)</w:t>
      </w:r>
      <w:r w:rsidR="0063644B" w:rsidRPr="0063644B">
        <w:rPr>
          <w:rStyle w:val="ac"/>
          <w:rFonts w:eastAsiaTheme="majorEastAsia"/>
          <w:b/>
          <w:bCs/>
          <w:sz w:val="24"/>
          <w:szCs w:val="24"/>
        </w:rPr>
        <w:t xml:space="preserve"> </w:t>
      </w:r>
      <w:r w:rsidR="0063644B" w:rsidRPr="00737ECE">
        <w:rPr>
          <w:rStyle w:val="ac"/>
          <w:rFonts w:eastAsiaTheme="majorEastAsia"/>
          <w:b/>
          <w:bCs/>
          <w:sz w:val="24"/>
          <w:szCs w:val="24"/>
        </w:rPr>
        <w:t xml:space="preserve">ЕОК/ЕОАГ </w:t>
      </w:r>
      <w:r w:rsidR="0063644B" w:rsidRPr="00737ECE">
        <w:rPr>
          <w:rStyle w:val="ac"/>
          <w:rFonts w:eastAsiaTheme="majorEastAsia"/>
          <w:b/>
          <w:bCs/>
          <w:sz w:val="24"/>
          <w:szCs w:val="24"/>
          <w:lang w:val="en-US"/>
        </w:rPr>
        <w:t>IIIC</w:t>
      </w:r>
      <w:r w:rsidR="009A09B6">
        <w:rPr>
          <w:rStyle w:val="ac"/>
          <w:rFonts w:eastAsiaTheme="majorEastAsia"/>
          <w:b/>
          <w:bCs/>
          <w:sz w:val="24"/>
          <w:szCs w:val="24"/>
        </w:rPr>
        <w:t>.</w:t>
      </w:r>
    </w:p>
    <w:p w14:paraId="1F2EED2C" w14:textId="785691C9" w:rsidR="0063644B" w:rsidRPr="0063644B" w:rsidRDefault="0063644B" w:rsidP="00F66753">
      <w:pPr>
        <w:pStyle w:val="11"/>
        <w:ind w:firstLine="620"/>
        <w:jc w:val="both"/>
        <w:rPr>
          <w:i/>
          <w:iCs/>
          <w:sz w:val="28"/>
          <w:szCs w:val="28"/>
        </w:rPr>
      </w:pPr>
      <w:r>
        <w:rPr>
          <w:rStyle w:val="ac"/>
          <w:rFonts w:eastAsiaTheme="majorEastAsia"/>
          <w:b/>
          <w:bCs/>
          <w:sz w:val="24"/>
          <w:szCs w:val="24"/>
        </w:rPr>
        <w:t>Комментарии:</w:t>
      </w:r>
      <w:r w:rsidRPr="0063644B">
        <w:t xml:space="preserve"> </w:t>
      </w:r>
      <w:r w:rsidRPr="0063644B">
        <w:rPr>
          <w:i/>
          <w:iCs/>
          <w:sz w:val="24"/>
          <w:szCs w:val="24"/>
        </w:rPr>
        <w:t xml:space="preserve">иРААС (ингибиторы АПФ, блокаторы рецепторов ангиотензина II и ингибиторы ренина) обладают тератогенным эффектом и могут вызывать серьёзные врождённые пороки развития и гибель плода, особенно при приёме в первом триместре. </w:t>
      </w:r>
      <w:r>
        <w:rPr>
          <w:i/>
          <w:iCs/>
          <w:sz w:val="24"/>
          <w:szCs w:val="24"/>
        </w:rPr>
        <w:t>П</w:t>
      </w:r>
      <w:r w:rsidRPr="0063644B">
        <w:rPr>
          <w:i/>
          <w:iCs/>
          <w:sz w:val="24"/>
          <w:szCs w:val="24"/>
        </w:rPr>
        <w:t>ри необходимости терапии у женщин репродуктивного возраста следует выбирать препараты с более безопасным профилем для беременности, а также рекомендовать эффективные методы контрацепции. если женщина планирует беременность или беременна, иРААС должны быть немедленно отменены и заменены альтернативными средствами.</w:t>
      </w:r>
    </w:p>
    <w:p w14:paraId="341395DD" w14:textId="77777777" w:rsidR="00F66753" w:rsidRPr="00F66753" w:rsidRDefault="00F66753">
      <w:pPr>
        <w:pStyle w:val="11"/>
        <w:numPr>
          <w:ilvl w:val="0"/>
          <w:numId w:val="31"/>
        </w:numPr>
        <w:tabs>
          <w:tab w:val="left" w:pos="1356"/>
        </w:tabs>
        <w:ind w:firstLine="620"/>
        <w:jc w:val="both"/>
        <w:rPr>
          <w:sz w:val="24"/>
          <w:szCs w:val="24"/>
        </w:rPr>
      </w:pPr>
      <w:r w:rsidRPr="00737ECE">
        <w:rPr>
          <w:rStyle w:val="ac"/>
          <w:rFonts w:eastAsiaTheme="majorEastAsia"/>
          <w:color w:val="212121"/>
          <w:sz w:val="24"/>
          <w:szCs w:val="24"/>
        </w:rPr>
        <w:t>В послеродовом периоде для профилактики развития АГ тяжелой степени</w:t>
      </w:r>
      <w:r>
        <w:rPr>
          <w:sz w:val="24"/>
          <w:szCs w:val="24"/>
        </w:rPr>
        <w:t xml:space="preserve"> </w:t>
      </w:r>
      <w:r w:rsidRPr="00F66753">
        <w:rPr>
          <w:rStyle w:val="ac"/>
          <w:rFonts w:eastAsiaTheme="majorEastAsia"/>
          <w:color w:val="212121"/>
          <w:sz w:val="24"/>
          <w:szCs w:val="24"/>
        </w:rPr>
        <w:t xml:space="preserve">рекомендована антигипертензивная терапия с учетом противопоказаний в период лактации </w:t>
      </w:r>
      <w:r w:rsidRPr="00F66753">
        <w:rPr>
          <w:rStyle w:val="ac"/>
          <w:rFonts w:eastAsiaTheme="majorEastAsia"/>
          <w:sz w:val="24"/>
          <w:szCs w:val="24"/>
        </w:rPr>
        <w:t>[420, 411, 412].</w:t>
      </w:r>
    </w:p>
    <w:p w14:paraId="6E68FBC0" w14:textId="0FDBA14E" w:rsidR="00F66753" w:rsidRDefault="00F66753" w:rsidP="00F66753">
      <w:pPr>
        <w:pStyle w:val="11"/>
        <w:ind w:firstLine="620"/>
        <w:jc w:val="both"/>
        <w:rPr>
          <w:rStyle w:val="ac"/>
          <w:rFonts w:eastAsiaTheme="majorEastAsia"/>
          <w:b/>
          <w:bCs/>
          <w:sz w:val="24"/>
          <w:szCs w:val="24"/>
        </w:rPr>
      </w:pPr>
      <w:r w:rsidRPr="00737EC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63644B">
        <w:rPr>
          <w:rStyle w:val="ac"/>
          <w:rFonts w:eastAsiaTheme="majorEastAsia"/>
          <w:b/>
          <w:bCs/>
          <w:sz w:val="24"/>
          <w:szCs w:val="24"/>
        </w:rPr>
        <w:t xml:space="preserve"> </w:t>
      </w:r>
      <w:r w:rsidRPr="00737ECE">
        <w:rPr>
          <w:rStyle w:val="ac"/>
          <w:rFonts w:eastAsiaTheme="majorEastAsia"/>
          <w:b/>
          <w:bCs/>
          <w:sz w:val="24"/>
          <w:szCs w:val="24"/>
        </w:rPr>
        <w:t xml:space="preserve">С, </w:t>
      </w:r>
      <w:r w:rsidR="0063644B" w:rsidRPr="00737ECE">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737ECE">
        <w:rPr>
          <w:rStyle w:val="ac"/>
          <w:rFonts w:eastAsiaTheme="majorEastAsia"/>
          <w:b/>
          <w:bCs/>
          <w:sz w:val="24"/>
          <w:szCs w:val="24"/>
        </w:rPr>
        <w:t xml:space="preserve"> 5)</w:t>
      </w:r>
      <w:r w:rsidR="0063644B">
        <w:rPr>
          <w:rStyle w:val="ac"/>
          <w:rFonts w:eastAsiaTheme="majorEastAsia"/>
          <w:b/>
          <w:bCs/>
          <w:sz w:val="24"/>
          <w:szCs w:val="24"/>
        </w:rPr>
        <w:t xml:space="preserve">; </w:t>
      </w:r>
      <w:r w:rsidR="0063644B" w:rsidRPr="00737ECE">
        <w:rPr>
          <w:rStyle w:val="ac"/>
          <w:rFonts w:eastAsiaTheme="majorEastAsia"/>
          <w:b/>
          <w:bCs/>
          <w:sz w:val="24"/>
          <w:szCs w:val="24"/>
        </w:rPr>
        <w:t>ЕОК/ЕОАГ нет</w:t>
      </w:r>
      <w:r w:rsidR="009A09B6">
        <w:rPr>
          <w:rStyle w:val="ac"/>
          <w:rFonts w:eastAsiaTheme="majorEastAsia"/>
          <w:b/>
          <w:bCs/>
          <w:sz w:val="24"/>
          <w:szCs w:val="24"/>
        </w:rPr>
        <w:t>.</w:t>
      </w:r>
    </w:p>
    <w:p w14:paraId="2828AFA4" w14:textId="1D013FB4" w:rsidR="0063644B" w:rsidRPr="0063644B" w:rsidRDefault="0063644B" w:rsidP="00F66753">
      <w:pPr>
        <w:pStyle w:val="11"/>
        <w:ind w:firstLine="620"/>
        <w:jc w:val="both"/>
        <w:rPr>
          <w:i/>
          <w:iCs/>
          <w:sz w:val="28"/>
          <w:szCs w:val="28"/>
        </w:rPr>
      </w:pPr>
      <w:r>
        <w:rPr>
          <w:rStyle w:val="ac"/>
          <w:rFonts w:eastAsiaTheme="majorEastAsia"/>
          <w:b/>
          <w:bCs/>
          <w:sz w:val="24"/>
          <w:szCs w:val="24"/>
        </w:rPr>
        <w:t>Комментарии:</w:t>
      </w:r>
      <w:r w:rsidRPr="0063644B">
        <w:t xml:space="preserve"> </w:t>
      </w:r>
      <w:r w:rsidRPr="0063644B">
        <w:rPr>
          <w:i/>
          <w:iCs/>
          <w:sz w:val="24"/>
          <w:szCs w:val="24"/>
        </w:rPr>
        <w:t>адекватный контроль АД в послеродовом периоде снижает риск осложнений у матери и способствует восстановлению здоровья</w:t>
      </w:r>
      <w:r>
        <w:rPr>
          <w:i/>
          <w:iCs/>
          <w:sz w:val="24"/>
          <w:szCs w:val="24"/>
        </w:rPr>
        <w:t>,</w:t>
      </w:r>
      <w:r w:rsidRPr="0063644B">
        <w:rPr>
          <w:i/>
          <w:iCs/>
          <w:sz w:val="24"/>
          <w:szCs w:val="24"/>
        </w:rPr>
        <w:t xml:space="preserve"> важно подбирать антигипертензивные средства, которые безопасны для кормления грудью и не оказывают негативного воздействия на ребёнка</w:t>
      </w:r>
      <w:r>
        <w:rPr>
          <w:i/>
          <w:iCs/>
          <w:sz w:val="24"/>
          <w:szCs w:val="24"/>
        </w:rPr>
        <w:t>,</w:t>
      </w:r>
      <w:r w:rsidRPr="0063644B">
        <w:rPr>
          <w:i/>
          <w:iCs/>
          <w:sz w:val="24"/>
          <w:szCs w:val="24"/>
        </w:rPr>
        <w:t xml:space="preserve"> предпочтение отдают метилдопе, лабеталолу, а также некоторым бета-блокаторам и блокаторам кальциевых каналов, учитывая индивидуальные показания и противопоказания.</w:t>
      </w:r>
    </w:p>
    <w:p w14:paraId="4C8EE4FE" w14:textId="77777777" w:rsidR="00F66753" w:rsidRPr="00737ECE" w:rsidRDefault="00F66753">
      <w:pPr>
        <w:pStyle w:val="11"/>
        <w:numPr>
          <w:ilvl w:val="0"/>
          <w:numId w:val="31"/>
        </w:numPr>
        <w:tabs>
          <w:tab w:val="left" w:pos="1356"/>
        </w:tabs>
        <w:ind w:firstLine="620"/>
        <w:jc w:val="both"/>
        <w:rPr>
          <w:sz w:val="24"/>
          <w:szCs w:val="24"/>
        </w:rPr>
      </w:pPr>
      <w:r w:rsidRPr="00737ECE">
        <w:rPr>
          <w:rStyle w:val="ac"/>
          <w:rFonts w:eastAsiaTheme="majorEastAsia"/>
          <w:sz w:val="24"/>
          <w:szCs w:val="24"/>
        </w:rPr>
        <w:t>В послеродовом периоде при тяжелой АГ рекомендована антигипертензивная</w:t>
      </w:r>
    </w:p>
    <w:p w14:paraId="20F3C203" w14:textId="77777777" w:rsidR="00F66753" w:rsidRPr="00737ECE" w:rsidRDefault="00F66753" w:rsidP="00F66753">
      <w:pPr>
        <w:pStyle w:val="11"/>
        <w:ind w:firstLine="0"/>
        <w:jc w:val="both"/>
        <w:rPr>
          <w:sz w:val="24"/>
          <w:szCs w:val="24"/>
        </w:rPr>
      </w:pPr>
      <w:r w:rsidRPr="00737ECE">
        <w:rPr>
          <w:rStyle w:val="ac"/>
          <w:rFonts w:eastAsiaTheme="majorEastAsia"/>
          <w:sz w:val="24"/>
          <w:szCs w:val="24"/>
        </w:rPr>
        <w:lastRenderedPageBreak/>
        <w:t>терапия до достижения целевых значений ниже 140/85 мм рт.ст. [420, 411].</w:t>
      </w:r>
    </w:p>
    <w:p w14:paraId="4266A97B" w14:textId="77C7E993" w:rsidR="00F66753" w:rsidRDefault="00F66753" w:rsidP="00F66753">
      <w:pPr>
        <w:pStyle w:val="11"/>
        <w:ind w:firstLine="620"/>
        <w:jc w:val="both"/>
        <w:rPr>
          <w:rStyle w:val="ac"/>
          <w:rFonts w:eastAsiaTheme="majorEastAsia"/>
          <w:b/>
          <w:bCs/>
          <w:sz w:val="24"/>
          <w:szCs w:val="24"/>
        </w:rPr>
      </w:pPr>
      <w:r w:rsidRPr="00737EC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BB5606">
        <w:rPr>
          <w:rStyle w:val="ac"/>
          <w:rFonts w:eastAsiaTheme="majorEastAsia"/>
          <w:b/>
          <w:bCs/>
          <w:sz w:val="24"/>
          <w:szCs w:val="24"/>
        </w:rPr>
        <w:t xml:space="preserve"> </w:t>
      </w:r>
      <w:r w:rsidRPr="00737ECE">
        <w:rPr>
          <w:rStyle w:val="ac"/>
          <w:rFonts w:eastAsiaTheme="majorEastAsia"/>
          <w:b/>
          <w:bCs/>
          <w:sz w:val="24"/>
          <w:szCs w:val="24"/>
        </w:rPr>
        <w:t xml:space="preserve">С, </w:t>
      </w:r>
      <w:r w:rsidR="00BB5606" w:rsidRPr="00737ECE">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737ECE">
        <w:rPr>
          <w:rStyle w:val="ac"/>
          <w:rFonts w:eastAsiaTheme="majorEastAsia"/>
          <w:b/>
          <w:bCs/>
          <w:sz w:val="24"/>
          <w:szCs w:val="24"/>
        </w:rPr>
        <w:t xml:space="preserve"> 5)</w:t>
      </w:r>
      <w:r w:rsidR="00BB5606">
        <w:rPr>
          <w:rStyle w:val="ac"/>
          <w:rFonts w:eastAsiaTheme="majorEastAsia"/>
          <w:b/>
          <w:bCs/>
          <w:sz w:val="24"/>
          <w:szCs w:val="24"/>
        </w:rPr>
        <w:t>;</w:t>
      </w:r>
      <w:r w:rsidR="00BB5606" w:rsidRPr="00BB5606">
        <w:rPr>
          <w:rStyle w:val="ac"/>
          <w:rFonts w:eastAsiaTheme="majorEastAsia"/>
          <w:b/>
          <w:bCs/>
          <w:sz w:val="24"/>
          <w:szCs w:val="24"/>
        </w:rPr>
        <w:t xml:space="preserve"> </w:t>
      </w:r>
      <w:r w:rsidR="00BB5606" w:rsidRPr="00737ECE">
        <w:rPr>
          <w:rStyle w:val="ac"/>
          <w:rFonts w:eastAsiaTheme="majorEastAsia"/>
          <w:b/>
          <w:bCs/>
          <w:sz w:val="24"/>
          <w:szCs w:val="24"/>
        </w:rPr>
        <w:t>ЕОК/ЕОАГ нет</w:t>
      </w:r>
      <w:r w:rsidR="009A09B6">
        <w:rPr>
          <w:rStyle w:val="ac"/>
          <w:rFonts w:eastAsiaTheme="majorEastAsia"/>
          <w:b/>
          <w:bCs/>
          <w:sz w:val="24"/>
          <w:szCs w:val="24"/>
        </w:rPr>
        <w:t>.</w:t>
      </w:r>
    </w:p>
    <w:p w14:paraId="6A3C9ACE" w14:textId="57E4BF95" w:rsidR="00BB5606" w:rsidRPr="00BB5606" w:rsidRDefault="00BB5606" w:rsidP="00F66753">
      <w:pPr>
        <w:pStyle w:val="11"/>
        <w:ind w:firstLine="620"/>
        <w:jc w:val="both"/>
        <w:rPr>
          <w:i/>
          <w:iCs/>
          <w:sz w:val="28"/>
          <w:szCs w:val="28"/>
        </w:rPr>
      </w:pPr>
      <w:r>
        <w:rPr>
          <w:rStyle w:val="ac"/>
          <w:rFonts w:eastAsiaTheme="majorEastAsia"/>
          <w:b/>
          <w:bCs/>
          <w:sz w:val="24"/>
          <w:szCs w:val="24"/>
        </w:rPr>
        <w:t>Комментарии:</w:t>
      </w:r>
      <w:r w:rsidRPr="00BB5606">
        <w:t xml:space="preserve"> </w:t>
      </w:r>
      <w:r w:rsidRPr="00BB5606">
        <w:rPr>
          <w:i/>
          <w:iCs/>
          <w:sz w:val="24"/>
          <w:szCs w:val="24"/>
        </w:rPr>
        <w:t xml:space="preserve">контроль давления на уровне ниже 140/85 мм рт. ст. снижает риск осложнений и способствует восстановлению сердечно-сосудистой системы после родов. достижение стабильного и безопасного уровня АД для предотвращения гипертонических кризов и других осложнений. </w:t>
      </w:r>
    </w:p>
    <w:p w14:paraId="7780BCF4" w14:textId="77777777" w:rsidR="00F66753" w:rsidRPr="00737ECE" w:rsidRDefault="00F66753">
      <w:pPr>
        <w:pStyle w:val="11"/>
        <w:numPr>
          <w:ilvl w:val="0"/>
          <w:numId w:val="31"/>
        </w:numPr>
        <w:tabs>
          <w:tab w:val="left" w:pos="1356"/>
        </w:tabs>
        <w:ind w:firstLine="620"/>
        <w:jc w:val="both"/>
        <w:rPr>
          <w:sz w:val="24"/>
          <w:szCs w:val="24"/>
        </w:rPr>
      </w:pPr>
      <w:r w:rsidRPr="00737ECE">
        <w:rPr>
          <w:rStyle w:val="ac"/>
          <w:rFonts w:eastAsiaTheme="majorEastAsia"/>
          <w:color w:val="212121"/>
          <w:sz w:val="24"/>
          <w:szCs w:val="24"/>
        </w:rPr>
        <w:t>В период лактации в качестве антигипертензивной терапии рекомендовано</w:t>
      </w:r>
    </w:p>
    <w:p w14:paraId="20DDE4B6" w14:textId="77777777" w:rsidR="00F66753" w:rsidRPr="00737ECE" w:rsidRDefault="00F66753" w:rsidP="00F66753">
      <w:pPr>
        <w:pStyle w:val="11"/>
        <w:ind w:firstLine="0"/>
        <w:jc w:val="both"/>
        <w:rPr>
          <w:sz w:val="24"/>
          <w:szCs w:val="24"/>
        </w:rPr>
      </w:pPr>
      <w:r w:rsidRPr="00737ECE">
        <w:rPr>
          <w:rStyle w:val="ac"/>
          <w:rFonts w:eastAsiaTheme="majorEastAsia"/>
          <w:color w:val="212121"/>
          <w:sz w:val="24"/>
          <w:szCs w:val="24"/>
        </w:rPr>
        <w:t xml:space="preserve">назначать #нифедипин** </w:t>
      </w:r>
      <w:r w:rsidRPr="00737ECE">
        <w:rPr>
          <w:rStyle w:val="ac"/>
          <w:rFonts w:eastAsiaTheme="majorEastAsia"/>
          <w:sz w:val="24"/>
          <w:szCs w:val="24"/>
        </w:rPr>
        <w:t xml:space="preserve">с замедленным высвобождением лекарственного вещества </w:t>
      </w:r>
      <w:r w:rsidRPr="00737ECE">
        <w:rPr>
          <w:rStyle w:val="ac"/>
          <w:rFonts w:eastAsiaTheme="majorEastAsia"/>
          <w:color w:val="212121"/>
          <w:sz w:val="24"/>
          <w:szCs w:val="24"/>
        </w:rPr>
        <w:t>и</w:t>
      </w:r>
      <w:r>
        <w:rPr>
          <w:sz w:val="24"/>
          <w:szCs w:val="24"/>
        </w:rPr>
        <w:t xml:space="preserve"> </w:t>
      </w:r>
      <w:r w:rsidRPr="00737ECE">
        <w:rPr>
          <w:rStyle w:val="ac"/>
          <w:rFonts w:eastAsiaTheme="majorEastAsia"/>
          <w:color w:val="212121"/>
          <w:sz w:val="24"/>
          <w:szCs w:val="24"/>
        </w:rPr>
        <w:t>метилдопу** [429, 12, 412].</w:t>
      </w:r>
    </w:p>
    <w:p w14:paraId="7B9BEE8F" w14:textId="4B58AE1A" w:rsidR="00F66753" w:rsidRPr="00737ECE" w:rsidRDefault="00F66753" w:rsidP="00F66753">
      <w:pPr>
        <w:pStyle w:val="11"/>
        <w:ind w:firstLine="600"/>
        <w:jc w:val="both"/>
        <w:rPr>
          <w:sz w:val="24"/>
          <w:szCs w:val="24"/>
        </w:rPr>
      </w:pPr>
      <w:r w:rsidRPr="00737ECE">
        <w:rPr>
          <w:rStyle w:val="ac"/>
          <w:rFonts w:eastAsiaTheme="majorEastAsia"/>
          <w:b/>
          <w:bCs/>
          <w:sz w:val="24"/>
          <w:szCs w:val="24"/>
        </w:rPr>
        <w:t xml:space="preserve"> </w:t>
      </w:r>
      <w:r w:rsidR="009579CA">
        <w:rPr>
          <w:rStyle w:val="ac"/>
          <w:rFonts w:eastAsiaTheme="majorEastAsia"/>
          <w:b/>
          <w:bCs/>
          <w:sz w:val="24"/>
          <w:szCs w:val="24"/>
        </w:rPr>
        <w:t>Уровень убедительности рекомендаций С</w:t>
      </w:r>
      <w:r w:rsidRPr="00737ECE">
        <w:rPr>
          <w:rStyle w:val="ac"/>
          <w:rFonts w:eastAsiaTheme="majorEastAsia"/>
          <w:b/>
          <w:bCs/>
          <w:sz w:val="24"/>
          <w:szCs w:val="24"/>
        </w:rPr>
        <w:t xml:space="preserve">, </w:t>
      </w:r>
      <w:r w:rsidR="009579CA" w:rsidRPr="00737ECE">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737ECE">
        <w:rPr>
          <w:rStyle w:val="ac"/>
          <w:rFonts w:eastAsiaTheme="majorEastAsia"/>
          <w:b/>
          <w:bCs/>
          <w:sz w:val="24"/>
          <w:szCs w:val="24"/>
        </w:rPr>
        <w:t xml:space="preserve"> 5)</w:t>
      </w:r>
      <w:r w:rsidR="009579CA">
        <w:rPr>
          <w:rStyle w:val="ac"/>
          <w:rFonts w:eastAsiaTheme="majorEastAsia"/>
          <w:b/>
          <w:bCs/>
          <w:sz w:val="24"/>
          <w:szCs w:val="24"/>
        </w:rPr>
        <w:t>;</w:t>
      </w:r>
      <w:r w:rsidR="009579CA" w:rsidRPr="009579CA">
        <w:rPr>
          <w:rStyle w:val="ac"/>
          <w:rFonts w:eastAsiaTheme="majorEastAsia"/>
          <w:b/>
          <w:bCs/>
          <w:sz w:val="24"/>
          <w:szCs w:val="24"/>
        </w:rPr>
        <w:t xml:space="preserve"> </w:t>
      </w:r>
      <w:r w:rsidR="009579CA" w:rsidRPr="00737ECE">
        <w:rPr>
          <w:rStyle w:val="ac"/>
          <w:rFonts w:eastAsiaTheme="majorEastAsia"/>
          <w:b/>
          <w:bCs/>
          <w:sz w:val="24"/>
          <w:szCs w:val="24"/>
        </w:rPr>
        <w:t>ЕОК/ЕОАГ нет</w:t>
      </w:r>
      <w:r w:rsidR="009A09B6">
        <w:rPr>
          <w:rStyle w:val="ac"/>
          <w:rFonts w:eastAsiaTheme="majorEastAsia"/>
          <w:b/>
          <w:bCs/>
          <w:sz w:val="24"/>
          <w:szCs w:val="24"/>
        </w:rPr>
        <w:t>.</w:t>
      </w:r>
    </w:p>
    <w:p w14:paraId="281BD8FD" w14:textId="77777777" w:rsidR="00F66753" w:rsidRPr="00737ECE" w:rsidRDefault="00F66753" w:rsidP="00F66753">
      <w:pPr>
        <w:pStyle w:val="11"/>
        <w:ind w:firstLine="620"/>
        <w:jc w:val="both"/>
        <w:rPr>
          <w:sz w:val="24"/>
          <w:szCs w:val="24"/>
        </w:rPr>
      </w:pPr>
      <w:r w:rsidRPr="00737ECE">
        <w:rPr>
          <w:rStyle w:val="ac"/>
          <w:rFonts w:eastAsiaTheme="majorEastAsia"/>
          <w:b/>
          <w:bCs/>
          <w:sz w:val="24"/>
          <w:szCs w:val="24"/>
        </w:rPr>
        <w:t xml:space="preserve">Комментарии. </w:t>
      </w:r>
      <w:r w:rsidRPr="00737ECE">
        <w:rPr>
          <w:rStyle w:val="ac"/>
          <w:rFonts w:eastAsiaTheme="majorEastAsia"/>
          <w:i/>
          <w:iCs/>
          <w:sz w:val="24"/>
          <w:szCs w:val="24"/>
        </w:rPr>
        <w:t xml:space="preserve">#Нифедипин** с замедленным высвобождением лекарственного вещества назначается в дозах 20 мг 2 раза в сутки внутрь, не разжевывая, или 30-60 мг 1 раз в сутки </w:t>
      </w:r>
      <w:r w:rsidRPr="00737ECE">
        <w:rPr>
          <w:rStyle w:val="ac"/>
          <w:rFonts w:eastAsiaTheme="majorEastAsia"/>
          <w:sz w:val="24"/>
          <w:szCs w:val="24"/>
        </w:rPr>
        <w:t>[412]</w:t>
      </w:r>
      <w:r w:rsidRPr="00737ECE">
        <w:rPr>
          <w:rStyle w:val="ac"/>
          <w:rFonts w:eastAsiaTheme="majorEastAsia"/>
          <w:i/>
          <w:iCs/>
          <w:sz w:val="24"/>
          <w:szCs w:val="24"/>
        </w:rPr>
        <w:t xml:space="preserve">. Следует иметь в виду, что в послеродовом периоде назначение метилдопы** может вызывать развитие депрессивных состояний. При неэффективности вышеуказанной схемы рекомендовано добавить к ней метопролол** (имеет низкий процент проникновения в грудное молоко менее 2%), либо заменить один из используемых препаратов на другие в соответствии с инструкцией. </w:t>
      </w:r>
      <w:r w:rsidRPr="00737ECE">
        <w:rPr>
          <w:rStyle w:val="ac"/>
          <w:rFonts w:eastAsiaTheme="majorEastAsia"/>
          <w:i/>
          <w:iCs/>
          <w:color w:val="212121"/>
          <w:sz w:val="24"/>
          <w:szCs w:val="24"/>
        </w:rPr>
        <w:t>При лактации не рекомендовано назначение диуретиков, так как они могут снижать уровень лактации</w:t>
      </w:r>
      <w:r w:rsidRPr="00737ECE">
        <w:rPr>
          <w:rStyle w:val="ac"/>
          <w:rFonts w:eastAsiaTheme="majorEastAsia"/>
          <w:color w:val="212121"/>
          <w:sz w:val="24"/>
          <w:szCs w:val="24"/>
        </w:rPr>
        <w:t xml:space="preserve"> [430]</w:t>
      </w:r>
      <w:r w:rsidRPr="00737ECE">
        <w:rPr>
          <w:rStyle w:val="ac"/>
          <w:rFonts w:eastAsiaTheme="majorEastAsia"/>
          <w:i/>
          <w:iCs/>
          <w:color w:val="212121"/>
          <w:sz w:val="24"/>
          <w:szCs w:val="24"/>
        </w:rPr>
        <w:t>.</w:t>
      </w:r>
    </w:p>
    <w:p w14:paraId="4F603142" w14:textId="77777777" w:rsidR="00F66753" w:rsidRPr="00F66753" w:rsidRDefault="00F66753" w:rsidP="00F66753">
      <w:pPr>
        <w:pStyle w:val="11"/>
        <w:tabs>
          <w:tab w:val="left" w:pos="1373"/>
        </w:tabs>
        <w:ind w:firstLine="0"/>
        <w:jc w:val="center"/>
        <w:rPr>
          <w:sz w:val="24"/>
          <w:szCs w:val="24"/>
        </w:rPr>
      </w:pPr>
      <w:bookmarkStart w:id="57" w:name="bookmark45"/>
      <w:r w:rsidRPr="00F66753">
        <w:rPr>
          <w:rStyle w:val="ac"/>
          <w:rFonts w:eastAsiaTheme="majorEastAsia"/>
          <w:b/>
          <w:bCs/>
          <w:sz w:val="24"/>
          <w:szCs w:val="24"/>
        </w:rPr>
        <w:t>Препараты для оральной контрацепции и менопаузальной гормональной терапии и артериальная гипертензия</w:t>
      </w:r>
      <w:bookmarkEnd w:id="57"/>
    </w:p>
    <w:p w14:paraId="384E9887" w14:textId="77777777" w:rsidR="00F66753" w:rsidRPr="00737ECE" w:rsidRDefault="00F66753" w:rsidP="00F66753">
      <w:pPr>
        <w:pStyle w:val="11"/>
        <w:tabs>
          <w:tab w:val="left" w:pos="1316"/>
        </w:tabs>
        <w:ind w:firstLine="620"/>
        <w:jc w:val="both"/>
        <w:rPr>
          <w:sz w:val="24"/>
          <w:szCs w:val="24"/>
        </w:rPr>
      </w:pPr>
      <w:r w:rsidRPr="00737ECE">
        <w:rPr>
          <w:rStyle w:val="ac"/>
          <w:rFonts w:eastAsia="Arial"/>
          <w:sz w:val="24"/>
          <w:szCs w:val="24"/>
        </w:rPr>
        <w:t>•</w:t>
      </w:r>
      <w:r w:rsidRPr="00737ECE">
        <w:rPr>
          <w:rStyle w:val="ac"/>
          <w:rFonts w:eastAsia="Arial"/>
          <w:sz w:val="24"/>
          <w:szCs w:val="24"/>
        </w:rPr>
        <w:tab/>
      </w:r>
      <w:r w:rsidRPr="00737ECE">
        <w:rPr>
          <w:rStyle w:val="ac"/>
          <w:rFonts w:eastAsiaTheme="majorEastAsia"/>
          <w:sz w:val="24"/>
          <w:szCs w:val="24"/>
        </w:rPr>
        <w:t>Не рекомендуется применять гормональные контрацептивы системного действия</w:t>
      </w:r>
      <w:r>
        <w:rPr>
          <w:sz w:val="24"/>
          <w:szCs w:val="24"/>
        </w:rPr>
        <w:t xml:space="preserve"> </w:t>
      </w:r>
      <w:r w:rsidRPr="00737ECE">
        <w:rPr>
          <w:rStyle w:val="ac"/>
          <w:rFonts w:eastAsiaTheme="majorEastAsia"/>
          <w:sz w:val="24"/>
          <w:szCs w:val="24"/>
        </w:rPr>
        <w:t>женщинам с недостижением целевых значений АД [431, 432].</w:t>
      </w:r>
    </w:p>
    <w:p w14:paraId="3A3E4DEF" w14:textId="241C0579" w:rsidR="00F66753" w:rsidRPr="00737ECE" w:rsidRDefault="003D51B3" w:rsidP="00F66753">
      <w:pPr>
        <w:pStyle w:val="11"/>
        <w:ind w:firstLine="600"/>
        <w:jc w:val="both"/>
        <w:rPr>
          <w:sz w:val="24"/>
          <w:szCs w:val="24"/>
        </w:rPr>
      </w:pPr>
      <w:r>
        <w:rPr>
          <w:rStyle w:val="ac"/>
          <w:rFonts w:eastAsiaTheme="majorEastAsia"/>
          <w:b/>
          <w:bCs/>
          <w:sz w:val="24"/>
          <w:szCs w:val="24"/>
        </w:rPr>
        <w:t xml:space="preserve">Уровень убедительности </w:t>
      </w:r>
      <w:r w:rsidR="009579CA">
        <w:rPr>
          <w:rStyle w:val="ac"/>
          <w:rFonts w:eastAsiaTheme="majorEastAsia"/>
          <w:b/>
          <w:bCs/>
          <w:sz w:val="24"/>
          <w:szCs w:val="24"/>
        </w:rPr>
        <w:t>рекомендаций B</w:t>
      </w:r>
      <w:r w:rsidR="00F66753" w:rsidRPr="00737ECE">
        <w:rPr>
          <w:rStyle w:val="ac"/>
          <w:rFonts w:eastAsiaTheme="majorEastAsia"/>
          <w:b/>
          <w:bCs/>
          <w:sz w:val="24"/>
          <w:szCs w:val="24"/>
        </w:rPr>
        <w:t xml:space="preserve">, </w:t>
      </w:r>
      <w:r w:rsidR="009579CA" w:rsidRPr="00737ECE">
        <w:rPr>
          <w:rStyle w:val="ac"/>
          <w:rFonts w:eastAsiaTheme="majorEastAsia"/>
          <w:sz w:val="24"/>
          <w:szCs w:val="24"/>
        </w:rPr>
        <w:t>(</w:t>
      </w:r>
      <w:r>
        <w:rPr>
          <w:rStyle w:val="ac"/>
          <w:rFonts w:eastAsiaTheme="majorEastAsia"/>
          <w:b/>
          <w:bCs/>
          <w:sz w:val="24"/>
          <w:szCs w:val="24"/>
        </w:rPr>
        <w:t>Уровень достоверности доказательств</w:t>
      </w:r>
      <w:r w:rsidR="00F66753" w:rsidRPr="00737ECE">
        <w:rPr>
          <w:rStyle w:val="ac"/>
          <w:rFonts w:eastAsiaTheme="majorEastAsia"/>
          <w:b/>
          <w:bCs/>
          <w:sz w:val="24"/>
          <w:szCs w:val="24"/>
        </w:rPr>
        <w:t xml:space="preserve"> 3</w:t>
      </w:r>
      <w:r w:rsidR="009579CA" w:rsidRPr="00737ECE">
        <w:rPr>
          <w:rStyle w:val="ac"/>
          <w:rFonts w:eastAsiaTheme="majorEastAsia"/>
          <w:b/>
          <w:bCs/>
          <w:sz w:val="24"/>
          <w:szCs w:val="24"/>
        </w:rPr>
        <w:t>)</w:t>
      </w:r>
      <w:r w:rsidR="009579CA" w:rsidRPr="009579CA">
        <w:rPr>
          <w:rStyle w:val="ac"/>
          <w:rFonts w:eastAsiaTheme="majorEastAsia"/>
          <w:b/>
          <w:bCs/>
          <w:sz w:val="24"/>
          <w:szCs w:val="24"/>
        </w:rPr>
        <w:t>; ЕОК</w:t>
      </w:r>
      <w:r w:rsidR="009579CA" w:rsidRPr="00737ECE">
        <w:rPr>
          <w:rStyle w:val="ac"/>
          <w:rFonts w:eastAsiaTheme="majorEastAsia"/>
          <w:b/>
          <w:bCs/>
          <w:sz w:val="24"/>
          <w:szCs w:val="24"/>
        </w:rPr>
        <w:t>/ЕОАГ нет</w:t>
      </w:r>
      <w:r w:rsidR="009A09B6">
        <w:rPr>
          <w:rStyle w:val="ac"/>
          <w:rFonts w:eastAsiaTheme="majorEastAsia"/>
          <w:b/>
          <w:bCs/>
          <w:sz w:val="24"/>
          <w:szCs w:val="24"/>
        </w:rPr>
        <w:t>.</w:t>
      </w:r>
    </w:p>
    <w:p w14:paraId="034089F8" w14:textId="77777777" w:rsidR="00F66753" w:rsidRPr="00737ECE" w:rsidRDefault="00F66753" w:rsidP="00F66753">
      <w:pPr>
        <w:pStyle w:val="11"/>
        <w:ind w:firstLine="620"/>
        <w:jc w:val="both"/>
        <w:rPr>
          <w:sz w:val="24"/>
          <w:szCs w:val="24"/>
        </w:rPr>
      </w:pPr>
      <w:r w:rsidRPr="00737ECE">
        <w:rPr>
          <w:rStyle w:val="ac"/>
          <w:rFonts w:eastAsiaTheme="majorEastAsia"/>
          <w:b/>
          <w:bCs/>
          <w:sz w:val="24"/>
          <w:szCs w:val="24"/>
        </w:rPr>
        <w:t xml:space="preserve">Комментарии. </w:t>
      </w:r>
      <w:r w:rsidRPr="00737ECE">
        <w:rPr>
          <w:rStyle w:val="ac"/>
          <w:rFonts w:eastAsiaTheme="majorEastAsia"/>
          <w:i/>
          <w:iCs/>
          <w:sz w:val="24"/>
          <w:szCs w:val="24"/>
        </w:rPr>
        <w:t>Комбинированные гормональные контрацептивы системного действия, содержащие эстрогены и прогестины, могут приводить к повышению АД и развитию АГ приблизительно у 5% пациенток</w:t>
      </w:r>
      <w:r w:rsidRPr="00737ECE">
        <w:rPr>
          <w:rStyle w:val="ac"/>
          <w:rFonts w:eastAsiaTheme="majorEastAsia"/>
          <w:sz w:val="24"/>
          <w:szCs w:val="24"/>
        </w:rPr>
        <w:t xml:space="preserve"> [433, 434]</w:t>
      </w:r>
      <w:r w:rsidRPr="00737ECE">
        <w:rPr>
          <w:rStyle w:val="ac"/>
          <w:rFonts w:eastAsiaTheme="majorEastAsia"/>
          <w:i/>
          <w:iCs/>
          <w:sz w:val="24"/>
          <w:szCs w:val="24"/>
        </w:rPr>
        <w:t>. При назначении гормональных контрацептивов системного действия (оральных контрацептивов (ОК)) следует оценивать риски и преимущества, наличие сопутствующих факторов СС риска (особенно курения) у конкретной пациентки. Необходимо тщательно контролировать уровень АД</w:t>
      </w:r>
      <w:r w:rsidRPr="00737ECE">
        <w:rPr>
          <w:rStyle w:val="ac"/>
          <w:rFonts w:eastAsiaTheme="majorEastAsia"/>
          <w:sz w:val="24"/>
          <w:szCs w:val="24"/>
        </w:rPr>
        <w:t xml:space="preserve"> [435, 436]</w:t>
      </w:r>
      <w:r w:rsidRPr="00737ECE">
        <w:rPr>
          <w:rStyle w:val="ac"/>
          <w:rFonts w:eastAsiaTheme="majorEastAsia"/>
          <w:i/>
          <w:iCs/>
          <w:sz w:val="24"/>
          <w:szCs w:val="24"/>
        </w:rPr>
        <w:t>. Отмена ОК может улучшить контроль АД у женщин с АГ</w:t>
      </w:r>
      <w:r w:rsidRPr="00737ECE">
        <w:rPr>
          <w:rStyle w:val="ac"/>
          <w:rFonts w:eastAsiaTheme="majorEastAsia"/>
          <w:sz w:val="24"/>
          <w:szCs w:val="24"/>
        </w:rPr>
        <w:t xml:space="preserve"> [431]</w:t>
      </w:r>
      <w:r w:rsidRPr="00737ECE">
        <w:rPr>
          <w:rStyle w:val="ac"/>
          <w:rFonts w:eastAsiaTheme="majorEastAsia"/>
          <w:i/>
          <w:iCs/>
          <w:sz w:val="24"/>
          <w:szCs w:val="24"/>
        </w:rPr>
        <w:t xml:space="preserve">. Прием ОК </w:t>
      </w:r>
      <w:r w:rsidRPr="00737ECE">
        <w:rPr>
          <w:rStyle w:val="ac"/>
          <w:rFonts w:eastAsiaTheme="majorEastAsia"/>
          <w:i/>
          <w:iCs/>
          <w:sz w:val="24"/>
          <w:szCs w:val="24"/>
        </w:rPr>
        <w:lastRenderedPageBreak/>
        <w:t>женщинами с АГ диктует необходимость их тщательного выбора и начала приема после сопоставления риска и пользы индивидуально у каждой пациентки.</w:t>
      </w:r>
    </w:p>
    <w:p w14:paraId="5DF98EC9" w14:textId="77777777" w:rsidR="00F66753" w:rsidRDefault="00F66753" w:rsidP="00F66753">
      <w:pPr>
        <w:pStyle w:val="11"/>
        <w:tabs>
          <w:tab w:val="left" w:pos="1368"/>
        </w:tabs>
        <w:ind w:firstLine="0"/>
        <w:jc w:val="both"/>
        <w:rPr>
          <w:rStyle w:val="ac"/>
          <w:rFonts w:eastAsiaTheme="majorEastAsia"/>
          <w:b/>
          <w:bCs/>
          <w:sz w:val="24"/>
          <w:szCs w:val="24"/>
        </w:rPr>
      </w:pPr>
      <w:r w:rsidRPr="00737ECE">
        <w:rPr>
          <w:rStyle w:val="ac"/>
          <w:rFonts w:eastAsiaTheme="majorEastAsia"/>
          <w:i/>
          <w:iCs/>
          <w:sz w:val="24"/>
          <w:szCs w:val="24"/>
        </w:rPr>
        <w:t>Менопаузальная гормональная терапия не противопоказана женщинам с АГ при условии контроля АД с помощью АГП</w:t>
      </w:r>
      <w:r w:rsidRPr="00737ECE">
        <w:rPr>
          <w:rStyle w:val="ac"/>
          <w:rFonts w:eastAsiaTheme="majorEastAsia"/>
          <w:sz w:val="24"/>
          <w:szCs w:val="24"/>
        </w:rPr>
        <w:t xml:space="preserve"> [27, 36]. </w:t>
      </w:r>
      <w:r w:rsidRPr="00737ECE">
        <w:rPr>
          <w:rStyle w:val="ac"/>
          <w:rFonts w:eastAsiaTheme="majorEastAsia"/>
          <w:i/>
          <w:iCs/>
          <w:sz w:val="24"/>
          <w:szCs w:val="24"/>
        </w:rPr>
        <w:t>Женщина в перименопаузальном периоде должна направляться на консультацию к гинекологу для обследования и принятия решения о необходимости назначения менопаузальной гормональной терапии. Применение эстрогенов в период перименопаузы и ранней постменопаузы позволяет снизить риск развития сердечно</w:t>
      </w:r>
      <w:r w:rsidRPr="00737ECE">
        <w:rPr>
          <w:rStyle w:val="ac"/>
          <w:rFonts w:eastAsiaTheme="majorEastAsia"/>
          <w:i/>
          <w:iCs/>
          <w:sz w:val="24"/>
          <w:szCs w:val="24"/>
        </w:rPr>
        <w:softHyphen/>
        <w:t>сосудистых заболеваний на 20–50%. Ведение таких женщин должно осуществляться мультидисциплинарной командой специалистов: врачом-кардиологом, врачом акушером- гинекологом и другими при необходимости</w:t>
      </w:r>
      <w:r w:rsidRPr="00737ECE">
        <w:rPr>
          <w:rStyle w:val="ac"/>
          <w:rFonts w:eastAsiaTheme="majorEastAsia"/>
          <w:sz w:val="24"/>
          <w:szCs w:val="24"/>
        </w:rPr>
        <w:t xml:space="preserve"> [437, 128]</w:t>
      </w:r>
      <w:r w:rsidRPr="00737ECE">
        <w:rPr>
          <w:rStyle w:val="ac"/>
          <w:rFonts w:eastAsiaTheme="majorEastAsia"/>
          <w:i/>
          <w:iCs/>
          <w:sz w:val="24"/>
          <w:szCs w:val="24"/>
        </w:rPr>
        <w:t>.</w:t>
      </w:r>
      <w:bookmarkStart w:id="58" w:name="bookmark46"/>
      <w:r w:rsidRPr="00F66753">
        <w:rPr>
          <w:rStyle w:val="ac"/>
          <w:rFonts w:eastAsiaTheme="majorEastAsia"/>
          <w:b/>
          <w:bCs/>
          <w:sz w:val="24"/>
          <w:szCs w:val="24"/>
        </w:rPr>
        <w:t xml:space="preserve"> </w:t>
      </w:r>
    </w:p>
    <w:p w14:paraId="49E7AEDB" w14:textId="77777777" w:rsidR="00F66753" w:rsidRDefault="00F66753" w:rsidP="00F66753">
      <w:pPr>
        <w:pStyle w:val="11"/>
        <w:tabs>
          <w:tab w:val="left" w:pos="1368"/>
        </w:tabs>
        <w:ind w:firstLine="0"/>
        <w:jc w:val="center"/>
        <w:rPr>
          <w:sz w:val="24"/>
          <w:szCs w:val="24"/>
        </w:rPr>
      </w:pPr>
      <w:r w:rsidRPr="00F66753">
        <w:rPr>
          <w:rStyle w:val="ac"/>
          <w:rFonts w:eastAsiaTheme="majorEastAsia"/>
          <w:b/>
          <w:bCs/>
          <w:sz w:val="24"/>
          <w:szCs w:val="24"/>
        </w:rPr>
        <w:t>Артериальная гипертензия и эректильная дисфункция</w:t>
      </w:r>
      <w:bookmarkEnd w:id="58"/>
    </w:p>
    <w:p w14:paraId="582BDF60" w14:textId="77777777" w:rsidR="00F66753" w:rsidRPr="00737ECE" w:rsidRDefault="00F66753" w:rsidP="00F66753">
      <w:pPr>
        <w:pStyle w:val="11"/>
        <w:tabs>
          <w:tab w:val="left" w:pos="709"/>
        </w:tabs>
        <w:ind w:firstLine="0"/>
        <w:jc w:val="both"/>
        <w:rPr>
          <w:sz w:val="24"/>
          <w:szCs w:val="24"/>
        </w:rPr>
      </w:pPr>
      <w:r>
        <w:rPr>
          <w:rStyle w:val="ac"/>
          <w:rFonts w:eastAsiaTheme="majorEastAsia"/>
          <w:sz w:val="24"/>
          <w:szCs w:val="24"/>
        </w:rPr>
        <w:tab/>
      </w:r>
      <w:r w:rsidRPr="00737ECE">
        <w:rPr>
          <w:rStyle w:val="ac"/>
          <w:rFonts w:eastAsiaTheme="majorEastAsia"/>
          <w:sz w:val="24"/>
          <w:szCs w:val="24"/>
        </w:rPr>
        <w:t>Всем пациентам с АГ и наличием эректильной дисфункции (ЭД) для коррекцииэректильной дисфункции рекомендовано назначение ингибиторов фосфодиэстеразы (АТХ «Препараты для лечения эректильной дисфункции»), даже тем из них, которые получают несколько АГП (за исключением альфа-адреноблокаторов и органических нитратов в связи с опасностью ортостатической гипотонии) [438, 439].</w:t>
      </w:r>
    </w:p>
    <w:p w14:paraId="26253B38" w14:textId="620AA741" w:rsidR="00F66753" w:rsidRPr="00737ECE" w:rsidRDefault="00F66753" w:rsidP="00F66753">
      <w:pPr>
        <w:pStyle w:val="11"/>
        <w:ind w:firstLine="600"/>
        <w:jc w:val="both"/>
        <w:rPr>
          <w:sz w:val="24"/>
          <w:szCs w:val="24"/>
        </w:rPr>
      </w:pPr>
      <w:r w:rsidRPr="00737EC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9579CA">
        <w:rPr>
          <w:rStyle w:val="ac"/>
          <w:rFonts w:eastAsiaTheme="majorEastAsia"/>
          <w:b/>
          <w:bCs/>
          <w:sz w:val="24"/>
          <w:szCs w:val="24"/>
        </w:rPr>
        <w:t xml:space="preserve"> </w:t>
      </w:r>
      <w:r w:rsidRPr="00737ECE">
        <w:rPr>
          <w:rStyle w:val="ac"/>
          <w:rFonts w:eastAsiaTheme="majorEastAsia"/>
          <w:b/>
          <w:bCs/>
          <w:sz w:val="24"/>
          <w:szCs w:val="24"/>
          <w:lang w:val="en-US"/>
        </w:rPr>
        <w:t>B</w:t>
      </w:r>
      <w:r w:rsidRPr="00737ECE">
        <w:rPr>
          <w:rStyle w:val="ac"/>
          <w:rFonts w:eastAsiaTheme="majorEastAsia"/>
          <w:b/>
          <w:bCs/>
          <w:sz w:val="24"/>
          <w:szCs w:val="24"/>
        </w:rPr>
        <w:t xml:space="preserve">, </w:t>
      </w:r>
      <w:r w:rsidR="009579CA" w:rsidRPr="00737ECE">
        <w:rPr>
          <w:rStyle w:val="ac"/>
          <w:rFonts w:eastAsiaTheme="majorEastAsia"/>
          <w:sz w:val="24"/>
          <w:szCs w:val="24"/>
        </w:rPr>
        <w:t>(</w:t>
      </w:r>
      <w:r w:rsidR="003D51B3">
        <w:rPr>
          <w:rStyle w:val="ac"/>
          <w:rFonts w:eastAsiaTheme="majorEastAsia"/>
          <w:b/>
          <w:bCs/>
          <w:sz w:val="24"/>
          <w:szCs w:val="24"/>
        </w:rPr>
        <w:t>Уровень достоверности доказательств</w:t>
      </w:r>
      <w:r w:rsidRPr="00737ECE">
        <w:rPr>
          <w:rStyle w:val="ac"/>
          <w:rFonts w:eastAsiaTheme="majorEastAsia"/>
          <w:b/>
          <w:bCs/>
          <w:sz w:val="24"/>
          <w:szCs w:val="24"/>
        </w:rPr>
        <w:t xml:space="preserve"> 2</w:t>
      </w:r>
      <w:r w:rsidR="009579CA" w:rsidRPr="00737ECE">
        <w:rPr>
          <w:rStyle w:val="ac"/>
          <w:rFonts w:eastAsiaTheme="majorEastAsia"/>
          <w:b/>
          <w:bCs/>
          <w:sz w:val="24"/>
          <w:szCs w:val="24"/>
        </w:rPr>
        <w:t>)</w:t>
      </w:r>
      <w:r w:rsidR="009579CA" w:rsidRPr="009579CA">
        <w:rPr>
          <w:rStyle w:val="ac"/>
          <w:rFonts w:eastAsiaTheme="majorEastAsia"/>
          <w:b/>
          <w:bCs/>
          <w:sz w:val="24"/>
          <w:szCs w:val="24"/>
        </w:rPr>
        <w:t>;</w:t>
      </w:r>
      <w:r w:rsidR="009579CA">
        <w:rPr>
          <w:rStyle w:val="ac"/>
          <w:rFonts w:eastAsiaTheme="majorEastAsia"/>
          <w:b/>
          <w:bCs/>
          <w:sz w:val="24"/>
          <w:szCs w:val="24"/>
        </w:rPr>
        <w:t xml:space="preserve"> </w:t>
      </w:r>
      <w:r w:rsidR="009579CA" w:rsidRPr="00737ECE">
        <w:rPr>
          <w:rStyle w:val="ac"/>
          <w:rFonts w:eastAsiaTheme="majorEastAsia"/>
          <w:b/>
          <w:bCs/>
          <w:sz w:val="24"/>
          <w:szCs w:val="24"/>
        </w:rPr>
        <w:t>ЕОК/ЕОАГ нет</w:t>
      </w:r>
      <w:r w:rsidR="009A09B6">
        <w:rPr>
          <w:rStyle w:val="ac"/>
          <w:rFonts w:eastAsiaTheme="majorEastAsia"/>
          <w:b/>
          <w:bCs/>
          <w:sz w:val="24"/>
          <w:szCs w:val="24"/>
        </w:rPr>
        <w:t>.</w:t>
      </w:r>
    </w:p>
    <w:p w14:paraId="7D5DA8E9" w14:textId="77777777" w:rsidR="00F66753" w:rsidRDefault="00F66753" w:rsidP="00F66753">
      <w:pPr>
        <w:pStyle w:val="11"/>
        <w:ind w:firstLine="0"/>
        <w:jc w:val="both"/>
        <w:rPr>
          <w:sz w:val="24"/>
          <w:szCs w:val="24"/>
        </w:rPr>
      </w:pPr>
      <w:r w:rsidRPr="00F66753">
        <w:rPr>
          <w:rStyle w:val="ac"/>
          <w:rFonts w:eastAsiaTheme="majorEastAsia"/>
          <w:b/>
          <w:bCs/>
          <w:sz w:val="24"/>
          <w:szCs w:val="24"/>
        </w:rPr>
        <w:t>Комментарии.</w:t>
      </w:r>
      <w:r w:rsidRPr="00737ECE">
        <w:rPr>
          <w:rStyle w:val="ac"/>
          <w:rFonts w:eastAsiaTheme="majorEastAsia"/>
          <w:b/>
          <w:bCs/>
          <w:i/>
          <w:iCs/>
          <w:sz w:val="24"/>
          <w:szCs w:val="24"/>
        </w:rPr>
        <w:t xml:space="preserve"> </w:t>
      </w:r>
      <w:r w:rsidRPr="00737ECE">
        <w:rPr>
          <w:rStyle w:val="ac"/>
          <w:rFonts w:eastAsiaTheme="majorEastAsia"/>
          <w:i/>
          <w:iCs/>
          <w:sz w:val="24"/>
          <w:szCs w:val="24"/>
        </w:rPr>
        <w:t>ЭД у мужчин с АГ встречается чаще, чем у лиц с нормальным АД. ЭД считается независимым ФР сердечно-сосудистых событий и смертности, ассоциированным с ПОМ. Сбор анамнеза у пациентов АГ должен включать оценку половой функции. Изменение (оздоровление) образа жизни может уменьшить степень ЭД. Современные препараты (БРА, ИАПФ, АК и альфа- и бета-адреноблокаторы) не влияют на эректильную функцию. Адекватный контроль АГ способствует ее улучшению.</w:t>
      </w:r>
      <w:bookmarkStart w:id="59" w:name="bookmark47"/>
    </w:p>
    <w:p w14:paraId="0D25DD1F" w14:textId="77777777" w:rsidR="00F66753" w:rsidRPr="00F66753" w:rsidRDefault="00F66753" w:rsidP="00AE072B">
      <w:pPr>
        <w:pStyle w:val="11"/>
        <w:ind w:firstLine="0"/>
        <w:jc w:val="center"/>
        <w:rPr>
          <w:sz w:val="24"/>
          <w:szCs w:val="24"/>
        </w:rPr>
      </w:pPr>
      <w:r w:rsidRPr="00F66753">
        <w:rPr>
          <w:rStyle w:val="ac"/>
          <w:rFonts w:eastAsiaTheme="majorEastAsia"/>
          <w:b/>
          <w:bCs/>
          <w:sz w:val="24"/>
          <w:szCs w:val="24"/>
        </w:rPr>
        <w:t>Артериальная гипертензия и противоопухолевая терапия</w:t>
      </w:r>
      <w:bookmarkEnd w:id="59"/>
    </w:p>
    <w:p w14:paraId="00A0A616" w14:textId="77777777" w:rsidR="00F66753" w:rsidRPr="00F66753" w:rsidRDefault="00F66753" w:rsidP="00AE072B">
      <w:pPr>
        <w:pStyle w:val="11"/>
        <w:ind w:firstLine="0"/>
        <w:jc w:val="center"/>
        <w:rPr>
          <w:sz w:val="24"/>
          <w:szCs w:val="24"/>
        </w:rPr>
      </w:pPr>
      <w:r w:rsidRPr="00F66753">
        <w:rPr>
          <w:rStyle w:val="ac"/>
          <w:rFonts w:eastAsiaTheme="majorEastAsia"/>
          <w:b/>
          <w:bCs/>
          <w:sz w:val="24"/>
          <w:szCs w:val="24"/>
        </w:rPr>
        <w:t xml:space="preserve">Взаимосвязи АГ и </w:t>
      </w:r>
      <w:r>
        <w:rPr>
          <w:rStyle w:val="ac"/>
          <w:rFonts w:eastAsiaTheme="majorEastAsia"/>
          <w:b/>
          <w:bCs/>
          <w:sz w:val="24"/>
          <w:szCs w:val="24"/>
        </w:rPr>
        <w:t>онкологических заболеваний</w:t>
      </w:r>
    </w:p>
    <w:p w14:paraId="2E1059D5" w14:textId="77777777" w:rsidR="00F66753" w:rsidRPr="00737ECE" w:rsidRDefault="00F66753" w:rsidP="00F66753">
      <w:pPr>
        <w:pStyle w:val="11"/>
        <w:ind w:firstLine="600"/>
        <w:jc w:val="both"/>
        <w:rPr>
          <w:sz w:val="24"/>
          <w:szCs w:val="24"/>
        </w:rPr>
      </w:pPr>
      <w:r w:rsidRPr="00737ECE">
        <w:rPr>
          <w:rStyle w:val="ac"/>
          <w:rFonts w:eastAsiaTheme="majorEastAsia"/>
          <w:sz w:val="24"/>
          <w:szCs w:val="24"/>
        </w:rPr>
        <w:t xml:space="preserve">АГ является наиболее частым сопутствующим ССЗ по данным онкологических регистров, при этом повышение АД выявляется более чем у трети пациентов [440]. Это может быть связано с высокой распространенностью АГ в той возрастной категории, в которой наиболее часто встречаются и онкологические заболевания. Одновременно АГ может быть обусловлена прессорным эффектом как противоопухолевой терапии (ингибиторы </w:t>
      </w:r>
      <w:r w:rsidRPr="00737ECE">
        <w:rPr>
          <w:rStyle w:val="ac"/>
          <w:rFonts w:eastAsiaTheme="majorEastAsia"/>
          <w:sz w:val="24"/>
          <w:szCs w:val="24"/>
          <w:lang w:val="en-US"/>
        </w:rPr>
        <w:t>VEGFR</w:t>
      </w:r>
      <w:r w:rsidRPr="00737ECE">
        <w:rPr>
          <w:rStyle w:val="ac"/>
          <w:rFonts w:eastAsiaTheme="majorEastAsia"/>
          <w:sz w:val="24"/>
          <w:szCs w:val="24"/>
        </w:rPr>
        <w:t xml:space="preserve">, ингибиторы тирозинкиназы брутона, ибрутиниб**, аналоги пиримидина, цисплатин**, антиандрогены (абиратерон**, бикалутамид**, энзалутамид**)), так и препаратов других классов (НПВП, глюкокортикоиды), а также </w:t>
      </w:r>
      <w:r w:rsidRPr="00737ECE">
        <w:rPr>
          <w:rStyle w:val="ac"/>
          <w:rFonts w:eastAsiaTheme="majorEastAsia"/>
          <w:sz w:val="24"/>
          <w:szCs w:val="24"/>
        </w:rPr>
        <w:lastRenderedPageBreak/>
        <w:t>влиянием других факторов (стресс, боль, злоупотребление алкоголем, нарушение функции почек, нелеченное обструктивное апноэ сна, ожирение и гиподинамия) [441]. Повышение АД выявлялось у большого числа пациентов (&lt;30%), получающих терапию вышеописанными противоопухолевыми препаратами. Этот эффект часто наблюдается в течение первого месяца после начала лечения.</w:t>
      </w:r>
    </w:p>
    <w:p w14:paraId="445310EE" w14:textId="77777777" w:rsidR="00F66753" w:rsidRPr="00737ECE" w:rsidRDefault="00F66753" w:rsidP="00AE072B">
      <w:pPr>
        <w:pStyle w:val="11"/>
        <w:spacing w:after="200"/>
        <w:ind w:firstLine="709"/>
        <w:jc w:val="both"/>
        <w:rPr>
          <w:sz w:val="24"/>
          <w:szCs w:val="24"/>
        </w:rPr>
      </w:pPr>
      <w:r w:rsidRPr="00737ECE">
        <w:rPr>
          <w:rStyle w:val="ac"/>
          <w:rFonts w:eastAsiaTheme="majorEastAsia"/>
          <w:sz w:val="24"/>
          <w:szCs w:val="24"/>
        </w:rPr>
        <w:t>АГ и онкозаболевания, имея общие факторы риска (неправильное питание, алкоголь, гиподинамия, курение, повышение ИМТ) и патофизиологические механизмы (иммунное воспаление и окислительный стресс), взаимно влияют друг на друга [442]. АГ (главным образом, величина ДАД [443, 444]) является независимым фактором риска почечно-клеточного рака: относительный риск может увеличиваться в 1,12 [443] или даже в 2,5 раза [445]. Для остальных видов ЗНО наличие прямых причинно-следственных связей с АГ не доказано [442, 446]. С учетом высокой распространенности, АГ – наиболее частое сопутствующее заболевание у пациентов с ЗНО, особенно в пожилом возрасте. Всем онкологическим пациентам рекомендован тщательный мониторинг АД и лечение АГ, так как у них повышен риск развития осложнений, включая гипертонические кризы [447], а у выздоровевших от рака увеличивается долгосрочный СС риск [442, 446].</w:t>
      </w:r>
    </w:p>
    <w:p w14:paraId="14D56C84" w14:textId="77777777" w:rsidR="00737ECE" w:rsidRPr="00AE072B" w:rsidRDefault="00737ECE" w:rsidP="00AE072B">
      <w:pPr>
        <w:pStyle w:val="11"/>
        <w:tabs>
          <w:tab w:val="left" w:pos="1305"/>
        </w:tabs>
        <w:ind w:firstLine="0"/>
        <w:jc w:val="center"/>
        <w:rPr>
          <w:sz w:val="24"/>
          <w:szCs w:val="24"/>
        </w:rPr>
      </w:pPr>
      <w:r w:rsidRPr="00AE072B">
        <w:rPr>
          <w:rStyle w:val="ac"/>
          <w:rFonts w:eastAsiaTheme="majorEastAsia"/>
          <w:b/>
          <w:bCs/>
          <w:sz w:val="24"/>
          <w:szCs w:val="24"/>
        </w:rPr>
        <w:t>АГ, ассоциированная с противоопухолевой терапией</w:t>
      </w:r>
    </w:p>
    <w:p w14:paraId="5AB0B3D5" w14:textId="77777777" w:rsidR="00737ECE" w:rsidRPr="0028303F" w:rsidRDefault="0028303F" w:rsidP="0028303F">
      <w:pPr>
        <w:pStyle w:val="11"/>
        <w:ind w:firstLine="0"/>
        <w:jc w:val="center"/>
        <w:rPr>
          <w:sz w:val="24"/>
          <w:szCs w:val="24"/>
        </w:rPr>
      </w:pPr>
      <w:r>
        <w:rPr>
          <w:rStyle w:val="ac"/>
          <w:rFonts w:eastAsiaTheme="majorEastAsia"/>
          <w:b/>
          <w:bCs/>
          <w:sz w:val="24"/>
          <w:szCs w:val="24"/>
        </w:rPr>
        <w:t>(</w:t>
      </w:r>
      <w:r w:rsidR="00737ECE" w:rsidRPr="0028303F">
        <w:rPr>
          <w:rStyle w:val="ac"/>
          <w:rFonts w:eastAsiaTheme="majorEastAsia"/>
          <w:b/>
          <w:bCs/>
          <w:sz w:val="24"/>
          <w:szCs w:val="24"/>
        </w:rPr>
        <w:t xml:space="preserve">АГ, индуцированная ингибиторами </w:t>
      </w:r>
      <w:r w:rsidR="00737ECE" w:rsidRPr="0028303F">
        <w:rPr>
          <w:rStyle w:val="ac"/>
          <w:rFonts w:eastAsiaTheme="majorEastAsia"/>
          <w:b/>
          <w:bCs/>
          <w:sz w:val="24"/>
          <w:szCs w:val="24"/>
          <w:lang w:val="en-US"/>
        </w:rPr>
        <w:t>VEGFR</w:t>
      </w:r>
      <w:r w:rsidR="00737ECE" w:rsidRPr="0028303F">
        <w:rPr>
          <w:rStyle w:val="ac"/>
          <w:rFonts w:eastAsiaTheme="majorEastAsia"/>
          <w:b/>
          <w:bCs/>
          <w:sz w:val="24"/>
          <w:szCs w:val="24"/>
        </w:rPr>
        <w:t>)</w:t>
      </w:r>
    </w:p>
    <w:p w14:paraId="47EFCED7" w14:textId="77777777" w:rsidR="00737ECE" w:rsidRPr="00737ECE" w:rsidRDefault="00737ECE" w:rsidP="00737ECE">
      <w:pPr>
        <w:pStyle w:val="11"/>
        <w:ind w:firstLine="580"/>
        <w:jc w:val="both"/>
        <w:rPr>
          <w:sz w:val="24"/>
          <w:szCs w:val="24"/>
        </w:rPr>
      </w:pPr>
      <w:r w:rsidRPr="00737ECE">
        <w:rPr>
          <w:rStyle w:val="ac"/>
          <w:rFonts w:eastAsiaTheme="majorEastAsia"/>
          <w:sz w:val="24"/>
          <w:szCs w:val="24"/>
        </w:rPr>
        <w:t xml:space="preserve">Группа ингибиторов </w:t>
      </w:r>
      <w:r w:rsidRPr="00737ECE">
        <w:rPr>
          <w:rStyle w:val="ac"/>
          <w:rFonts w:eastAsiaTheme="majorEastAsia"/>
          <w:sz w:val="24"/>
          <w:szCs w:val="24"/>
          <w:lang w:val="en-US"/>
        </w:rPr>
        <w:t>VEGFR</w:t>
      </w:r>
      <w:r w:rsidRPr="00737ECE">
        <w:rPr>
          <w:rStyle w:val="ac"/>
          <w:rFonts w:eastAsiaTheme="majorEastAsia"/>
          <w:sz w:val="24"/>
          <w:szCs w:val="24"/>
        </w:rPr>
        <w:t xml:space="preserve"> применяется для лечения различных видов рака (почечный, гепатоцеллюлярный, щитовидной железы, стромальный рак ЖКТ) [448] и приводит к повышению АД практически у каждого пациента [442, 446]. Среди препаратов этой группы выделяют моноклональные антитела для в/в введения и малые молекулы-ингибиторы рецепторов тирозинкиназы </w:t>
      </w:r>
      <w:r w:rsidRPr="00737ECE">
        <w:rPr>
          <w:rStyle w:val="ac"/>
          <w:rFonts w:eastAsiaTheme="majorEastAsia"/>
          <w:sz w:val="24"/>
          <w:szCs w:val="24"/>
          <w:lang w:val="en-US"/>
        </w:rPr>
        <w:t>BCR</w:t>
      </w:r>
      <w:r w:rsidRPr="00737ECE">
        <w:rPr>
          <w:rStyle w:val="ac"/>
          <w:rFonts w:eastAsiaTheme="majorEastAsia"/>
          <w:sz w:val="24"/>
          <w:szCs w:val="24"/>
        </w:rPr>
        <w:t>-</w:t>
      </w:r>
      <w:r w:rsidRPr="00737ECE">
        <w:rPr>
          <w:rStyle w:val="ac"/>
          <w:rFonts w:eastAsiaTheme="majorEastAsia"/>
          <w:sz w:val="24"/>
          <w:szCs w:val="24"/>
          <w:lang w:val="en-US"/>
        </w:rPr>
        <w:t>ABL</w:t>
      </w:r>
      <w:r w:rsidRPr="00737ECE">
        <w:rPr>
          <w:rStyle w:val="ac"/>
          <w:rFonts w:eastAsiaTheme="majorEastAsia"/>
          <w:sz w:val="24"/>
          <w:szCs w:val="24"/>
        </w:rPr>
        <w:t xml:space="preserve"> [442, 449]. Повышение АД обусловлено различными механизмами, имеющими сходство с патофизиологией преэклампсии и включающими активацию эндотелин-1 зависимого пути, снижение доступности </w:t>
      </w:r>
      <w:r w:rsidRPr="00737ECE">
        <w:rPr>
          <w:rStyle w:val="ac"/>
          <w:rFonts w:eastAsiaTheme="majorEastAsia"/>
          <w:sz w:val="24"/>
          <w:szCs w:val="24"/>
          <w:lang w:val="en-US"/>
        </w:rPr>
        <w:t>NO</w:t>
      </w:r>
      <w:r w:rsidRPr="00737ECE">
        <w:rPr>
          <w:rStyle w:val="ac"/>
          <w:rFonts w:eastAsiaTheme="majorEastAsia"/>
          <w:sz w:val="24"/>
          <w:szCs w:val="24"/>
        </w:rPr>
        <w:t>, уменьшение количества капилляров, снижение микроциркуляции, активацию почечного эпителиального амилорид-чувствительного натриевого канала и повышение чувствительности к соли. В связи с этим назначение низких доз аспирина, рекомендованного к приему при преэклампсии [415, 450, 451], показано и у онкологических пациентов, развивших осложнения в ответ на терапию анти-VEGF [452].</w:t>
      </w:r>
    </w:p>
    <w:p w14:paraId="55DEED7D" w14:textId="77777777" w:rsidR="00020CA5" w:rsidRDefault="00737ECE" w:rsidP="00020CA5">
      <w:pPr>
        <w:pStyle w:val="11"/>
        <w:ind w:firstLine="580"/>
        <w:jc w:val="both"/>
        <w:rPr>
          <w:rStyle w:val="ac"/>
          <w:rFonts w:eastAsiaTheme="majorEastAsia"/>
          <w:sz w:val="24"/>
          <w:szCs w:val="24"/>
        </w:rPr>
      </w:pPr>
      <w:r w:rsidRPr="00737ECE">
        <w:rPr>
          <w:rStyle w:val="ac"/>
          <w:rFonts w:eastAsiaTheme="majorEastAsia"/>
          <w:sz w:val="24"/>
          <w:szCs w:val="24"/>
        </w:rPr>
        <w:t xml:space="preserve">Реакция со стороны АД, являясь наиболее частым побочным эффектом, свидетельствует о противоопухолевой эффективности препаратов [442]. Повышение АД дозозависимо, обычно обратимо, проявляется в первые дни после начала терапии [453], что требует регулярного контроля АД, лучше всего – в форме ДМАД (в том числе активного </w:t>
      </w:r>
      <w:r w:rsidRPr="00737ECE">
        <w:rPr>
          <w:rStyle w:val="ac"/>
          <w:rFonts w:eastAsiaTheme="majorEastAsia"/>
          <w:sz w:val="24"/>
          <w:szCs w:val="24"/>
        </w:rPr>
        <w:lastRenderedPageBreak/>
        <w:t xml:space="preserve">мониторинга АД при помощи дистанционных технологий при наличии возможности в медицинском учреждении) [454]. Частота АГ зависит от предшествующего анамнеза гипертензии и контроля АД, способности препарата блокировать сигнальный путь </w:t>
      </w:r>
      <w:r w:rsidRPr="00737ECE">
        <w:rPr>
          <w:rStyle w:val="ac"/>
          <w:rFonts w:eastAsiaTheme="majorEastAsia"/>
          <w:sz w:val="24"/>
          <w:szCs w:val="24"/>
          <w:lang w:val="en-US"/>
        </w:rPr>
        <w:t>VEGF</w:t>
      </w:r>
      <w:r w:rsidRPr="00737ECE">
        <w:rPr>
          <w:rStyle w:val="ac"/>
          <w:rFonts w:eastAsiaTheme="majorEastAsia"/>
          <w:sz w:val="24"/>
          <w:szCs w:val="24"/>
        </w:rPr>
        <w:t xml:space="preserve">, существенно различающейся между отдельными представителями класса, а также различий в фармакокинетике одного и того же препарата между пациентами [449, 455]. Наиболее часто тяжелая АГ развивается при приеме акситиниба** и ленватиниба** (у 13 и 43% пациентов соответственно) [456, 455, 457]. Терапия анти-VEGF повышает риск развития и усугубления изменений в органах-мишенях и других осложнений АГ (дисфункцию ЛЖ, СН, нарушения ритма, повреждение почек, артериальные и венозные тромбозы) [456, 457]. Повреждение сердца может привести к развитию тяжелой СН и смерти </w:t>
      </w:r>
      <w:r w:rsidR="00020CA5" w:rsidRPr="00737ECE">
        <w:rPr>
          <w:rStyle w:val="ac"/>
          <w:rFonts w:eastAsiaTheme="majorEastAsia"/>
          <w:sz w:val="24"/>
          <w:szCs w:val="24"/>
        </w:rPr>
        <w:t>[</w:t>
      </w:r>
      <w:r w:rsidR="00020CA5">
        <w:rPr>
          <w:rStyle w:val="ac"/>
          <w:rFonts w:eastAsiaTheme="majorEastAsia"/>
          <w:sz w:val="24"/>
          <w:szCs w:val="24"/>
        </w:rPr>
        <w:t>442</w:t>
      </w:r>
      <w:r w:rsidR="00020CA5" w:rsidRPr="00737ECE">
        <w:rPr>
          <w:rStyle w:val="ac"/>
          <w:rFonts w:eastAsiaTheme="majorEastAsia"/>
          <w:sz w:val="24"/>
          <w:szCs w:val="24"/>
        </w:rPr>
        <w:t>].</w:t>
      </w:r>
    </w:p>
    <w:p w14:paraId="6449B704" w14:textId="77777777" w:rsidR="00737ECE" w:rsidRPr="00737ECE" w:rsidRDefault="00737ECE" w:rsidP="00020CA5">
      <w:pPr>
        <w:pStyle w:val="11"/>
        <w:ind w:firstLine="580"/>
        <w:jc w:val="both"/>
        <w:rPr>
          <w:sz w:val="24"/>
          <w:szCs w:val="24"/>
        </w:rPr>
      </w:pPr>
      <w:r w:rsidRPr="00737ECE">
        <w:rPr>
          <w:rStyle w:val="ac"/>
          <w:rFonts w:eastAsiaTheme="majorEastAsia"/>
          <w:sz w:val="24"/>
          <w:szCs w:val="24"/>
        </w:rPr>
        <w:t xml:space="preserve">Возможные почечные осложнения включают ОПП с тромботической микроангиопатией [458] или повреждение клубочков с развитием массивной протеинурии [442, 446]. Несмотря на высокий относительный риск развития этих нежелательных явлений по сравнению с плацебо или другими противоопухолевыми препаратами, абсолютное увеличение риска во время </w:t>
      </w:r>
      <w:r w:rsidR="00F24EE5" w:rsidRPr="00737ECE">
        <w:rPr>
          <w:rStyle w:val="ac"/>
          <w:rFonts w:eastAsiaTheme="majorEastAsia"/>
          <w:sz w:val="24"/>
          <w:szCs w:val="24"/>
        </w:rPr>
        <w:t>приёма</w:t>
      </w:r>
      <w:r w:rsidRPr="00737ECE">
        <w:rPr>
          <w:rStyle w:val="ac"/>
          <w:rFonts w:eastAsiaTheme="majorEastAsia"/>
          <w:sz w:val="24"/>
          <w:szCs w:val="24"/>
        </w:rPr>
        <w:t xml:space="preserve"> анти-VEGF </w:t>
      </w:r>
      <w:r w:rsidR="00F24EE5" w:rsidRPr="00737ECE">
        <w:rPr>
          <w:rStyle w:val="ac"/>
          <w:rFonts w:eastAsiaTheme="majorEastAsia"/>
          <w:sz w:val="24"/>
          <w:szCs w:val="24"/>
        </w:rPr>
        <w:t>остаётся</w:t>
      </w:r>
      <w:r w:rsidRPr="00737ECE">
        <w:rPr>
          <w:rStyle w:val="ac"/>
          <w:rFonts w:eastAsiaTheme="majorEastAsia"/>
          <w:sz w:val="24"/>
          <w:szCs w:val="24"/>
        </w:rPr>
        <w:t xml:space="preserve"> низким.</w:t>
      </w:r>
    </w:p>
    <w:p w14:paraId="21420255" w14:textId="77777777" w:rsidR="00737ECE" w:rsidRPr="00F24EE5" w:rsidRDefault="00737ECE" w:rsidP="00F24EE5">
      <w:pPr>
        <w:pStyle w:val="11"/>
        <w:ind w:firstLine="0"/>
        <w:jc w:val="center"/>
        <w:rPr>
          <w:sz w:val="24"/>
          <w:szCs w:val="24"/>
        </w:rPr>
      </w:pPr>
      <w:r w:rsidRPr="00F24EE5">
        <w:rPr>
          <w:rStyle w:val="ac"/>
          <w:rFonts w:eastAsiaTheme="majorEastAsia"/>
          <w:b/>
          <w:bCs/>
          <w:sz w:val="24"/>
          <w:szCs w:val="24"/>
        </w:rPr>
        <w:t xml:space="preserve">АГ, индуцированная </w:t>
      </w:r>
      <w:r w:rsidR="00F24EE5" w:rsidRPr="00F24EE5">
        <w:rPr>
          <w:rStyle w:val="ac"/>
          <w:rFonts w:eastAsiaTheme="majorEastAsia"/>
          <w:b/>
          <w:bCs/>
          <w:sz w:val="24"/>
          <w:szCs w:val="24"/>
        </w:rPr>
        <w:t>приёмом</w:t>
      </w:r>
      <w:r w:rsidRPr="00F24EE5">
        <w:rPr>
          <w:rStyle w:val="ac"/>
          <w:rFonts w:eastAsiaTheme="majorEastAsia"/>
          <w:b/>
          <w:bCs/>
          <w:sz w:val="24"/>
          <w:szCs w:val="24"/>
        </w:rPr>
        <w:t xml:space="preserve"> других противоопухолевых препаратов</w:t>
      </w:r>
    </w:p>
    <w:p w14:paraId="7C604AB8" w14:textId="77777777" w:rsidR="00737ECE" w:rsidRPr="00737ECE" w:rsidRDefault="00737ECE" w:rsidP="00737ECE">
      <w:pPr>
        <w:pStyle w:val="11"/>
        <w:ind w:firstLine="580"/>
        <w:jc w:val="both"/>
        <w:rPr>
          <w:sz w:val="24"/>
          <w:szCs w:val="24"/>
        </w:rPr>
      </w:pPr>
      <w:r w:rsidRPr="00737ECE">
        <w:rPr>
          <w:rStyle w:val="ac"/>
          <w:rFonts w:eastAsiaTheme="majorEastAsia"/>
          <w:sz w:val="24"/>
          <w:szCs w:val="24"/>
        </w:rPr>
        <w:t xml:space="preserve">Другие препараты, приводящие к повышению АД, включают классические химиопрепараты (циклофосфамид**), ингибиторы протеасом, ингибиторы полимеразы поли- АДФ-рибозы, ингибиторы тирозинкиназы </w:t>
      </w:r>
      <w:r w:rsidRPr="00737ECE">
        <w:rPr>
          <w:rStyle w:val="ac"/>
          <w:rFonts w:eastAsiaTheme="majorEastAsia"/>
          <w:sz w:val="24"/>
          <w:szCs w:val="24"/>
          <w:lang w:val="en-US"/>
        </w:rPr>
        <w:t>BCR</w:t>
      </w:r>
      <w:r w:rsidRPr="00737ECE">
        <w:rPr>
          <w:rStyle w:val="ac"/>
          <w:rFonts w:eastAsiaTheme="majorEastAsia"/>
          <w:sz w:val="24"/>
          <w:szCs w:val="24"/>
        </w:rPr>
        <w:t>-</w:t>
      </w:r>
      <w:r w:rsidRPr="00737ECE">
        <w:rPr>
          <w:rStyle w:val="ac"/>
          <w:rFonts w:eastAsiaTheme="majorEastAsia"/>
          <w:sz w:val="24"/>
          <w:szCs w:val="24"/>
          <w:lang w:val="en-US"/>
        </w:rPr>
        <w:t>ABL</w:t>
      </w:r>
      <w:r w:rsidRPr="00737ECE">
        <w:rPr>
          <w:rStyle w:val="ac"/>
          <w:rFonts w:eastAsiaTheme="majorEastAsia"/>
          <w:sz w:val="24"/>
          <w:szCs w:val="24"/>
        </w:rPr>
        <w:t xml:space="preserve">. Последние также повышают риск ФП и СН [456, 457]. Механизмы повышения АД включают множество факторов и требуют уточнения. Остается неясным, повышают ли риск АГ ингибиторы иммунных контрольных точек и АТ к рецептору </w:t>
      </w:r>
      <w:r w:rsidRPr="00737ECE">
        <w:rPr>
          <w:rStyle w:val="ac"/>
          <w:rFonts w:eastAsiaTheme="majorEastAsia"/>
          <w:sz w:val="24"/>
          <w:szCs w:val="24"/>
          <w:lang w:val="en-US"/>
        </w:rPr>
        <w:t>CTLA</w:t>
      </w:r>
      <w:r w:rsidRPr="00737ECE">
        <w:rPr>
          <w:rStyle w:val="ac"/>
          <w:rFonts w:eastAsiaTheme="majorEastAsia"/>
          <w:sz w:val="24"/>
          <w:szCs w:val="24"/>
        </w:rPr>
        <w:t xml:space="preserve">-4. Вероятно, они повышают кардиотоксичность анти-VEGF при совместном применении [459]. Повышение АД при приеме абиратерона** (ингибитор </w:t>
      </w:r>
      <w:r w:rsidRPr="00737ECE">
        <w:rPr>
          <w:rStyle w:val="ac"/>
          <w:rFonts w:eastAsiaTheme="majorEastAsia"/>
          <w:sz w:val="24"/>
          <w:szCs w:val="24"/>
          <w:lang w:val="en-US"/>
        </w:rPr>
        <w:t>CYP</w:t>
      </w:r>
      <w:r w:rsidRPr="00737ECE">
        <w:rPr>
          <w:rStyle w:val="ac"/>
          <w:rFonts w:eastAsiaTheme="majorEastAsia"/>
          <w:sz w:val="24"/>
          <w:szCs w:val="24"/>
        </w:rPr>
        <w:t>17</w:t>
      </w:r>
      <w:r w:rsidRPr="00737ECE">
        <w:rPr>
          <w:rStyle w:val="ac"/>
          <w:rFonts w:eastAsiaTheme="majorEastAsia"/>
          <w:sz w:val="24"/>
          <w:szCs w:val="24"/>
          <w:lang w:val="en-US"/>
        </w:rPr>
        <w:t>A</w:t>
      </w:r>
      <w:r w:rsidRPr="00737ECE">
        <w:rPr>
          <w:rStyle w:val="ac"/>
          <w:rFonts w:eastAsiaTheme="majorEastAsia"/>
          <w:sz w:val="24"/>
          <w:szCs w:val="24"/>
        </w:rPr>
        <w:t>1, подавляющий синтез андрогенов и применяющийся при метастазирующем раке предстательной железы) обусловлено ингибированием обратной связи в синтезе стероидов на уровне надпочечников, что приводит к чрезмерному образованию 11-деоксикортикостерона на фоне увеличения продукции АКТГ вследствие снижения образования кортизола [460]. Связывание 11- деоксикортикостерона с минералокортикоидными рецепторами индуцирует повышение АД наряду с гипокалиемией, задержкой натрия и воды и снижением плазменных концентраций ренина и альдостерона [461]. Во избежание данных эффектов, одновременно с абиратероном** обычно назначается преднизолон** в низкой дозе. При необходимости возможно добавление спиронолактона** [462].</w:t>
      </w:r>
    </w:p>
    <w:p w14:paraId="151F7EDD" w14:textId="77777777" w:rsidR="00F24EE5" w:rsidRDefault="00737ECE" w:rsidP="00F24EE5">
      <w:pPr>
        <w:pStyle w:val="11"/>
        <w:ind w:firstLine="0"/>
        <w:jc w:val="center"/>
        <w:rPr>
          <w:rStyle w:val="ac"/>
          <w:rFonts w:eastAsiaTheme="majorEastAsia"/>
          <w:b/>
          <w:bCs/>
          <w:sz w:val="24"/>
          <w:szCs w:val="24"/>
        </w:rPr>
      </w:pPr>
      <w:r w:rsidRPr="00F24EE5">
        <w:rPr>
          <w:rStyle w:val="ac"/>
          <w:rFonts w:eastAsiaTheme="majorEastAsia"/>
          <w:b/>
          <w:bCs/>
          <w:sz w:val="24"/>
          <w:szCs w:val="24"/>
        </w:rPr>
        <w:lastRenderedPageBreak/>
        <w:t xml:space="preserve">АГ вследствие дополнительной терапии, </w:t>
      </w:r>
    </w:p>
    <w:p w14:paraId="7452AE3D" w14:textId="77777777" w:rsidR="00737ECE" w:rsidRPr="00F24EE5" w:rsidRDefault="00737ECE" w:rsidP="00F24EE5">
      <w:pPr>
        <w:pStyle w:val="11"/>
        <w:ind w:firstLine="0"/>
        <w:jc w:val="center"/>
        <w:rPr>
          <w:sz w:val="24"/>
          <w:szCs w:val="24"/>
        </w:rPr>
      </w:pPr>
      <w:r w:rsidRPr="00F24EE5">
        <w:rPr>
          <w:rStyle w:val="ac"/>
          <w:rFonts w:eastAsiaTheme="majorEastAsia"/>
          <w:b/>
          <w:bCs/>
          <w:sz w:val="24"/>
          <w:szCs w:val="24"/>
        </w:rPr>
        <w:t>лучевой терапии или хирургического лечения</w:t>
      </w:r>
    </w:p>
    <w:p w14:paraId="22F33EB7" w14:textId="77777777" w:rsidR="00737ECE" w:rsidRPr="00737ECE" w:rsidRDefault="00737ECE" w:rsidP="00737ECE">
      <w:pPr>
        <w:pStyle w:val="11"/>
        <w:ind w:firstLine="580"/>
        <w:jc w:val="both"/>
        <w:rPr>
          <w:sz w:val="24"/>
          <w:szCs w:val="24"/>
        </w:rPr>
      </w:pPr>
      <w:r w:rsidRPr="00737ECE">
        <w:rPr>
          <w:rStyle w:val="ac"/>
          <w:rFonts w:eastAsiaTheme="majorEastAsia"/>
          <w:sz w:val="24"/>
          <w:szCs w:val="24"/>
        </w:rPr>
        <w:t>Дополнительная лекарственная терапия, включающая глюкокортикоиды, эритропоэтин и НПВП, вносит вклад в развитие или прогрессирование АГ. Лучевая терапия области шеи и/или обширные операции в этой зоне могут приводить к развитию барорефлекторной недостаточности и, как следствия, – к выраженной вариабельности АД с его кризовым повышением, эпизодами гипотонии, в том числе ортостатической, у некоторых пациентов [463]. Лучевая терапия области живота ассоциирована со стенозом почечных артерий и возможным развитием реноваскулярной АГ [462]. Показано повышение риска СС исходов у пациентов, получавших лучевую терапию по поводу различных заболеваний (лимфомы, рак груди, рак области шеи). В качестве предполагаемого механизма обсуждается лучевое повреждение сосудистого русла [464].</w:t>
      </w:r>
    </w:p>
    <w:p w14:paraId="68B9C353" w14:textId="77777777" w:rsidR="00737ECE" w:rsidRPr="00F24EE5" w:rsidRDefault="00737ECE" w:rsidP="00F24EE5">
      <w:pPr>
        <w:pStyle w:val="11"/>
        <w:tabs>
          <w:tab w:val="left" w:pos="846"/>
        </w:tabs>
        <w:ind w:firstLine="0"/>
        <w:jc w:val="center"/>
        <w:rPr>
          <w:sz w:val="24"/>
          <w:szCs w:val="24"/>
        </w:rPr>
      </w:pPr>
      <w:r w:rsidRPr="00F24EE5">
        <w:rPr>
          <w:rStyle w:val="ac"/>
          <w:rFonts w:eastAsiaTheme="majorEastAsia"/>
          <w:b/>
          <w:bCs/>
          <w:sz w:val="24"/>
          <w:szCs w:val="24"/>
        </w:rPr>
        <w:t>Лечение АГ у онкологических пациентов</w:t>
      </w:r>
    </w:p>
    <w:p w14:paraId="398746FB" w14:textId="77777777" w:rsidR="00F90844" w:rsidRDefault="00F90844" w:rsidP="003B0BA0">
      <w:pPr>
        <w:pStyle w:val="11"/>
        <w:ind w:firstLine="0"/>
        <w:jc w:val="center"/>
        <w:rPr>
          <w:rStyle w:val="ac"/>
          <w:rFonts w:eastAsiaTheme="majorEastAsia"/>
          <w:b/>
          <w:bCs/>
          <w:sz w:val="24"/>
          <w:szCs w:val="24"/>
        </w:rPr>
      </w:pPr>
      <w:r>
        <w:rPr>
          <w:rStyle w:val="ac"/>
          <w:rFonts w:eastAsiaTheme="majorEastAsia"/>
          <w:b/>
          <w:bCs/>
          <w:sz w:val="24"/>
          <w:szCs w:val="24"/>
        </w:rPr>
        <w:t>(</w:t>
      </w:r>
      <w:r w:rsidR="00737ECE" w:rsidRPr="00F90844">
        <w:rPr>
          <w:rStyle w:val="ac"/>
          <w:rFonts w:eastAsiaTheme="majorEastAsia"/>
          <w:b/>
          <w:bCs/>
          <w:sz w:val="24"/>
          <w:szCs w:val="24"/>
        </w:rPr>
        <w:t xml:space="preserve">Мониторинг АД и общие мероприятия перед </w:t>
      </w:r>
    </w:p>
    <w:p w14:paraId="15BAE061" w14:textId="77777777" w:rsidR="00737ECE" w:rsidRPr="00F90844" w:rsidRDefault="00737ECE" w:rsidP="003B0BA0">
      <w:pPr>
        <w:pStyle w:val="11"/>
        <w:ind w:firstLine="0"/>
        <w:jc w:val="center"/>
        <w:rPr>
          <w:sz w:val="24"/>
          <w:szCs w:val="24"/>
        </w:rPr>
      </w:pPr>
      <w:r w:rsidRPr="00F90844">
        <w:rPr>
          <w:rStyle w:val="ac"/>
          <w:rFonts w:eastAsiaTheme="majorEastAsia"/>
          <w:b/>
          <w:bCs/>
          <w:sz w:val="24"/>
          <w:szCs w:val="24"/>
        </w:rPr>
        <w:t>началом противоопухолевой терапии</w:t>
      </w:r>
      <w:r w:rsidR="00F90844">
        <w:rPr>
          <w:rStyle w:val="ac"/>
          <w:rFonts w:eastAsiaTheme="majorEastAsia"/>
          <w:b/>
          <w:bCs/>
          <w:sz w:val="24"/>
          <w:szCs w:val="24"/>
        </w:rPr>
        <w:t>)</w:t>
      </w:r>
    </w:p>
    <w:p w14:paraId="3D3EB0DF" w14:textId="77777777" w:rsidR="00F24EE5" w:rsidRPr="00737ECE" w:rsidRDefault="00737ECE" w:rsidP="00550357">
      <w:pPr>
        <w:pStyle w:val="11"/>
        <w:ind w:firstLine="709"/>
        <w:jc w:val="both"/>
        <w:rPr>
          <w:sz w:val="24"/>
          <w:szCs w:val="24"/>
        </w:rPr>
      </w:pPr>
      <w:r w:rsidRPr="00737ECE">
        <w:rPr>
          <w:rStyle w:val="ac"/>
          <w:rFonts w:eastAsiaTheme="majorEastAsia"/>
          <w:sz w:val="24"/>
          <w:szCs w:val="24"/>
        </w:rPr>
        <w:t>Офисное измерение АД на периферических артериях рекомендуется проводить</w:t>
      </w:r>
      <w:r w:rsidR="00F24EE5" w:rsidRPr="00F24EE5">
        <w:rPr>
          <w:rStyle w:val="ac"/>
          <w:rFonts w:eastAsiaTheme="majorEastAsia"/>
          <w:sz w:val="24"/>
          <w:szCs w:val="24"/>
        </w:rPr>
        <w:t xml:space="preserve"> </w:t>
      </w:r>
      <w:r w:rsidR="00F24EE5" w:rsidRPr="00737ECE">
        <w:rPr>
          <w:rStyle w:val="ac"/>
          <w:rFonts w:eastAsiaTheme="majorEastAsia"/>
          <w:sz w:val="24"/>
          <w:szCs w:val="24"/>
        </w:rPr>
        <w:t>перед началом противоопухолевой терапии у пациентов с ранее существовавшей АГ или без нее, поскольку противоопухолевые препараты могут вызывать резкое повышение АД и осложнения, связанные с АГ, включая неотложные состояния при АГ [12].</w:t>
      </w:r>
    </w:p>
    <w:p w14:paraId="2914275E" w14:textId="4DBF6093" w:rsidR="00737ECE" w:rsidRPr="009A09B6" w:rsidRDefault="00737ECE" w:rsidP="009A09B6">
      <w:pPr>
        <w:pStyle w:val="11"/>
        <w:tabs>
          <w:tab w:val="left" w:pos="1359"/>
        </w:tabs>
        <w:ind w:firstLine="567"/>
        <w:jc w:val="both"/>
        <w:rPr>
          <w:sz w:val="24"/>
          <w:szCs w:val="24"/>
        </w:rPr>
      </w:pPr>
      <w:r w:rsidRPr="00550357">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9579CA">
        <w:rPr>
          <w:rStyle w:val="ac"/>
          <w:rFonts w:eastAsiaTheme="majorEastAsia"/>
          <w:b/>
          <w:bCs/>
          <w:sz w:val="24"/>
          <w:szCs w:val="24"/>
        </w:rPr>
        <w:t xml:space="preserve"> </w:t>
      </w:r>
      <w:r w:rsidRPr="00550357">
        <w:rPr>
          <w:rStyle w:val="ac"/>
          <w:rFonts w:eastAsiaTheme="majorEastAsia"/>
          <w:b/>
          <w:bCs/>
          <w:sz w:val="24"/>
          <w:szCs w:val="24"/>
        </w:rPr>
        <w:t xml:space="preserve">С, </w:t>
      </w:r>
      <w:r w:rsidR="009579CA" w:rsidRPr="00550357">
        <w:rPr>
          <w:rStyle w:val="ac"/>
          <w:rFonts w:eastAsiaTheme="majorEastAsia"/>
          <w:sz w:val="24"/>
          <w:szCs w:val="24"/>
        </w:rPr>
        <w:t>(</w:t>
      </w:r>
      <w:r w:rsidR="003D51B3">
        <w:rPr>
          <w:rStyle w:val="ac"/>
          <w:rFonts w:eastAsiaTheme="majorEastAsia"/>
          <w:b/>
          <w:bCs/>
          <w:sz w:val="24"/>
          <w:szCs w:val="24"/>
        </w:rPr>
        <w:t>Уровень достоверности доказательств</w:t>
      </w:r>
      <w:r w:rsidRPr="00550357">
        <w:rPr>
          <w:rStyle w:val="ac"/>
          <w:rFonts w:eastAsiaTheme="majorEastAsia"/>
          <w:b/>
          <w:bCs/>
          <w:sz w:val="24"/>
          <w:szCs w:val="24"/>
        </w:rPr>
        <w:t xml:space="preserve"> 5)</w:t>
      </w:r>
      <w:r w:rsidR="009579CA">
        <w:rPr>
          <w:rStyle w:val="ac"/>
          <w:rFonts w:eastAsiaTheme="majorEastAsia"/>
          <w:b/>
          <w:bCs/>
          <w:sz w:val="24"/>
          <w:szCs w:val="24"/>
        </w:rPr>
        <w:t>;</w:t>
      </w:r>
      <w:r w:rsidR="009579CA" w:rsidRPr="009579CA">
        <w:rPr>
          <w:rStyle w:val="ac"/>
          <w:rFonts w:eastAsiaTheme="majorEastAsia"/>
          <w:b/>
          <w:bCs/>
          <w:sz w:val="24"/>
          <w:szCs w:val="24"/>
        </w:rPr>
        <w:t xml:space="preserve"> </w:t>
      </w:r>
      <w:r w:rsidR="009579CA" w:rsidRPr="00550357">
        <w:rPr>
          <w:rStyle w:val="ac"/>
          <w:rFonts w:eastAsiaTheme="majorEastAsia"/>
          <w:b/>
          <w:bCs/>
          <w:sz w:val="24"/>
          <w:szCs w:val="24"/>
        </w:rPr>
        <w:t xml:space="preserve">ЕОАГ </w:t>
      </w:r>
      <w:r w:rsidR="009579CA" w:rsidRPr="00550357">
        <w:rPr>
          <w:rStyle w:val="ac"/>
          <w:rFonts w:eastAsiaTheme="majorEastAsia"/>
          <w:b/>
          <w:bCs/>
          <w:sz w:val="24"/>
          <w:szCs w:val="24"/>
          <w:lang w:val="en-US"/>
        </w:rPr>
        <w:t>IB</w:t>
      </w:r>
      <w:r w:rsidR="009A09B6">
        <w:rPr>
          <w:rStyle w:val="ac"/>
          <w:rFonts w:eastAsiaTheme="majorEastAsia"/>
          <w:b/>
          <w:bCs/>
          <w:sz w:val="24"/>
          <w:szCs w:val="24"/>
        </w:rPr>
        <w:t>.</w:t>
      </w:r>
    </w:p>
    <w:p w14:paraId="0536F826" w14:textId="77777777" w:rsidR="00737ECE" w:rsidRPr="00737ECE" w:rsidRDefault="00737ECE" w:rsidP="00737ECE">
      <w:pPr>
        <w:pStyle w:val="11"/>
        <w:ind w:firstLine="620"/>
        <w:jc w:val="both"/>
        <w:rPr>
          <w:sz w:val="24"/>
          <w:szCs w:val="24"/>
        </w:rPr>
      </w:pPr>
      <w:r w:rsidRPr="00737ECE">
        <w:rPr>
          <w:rStyle w:val="ac"/>
          <w:rFonts w:eastAsiaTheme="majorEastAsia"/>
          <w:b/>
          <w:bCs/>
          <w:i/>
          <w:iCs/>
          <w:sz w:val="24"/>
          <w:szCs w:val="24"/>
        </w:rPr>
        <w:t xml:space="preserve">Комментарии. </w:t>
      </w:r>
      <w:r w:rsidRPr="00737ECE">
        <w:rPr>
          <w:rStyle w:val="ac"/>
          <w:rFonts w:eastAsiaTheme="majorEastAsia"/>
          <w:i/>
          <w:iCs/>
          <w:sz w:val="24"/>
          <w:szCs w:val="24"/>
        </w:rPr>
        <w:t>Контроль боли и беспокойства перед измерением АД требует особого внимания у онкологических больных и потому рекомендуется</w:t>
      </w:r>
      <w:r w:rsidRPr="00737ECE">
        <w:rPr>
          <w:rStyle w:val="ac"/>
          <w:rFonts w:eastAsiaTheme="majorEastAsia"/>
          <w:sz w:val="24"/>
          <w:szCs w:val="24"/>
        </w:rPr>
        <w:t xml:space="preserve"> [12]</w:t>
      </w:r>
      <w:r w:rsidRPr="00737ECE">
        <w:rPr>
          <w:rStyle w:val="ac"/>
          <w:rFonts w:eastAsiaTheme="majorEastAsia"/>
          <w:i/>
          <w:iCs/>
          <w:sz w:val="24"/>
          <w:szCs w:val="24"/>
        </w:rPr>
        <w:t>.</w:t>
      </w:r>
    </w:p>
    <w:p w14:paraId="28DA89B8" w14:textId="77777777" w:rsidR="00737ECE" w:rsidRPr="00737ECE" w:rsidRDefault="00737ECE">
      <w:pPr>
        <w:pStyle w:val="11"/>
        <w:numPr>
          <w:ilvl w:val="0"/>
          <w:numId w:val="32"/>
        </w:numPr>
        <w:tabs>
          <w:tab w:val="left" w:pos="1339"/>
        </w:tabs>
        <w:ind w:firstLine="620"/>
        <w:jc w:val="both"/>
        <w:rPr>
          <w:sz w:val="24"/>
          <w:szCs w:val="24"/>
        </w:rPr>
      </w:pPr>
      <w:r w:rsidRPr="00737ECE">
        <w:rPr>
          <w:rStyle w:val="ac"/>
          <w:rFonts w:eastAsiaTheme="majorEastAsia"/>
          <w:sz w:val="24"/>
          <w:szCs w:val="24"/>
        </w:rPr>
        <w:t>Пациентам с онкологическими заболеваниями рекомендовано контролировать</w:t>
      </w:r>
    </w:p>
    <w:p w14:paraId="62E22F5C" w14:textId="77777777" w:rsidR="00737ECE" w:rsidRPr="00737ECE" w:rsidRDefault="00737ECE" w:rsidP="00737ECE">
      <w:pPr>
        <w:pStyle w:val="11"/>
        <w:ind w:firstLine="0"/>
        <w:jc w:val="both"/>
        <w:rPr>
          <w:sz w:val="24"/>
          <w:szCs w:val="24"/>
        </w:rPr>
      </w:pPr>
      <w:r w:rsidRPr="00737ECE">
        <w:rPr>
          <w:rStyle w:val="ac"/>
          <w:rFonts w:eastAsiaTheme="majorEastAsia"/>
          <w:sz w:val="24"/>
          <w:szCs w:val="24"/>
        </w:rPr>
        <w:t xml:space="preserve">офисное АД еженедельно в течение первого цикла терапии ингибиторы </w:t>
      </w:r>
      <w:r w:rsidRPr="00737ECE">
        <w:rPr>
          <w:rStyle w:val="ac"/>
          <w:rFonts w:eastAsiaTheme="majorEastAsia"/>
          <w:sz w:val="24"/>
          <w:szCs w:val="24"/>
          <w:lang w:val="en-US"/>
        </w:rPr>
        <w:t>VEGFR</w:t>
      </w:r>
      <w:r w:rsidRPr="00737ECE">
        <w:rPr>
          <w:rStyle w:val="ac"/>
          <w:rFonts w:eastAsiaTheme="majorEastAsia"/>
          <w:sz w:val="24"/>
          <w:szCs w:val="24"/>
        </w:rPr>
        <w:t xml:space="preserve"> (бевацизумаб**, сорафениб**, сунитиниб** и пазопаниб**) или ингибиторами протеасом (карфилзомиб**) у пациентов со злокачественными новообразованиями и каждые 2-3 нед. в дальнейшем [465]. После завершения первого цикла лечения, при условии стабильных значений АД, его следует измерять во время рутинных посещений врача или с помощью ДМАД (в том числе активного мониторинга АД при помощи дистанционных технологий при наличии возможности в медицинском учреждении).</w:t>
      </w:r>
    </w:p>
    <w:p w14:paraId="1A3FBC42" w14:textId="14A744D0" w:rsidR="00737ECE" w:rsidRPr="009A09B6" w:rsidRDefault="00737ECE" w:rsidP="00737ECE">
      <w:pPr>
        <w:pStyle w:val="11"/>
        <w:ind w:firstLine="620"/>
        <w:jc w:val="both"/>
        <w:rPr>
          <w:sz w:val="24"/>
          <w:szCs w:val="24"/>
        </w:rPr>
      </w:pPr>
      <w:r w:rsidRPr="00737EC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9579CA">
        <w:rPr>
          <w:rStyle w:val="ac"/>
          <w:rFonts w:eastAsiaTheme="majorEastAsia"/>
          <w:b/>
          <w:bCs/>
          <w:sz w:val="24"/>
          <w:szCs w:val="24"/>
        </w:rPr>
        <w:t xml:space="preserve"> </w:t>
      </w:r>
      <w:r w:rsidRPr="00737ECE">
        <w:rPr>
          <w:rStyle w:val="ac"/>
          <w:rFonts w:eastAsiaTheme="majorEastAsia"/>
          <w:b/>
          <w:bCs/>
          <w:sz w:val="24"/>
          <w:szCs w:val="24"/>
        </w:rPr>
        <w:t xml:space="preserve">С, </w:t>
      </w:r>
      <w:r w:rsidR="009579CA" w:rsidRPr="00737ECE">
        <w:rPr>
          <w:rStyle w:val="ac"/>
          <w:rFonts w:eastAsiaTheme="majorEastAsia"/>
          <w:sz w:val="24"/>
          <w:szCs w:val="24"/>
        </w:rPr>
        <w:t>(</w:t>
      </w:r>
      <w:r w:rsidR="003D51B3">
        <w:rPr>
          <w:rStyle w:val="ac"/>
          <w:rFonts w:eastAsiaTheme="majorEastAsia"/>
          <w:b/>
          <w:bCs/>
          <w:sz w:val="24"/>
          <w:szCs w:val="24"/>
        </w:rPr>
        <w:t>Уровень достоверности доказательств</w:t>
      </w:r>
      <w:r w:rsidRPr="00737ECE">
        <w:rPr>
          <w:rStyle w:val="ac"/>
          <w:rFonts w:eastAsiaTheme="majorEastAsia"/>
          <w:b/>
          <w:bCs/>
          <w:sz w:val="24"/>
          <w:szCs w:val="24"/>
        </w:rPr>
        <w:t xml:space="preserve"> 5)</w:t>
      </w:r>
      <w:r w:rsidR="009579CA">
        <w:rPr>
          <w:rStyle w:val="ac"/>
          <w:rFonts w:eastAsiaTheme="majorEastAsia"/>
          <w:b/>
          <w:bCs/>
          <w:sz w:val="24"/>
          <w:szCs w:val="24"/>
        </w:rPr>
        <w:t>;</w:t>
      </w:r>
      <w:r w:rsidR="009A09B6">
        <w:rPr>
          <w:rStyle w:val="ac"/>
          <w:rFonts w:eastAsiaTheme="majorEastAsia"/>
          <w:b/>
          <w:bCs/>
          <w:sz w:val="24"/>
          <w:szCs w:val="24"/>
        </w:rPr>
        <w:t xml:space="preserve"> </w:t>
      </w:r>
      <w:r w:rsidR="009579CA" w:rsidRPr="00737ECE">
        <w:rPr>
          <w:rStyle w:val="ac"/>
          <w:rFonts w:eastAsiaTheme="majorEastAsia"/>
          <w:b/>
          <w:bCs/>
          <w:sz w:val="24"/>
          <w:szCs w:val="24"/>
        </w:rPr>
        <w:t xml:space="preserve">ЕОАГ </w:t>
      </w:r>
      <w:r w:rsidR="009579CA" w:rsidRPr="00737ECE">
        <w:rPr>
          <w:rStyle w:val="ac"/>
          <w:rFonts w:eastAsiaTheme="majorEastAsia"/>
          <w:b/>
          <w:bCs/>
          <w:sz w:val="24"/>
          <w:szCs w:val="24"/>
          <w:lang w:val="en-US"/>
        </w:rPr>
        <w:t>IC</w:t>
      </w:r>
      <w:r w:rsidR="009A09B6">
        <w:rPr>
          <w:rStyle w:val="ac"/>
          <w:rFonts w:eastAsiaTheme="majorEastAsia"/>
          <w:b/>
          <w:bCs/>
          <w:sz w:val="24"/>
          <w:szCs w:val="24"/>
        </w:rPr>
        <w:t>.</w:t>
      </w:r>
    </w:p>
    <w:p w14:paraId="1A25EFAB" w14:textId="6C64C95D" w:rsidR="00D41F61" w:rsidRPr="00D41F61" w:rsidRDefault="00737ECE">
      <w:pPr>
        <w:pStyle w:val="11"/>
        <w:numPr>
          <w:ilvl w:val="0"/>
          <w:numId w:val="32"/>
        </w:numPr>
        <w:tabs>
          <w:tab w:val="left" w:pos="1315"/>
        </w:tabs>
        <w:ind w:firstLine="600"/>
        <w:jc w:val="both"/>
        <w:rPr>
          <w:rStyle w:val="ac"/>
          <w:sz w:val="24"/>
          <w:szCs w:val="24"/>
        </w:rPr>
      </w:pPr>
      <w:r w:rsidRPr="00737ECE">
        <w:rPr>
          <w:rStyle w:val="ac"/>
          <w:rFonts w:eastAsiaTheme="majorEastAsia"/>
          <w:b/>
          <w:bCs/>
          <w:i/>
          <w:iCs/>
          <w:sz w:val="24"/>
          <w:szCs w:val="24"/>
        </w:rPr>
        <w:t xml:space="preserve">Комментарии. </w:t>
      </w:r>
      <w:r w:rsidRPr="00737ECE">
        <w:rPr>
          <w:rStyle w:val="ac"/>
          <w:rFonts w:eastAsiaTheme="majorEastAsia"/>
          <w:i/>
          <w:iCs/>
          <w:sz w:val="24"/>
          <w:szCs w:val="24"/>
        </w:rPr>
        <w:t xml:space="preserve">До начала лечения у пациентов с анамнезом АГ необходимо </w:t>
      </w:r>
      <w:r w:rsidRPr="00737ECE">
        <w:rPr>
          <w:rStyle w:val="ac"/>
          <w:rFonts w:eastAsiaTheme="majorEastAsia"/>
          <w:i/>
          <w:iCs/>
          <w:sz w:val="24"/>
          <w:szCs w:val="24"/>
        </w:rPr>
        <w:lastRenderedPageBreak/>
        <w:t>подтвердить контроль АД на основании измерения клинического и амбулаторного АД (СМАД, ДМАД (в том числе активный мониторинг АД при помощи дистанционных технологий при наличии возможности в медицинском учреждении) при возможности. Особенно важное значение для мониторинга АД в процессе лечения и после его завершения имеет ДМАД (</w:t>
      </w:r>
      <w:r w:rsidRPr="00737ECE">
        <w:rPr>
          <w:rStyle w:val="ac"/>
          <w:rFonts w:eastAsiaTheme="majorEastAsia"/>
          <w:sz w:val="24"/>
          <w:szCs w:val="24"/>
        </w:rPr>
        <w:t>(</w:t>
      </w:r>
      <w:r w:rsidRPr="00737ECE">
        <w:rPr>
          <w:rStyle w:val="ac"/>
          <w:rFonts w:eastAsiaTheme="majorEastAsia"/>
          <w:i/>
          <w:iCs/>
          <w:sz w:val="24"/>
          <w:szCs w:val="24"/>
        </w:rPr>
        <w:t>в том числе активный мониторинг АД при помощи дистанционных технологий), поэтому пациентов нужно обучать правильное технике его проведения. Измерение АД на периферических артериях следует также проводить и у пациентов без анамнеза АГ для исключения его повышения и для регистрации исходного уровня давления до начала лечения препаратами, которые могут индуцировать развитие АГ. Особого внимания у онкологических пациентов требует контроль боли и тревожности перед измерением АД. Факторы риска (стресс, депрессия, нарушение сна, неправильное питание, злоупотребление алкоголем и др.) могут препятствовать достижению контроля АД и требуют коррекции. Коррекция лекарственной терапии проводится по принятым стандартам</w:t>
      </w:r>
      <w:r w:rsidRPr="00737ECE">
        <w:rPr>
          <w:rStyle w:val="ac"/>
          <w:rFonts w:eastAsiaTheme="majorEastAsia"/>
          <w:sz w:val="24"/>
          <w:szCs w:val="24"/>
        </w:rPr>
        <w:t xml:space="preserve"> [12].</w:t>
      </w:r>
      <w:r w:rsidR="00D41F61" w:rsidRPr="00D41F61">
        <w:rPr>
          <w:rStyle w:val="ac"/>
          <w:rFonts w:eastAsiaTheme="majorEastAsia"/>
          <w:sz w:val="24"/>
          <w:szCs w:val="24"/>
        </w:rPr>
        <w:t xml:space="preserve"> </w:t>
      </w:r>
    </w:p>
    <w:p w14:paraId="3C6835BC" w14:textId="77777777" w:rsidR="00D41F61" w:rsidRPr="00737ECE" w:rsidRDefault="00D41F61">
      <w:pPr>
        <w:pStyle w:val="11"/>
        <w:numPr>
          <w:ilvl w:val="0"/>
          <w:numId w:val="32"/>
        </w:numPr>
        <w:tabs>
          <w:tab w:val="left" w:pos="1315"/>
        </w:tabs>
        <w:ind w:firstLine="600"/>
        <w:jc w:val="both"/>
        <w:rPr>
          <w:sz w:val="24"/>
          <w:szCs w:val="24"/>
        </w:rPr>
      </w:pPr>
      <w:r w:rsidRPr="00737ECE">
        <w:rPr>
          <w:rStyle w:val="ac"/>
          <w:rFonts w:eastAsiaTheme="majorEastAsia"/>
          <w:sz w:val="24"/>
          <w:szCs w:val="24"/>
        </w:rPr>
        <w:t>Пациентам с АГ и онкозаболеваниями рекомендуется пройти обследование на</w:t>
      </w:r>
    </w:p>
    <w:p w14:paraId="04E23322" w14:textId="77777777" w:rsidR="00D41F61" w:rsidRPr="00737ECE" w:rsidRDefault="00D41F61" w:rsidP="00D41F61">
      <w:pPr>
        <w:pStyle w:val="11"/>
        <w:ind w:firstLine="0"/>
        <w:jc w:val="both"/>
        <w:rPr>
          <w:sz w:val="24"/>
          <w:szCs w:val="24"/>
        </w:rPr>
      </w:pPr>
      <w:r w:rsidRPr="00737ECE">
        <w:rPr>
          <w:rStyle w:val="ac"/>
          <w:rFonts w:eastAsiaTheme="majorEastAsia"/>
          <w:sz w:val="24"/>
          <w:szCs w:val="24"/>
        </w:rPr>
        <w:t>наличие ПОМ (ЭКГ, эхокардиография, параметры функции почек и признаки сердечной недостаточности) для оценки риска ССЗ до начала противоопухолевой терапии [12].</w:t>
      </w:r>
    </w:p>
    <w:p w14:paraId="74D05DEA" w14:textId="718DF0CA" w:rsidR="00D41F61" w:rsidRPr="00447539" w:rsidRDefault="00D41F61" w:rsidP="00D41F61">
      <w:pPr>
        <w:pStyle w:val="11"/>
        <w:ind w:firstLine="600"/>
        <w:jc w:val="both"/>
        <w:rPr>
          <w:rStyle w:val="ac"/>
          <w:rFonts w:eastAsiaTheme="majorEastAsia"/>
          <w:b/>
          <w:bCs/>
          <w:sz w:val="24"/>
          <w:szCs w:val="24"/>
        </w:rPr>
      </w:pPr>
      <w:r w:rsidRPr="00737EC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9579CA">
        <w:rPr>
          <w:rStyle w:val="ac"/>
          <w:rFonts w:eastAsiaTheme="majorEastAsia"/>
          <w:b/>
          <w:bCs/>
          <w:sz w:val="24"/>
          <w:szCs w:val="24"/>
        </w:rPr>
        <w:t xml:space="preserve"> </w:t>
      </w:r>
      <w:r w:rsidRPr="00737ECE">
        <w:rPr>
          <w:rStyle w:val="ac"/>
          <w:rFonts w:eastAsiaTheme="majorEastAsia"/>
          <w:b/>
          <w:bCs/>
          <w:sz w:val="24"/>
          <w:szCs w:val="24"/>
        </w:rPr>
        <w:t xml:space="preserve">С, </w:t>
      </w:r>
      <w:r w:rsidR="009579CA" w:rsidRPr="00737ECE">
        <w:rPr>
          <w:rStyle w:val="ac"/>
          <w:rFonts w:eastAsiaTheme="majorEastAsia"/>
          <w:sz w:val="24"/>
          <w:szCs w:val="24"/>
        </w:rPr>
        <w:t>(</w:t>
      </w:r>
      <w:r w:rsidR="003D51B3">
        <w:rPr>
          <w:rStyle w:val="ac"/>
          <w:rFonts w:eastAsiaTheme="majorEastAsia"/>
          <w:b/>
          <w:bCs/>
          <w:sz w:val="24"/>
          <w:szCs w:val="24"/>
        </w:rPr>
        <w:t>Уровень достоверности доказательств</w:t>
      </w:r>
      <w:r w:rsidRPr="00737ECE">
        <w:rPr>
          <w:rStyle w:val="ac"/>
          <w:rFonts w:eastAsiaTheme="majorEastAsia"/>
          <w:b/>
          <w:bCs/>
          <w:sz w:val="24"/>
          <w:szCs w:val="24"/>
        </w:rPr>
        <w:t xml:space="preserve"> 5</w:t>
      </w:r>
      <w:r w:rsidR="009579CA" w:rsidRPr="00737ECE">
        <w:rPr>
          <w:rStyle w:val="ac"/>
          <w:rFonts w:eastAsiaTheme="majorEastAsia"/>
          <w:b/>
          <w:bCs/>
          <w:sz w:val="24"/>
          <w:szCs w:val="24"/>
        </w:rPr>
        <w:t>)</w:t>
      </w:r>
      <w:r w:rsidR="009579CA" w:rsidRPr="009579CA">
        <w:rPr>
          <w:rStyle w:val="ac"/>
          <w:rFonts w:eastAsiaTheme="majorEastAsia"/>
          <w:b/>
          <w:bCs/>
          <w:sz w:val="24"/>
          <w:szCs w:val="24"/>
        </w:rPr>
        <w:t>;</w:t>
      </w:r>
      <w:r w:rsidR="009579CA">
        <w:rPr>
          <w:rStyle w:val="ac"/>
          <w:rFonts w:eastAsiaTheme="majorEastAsia"/>
          <w:b/>
          <w:bCs/>
          <w:sz w:val="24"/>
          <w:szCs w:val="24"/>
        </w:rPr>
        <w:t xml:space="preserve"> </w:t>
      </w:r>
      <w:r w:rsidR="009579CA" w:rsidRPr="00737ECE">
        <w:rPr>
          <w:rStyle w:val="ac"/>
          <w:rFonts w:eastAsiaTheme="majorEastAsia"/>
          <w:b/>
          <w:bCs/>
          <w:sz w:val="24"/>
          <w:szCs w:val="24"/>
        </w:rPr>
        <w:t xml:space="preserve">ЕОАГ </w:t>
      </w:r>
      <w:r w:rsidR="009579CA" w:rsidRPr="00737ECE">
        <w:rPr>
          <w:rStyle w:val="ac"/>
          <w:rFonts w:eastAsiaTheme="majorEastAsia"/>
          <w:b/>
          <w:bCs/>
          <w:sz w:val="24"/>
          <w:szCs w:val="24"/>
          <w:lang w:val="en-US"/>
        </w:rPr>
        <w:t>IIC</w:t>
      </w:r>
      <w:r w:rsidR="00447539">
        <w:rPr>
          <w:rStyle w:val="ac"/>
          <w:rFonts w:eastAsiaTheme="majorEastAsia"/>
          <w:b/>
          <w:bCs/>
          <w:sz w:val="24"/>
          <w:szCs w:val="24"/>
        </w:rPr>
        <w:t>.</w:t>
      </w:r>
    </w:p>
    <w:p w14:paraId="5627B0D4" w14:textId="7696283B" w:rsidR="00AB652B" w:rsidRPr="00AB652B" w:rsidRDefault="00AB652B" w:rsidP="00D41F61">
      <w:pPr>
        <w:pStyle w:val="11"/>
        <w:ind w:firstLine="600"/>
        <w:jc w:val="both"/>
        <w:rPr>
          <w:i/>
          <w:iCs/>
          <w:sz w:val="28"/>
          <w:szCs w:val="28"/>
        </w:rPr>
      </w:pPr>
      <w:r>
        <w:rPr>
          <w:rStyle w:val="ac"/>
          <w:rFonts w:eastAsiaTheme="majorEastAsia"/>
          <w:b/>
          <w:bCs/>
          <w:sz w:val="24"/>
          <w:szCs w:val="24"/>
        </w:rPr>
        <w:t>Комментарии:</w:t>
      </w:r>
      <w:r w:rsidRPr="00AB652B">
        <w:t xml:space="preserve"> </w:t>
      </w:r>
      <w:r w:rsidR="004302A0" w:rsidRPr="004302A0">
        <w:rPr>
          <w:i/>
          <w:iCs/>
        </w:rPr>
        <w:t xml:space="preserve">Произвести </w:t>
      </w:r>
      <w:r w:rsidR="004302A0">
        <w:rPr>
          <w:i/>
          <w:iCs/>
          <w:sz w:val="24"/>
          <w:szCs w:val="24"/>
        </w:rPr>
        <w:t>о</w:t>
      </w:r>
      <w:r w:rsidRPr="004302A0">
        <w:rPr>
          <w:i/>
          <w:iCs/>
          <w:sz w:val="24"/>
          <w:szCs w:val="24"/>
        </w:rPr>
        <w:t>ценк</w:t>
      </w:r>
      <w:r w:rsidR="004302A0" w:rsidRPr="004302A0">
        <w:rPr>
          <w:i/>
          <w:iCs/>
          <w:sz w:val="24"/>
          <w:szCs w:val="24"/>
        </w:rPr>
        <w:t>у</w:t>
      </w:r>
      <w:r w:rsidRPr="00AB652B">
        <w:rPr>
          <w:i/>
          <w:iCs/>
          <w:sz w:val="24"/>
          <w:szCs w:val="24"/>
        </w:rPr>
        <w:t xml:space="preserve"> риска сердечно-сосудистых заболеваний (ССЗ) и выявление сопутствующих повреждений, что позволяет оптимизировать лечение и снизить вероятность осложнений в процессе противоопухолевой терапии.</w:t>
      </w:r>
    </w:p>
    <w:p w14:paraId="78AFCD8B" w14:textId="77777777" w:rsidR="00D41F61" w:rsidRPr="00D41F61" w:rsidRDefault="00D41F61">
      <w:pPr>
        <w:pStyle w:val="11"/>
        <w:numPr>
          <w:ilvl w:val="0"/>
          <w:numId w:val="32"/>
        </w:numPr>
        <w:tabs>
          <w:tab w:val="left" w:pos="1315"/>
        </w:tabs>
        <w:ind w:firstLine="600"/>
        <w:jc w:val="both"/>
        <w:rPr>
          <w:sz w:val="24"/>
          <w:szCs w:val="24"/>
        </w:rPr>
      </w:pPr>
      <w:r w:rsidRPr="00737ECE">
        <w:rPr>
          <w:rStyle w:val="ac"/>
          <w:rFonts w:eastAsiaTheme="majorEastAsia"/>
          <w:sz w:val="24"/>
          <w:szCs w:val="24"/>
        </w:rPr>
        <w:t>Пациентам с АГ, получающим кардиотоксичные противоопухолевые препараты,</w:t>
      </w:r>
      <w:r>
        <w:rPr>
          <w:sz w:val="24"/>
          <w:szCs w:val="24"/>
        </w:rPr>
        <w:t xml:space="preserve"> </w:t>
      </w:r>
      <w:r w:rsidRPr="00D41F61">
        <w:rPr>
          <w:rStyle w:val="ac"/>
          <w:rFonts w:eastAsiaTheme="majorEastAsia"/>
          <w:sz w:val="24"/>
          <w:szCs w:val="24"/>
        </w:rPr>
        <w:t>рекомендуется эхокардиографическое обследование на исходном этапе, во время противоопухолевого лечения и во время последующего наблюдения для выявления кардиотоксического эффекта противоопухолевой терапии [12].</w:t>
      </w:r>
    </w:p>
    <w:p w14:paraId="3B3C269E" w14:textId="6D5B66E6" w:rsidR="009579CA" w:rsidRPr="00447539" w:rsidRDefault="00D41F61" w:rsidP="009579CA">
      <w:pPr>
        <w:pStyle w:val="11"/>
        <w:ind w:firstLine="600"/>
        <w:jc w:val="both"/>
        <w:rPr>
          <w:rStyle w:val="ac"/>
          <w:rFonts w:eastAsiaTheme="majorEastAsia"/>
          <w:b/>
          <w:bCs/>
          <w:sz w:val="24"/>
          <w:szCs w:val="24"/>
        </w:rPr>
      </w:pPr>
      <w:r w:rsidRPr="00737EC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9579CA">
        <w:rPr>
          <w:rStyle w:val="ac"/>
          <w:rFonts w:eastAsiaTheme="majorEastAsia"/>
          <w:b/>
          <w:bCs/>
          <w:sz w:val="24"/>
          <w:szCs w:val="24"/>
        </w:rPr>
        <w:t xml:space="preserve"> </w:t>
      </w:r>
      <w:r w:rsidRPr="00737ECE">
        <w:rPr>
          <w:rStyle w:val="ac"/>
          <w:rFonts w:eastAsiaTheme="majorEastAsia"/>
          <w:b/>
          <w:bCs/>
          <w:sz w:val="24"/>
          <w:szCs w:val="24"/>
        </w:rPr>
        <w:t xml:space="preserve">С, </w:t>
      </w:r>
      <w:r w:rsidR="009579CA" w:rsidRPr="00737ECE">
        <w:rPr>
          <w:rStyle w:val="ac"/>
          <w:rFonts w:eastAsiaTheme="majorEastAsia"/>
          <w:sz w:val="24"/>
          <w:szCs w:val="24"/>
        </w:rPr>
        <w:t>(</w:t>
      </w:r>
      <w:r w:rsidR="003D51B3">
        <w:rPr>
          <w:rStyle w:val="ac"/>
          <w:rFonts w:eastAsiaTheme="majorEastAsia"/>
          <w:b/>
          <w:bCs/>
          <w:sz w:val="24"/>
          <w:szCs w:val="24"/>
        </w:rPr>
        <w:t>Уровень достоверности доказательств</w:t>
      </w:r>
      <w:r w:rsidRPr="00737ECE">
        <w:rPr>
          <w:rStyle w:val="ac"/>
          <w:rFonts w:eastAsiaTheme="majorEastAsia"/>
          <w:b/>
          <w:bCs/>
          <w:sz w:val="24"/>
          <w:szCs w:val="24"/>
        </w:rPr>
        <w:t xml:space="preserve"> 5</w:t>
      </w:r>
      <w:r w:rsidR="009579CA" w:rsidRPr="00737ECE">
        <w:rPr>
          <w:rStyle w:val="ac"/>
          <w:rFonts w:eastAsiaTheme="majorEastAsia"/>
          <w:b/>
          <w:bCs/>
          <w:sz w:val="24"/>
          <w:szCs w:val="24"/>
        </w:rPr>
        <w:t>)</w:t>
      </w:r>
      <w:r w:rsidR="009579CA" w:rsidRPr="009579CA">
        <w:rPr>
          <w:rStyle w:val="ac"/>
          <w:rFonts w:eastAsiaTheme="majorEastAsia"/>
          <w:b/>
          <w:bCs/>
          <w:sz w:val="24"/>
          <w:szCs w:val="24"/>
        </w:rPr>
        <w:t>;</w:t>
      </w:r>
      <w:r w:rsidR="009579CA">
        <w:rPr>
          <w:rStyle w:val="ac"/>
          <w:rFonts w:eastAsiaTheme="majorEastAsia"/>
          <w:b/>
          <w:bCs/>
          <w:sz w:val="24"/>
          <w:szCs w:val="24"/>
        </w:rPr>
        <w:t xml:space="preserve"> </w:t>
      </w:r>
      <w:r w:rsidR="009579CA" w:rsidRPr="00737ECE">
        <w:rPr>
          <w:rStyle w:val="ac"/>
          <w:rFonts w:eastAsiaTheme="majorEastAsia"/>
          <w:b/>
          <w:bCs/>
          <w:sz w:val="24"/>
          <w:szCs w:val="24"/>
        </w:rPr>
        <w:t xml:space="preserve">ЕОАГ </w:t>
      </w:r>
      <w:r w:rsidR="009579CA" w:rsidRPr="00737ECE">
        <w:rPr>
          <w:rStyle w:val="ac"/>
          <w:rFonts w:eastAsiaTheme="majorEastAsia"/>
          <w:b/>
          <w:bCs/>
          <w:sz w:val="24"/>
          <w:szCs w:val="24"/>
          <w:lang w:val="en-US"/>
        </w:rPr>
        <w:t>IC</w:t>
      </w:r>
      <w:r w:rsidR="00447539">
        <w:rPr>
          <w:rStyle w:val="ac"/>
          <w:rFonts w:eastAsiaTheme="majorEastAsia"/>
          <w:b/>
          <w:bCs/>
          <w:sz w:val="24"/>
          <w:szCs w:val="24"/>
        </w:rPr>
        <w:t>.</w:t>
      </w:r>
    </w:p>
    <w:p w14:paraId="06CD0CC7" w14:textId="41DB5EF3" w:rsidR="009579CA" w:rsidRPr="0086265D" w:rsidRDefault="009579CA" w:rsidP="004302A0">
      <w:pPr>
        <w:pStyle w:val="11"/>
        <w:ind w:firstLine="600"/>
        <w:jc w:val="both"/>
        <w:rPr>
          <w:rFonts w:eastAsiaTheme="majorEastAsia"/>
          <w:b/>
          <w:bCs/>
          <w:sz w:val="24"/>
          <w:szCs w:val="24"/>
        </w:rPr>
      </w:pPr>
      <w:r>
        <w:rPr>
          <w:rStyle w:val="ac"/>
          <w:rFonts w:eastAsiaTheme="majorEastAsia"/>
          <w:b/>
          <w:bCs/>
          <w:sz w:val="24"/>
          <w:szCs w:val="24"/>
        </w:rPr>
        <w:t>Комментарии</w:t>
      </w:r>
      <w:r w:rsidR="004302A0">
        <w:rPr>
          <w:rStyle w:val="ac"/>
          <w:rFonts w:eastAsiaTheme="majorEastAsia"/>
          <w:b/>
          <w:bCs/>
          <w:sz w:val="24"/>
          <w:szCs w:val="24"/>
        </w:rPr>
        <w:t xml:space="preserve">: </w:t>
      </w:r>
      <w:r w:rsidR="004302A0">
        <w:rPr>
          <w:i/>
          <w:iCs/>
        </w:rPr>
        <w:t>Необходимо</w:t>
      </w:r>
      <w:r w:rsidRPr="009579CA">
        <w:rPr>
          <w:i/>
          <w:iCs/>
        </w:rPr>
        <w:t xml:space="preserve"> для своевременного выявления и мониторинга кардиотоксического эффекта, который может усугублять состояние сердечно-сосудистой системы и влиять на течение гипертензии.</w:t>
      </w:r>
      <w:r>
        <w:rPr>
          <w:i/>
          <w:iCs/>
        </w:rPr>
        <w:t xml:space="preserve"> </w:t>
      </w:r>
      <w:r w:rsidRPr="009579CA">
        <w:rPr>
          <w:i/>
          <w:iCs/>
        </w:rPr>
        <w:t>Регулярное эхокардиографическое обследование помогает адаптировать лечение, снижая риск сердечной недостаточности и других осложнений.</w:t>
      </w:r>
    </w:p>
    <w:p w14:paraId="7BD49790" w14:textId="77777777" w:rsidR="00D41F61" w:rsidRPr="004302A0" w:rsidRDefault="00D41F61" w:rsidP="004302A0">
      <w:pPr>
        <w:pStyle w:val="11"/>
        <w:ind w:firstLine="600"/>
        <w:jc w:val="center"/>
        <w:rPr>
          <w:sz w:val="24"/>
          <w:szCs w:val="24"/>
        </w:rPr>
      </w:pPr>
      <w:r w:rsidRPr="004302A0">
        <w:rPr>
          <w:rStyle w:val="ac"/>
          <w:rFonts w:eastAsiaTheme="majorEastAsia"/>
          <w:b/>
          <w:bCs/>
          <w:sz w:val="24"/>
          <w:szCs w:val="24"/>
        </w:rPr>
        <w:t>Принципы АГТ на фоне противоопухолевой терапии</w:t>
      </w:r>
    </w:p>
    <w:p w14:paraId="25C7700B" w14:textId="77777777" w:rsidR="00D41F61" w:rsidRPr="00D41F61" w:rsidRDefault="00D41F61">
      <w:pPr>
        <w:pStyle w:val="11"/>
        <w:numPr>
          <w:ilvl w:val="0"/>
          <w:numId w:val="32"/>
        </w:numPr>
        <w:tabs>
          <w:tab w:val="left" w:pos="1315"/>
        </w:tabs>
        <w:ind w:firstLine="600"/>
        <w:jc w:val="both"/>
        <w:rPr>
          <w:sz w:val="24"/>
          <w:szCs w:val="24"/>
        </w:rPr>
      </w:pPr>
      <w:r w:rsidRPr="00737ECE">
        <w:rPr>
          <w:rStyle w:val="ac"/>
          <w:rFonts w:eastAsiaTheme="majorEastAsia"/>
          <w:sz w:val="24"/>
          <w:szCs w:val="24"/>
        </w:rPr>
        <w:t>У пациентов с развитием АГ на фоне противоопухолевой терапии рекомендовано</w:t>
      </w:r>
      <w:r>
        <w:rPr>
          <w:sz w:val="24"/>
          <w:szCs w:val="24"/>
        </w:rPr>
        <w:t xml:space="preserve"> </w:t>
      </w:r>
      <w:r w:rsidRPr="00D41F61">
        <w:rPr>
          <w:rStyle w:val="ac"/>
          <w:rFonts w:eastAsiaTheme="majorEastAsia"/>
          <w:sz w:val="24"/>
          <w:szCs w:val="24"/>
        </w:rPr>
        <w:t xml:space="preserve">проводить эффективную антигипертензивную терапию, чтобы не прерывать </w:t>
      </w:r>
      <w:r w:rsidRPr="00D41F61">
        <w:rPr>
          <w:rStyle w:val="ac"/>
          <w:rFonts w:eastAsiaTheme="majorEastAsia"/>
          <w:sz w:val="24"/>
          <w:szCs w:val="24"/>
        </w:rPr>
        <w:lastRenderedPageBreak/>
        <w:t>противоопухолевое лечение и предотвратить развитие сердечно-сосудистых осложнений [456].</w:t>
      </w:r>
    </w:p>
    <w:p w14:paraId="6F220BDE" w14:textId="66876696" w:rsidR="00D41F61" w:rsidRPr="00447539" w:rsidRDefault="00D41F61" w:rsidP="00D41F61">
      <w:pPr>
        <w:pStyle w:val="11"/>
        <w:ind w:firstLine="600"/>
        <w:jc w:val="both"/>
        <w:rPr>
          <w:rStyle w:val="ac"/>
          <w:rFonts w:eastAsiaTheme="majorEastAsia"/>
          <w:b/>
          <w:bCs/>
          <w:sz w:val="24"/>
          <w:szCs w:val="24"/>
        </w:rPr>
      </w:pPr>
      <w:r w:rsidRPr="00737EC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4302A0">
        <w:rPr>
          <w:rStyle w:val="ac"/>
          <w:rFonts w:eastAsiaTheme="majorEastAsia"/>
          <w:b/>
          <w:bCs/>
          <w:sz w:val="24"/>
          <w:szCs w:val="24"/>
        </w:rPr>
        <w:t xml:space="preserve"> </w:t>
      </w:r>
      <w:r w:rsidRPr="00737ECE">
        <w:rPr>
          <w:rStyle w:val="ac"/>
          <w:rFonts w:eastAsiaTheme="majorEastAsia"/>
          <w:b/>
          <w:bCs/>
          <w:sz w:val="24"/>
          <w:szCs w:val="24"/>
        </w:rPr>
        <w:t xml:space="preserve">С, </w:t>
      </w:r>
      <w:r w:rsidR="004302A0" w:rsidRPr="00737ECE">
        <w:rPr>
          <w:rStyle w:val="ac"/>
          <w:rFonts w:eastAsiaTheme="majorEastAsia"/>
          <w:sz w:val="24"/>
          <w:szCs w:val="24"/>
        </w:rPr>
        <w:t>(</w:t>
      </w:r>
      <w:r w:rsidR="003D51B3">
        <w:rPr>
          <w:rStyle w:val="ac"/>
          <w:rFonts w:eastAsiaTheme="majorEastAsia"/>
          <w:b/>
          <w:bCs/>
          <w:sz w:val="24"/>
          <w:szCs w:val="24"/>
        </w:rPr>
        <w:t>Уровень достоверности доказательств</w:t>
      </w:r>
      <w:r w:rsidRPr="00737ECE">
        <w:rPr>
          <w:rStyle w:val="ac"/>
          <w:rFonts w:eastAsiaTheme="majorEastAsia"/>
          <w:b/>
          <w:bCs/>
          <w:sz w:val="24"/>
          <w:szCs w:val="24"/>
        </w:rPr>
        <w:t xml:space="preserve"> 5)</w:t>
      </w:r>
      <w:r w:rsidR="004302A0">
        <w:rPr>
          <w:rStyle w:val="ac"/>
          <w:rFonts w:eastAsiaTheme="majorEastAsia"/>
          <w:b/>
          <w:bCs/>
          <w:sz w:val="24"/>
          <w:szCs w:val="24"/>
        </w:rPr>
        <w:t>;</w:t>
      </w:r>
      <w:r w:rsidR="004302A0" w:rsidRPr="004302A0">
        <w:rPr>
          <w:rStyle w:val="ac"/>
          <w:rFonts w:eastAsiaTheme="majorEastAsia"/>
          <w:b/>
          <w:bCs/>
          <w:sz w:val="24"/>
          <w:szCs w:val="24"/>
        </w:rPr>
        <w:t xml:space="preserve"> </w:t>
      </w:r>
      <w:r w:rsidR="004302A0" w:rsidRPr="00737ECE">
        <w:rPr>
          <w:rStyle w:val="ac"/>
          <w:rFonts w:eastAsiaTheme="majorEastAsia"/>
          <w:b/>
          <w:bCs/>
          <w:sz w:val="24"/>
          <w:szCs w:val="24"/>
        </w:rPr>
        <w:t xml:space="preserve">ЕОК/ЕОАГ </w:t>
      </w:r>
      <w:r w:rsidR="004302A0" w:rsidRPr="00737ECE">
        <w:rPr>
          <w:rStyle w:val="ac"/>
          <w:rFonts w:eastAsiaTheme="majorEastAsia"/>
          <w:b/>
          <w:bCs/>
          <w:sz w:val="24"/>
          <w:szCs w:val="24"/>
          <w:lang w:val="en-US"/>
        </w:rPr>
        <w:t>IC</w:t>
      </w:r>
      <w:r w:rsidR="00447539">
        <w:rPr>
          <w:rStyle w:val="ac"/>
          <w:rFonts w:eastAsiaTheme="majorEastAsia"/>
          <w:b/>
          <w:bCs/>
          <w:sz w:val="24"/>
          <w:szCs w:val="24"/>
        </w:rPr>
        <w:t>.</w:t>
      </w:r>
    </w:p>
    <w:p w14:paraId="1B8076A9" w14:textId="2E8A4BC5" w:rsidR="004302A0" w:rsidRPr="004302A0" w:rsidRDefault="004302A0" w:rsidP="00D41F61">
      <w:pPr>
        <w:pStyle w:val="11"/>
        <w:ind w:firstLine="600"/>
        <w:jc w:val="both"/>
        <w:rPr>
          <w:i/>
          <w:iCs/>
          <w:sz w:val="28"/>
          <w:szCs w:val="28"/>
        </w:rPr>
      </w:pPr>
      <w:r>
        <w:rPr>
          <w:rStyle w:val="ac"/>
          <w:rFonts w:eastAsiaTheme="majorEastAsia"/>
          <w:b/>
          <w:bCs/>
          <w:sz w:val="24"/>
          <w:szCs w:val="24"/>
        </w:rPr>
        <w:t>Комментарии:</w:t>
      </w:r>
      <w:r w:rsidRPr="004302A0">
        <w:t xml:space="preserve"> </w:t>
      </w:r>
      <w:r w:rsidRPr="004302A0">
        <w:rPr>
          <w:i/>
          <w:iCs/>
          <w:sz w:val="24"/>
          <w:szCs w:val="24"/>
        </w:rPr>
        <w:t>Рекомендуется обеспечить контроль артериального давления, чтобы избежать необходимости прерывания противоопухолевого лечения, подбор антигипертензивных препаратов с учётом взаимодействия с противоопухолевыми средствами и индивидуальных особенностей пациента.</w:t>
      </w:r>
    </w:p>
    <w:p w14:paraId="082E347F" w14:textId="77777777" w:rsidR="00D41F61" w:rsidRPr="00D41F61" w:rsidRDefault="00D41F61">
      <w:pPr>
        <w:pStyle w:val="11"/>
        <w:numPr>
          <w:ilvl w:val="0"/>
          <w:numId w:val="32"/>
        </w:numPr>
        <w:tabs>
          <w:tab w:val="left" w:pos="1315"/>
        </w:tabs>
        <w:ind w:firstLine="600"/>
        <w:jc w:val="both"/>
        <w:rPr>
          <w:sz w:val="24"/>
          <w:szCs w:val="24"/>
        </w:rPr>
      </w:pPr>
      <w:r w:rsidRPr="00737ECE">
        <w:rPr>
          <w:rStyle w:val="ac"/>
          <w:rFonts w:eastAsiaTheme="majorEastAsia"/>
          <w:sz w:val="24"/>
          <w:szCs w:val="24"/>
        </w:rPr>
        <w:t>У пациентов с АГ и онкологическими заболеваниями рекомендуется то же</w:t>
      </w:r>
      <w:r>
        <w:rPr>
          <w:sz w:val="24"/>
          <w:szCs w:val="24"/>
        </w:rPr>
        <w:t xml:space="preserve"> </w:t>
      </w:r>
      <w:r w:rsidRPr="00D41F61">
        <w:rPr>
          <w:rStyle w:val="ac"/>
          <w:rFonts w:eastAsiaTheme="majorEastAsia"/>
          <w:sz w:val="24"/>
          <w:szCs w:val="24"/>
        </w:rPr>
        <w:t>определение АГ, пороговые значения, целевые показатели, изменения образа жизни и стратегии медикаментозного лечения, что и для населения с АГ в целом для снижения СС риска [12].</w:t>
      </w:r>
    </w:p>
    <w:p w14:paraId="6FA08E87" w14:textId="73776B05" w:rsidR="00D41F61" w:rsidRPr="00447539" w:rsidRDefault="00D41F61" w:rsidP="00D41F61">
      <w:pPr>
        <w:pStyle w:val="11"/>
        <w:ind w:firstLine="600"/>
        <w:jc w:val="both"/>
        <w:rPr>
          <w:sz w:val="24"/>
          <w:szCs w:val="24"/>
        </w:rPr>
      </w:pPr>
      <w:r w:rsidRPr="00737EC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4302A0">
        <w:rPr>
          <w:rStyle w:val="ac"/>
          <w:rFonts w:eastAsiaTheme="majorEastAsia"/>
          <w:b/>
          <w:bCs/>
          <w:sz w:val="24"/>
          <w:szCs w:val="24"/>
        </w:rPr>
        <w:t xml:space="preserve"> </w:t>
      </w:r>
      <w:r w:rsidRPr="00737ECE">
        <w:rPr>
          <w:rStyle w:val="ac"/>
          <w:rFonts w:eastAsiaTheme="majorEastAsia"/>
          <w:b/>
          <w:bCs/>
          <w:sz w:val="24"/>
          <w:szCs w:val="24"/>
        </w:rPr>
        <w:t xml:space="preserve">С, </w:t>
      </w:r>
      <w:r w:rsidR="004302A0" w:rsidRPr="00737ECE">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737ECE">
        <w:rPr>
          <w:rStyle w:val="ac"/>
          <w:rFonts w:eastAsiaTheme="majorEastAsia"/>
          <w:b/>
          <w:bCs/>
          <w:sz w:val="24"/>
          <w:szCs w:val="24"/>
        </w:rPr>
        <w:t xml:space="preserve"> 5</w:t>
      </w:r>
      <w:r w:rsidR="004302A0" w:rsidRPr="00737ECE">
        <w:rPr>
          <w:rStyle w:val="ac"/>
          <w:rFonts w:eastAsiaTheme="majorEastAsia"/>
          <w:b/>
          <w:bCs/>
          <w:sz w:val="24"/>
          <w:szCs w:val="24"/>
        </w:rPr>
        <w:t>)</w:t>
      </w:r>
      <w:r w:rsidR="004302A0" w:rsidRPr="004302A0">
        <w:rPr>
          <w:rStyle w:val="ac"/>
          <w:rFonts w:eastAsiaTheme="majorEastAsia"/>
          <w:b/>
          <w:bCs/>
          <w:sz w:val="24"/>
          <w:szCs w:val="24"/>
        </w:rPr>
        <w:t>;</w:t>
      </w:r>
      <w:r w:rsidR="004302A0">
        <w:rPr>
          <w:rStyle w:val="ac"/>
          <w:rFonts w:eastAsiaTheme="majorEastAsia"/>
          <w:b/>
          <w:bCs/>
          <w:sz w:val="24"/>
          <w:szCs w:val="24"/>
        </w:rPr>
        <w:t xml:space="preserve"> </w:t>
      </w:r>
      <w:r w:rsidR="004302A0" w:rsidRPr="00737ECE">
        <w:rPr>
          <w:rStyle w:val="ac"/>
          <w:rFonts w:eastAsiaTheme="majorEastAsia"/>
          <w:b/>
          <w:bCs/>
          <w:sz w:val="24"/>
          <w:szCs w:val="24"/>
        </w:rPr>
        <w:t xml:space="preserve">ЕОАГ </w:t>
      </w:r>
      <w:r w:rsidR="004302A0" w:rsidRPr="00737ECE">
        <w:rPr>
          <w:rStyle w:val="ac"/>
          <w:rFonts w:eastAsiaTheme="majorEastAsia"/>
          <w:b/>
          <w:bCs/>
          <w:sz w:val="24"/>
          <w:szCs w:val="24"/>
          <w:lang w:val="en-US"/>
        </w:rPr>
        <w:t>IC</w:t>
      </w:r>
      <w:r w:rsidR="00447539">
        <w:rPr>
          <w:rStyle w:val="ac"/>
          <w:rFonts w:eastAsiaTheme="majorEastAsia"/>
          <w:b/>
          <w:bCs/>
          <w:sz w:val="24"/>
          <w:szCs w:val="24"/>
        </w:rPr>
        <w:t>.</w:t>
      </w:r>
    </w:p>
    <w:p w14:paraId="7D88B931" w14:textId="77777777" w:rsidR="00D41F61" w:rsidRPr="00737ECE" w:rsidRDefault="00D41F61" w:rsidP="00D41F61">
      <w:pPr>
        <w:pStyle w:val="11"/>
        <w:tabs>
          <w:tab w:val="left" w:pos="4430"/>
        </w:tabs>
        <w:ind w:firstLine="600"/>
        <w:jc w:val="both"/>
        <w:rPr>
          <w:sz w:val="24"/>
          <w:szCs w:val="24"/>
        </w:rPr>
      </w:pPr>
      <w:r w:rsidRPr="004302A0">
        <w:rPr>
          <w:rStyle w:val="ac"/>
          <w:rFonts w:eastAsiaTheme="majorEastAsia"/>
          <w:b/>
          <w:bCs/>
          <w:sz w:val="24"/>
          <w:szCs w:val="24"/>
        </w:rPr>
        <w:t>Комментарии.</w:t>
      </w:r>
      <w:r w:rsidRPr="00737ECE">
        <w:rPr>
          <w:rStyle w:val="ac"/>
          <w:rFonts w:eastAsiaTheme="majorEastAsia"/>
          <w:b/>
          <w:bCs/>
          <w:i/>
          <w:iCs/>
          <w:sz w:val="24"/>
          <w:szCs w:val="24"/>
        </w:rPr>
        <w:t xml:space="preserve"> </w:t>
      </w:r>
      <w:r w:rsidRPr="00737ECE">
        <w:rPr>
          <w:rStyle w:val="ac"/>
          <w:rFonts w:eastAsiaTheme="majorEastAsia"/>
          <w:i/>
          <w:iCs/>
          <w:sz w:val="24"/>
          <w:szCs w:val="24"/>
        </w:rPr>
        <w:t>У тяжелых онкологических больных лечение АГ должно быть индивидуальным в соответствии с симптомами, сопутствующими заболеваниями и полипрагмазией в процессе совместного принятия решений</w:t>
      </w:r>
      <w:r w:rsidRPr="00737ECE">
        <w:rPr>
          <w:rStyle w:val="ac"/>
          <w:rFonts w:eastAsiaTheme="majorEastAsia"/>
          <w:sz w:val="24"/>
          <w:szCs w:val="24"/>
        </w:rPr>
        <w:t xml:space="preserve"> [12]</w:t>
      </w:r>
      <w:r w:rsidRPr="00737ECE">
        <w:rPr>
          <w:rStyle w:val="ac"/>
          <w:rFonts w:eastAsiaTheme="majorEastAsia"/>
          <w:i/>
          <w:iCs/>
          <w:sz w:val="24"/>
          <w:szCs w:val="24"/>
        </w:rPr>
        <w:t>. Определение АГ, пороговые и целевые значения АД принципы изменения образа жизни и медикаментозной терапии для онкологических пациентов в экстраполированы из общей популяции в связи с отсутствием данных крупных РКИ для данной категории больных. Пациентам с АГ и онкологическими заболеваниями рекомендуется придерживаться порогового значения систолического АД для начала антигипертензивной терапии в диапазоне от 135 до 160 мм рт.ст. в зависимости от фазы течения онкологического заболевания и прогноза пациента</w:t>
      </w:r>
      <w:r w:rsidRPr="00737ECE">
        <w:rPr>
          <w:rStyle w:val="ac"/>
          <w:rFonts w:eastAsiaTheme="majorEastAsia"/>
          <w:sz w:val="24"/>
          <w:szCs w:val="24"/>
        </w:rPr>
        <w:t xml:space="preserve"> [456]</w:t>
      </w:r>
      <w:r w:rsidRPr="00737ECE">
        <w:rPr>
          <w:rStyle w:val="ac"/>
          <w:rFonts w:eastAsiaTheme="majorEastAsia"/>
          <w:i/>
          <w:iCs/>
          <w:sz w:val="24"/>
          <w:szCs w:val="24"/>
        </w:rPr>
        <w:t>. Рекомендованной целью АГТ у большинства является уровень АД &lt;140</w:t>
      </w:r>
      <w:proofErr w:type="gramStart"/>
      <w:r w:rsidRPr="00737ECE">
        <w:rPr>
          <w:rStyle w:val="ac"/>
          <w:rFonts w:eastAsiaTheme="majorEastAsia"/>
          <w:i/>
          <w:iCs/>
          <w:sz w:val="24"/>
          <w:szCs w:val="24"/>
        </w:rPr>
        <w:t>/&lt;</w:t>
      </w:r>
      <w:proofErr w:type="gramEnd"/>
      <w:r w:rsidRPr="00737ECE">
        <w:rPr>
          <w:rStyle w:val="ac"/>
          <w:rFonts w:eastAsiaTheme="majorEastAsia"/>
          <w:i/>
          <w:iCs/>
          <w:sz w:val="24"/>
          <w:szCs w:val="24"/>
        </w:rPr>
        <w:t>90 мм рт.ст., при хорошей переносимости АГТ – АД &lt;130/&lt;80 мм рт.ст. У некоторых бессимптомных пациентов с метастатическим поражением рекомендуется рассмотреть возможность использовать целевой диапазон АД 140-160/90-100 мм рт.ст.</w:t>
      </w:r>
      <w:r w:rsidRPr="00737ECE">
        <w:rPr>
          <w:rStyle w:val="ac"/>
          <w:rFonts w:eastAsiaTheme="majorEastAsia"/>
          <w:sz w:val="24"/>
          <w:szCs w:val="24"/>
        </w:rPr>
        <w:t xml:space="preserve"> [456]</w:t>
      </w:r>
      <w:r w:rsidRPr="00737ECE">
        <w:rPr>
          <w:rStyle w:val="ac"/>
          <w:rFonts w:eastAsiaTheme="majorEastAsia"/>
          <w:i/>
          <w:iCs/>
          <w:sz w:val="24"/>
          <w:szCs w:val="24"/>
        </w:rPr>
        <w:t>.</w:t>
      </w:r>
      <w:r w:rsidRPr="00737ECE">
        <w:rPr>
          <w:rStyle w:val="ac"/>
          <w:rFonts w:eastAsiaTheme="majorEastAsia"/>
          <w:i/>
          <w:iCs/>
          <w:sz w:val="24"/>
          <w:szCs w:val="24"/>
        </w:rPr>
        <w:tab/>
        <w:t>У тяжелых онкологических больных необходим</w:t>
      </w:r>
      <w:r>
        <w:rPr>
          <w:sz w:val="24"/>
          <w:szCs w:val="24"/>
        </w:rPr>
        <w:t xml:space="preserve"> </w:t>
      </w:r>
      <w:r w:rsidRPr="00737ECE">
        <w:rPr>
          <w:rStyle w:val="ac"/>
          <w:rFonts w:eastAsiaTheme="majorEastAsia"/>
          <w:i/>
          <w:iCs/>
          <w:sz w:val="24"/>
          <w:szCs w:val="24"/>
        </w:rPr>
        <w:t>индивидуальный подход в соответствии с наличием симптомов, сопутствующих заболеваний и количества принимаемых препаратов. Решения принимаются совместно с пациентом</w:t>
      </w:r>
      <w:r w:rsidRPr="00737ECE">
        <w:rPr>
          <w:rStyle w:val="ac"/>
          <w:rFonts w:eastAsiaTheme="majorEastAsia"/>
          <w:sz w:val="24"/>
          <w:szCs w:val="24"/>
        </w:rPr>
        <w:t xml:space="preserve"> [12]</w:t>
      </w:r>
      <w:r w:rsidRPr="00737ECE">
        <w:rPr>
          <w:rStyle w:val="ac"/>
          <w:rFonts w:eastAsiaTheme="majorEastAsia"/>
          <w:i/>
          <w:iCs/>
          <w:sz w:val="24"/>
          <w:szCs w:val="24"/>
        </w:rPr>
        <w:t>. У лиц, находящихся в ремиссии, лечение проводится в соответствии с актуальными рекомендациями по АГ.</w:t>
      </w:r>
    </w:p>
    <w:p w14:paraId="0135793A" w14:textId="77777777" w:rsidR="00D41F61" w:rsidRPr="00737ECE" w:rsidRDefault="00D41F61" w:rsidP="00D41F61">
      <w:pPr>
        <w:pStyle w:val="11"/>
        <w:spacing w:after="40"/>
        <w:ind w:firstLine="620"/>
        <w:jc w:val="both"/>
        <w:rPr>
          <w:sz w:val="24"/>
          <w:szCs w:val="24"/>
        </w:rPr>
      </w:pPr>
      <w:r w:rsidRPr="00737ECE">
        <w:rPr>
          <w:rStyle w:val="ac"/>
          <w:rFonts w:eastAsiaTheme="majorEastAsia"/>
          <w:i/>
          <w:iCs/>
          <w:sz w:val="24"/>
          <w:szCs w:val="24"/>
        </w:rPr>
        <w:t>У пациентов с неконтролируемой АГ и значениями САД ≥180 мм рт.ст. и/или ДАД ≥110 мм рт.ст. начинать противоопухолевую терапию не рекомендуется</w:t>
      </w:r>
      <w:r w:rsidRPr="00737ECE">
        <w:rPr>
          <w:rStyle w:val="ac"/>
          <w:rFonts w:eastAsiaTheme="majorEastAsia"/>
          <w:sz w:val="24"/>
          <w:szCs w:val="24"/>
        </w:rPr>
        <w:t xml:space="preserve"> [442, 446, 466]. </w:t>
      </w:r>
      <w:r w:rsidRPr="00737ECE">
        <w:rPr>
          <w:rStyle w:val="ac"/>
          <w:rFonts w:eastAsiaTheme="majorEastAsia"/>
          <w:i/>
          <w:iCs/>
          <w:sz w:val="24"/>
          <w:szCs w:val="24"/>
        </w:rPr>
        <w:t xml:space="preserve">Не следует откладывать лечение у пациентов с неконтролируемой АГ, если она не 3-й </w:t>
      </w:r>
      <w:r w:rsidRPr="00737ECE">
        <w:rPr>
          <w:rStyle w:val="ac"/>
          <w:rFonts w:eastAsiaTheme="majorEastAsia"/>
          <w:i/>
          <w:iCs/>
          <w:sz w:val="24"/>
          <w:szCs w:val="24"/>
        </w:rPr>
        <w:lastRenderedPageBreak/>
        <w:t>степени и нет симптомов. В случае тяжёлой неконтролируемой АГ необходимо интенсивное лечение мультидисциплинарной командой для стабилизации АД и как можно более раннего начала противоопухолевой терапии</w:t>
      </w:r>
      <w:r w:rsidRPr="00737ECE">
        <w:rPr>
          <w:rStyle w:val="ac"/>
          <w:rFonts w:eastAsiaTheme="majorEastAsia"/>
          <w:sz w:val="24"/>
          <w:szCs w:val="24"/>
        </w:rPr>
        <w:t xml:space="preserve"> [446, 466]. </w:t>
      </w:r>
      <w:r w:rsidRPr="00737ECE">
        <w:rPr>
          <w:rStyle w:val="ac"/>
          <w:rFonts w:eastAsiaTheme="majorEastAsia"/>
          <w:i/>
          <w:iCs/>
          <w:sz w:val="24"/>
          <w:szCs w:val="24"/>
        </w:rPr>
        <w:t>Коррекцию факторов повышения АД, не связанных с противоопухолевой терапией как таковой, требуется проводить у всех пациентов с онкологическим заболеванием и впервые возникшей АГ, прежде чем рассматривать прерывание противоопухолевой терапии.</w:t>
      </w:r>
    </w:p>
    <w:p w14:paraId="7B785340" w14:textId="77777777" w:rsidR="00D41F61" w:rsidRPr="00D41F61" w:rsidRDefault="00D41F61">
      <w:pPr>
        <w:pStyle w:val="11"/>
        <w:numPr>
          <w:ilvl w:val="0"/>
          <w:numId w:val="32"/>
        </w:numPr>
        <w:tabs>
          <w:tab w:val="left" w:pos="1386"/>
        </w:tabs>
        <w:ind w:firstLine="600"/>
        <w:jc w:val="both"/>
        <w:rPr>
          <w:sz w:val="24"/>
          <w:szCs w:val="24"/>
        </w:rPr>
      </w:pPr>
      <w:r w:rsidRPr="00737ECE">
        <w:rPr>
          <w:rStyle w:val="ac"/>
          <w:rFonts w:eastAsiaTheme="majorEastAsia"/>
          <w:sz w:val="24"/>
          <w:szCs w:val="24"/>
        </w:rPr>
        <w:t>В случае повышения САД ≥180 мм рт.ст. и/или ДАД ≥110 мм рт.ст. пациентам с АГ</w:t>
      </w:r>
      <w:r>
        <w:rPr>
          <w:sz w:val="24"/>
          <w:szCs w:val="24"/>
        </w:rPr>
        <w:t xml:space="preserve"> </w:t>
      </w:r>
      <w:r w:rsidRPr="00D41F61">
        <w:rPr>
          <w:rStyle w:val="ac"/>
          <w:rFonts w:eastAsiaTheme="majorEastAsia"/>
          <w:sz w:val="24"/>
          <w:szCs w:val="24"/>
        </w:rPr>
        <w:t>и онкологическими заболеваниями рекомендуется временно прекратить противоопухолевую терапию до стабилизации АД на уровне &lt;160</w:t>
      </w:r>
      <w:proofErr w:type="gramStart"/>
      <w:r w:rsidRPr="00D41F61">
        <w:rPr>
          <w:rStyle w:val="ac"/>
          <w:rFonts w:eastAsiaTheme="majorEastAsia"/>
          <w:sz w:val="24"/>
          <w:szCs w:val="24"/>
        </w:rPr>
        <w:t>/&lt;</w:t>
      </w:r>
      <w:proofErr w:type="gramEnd"/>
      <w:r w:rsidRPr="00D41F61">
        <w:rPr>
          <w:rStyle w:val="ac"/>
          <w:rFonts w:eastAsiaTheme="majorEastAsia"/>
          <w:sz w:val="24"/>
          <w:szCs w:val="24"/>
        </w:rPr>
        <w:t>100 мм рт.ст. [456].</w:t>
      </w:r>
    </w:p>
    <w:p w14:paraId="521EAC65" w14:textId="207C7E15" w:rsidR="00D41F61" w:rsidRPr="00737ECE" w:rsidRDefault="00D41F61" w:rsidP="00D41F61">
      <w:pPr>
        <w:pStyle w:val="11"/>
        <w:ind w:firstLine="620"/>
        <w:jc w:val="both"/>
        <w:rPr>
          <w:sz w:val="24"/>
          <w:szCs w:val="24"/>
        </w:rPr>
      </w:pPr>
      <w:r w:rsidRPr="00737EC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4302A0">
        <w:rPr>
          <w:rStyle w:val="ac"/>
          <w:rFonts w:eastAsiaTheme="majorEastAsia"/>
          <w:b/>
          <w:bCs/>
          <w:sz w:val="24"/>
          <w:szCs w:val="24"/>
        </w:rPr>
        <w:t xml:space="preserve"> </w:t>
      </w:r>
      <w:r w:rsidRPr="00737ECE">
        <w:rPr>
          <w:rStyle w:val="ac"/>
          <w:rFonts w:eastAsiaTheme="majorEastAsia"/>
          <w:b/>
          <w:bCs/>
          <w:sz w:val="24"/>
          <w:szCs w:val="24"/>
        </w:rPr>
        <w:t xml:space="preserve">С, </w:t>
      </w:r>
      <w:r w:rsidR="004302A0" w:rsidRPr="00737ECE">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737ECE">
        <w:rPr>
          <w:rStyle w:val="ac"/>
          <w:rFonts w:eastAsiaTheme="majorEastAsia"/>
          <w:b/>
          <w:bCs/>
          <w:sz w:val="24"/>
          <w:szCs w:val="24"/>
        </w:rPr>
        <w:t xml:space="preserve"> 5)</w:t>
      </w:r>
      <w:r w:rsidR="004302A0">
        <w:rPr>
          <w:rStyle w:val="ac"/>
          <w:rFonts w:eastAsiaTheme="majorEastAsia"/>
          <w:b/>
          <w:bCs/>
          <w:sz w:val="24"/>
          <w:szCs w:val="24"/>
        </w:rPr>
        <w:t xml:space="preserve">; </w:t>
      </w:r>
      <w:r w:rsidR="004302A0" w:rsidRPr="00737ECE">
        <w:rPr>
          <w:rStyle w:val="ac"/>
          <w:rFonts w:eastAsiaTheme="majorEastAsia"/>
          <w:b/>
          <w:bCs/>
          <w:sz w:val="24"/>
          <w:szCs w:val="24"/>
        </w:rPr>
        <w:t>ЕОК/ЕОАГ IС</w:t>
      </w:r>
      <w:r w:rsidR="00447539">
        <w:rPr>
          <w:rStyle w:val="ac"/>
          <w:rFonts w:eastAsiaTheme="majorEastAsia"/>
          <w:b/>
          <w:bCs/>
          <w:sz w:val="24"/>
          <w:szCs w:val="24"/>
        </w:rPr>
        <w:t>.</w:t>
      </w:r>
    </w:p>
    <w:p w14:paraId="7DC88484" w14:textId="77777777" w:rsidR="00D41F61" w:rsidRPr="00737ECE" w:rsidRDefault="00D41F61" w:rsidP="00D41F61">
      <w:pPr>
        <w:pStyle w:val="11"/>
        <w:spacing w:after="40"/>
        <w:ind w:firstLine="620"/>
        <w:jc w:val="both"/>
        <w:rPr>
          <w:sz w:val="24"/>
          <w:szCs w:val="24"/>
        </w:rPr>
      </w:pPr>
      <w:r w:rsidRPr="00737ECE">
        <w:rPr>
          <w:rStyle w:val="ac"/>
          <w:rFonts w:eastAsiaTheme="majorEastAsia"/>
          <w:b/>
          <w:bCs/>
          <w:sz w:val="24"/>
          <w:szCs w:val="24"/>
        </w:rPr>
        <w:t xml:space="preserve">Комментарии: </w:t>
      </w:r>
      <w:r w:rsidRPr="00737ECE">
        <w:rPr>
          <w:rStyle w:val="ac"/>
          <w:rFonts w:eastAsiaTheme="majorEastAsia"/>
          <w:i/>
          <w:iCs/>
          <w:sz w:val="24"/>
          <w:szCs w:val="24"/>
        </w:rPr>
        <w:t>Хотя противоопухолевая терапия имеет очевидный приоритет, следует рассмотреть возможность ее прерывания в случаях чрезмерно высоких показателей АД, несмотря на многокомпонентную терапию, при наличии симптомов, обусловленных АГ, или при развитии ССС, требующего немедленного снижения АД</w:t>
      </w:r>
      <w:r w:rsidRPr="00737ECE">
        <w:rPr>
          <w:rStyle w:val="ac"/>
          <w:rFonts w:eastAsiaTheme="majorEastAsia"/>
          <w:sz w:val="24"/>
          <w:szCs w:val="24"/>
        </w:rPr>
        <w:t xml:space="preserve"> [467, 468]</w:t>
      </w:r>
      <w:r w:rsidRPr="00737ECE">
        <w:rPr>
          <w:rStyle w:val="ac"/>
          <w:rFonts w:eastAsiaTheme="majorEastAsia"/>
          <w:i/>
          <w:iCs/>
          <w:sz w:val="24"/>
          <w:szCs w:val="24"/>
        </w:rPr>
        <w:t>.</w:t>
      </w:r>
    </w:p>
    <w:p w14:paraId="1090B664" w14:textId="77777777" w:rsidR="00D41F61" w:rsidRPr="00D41F61" w:rsidRDefault="00D41F61">
      <w:pPr>
        <w:pStyle w:val="11"/>
        <w:numPr>
          <w:ilvl w:val="0"/>
          <w:numId w:val="32"/>
        </w:numPr>
        <w:tabs>
          <w:tab w:val="left" w:pos="1366"/>
        </w:tabs>
        <w:ind w:firstLine="620"/>
        <w:jc w:val="both"/>
        <w:rPr>
          <w:sz w:val="24"/>
          <w:szCs w:val="24"/>
        </w:rPr>
      </w:pPr>
      <w:r w:rsidRPr="00737ECE">
        <w:rPr>
          <w:rStyle w:val="ac"/>
          <w:rFonts w:eastAsiaTheme="majorEastAsia"/>
          <w:sz w:val="24"/>
          <w:szCs w:val="24"/>
        </w:rPr>
        <w:t>Пациентам с АГ и онкологическими заболеваниями при старте АГТ рекомендуется</w:t>
      </w:r>
      <w:r>
        <w:rPr>
          <w:sz w:val="24"/>
          <w:szCs w:val="24"/>
        </w:rPr>
        <w:t xml:space="preserve"> </w:t>
      </w:r>
      <w:r w:rsidRPr="00D41F61">
        <w:rPr>
          <w:rStyle w:val="ac"/>
          <w:rFonts w:eastAsiaTheme="majorEastAsia"/>
          <w:sz w:val="24"/>
          <w:szCs w:val="24"/>
        </w:rPr>
        <w:t>назначать ИАПФ или БРА для снижения риска сердечно-сосудистых катастроф. [469, 470, 471, 12, 472].</w:t>
      </w:r>
    </w:p>
    <w:p w14:paraId="1AB1C650" w14:textId="62FDA685" w:rsidR="00D41F61" w:rsidRDefault="00D41F61" w:rsidP="00D41F61">
      <w:pPr>
        <w:pStyle w:val="11"/>
        <w:spacing w:after="40"/>
        <w:ind w:firstLine="600"/>
        <w:jc w:val="both"/>
        <w:rPr>
          <w:rStyle w:val="ac"/>
          <w:rFonts w:eastAsiaTheme="majorEastAsia"/>
          <w:b/>
          <w:bCs/>
          <w:sz w:val="24"/>
          <w:szCs w:val="24"/>
        </w:rPr>
      </w:pPr>
      <w:r w:rsidRPr="00737EC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4302A0">
        <w:rPr>
          <w:rStyle w:val="ac"/>
          <w:rFonts w:eastAsiaTheme="majorEastAsia"/>
          <w:b/>
          <w:bCs/>
          <w:sz w:val="24"/>
          <w:szCs w:val="24"/>
        </w:rPr>
        <w:t xml:space="preserve"> </w:t>
      </w:r>
      <w:r w:rsidRPr="00737ECE">
        <w:rPr>
          <w:rStyle w:val="ac"/>
          <w:rFonts w:eastAsiaTheme="majorEastAsia"/>
          <w:b/>
          <w:bCs/>
          <w:sz w:val="24"/>
          <w:szCs w:val="24"/>
        </w:rPr>
        <w:t xml:space="preserve">В, </w:t>
      </w:r>
      <w:r w:rsidR="004302A0" w:rsidRPr="00737ECE">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737ECE">
        <w:rPr>
          <w:rStyle w:val="ac"/>
          <w:rFonts w:eastAsiaTheme="majorEastAsia"/>
          <w:b/>
          <w:bCs/>
          <w:sz w:val="24"/>
          <w:szCs w:val="24"/>
        </w:rPr>
        <w:t xml:space="preserve"> 3</w:t>
      </w:r>
      <w:r w:rsidR="004302A0" w:rsidRPr="00737ECE">
        <w:rPr>
          <w:rStyle w:val="ac"/>
          <w:rFonts w:eastAsiaTheme="majorEastAsia"/>
          <w:b/>
          <w:bCs/>
          <w:sz w:val="24"/>
          <w:szCs w:val="24"/>
        </w:rPr>
        <w:t>)</w:t>
      </w:r>
      <w:r w:rsidR="004302A0" w:rsidRPr="004302A0">
        <w:rPr>
          <w:rStyle w:val="ac"/>
          <w:rFonts w:eastAsiaTheme="majorEastAsia"/>
          <w:b/>
          <w:bCs/>
          <w:sz w:val="24"/>
          <w:szCs w:val="24"/>
        </w:rPr>
        <w:t>;</w:t>
      </w:r>
      <w:r w:rsidR="004302A0">
        <w:rPr>
          <w:rStyle w:val="ac"/>
          <w:rFonts w:eastAsiaTheme="majorEastAsia"/>
          <w:b/>
          <w:bCs/>
          <w:sz w:val="24"/>
          <w:szCs w:val="24"/>
        </w:rPr>
        <w:t xml:space="preserve"> </w:t>
      </w:r>
      <w:r w:rsidR="004302A0" w:rsidRPr="00737ECE">
        <w:rPr>
          <w:rStyle w:val="ac"/>
          <w:rFonts w:eastAsiaTheme="majorEastAsia"/>
          <w:b/>
          <w:bCs/>
          <w:sz w:val="24"/>
          <w:szCs w:val="24"/>
        </w:rPr>
        <w:t>ЕОК/ЕОАГ IС</w:t>
      </w:r>
      <w:r w:rsidR="00447539">
        <w:rPr>
          <w:rStyle w:val="ac"/>
          <w:rFonts w:eastAsiaTheme="majorEastAsia"/>
          <w:b/>
          <w:bCs/>
          <w:sz w:val="24"/>
          <w:szCs w:val="24"/>
        </w:rPr>
        <w:t>.</w:t>
      </w:r>
    </w:p>
    <w:p w14:paraId="0B830662" w14:textId="724F8D25" w:rsidR="004302A0" w:rsidRPr="004302A0" w:rsidRDefault="004302A0" w:rsidP="00D41F61">
      <w:pPr>
        <w:pStyle w:val="11"/>
        <w:spacing w:after="40"/>
        <w:ind w:firstLine="600"/>
        <w:jc w:val="both"/>
        <w:rPr>
          <w:i/>
          <w:iCs/>
          <w:sz w:val="28"/>
          <w:szCs w:val="28"/>
        </w:rPr>
      </w:pPr>
      <w:r w:rsidRPr="00737ECE">
        <w:rPr>
          <w:rStyle w:val="ac"/>
          <w:rFonts w:eastAsiaTheme="majorEastAsia"/>
          <w:b/>
          <w:bCs/>
          <w:sz w:val="24"/>
          <w:szCs w:val="24"/>
        </w:rPr>
        <w:t>Комментарии:</w:t>
      </w:r>
      <w:r w:rsidRPr="004302A0">
        <w:t xml:space="preserve"> </w:t>
      </w:r>
      <w:r w:rsidRPr="004302A0">
        <w:rPr>
          <w:i/>
          <w:iCs/>
          <w:sz w:val="24"/>
          <w:szCs w:val="24"/>
        </w:rPr>
        <w:t>Данные препараты эффективно снижают артериальное давление и уменьшают риск сердечно-сосудистых катастроф (инфаркт, инсульт) у данной группы пациентов. ИАПФ и БРА обладают защитным эффектом на почки и сердечную мышцу, что важно при сопутствующей онкологической терапии.</w:t>
      </w:r>
    </w:p>
    <w:p w14:paraId="3111B671" w14:textId="77777777" w:rsidR="00D41F61" w:rsidRPr="00D41F61" w:rsidRDefault="00D41F61">
      <w:pPr>
        <w:pStyle w:val="11"/>
        <w:numPr>
          <w:ilvl w:val="0"/>
          <w:numId w:val="32"/>
        </w:numPr>
        <w:tabs>
          <w:tab w:val="left" w:pos="1386"/>
        </w:tabs>
        <w:ind w:firstLine="600"/>
        <w:jc w:val="both"/>
        <w:rPr>
          <w:sz w:val="24"/>
          <w:szCs w:val="24"/>
        </w:rPr>
      </w:pPr>
      <w:r w:rsidRPr="00737ECE">
        <w:rPr>
          <w:rStyle w:val="ac"/>
          <w:rFonts w:eastAsiaTheme="majorEastAsia"/>
          <w:sz w:val="24"/>
          <w:szCs w:val="24"/>
        </w:rPr>
        <w:t>Пациентам с АГ и онкологическими заболеваниями для интенсификации терапии</w:t>
      </w:r>
      <w:r>
        <w:rPr>
          <w:sz w:val="24"/>
          <w:szCs w:val="24"/>
        </w:rPr>
        <w:t xml:space="preserve"> </w:t>
      </w:r>
      <w:r w:rsidRPr="00D41F61">
        <w:rPr>
          <w:rStyle w:val="ac"/>
          <w:rFonts w:eastAsiaTheme="majorEastAsia"/>
          <w:sz w:val="24"/>
          <w:szCs w:val="24"/>
        </w:rPr>
        <w:t>ИАПФ или БРА рекомендуется назначение антагонистов кальция для снижения риска сердечно</w:t>
      </w:r>
      <w:r w:rsidRPr="00D41F61">
        <w:rPr>
          <w:rStyle w:val="ac"/>
          <w:rFonts w:eastAsiaTheme="majorEastAsia"/>
          <w:sz w:val="24"/>
          <w:szCs w:val="24"/>
        </w:rPr>
        <w:softHyphen/>
        <w:t>сосудистых катастроф. Комбинированная терапия (ИАПФ или БРА и АК) показана пациентам с САД ≥160 мм рт.ст., ДАД ≥100 мм рт.ст. [12].</w:t>
      </w:r>
    </w:p>
    <w:p w14:paraId="0F90DC8E" w14:textId="37EA33AE" w:rsidR="00D41F61" w:rsidRPr="00737ECE" w:rsidRDefault="00D41F61" w:rsidP="00D41F61">
      <w:pPr>
        <w:pStyle w:val="11"/>
        <w:ind w:firstLine="600"/>
        <w:jc w:val="both"/>
        <w:rPr>
          <w:sz w:val="24"/>
          <w:szCs w:val="24"/>
        </w:rPr>
      </w:pPr>
      <w:r w:rsidRPr="00737EC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4302A0">
        <w:rPr>
          <w:rStyle w:val="ac"/>
          <w:rFonts w:eastAsiaTheme="majorEastAsia"/>
          <w:b/>
          <w:bCs/>
          <w:sz w:val="24"/>
          <w:szCs w:val="24"/>
        </w:rPr>
        <w:t xml:space="preserve"> </w:t>
      </w:r>
      <w:r w:rsidRPr="00737ECE">
        <w:rPr>
          <w:rStyle w:val="ac"/>
          <w:rFonts w:eastAsiaTheme="majorEastAsia"/>
          <w:b/>
          <w:bCs/>
          <w:sz w:val="24"/>
          <w:szCs w:val="24"/>
          <w:lang w:val="en-US"/>
        </w:rPr>
        <w:t>C</w:t>
      </w:r>
      <w:r w:rsidRPr="00737ECE">
        <w:rPr>
          <w:rStyle w:val="ac"/>
          <w:rFonts w:eastAsiaTheme="majorEastAsia"/>
          <w:b/>
          <w:bCs/>
          <w:sz w:val="24"/>
          <w:szCs w:val="24"/>
        </w:rPr>
        <w:t xml:space="preserve">, </w:t>
      </w:r>
      <w:r w:rsidR="004302A0" w:rsidRPr="00737ECE">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737ECE">
        <w:rPr>
          <w:rStyle w:val="ac"/>
          <w:rFonts w:eastAsiaTheme="majorEastAsia"/>
          <w:b/>
          <w:bCs/>
          <w:sz w:val="24"/>
          <w:szCs w:val="24"/>
        </w:rPr>
        <w:t xml:space="preserve"> 5)</w:t>
      </w:r>
      <w:r w:rsidR="004302A0">
        <w:rPr>
          <w:rStyle w:val="ac"/>
          <w:rFonts w:eastAsiaTheme="majorEastAsia"/>
          <w:b/>
          <w:bCs/>
          <w:sz w:val="24"/>
          <w:szCs w:val="24"/>
        </w:rPr>
        <w:t>;</w:t>
      </w:r>
      <w:r w:rsidR="004302A0" w:rsidRPr="004302A0">
        <w:rPr>
          <w:rStyle w:val="ac"/>
          <w:rFonts w:eastAsiaTheme="majorEastAsia"/>
          <w:b/>
          <w:bCs/>
          <w:sz w:val="24"/>
          <w:szCs w:val="24"/>
        </w:rPr>
        <w:t xml:space="preserve"> </w:t>
      </w:r>
      <w:r w:rsidR="004302A0" w:rsidRPr="00737ECE">
        <w:rPr>
          <w:rStyle w:val="ac"/>
          <w:rFonts w:eastAsiaTheme="majorEastAsia"/>
          <w:b/>
          <w:bCs/>
          <w:sz w:val="24"/>
          <w:szCs w:val="24"/>
        </w:rPr>
        <w:t>ЕОК/ЕОАГ IС</w:t>
      </w:r>
      <w:r w:rsidR="00447539">
        <w:rPr>
          <w:rStyle w:val="ac"/>
          <w:rFonts w:eastAsiaTheme="majorEastAsia"/>
          <w:b/>
          <w:bCs/>
          <w:sz w:val="24"/>
          <w:szCs w:val="24"/>
        </w:rPr>
        <w:t>.</w:t>
      </w:r>
    </w:p>
    <w:p w14:paraId="4369DC59" w14:textId="61B6C7C6" w:rsidR="00737ECE" w:rsidRPr="00737ECE" w:rsidRDefault="00D41F61" w:rsidP="00D41F61">
      <w:pPr>
        <w:pStyle w:val="11"/>
        <w:ind w:firstLine="620"/>
        <w:jc w:val="both"/>
        <w:rPr>
          <w:sz w:val="24"/>
          <w:szCs w:val="24"/>
        </w:rPr>
      </w:pPr>
      <w:r w:rsidRPr="004302A0">
        <w:rPr>
          <w:rStyle w:val="ac"/>
          <w:rFonts w:eastAsiaTheme="majorEastAsia"/>
          <w:b/>
          <w:bCs/>
          <w:sz w:val="24"/>
          <w:szCs w:val="24"/>
        </w:rPr>
        <w:t>Комментарии</w:t>
      </w:r>
      <w:r w:rsidR="004302A0">
        <w:rPr>
          <w:rStyle w:val="ac"/>
          <w:rFonts w:eastAsiaTheme="majorEastAsia"/>
          <w:b/>
          <w:bCs/>
          <w:sz w:val="24"/>
          <w:szCs w:val="24"/>
        </w:rPr>
        <w:t>:</w:t>
      </w:r>
      <w:r w:rsidRPr="00737ECE">
        <w:rPr>
          <w:rStyle w:val="ac"/>
          <w:rFonts w:eastAsiaTheme="majorEastAsia"/>
          <w:b/>
          <w:bCs/>
          <w:i/>
          <w:iCs/>
          <w:sz w:val="24"/>
          <w:szCs w:val="24"/>
        </w:rPr>
        <w:t xml:space="preserve"> </w:t>
      </w:r>
      <w:r w:rsidRPr="00737ECE">
        <w:rPr>
          <w:rStyle w:val="ac"/>
          <w:rFonts w:eastAsiaTheme="majorEastAsia"/>
          <w:i/>
          <w:iCs/>
          <w:sz w:val="24"/>
          <w:szCs w:val="24"/>
        </w:rPr>
        <w:t xml:space="preserve">Тиазидные/тиазидоподобные диуретики следует применять с осторожностью, так как они могут повышать сывороточный кальций у при метастазах в кости, повышать риск аритмий вследствие удлинения </w:t>
      </w:r>
      <w:r w:rsidRPr="00737ECE">
        <w:rPr>
          <w:rStyle w:val="ac"/>
          <w:rFonts w:eastAsiaTheme="majorEastAsia"/>
          <w:i/>
          <w:iCs/>
          <w:sz w:val="24"/>
          <w:szCs w:val="24"/>
          <w:lang w:val="en-US"/>
        </w:rPr>
        <w:t>QT</w:t>
      </w:r>
      <w:r w:rsidRPr="00737ECE">
        <w:rPr>
          <w:rStyle w:val="ac"/>
          <w:rFonts w:eastAsiaTheme="majorEastAsia"/>
          <w:i/>
          <w:iCs/>
          <w:sz w:val="24"/>
          <w:szCs w:val="24"/>
        </w:rPr>
        <w:t xml:space="preserve"> на фоне гипокалиемии, </w:t>
      </w:r>
      <w:r w:rsidRPr="00737ECE">
        <w:rPr>
          <w:rStyle w:val="ac"/>
          <w:rFonts w:eastAsiaTheme="majorEastAsia"/>
          <w:i/>
          <w:iCs/>
          <w:sz w:val="24"/>
          <w:szCs w:val="24"/>
        </w:rPr>
        <w:lastRenderedPageBreak/>
        <w:t>усугублять гипонатриемию, развившуюся в рамках нарушенной секреции антидиуретического гормона, и усиливать гиповолемию и дегидратацию</w:t>
      </w:r>
      <w:r w:rsidRPr="00737ECE">
        <w:rPr>
          <w:rStyle w:val="ac"/>
          <w:rFonts w:eastAsiaTheme="majorEastAsia"/>
          <w:sz w:val="24"/>
          <w:szCs w:val="24"/>
        </w:rPr>
        <w:t xml:space="preserve"> [456, 473]. </w:t>
      </w:r>
      <w:r w:rsidRPr="00737ECE">
        <w:rPr>
          <w:rStyle w:val="ac"/>
          <w:rFonts w:eastAsiaTheme="majorEastAsia"/>
          <w:i/>
          <w:iCs/>
          <w:sz w:val="24"/>
          <w:szCs w:val="24"/>
        </w:rPr>
        <w:t xml:space="preserve">Комбинация дигидропиридинового АК </w:t>
      </w:r>
      <w:r w:rsidR="00737ECE" w:rsidRPr="00737ECE">
        <w:rPr>
          <w:rStyle w:val="ac"/>
          <w:rFonts w:eastAsiaTheme="majorEastAsia"/>
          <w:i/>
          <w:iCs/>
          <w:sz w:val="24"/>
          <w:szCs w:val="24"/>
        </w:rPr>
        <w:t>(производные дигидропиридина) (АТХ «Селективные блокаторы кальциевых каналов с преимущественным действием на сосуды») с иРААС может быть более предпочтительной.</w:t>
      </w:r>
    </w:p>
    <w:p w14:paraId="4F3714FA" w14:textId="77777777" w:rsidR="00737ECE" w:rsidRPr="00737ECE" w:rsidRDefault="00737ECE" w:rsidP="00737ECE">
      <w:pPr>
        <w:pStyle w:val="11"/>
        <w:ind w:firstLine="600"/>
        <w:jc w:val="both"/>
        <w:rPr>
          <w:sz w:val="24"/>
          <w:szCs w:val="24"/>
        </w:rPr>
      </w:pPr>
      <w:r w:rsidRPr="00737ECE">
        <w:rPr>
          <w:rStyle w:val="ac"/>
          <w:rFonts w:eastAsiaTheme="majorEastAsia"/>
          <w:i/>
          <w:iCs/>
          <w:sz w:val="24"/>
          <w:szCs w:val="24"/>
        </w:rPr>
        <w:t xml:space="preserve">Пациентам с АГ и онкозаболеваниями, получающим противоопухолевые препараты, которые чувствительны к фармакокинетическим взаимодействиям, опосредуемым </w:t>
      </w:r>
      <w:r w:rsidRPr="00737ECE">
        <w:rPr>
          <w:rStyle w:val="ac"/>
          <w:rFonts w:eastAsiaTheme="majorEastAsia"/>
          <w:i/>
          <w:iCs/>
          <w:sz w:val="24"/>
          <w:szCs w:val="24"/>
          <w:lang w:val="en-US"/>
        </w:rPr>
        <w:t>CYP</w:t>
      </w:r>
      <w:r w:rsidRPr="00737ECE">
        <w:rPr>
          <w:rStyle w:val="ac"/>
          <w:rFonts w:eastAsiaTheme="majorEastAsia"/>
          <w:i/>
          <w:iCs/>
          <w:sz w:val="24"/>
          <w:szCs w:val="24"/>
        </w:rPr>
        <w:t>3</w:t>
      </w:r>
      <w:r w:rsidRPr="00737ECE">
        <w:rPr>
          <w:rStyle w:val="ac"/>
          <w:rFonts w:eastAsiaTheme="majorEastAsia"/>
          <w:i/>
          <w:iCs/>
          <w:sz w:val="24"/>
          <w:szCs w:val="24"/>
          <w:lang w:val="en-US"/>
        </w:rPr>
        <w:t>A</w:t>
      </w:r>
      <w:r w:rsidRPr="00737ECE">
        <w:rPr>
          <w:rStyle w:val="ac"/>
          <w:rFonts w:eastAsiaTheme="majorEastAsia"/>
          <w:i/>
          <w:iCs/>
          <w:sz w:val="24"/>
          <w:szCs w:val="24"/>
        </w:rPr>
        <w:t>4 и/или гликопротеином Р, следует избегать применения недигидропиридиновых АК (дилтиазема и верапамила**)</w:t>
      </w:r>
      <w:r w:rsidRPr="00737ECE">
        <w:rPr>
          <w:rStyle w:val="ac"/>
          <w:rFonts w:eastAsiaTheme="majorEastAsia"/>
          <w:sz w:val="24"/>
          <w:szCs w:val="24"/>
        </w:rPr>
        <w:t xml:space="preserve"> [456]</w:t>
      </w:r>
      <w:r w:rsidRPr="00737ECE">
        <w:rPr>
          <w:rStyle w:val="ac"/>
          <w:rFonts w:eastAsiaTheme="majorEastAsia"/>
          <w:i/>
          <w:iCs/>
          <w:sz w:val="24"/>
          <w:szCs w:val="24"/>
        </w:rPr>
        <w:t xml:space="preserve">, которые, являясь умеренными ингибиторами гликопротеина Р и </w:t>
      </w:r>
      <w:r w:rsidRPr="00737ECE">
        <w:rPr>
          <w:rStyle w:val="ac"/>
          <w:rFonts w:eastAsiaTheme="majorEastAsia"/>
          <w:i/>
          <w:iCs/>
          <w:sz w:val="24"/>
          <w:szCs w:val="24"/>
          <w:lang w:val="en-US"/>
        </w:rPr>
        <w:t>CYP</w:t>
      </w:r>
      <w:r w:rsidRPr="00737ECE">
        <w:rPr>
          <w:rStyle w:val="ac"/>
          <w:rFonts w:eastAsiaTheme="majorEastAsia"/>
          <w:i/>
          <w:iCs/>
          <w:sz w:val="24"/>
          <w:szCs w:val="24"/>
        </w:rPr>
        <w:t>3</w:t>
      </w:r>
      <w:r w:rsidRPr="00737ECE">
        <w:rPr>
          <w:rStyle w:val="ac"/>
          <w:rFonts w:eastAsiaTheme="majorEastAsia"/>
          <w:i/>
          <w:iCs/>
          <w:sz w:val="24"/>
          <w:szCs w:val="24"/>
          <w:lang w:val="en-US"/>
        </w:rPr>
        <w:t>A</w:t>
      </w:r>
      <w:r w:rsidRPr="00737ECE">
        <w:rPr>
          <w:rStyle w:val="ac"/>
          <w:rFonts w:eastAsiaTheme="majorEastAsia"/>
          <w:i/>
          <w:iCs/>
          <w:sz w:val="24"/>
          <w:szCs w:val="24"/>
        </w:rPr>
        <w:t xml:space="preserve">4, могут влиять на фармакокинетику части противоопухолевых препаратов, (например, пероральных ингибиторов рецепторов тирозинкиназы </w:t>
      </w:r>
      <w:r w:rsidRPr="00737ECE">
        <w:rPr>
          <w:rStyle w:val="ac"/>
          <w:rFonts w:eastAsiaTheme="majorEastAsia"/>
          <w:i/>
          <w:iCs/>
          <w:sz w:val="24"/>
          <w:szCs w:val="24"/>
          <w:lang w:val="en-US"/>
        </w:rPr>
        <w:t>BCR</w:t>
      </w:r>
      <w:r w:rsidRPr="00737ECE">
        <w:rPr>
          <w:rStyle w:val="ac"/>
          <w:rFonts w:eastAsiaTheme="majorEastAsia"/>
          <w:i/>
          <w:iCs/>
          <w:sz w:val="24"/>
          <w:szCs w:val="24"/>
        </w:rPr>
        <w:t>-</w:t>
      </w:r>
      <w:r w:rsidRPr="00737ECE">
        <w:rPr>
          <w:rStyle w:val="ac"/>
          <w:rFonts w:eastAsiaTheme="majorEastAsia"/>
          <w:i/>
          <w:iCs/>
          <w:sz w:val="24"/>
          <w:szCs w:val="24"/>
          <w:lang w:val="en-US"/>
        </w:rPr>
        <w:t>ABL</w:t>
      </w:r>
      <w:r w:rsidRPr="00737ECE">
        <w:rPr>
          <w:rStyle w:val="ac"/>
          <w:rFonts w:eastAsiaTheme="majorEastAsia"/>
          <w:sz w:val="24"/>
          <w:szCs w:val="24"/>
        </w:rPr>
        <w:t xml:space="preserve"> [474, 475]</w:t>
      </w:r>
      <w:r w:rsidRPr="00737ECE">
        <w:rPr>
          <w:rStyle w:val="ac"/>
          <w:rFonts w:eastAsiaTheme="majorEastAsia"/>
          <w:i/>
          <w:iCs/>
          <w:sz w:val="24"/>
          <w:szCs w:val="24"/>
        </w:rPr>
        <w:t>), а также могут усугубить СН, развившуюся на фоне приема кардиотоксичных лекарств. Назначение дилтиазема и верапамила** можно рассмотреть при непереносимости других классов АГТ с тщательным мониторингом возможных лекарственных взаимодействий. При резистентной АГ следует рассмотреть назначение спиронолактона**, органических нитратов внутрь или чрескожно. При подтвержденном высоком тонусе симпатической НС, стрессе и/или болевом синдроме следует рассмотреть назначение бета-адреноблокаторов, включая карведилол** и небиволол. Назначение диуретиков (предпочтительно спиронолактона**) можно рассмотреть при подтвержденной задержке жидкости и назначать их под контролем АД, электролитов и функции почек.</w:t>
      </w:r>
    </w:p>
    <w:p w14:paraId="0F2CA213" w14:textId="77777777" w:rsidR="00737ECE" w:rsidRPr="00737ECE" w:rsidRDefault="00737ECE">
      <w:pPr>
        <w:pStyle w:val="11"/>
        <w:numPr>
          <w:ilvl w:val="0"/>
          <w:numId w:val="32"/>
        </w:numPr>
        <w:tabs>
          <w:tab w:val="left" w:pos="1277"/>
        </w:tabs>
        <w:ind w:firstLine="600"/>
        <w:jc w:val="both"/>
        <w:rPr>
          <w:sz w:val="24"/>
          <w:szCs w:val="24"/>
        </w:rPr>
      </w:pPr>
      <w:r w:rsidRPr="00737ECE">
        <w:rPr>
          <w:rStyle w:val="ac"/>
          <w:rFonts w:eastAsiaTheme="majorEastAsia"/>
          <w:sz w:val="24"/>
          <w:szCs w:val="24"/>
        </w:rPr>
        <w:t xml:space="preserve">Пациентам с АГ, индуцированной ингибиторами </w:t>
      </w:r>
      <w:r w:rsidRPr="00737ECE">
        <w:rPr>
          <w:rStyle w:val="ac"/>
          <w:rFonts w:eastAsiaTheme="majorEastAsia"/>
          <w:sz w:val="24"/>
          <w:szCs w:val="24"/>
          <w:lang w:val="en-US"/>
        </w:rPr>
        <w:t>VEGFR</w:t>
      </w:r>
      <w:r w:rsidRPr="00737ECE">
        <w:rPr>
          <w:rStyle w:val="ac"/>
          <w:rFonts w:eastAsiaTheme="majorEastAsia"/>
          <w:sz w:val="24"/>
          <w:szCs w:val="24"/>
        </w:rPr>
        <w:t>, можно рекомендовать назначение иРААС (ИАПФ или БРА), а также дигидропиридиновые АК (производные дигидропиридина) (АТХ «Селективные блокаторы кальциевых каналов с преимущественным действием на сосуды») [476].</w:t>
      </w:r>
    </w:p>
    <w:p w14:paraId="3E5271EB" w14:textId="2ECD5B40" w:rsidR="00737ECE" w:rsidRPr="00447539" w:rsidRDefault="00737ECE" w:rsidP="00737ECE">
      <w:pPr>
        <w:pStyle w:val="11"/>
        <w:ind w:firstLine="600"/>
        <w:jc w:val="both"/>
        <w:rPr>
          <w:sz w:val="24"/>
          <w:szCs w:val="24"/>
        </w:rPr>
      </w:pPr>
      <w:r w:rsidRPr="00737EC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4302A0">
        <w:rPr>
          <w:rStyle w:val="ac"/>
          <w:rFonts w:eastAsiaTheme="majorEastAsia"/>
          <w:b/>
          <w:bCs/>
          <w:sz w:val="24"/>
          <w:szCs w:val="24"/>
        </w:rPr>
        <w:t xml:space="preserve"> </w:t>
      </w:r>
      <w:r w:rsidRPr="00737ECE">
        <w:rPr>
          <w:rStyle w:val="ac"/>
          <w:rFonts w:eastAsiaTheme="majorEastAsia"/>
          <w:b/>
          <w:bCs/>
          <w:sz w:val="24"/>
          <w:szCs w:val="24"/>
        </w:rPr>
        <w:t xml:space="preserve">В, </w:t>
      </w:r>
      <w:r w:rsidR="004302A0" w:rsidRPr="00737ECE">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737ECE">
        <w:rPr>
          <w:rStyle w:val="ac"/>
          <w:rFonts w:eastAsiaTheme="majorEastAsia"/>
          <w:b/>
          <w:bCs/>
          <w:sz w:val="24"/>
          <w:szCs w:val="24"/>
        </w:rPr>
        <w:t xml:space="preserve"> 3</w:t>
      </w:r>
      <w:r w:rsidR="0026739A" w:rsidRPr="00737ECE">
        <w:rPr>
          <w:rStyle w:val="ac"/>
          <w:rFonts w:eastAsiaTheme="majorEastAsia"/>
          <w:b/>
          <w:bCs/>
          <w:sz w:val="24"/>
          <w:szCs w:val="24"/>
        </w:rPr>
        <w:t>)</w:t>
      </w:r>
      <w:r w:rsidR="0026739A" w:rsidRPr="004302A0">
        <w:rPr>
          <w:rStyle w:val="ac"/>
          <w:rFonts w:eastAsiaTheme="majorEastAsia"/>
          <w:b/>
          <w:bCs/>
          <w:sz w:val="24"/>
          <w:szCs w:val="24"/>
        </w:rPr>
        <w:t>:</w:t>
      </w:r>
      <w:r w:rsidR="004302A0">
        <w:rPr>
          <w:rStyle w:val="ac"/>
          <w:rFonts w:eastAsiaTheme="majorEastAsia"/>
          <w:b/>
          <w:bCs/>
          <w:sz w:val="24"/>
          <w:szCs w:val="24"/>
        </w:rPr>
        <w:t xml:space="preserve"> </w:t>
      </w:r>
      <w:r w:rsidR="004302A0" w:rsidRPr="00737ECE">
        <w:rPr>
          <w:rStyle w:val="ac"/>
          <w:rFonts w:eastAsiaTheme="majorEastAsia"/>
          <w:b/>
          <w:bCs/>
          <w:sz w:val="24"/>
          <w:szCs w:val="24"/>
        </w:rPr>
        <w:t xml:space="preserve">ЕОАГ </w:t>
      </w:r>
      <w:r w:rsidR="004302A0" w:rsidRPr="00737ECE">
        <w:rPr>
          <w:rStyle w:val="ac"/>
          <w:rFonts w:eastAsiaTheme="majorEastAsia"/>
          <w:b/>
          <w:bCs/>
          <w:sz w:val="24"/>
          <w:szCs w:val="24"/>
          <w:lang w:val="en-US"/>
        </w:rPr>
        <w:t>IIB</w:t>
      </w:r>
      <w:r w:rsidR="00447539">
        <w:rPr>
          <w:rStyle w:val="ac"/>
          <w:rFonts w:eastAsiaTheme="majorEastAsia"/>
          <w:b/>
          <w:bCs/>
          <w:sz w:val="24"/>
          <w:szCs w:val="24"/>
        </w:rPr>
        <w:t>.</w:t>
      </w:r>
    </w:p>
    <w:p w14:paraId="7BE914FE" w14:textId="77777777" w:rsidR="00737ECE" w:rsidRPr="00737ECE" w:rsidRDefault="00737ECE" w:rsidP="00737ECE">
      <w:pPr>
        <w:pStyle w:val="11"/>
        <w:ind w:firstLine="600"/>
        <w:jc w:val="both"/>
        <w:rPr>
          <w:sz w:val="24"/>
          <w:szCs w:val="24"/>
        </w:rPr>
      </w:pPr>
      <w:r w:rsidRPr="00737ECE">
        <w:rPr>
          <w:rStyle w:val="ac"/>
          <w:rFonts w:eastAsiaTheme="majorEastAsia"/>
          <w:b/>
          <w:bCs/>
          <w:i/>
          <w:iCs/>
          <w:sz w:val="24"/>
          <w:szCs w:val="24"/>
        </w:rPr>
        <w:t xml:space="preserve">Комментарии. </w:t>
      </w:r>
      <w:r w:rsidRPr="00737ECE">
        <w:rPr>
          <w:rStyle w:val="ac"/>
          <w:rFonts w:eastAsiaTheme="majorEastAsia"/>
          <w:i/>
          <w:iCs/>
          <w:sz w:val="24"/>
          <w:szCs w:val="24"/>
        </w:rPr>
        <w:t xml:space="preserve">В настоящее время нет результатов исследований, посвященных проблеме профилактики и/или лечения АГ, вызванной ингибиторами </w:t>
      </w:r>
      <w:r w:rsidRPr="00737ECE">
        <w:rPr>
          <w:rStyle w:val="ac"/>
          <w:rFonts w:eastAsiaTheme="majorEastAsia"/>
          <w:i/>
          <w:iCs/>
          <w:sz w:val="24"/>
          <w:szCs w:val="24"/>
          <w:lang w:val="en-US"/>
        </w:rPr>
        <w:t>VEGFR</w:t>
      </w:r>
      <w:r w:rsidRPr="00737ECE">
        <w:rPr>
          <w:rStyle w:val="ac"/>
          <w:rFonts w:eastAsiaTheme="majorEastAsia"/>
          <w:i/>
          <w:iCs/>
          <w:sz w:val="24"/>
          <w:szCs w:val="24"/>
        </w:rPr>
        <w:t>. Показано, что полезным может быть ограничение соли до 4 г/сутки и соблюдение диеты</w:t>
      </w:r>
      <w:r w:rsidRPr="00737ECE">
        <w:rPr>
          <w:rStyle w:val="ac"/>
          <w:rFonts w:eastAsiaTheme="majorEastAsia"/>
          <w:sz w:val="24"/>
          <w:szCs w:val="24"/>
        </w:rPr>
        <w:t xml:space="preserve"> [477]</w:t>
      </w:r>
      <w:r w:rsidRPr="00737ECE">
        <w:rPr>
          <w:rStyle w:val="ac"/>
          <w:rFonts w:eastAsiaTheme="majorEastAsia"/>
          <w:i/>
          <w:iCs/>
          <w:sz w:val="24"/>
          <w:szCs w:val="24"/>
        </w:rPr>
        <w:t>. Продемонстрирована эффективность АК и иРААС (ИАПФ или БРА)</w:t>
      </w:r>
      <w:r w:rsidRPr="00737ECE">
        <w:rPr>
          <w:rStyle w:val="ac"/>
          <w:rFonts w:eastAsiaTheme="majorEastAsia"/>
          <w:sz w:val="24"/>
          <w:szCs w:val="24"/>
        </w:rPr>
        <w:t xml:space="preserve"> [476]</w:t>
      </w:r>
      <w:r w:rsidRPr="00737ECE">
        <w:rPr>
          <w:rStyle w:val="ac"/>
          <w:rFonts w:eastAsiaTheme="majorEastAsia"/>
          <w:i/>
          <w:iCs/>
          <w:sz w:val="24"/>
          <w:szCs w:val="24"/>
        </w:rPr>
        <w:t>. При этом любая АГТ должна проводиться под тщательным контролем уровня АД (например, при ДМАД), а на период прекращения основного лечения следует сократить или отменить АГП в связи с повышением риска гипотонии.</w:t>
      </w:r>
    </w:p>
    <w:p w14:paraId="37D73F32" w14:textId="77777777" w:rsidR="00737ECE" w:rsidRPr="00737ECE" w:rsidRDefault="00737ECE">
      <w:pPr>
        <w:pStyle w:val="11"/>
        <w:numPr>
          <w:ilvl w:val="0"/>
          <w:numId w:val="32"/>
        </w:numPr>
        <w:tabs>
          <w:tab w:val="left" w:pos="1277"/>
        </w:tabs>
        <w:ind w:firstLine="600"/>
        <w:jc w:val="both"/>
        <w:rPr>
          <w:sz w:val="24"/>
          <w:szCs w:val="24"/>
        </w:rPr>
      </w:pPr>
      <w:r w:rsidRPr="00737ECE">
        <w:rPr>
          <w:rStyle w:val="ac"/>
          <w:rFonts w:eastAsiaTheme="majorEastAsia"/>
          <w:sz w:val="24"/>
          <w:szCs w:val="24"/>
        </w:rPr>
        <w:lastRenderedPageBreak/>
        <w:t>Рекомендуется контролировать АД после завершения активного лечения онкозаболевания и во время длительного наблюдения, поскольку прекращение приема противоопухолевых препаратов может привести к снижению АД, что потребует повторного титрования или отмены препаратов, снижающих АД [12]</w:t>
      </w:r>
      <w:r w:rsidRPr="00737ECE">
        <w:rPr>
          <w:rStyle w:val="ac"/>
          <w:rFonts w:eastAsiaTheme="majorEastAsia"/>
          <w:i/>
          <w:iCs/>
          <w:sz w:val="24"/>
          <w:szCs w:val="24"/>
        </w:rPr>
        <w:t>.</w:t>
      </w:r>
    </w:p>
    <w:p w14:paraId="57A042CB" w14:textId="17327334" w:rsidR="00737ECE" w:rsidRPr="00447539" w:rsidRDefault="00737ECE" w:rsidP="00737ECE">
      <w:pPr>
        <w:pStyle w:val="11"/>
        <w:ind w:firstLine="620"/>
        <w:jc w:val="both"/>
        <w:rPr>
          <w:sz w:val="24"/>
          <w:szCs w:val="24"/>
        </w:rPr>
      </w:pPr>
      <w:r w:rsidRPr="00737EC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26739A">
        <w:rPr>
          <w:rStyle w:val="ac"/>
          <w:rFonts w:eastAsiaTheme="majorEastAsia"/>
          <w:b/>
          <w:bCs/>
          <w:sz w:val="24"/>
          <w:szCs w:val="24"/>
        </w:rPr>
        <w:t xml:space="preserve"> </w:t>
      </w:r>
      <w:r w:rsidRPr="00737ECE">
        <w:rPr>
          <w:rStyle w:val="ac"/>
          <w:rFonts w:eastAsiaTheme="majorEastAsia"/>
          <w:b/>
          <w:bCs/>
          <w:sz w:val="24"/>
          <w:szCs w:val="24"/>
        </w:rPr>
        <w:t xml:space="preserve">С, </w:t>
      </w:r>
      <w:r w:rsidR="0026739A" w:rsidRPr="00737ECE">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737ECE">
        <w:rPr>
          <w:rStyle w:val="ac"/>
          <w:rFonts w:eastAsiaTheme="majorEastAsia"/>
          <w:b/>
          <w:bCs/>
          <w:sz w:val="24"/>
          <w:szCs w:val="24"/>
        </w:rPr>
        <w:t xml:space="preserve"> 5)</w:t>
      </w:r>
      <w:r w:rsidR="0026739A">
        <w:rPr>
          <w:rStyle w:val="ac"/>
          <w:rFonts w:eastAsiaTheme="majorEastAsia"/>
          <w:b/>
          <w:bCs/>
          <w:sz w:val="24"/>
          <w:szCs w:val="24"/>
        </w:rPr>
        <w:t>;</w:t>
      </w:r>
      <w:r w:rsidR="0026739A" w:rsidRPr="0026739A">
        <w:rPr>
          <w:rStyle w:val="ac"/>
          <w:rFonts w:eastAsiaTheme="majorEastAsia"/>
          <w:b/>
          <w:bCs/>
          <w:sz w:val="24"/>
          <w:szCs w:val="24"/>
        </w:rPr>
        <w:t xml:space="preserve"> </w:t>
      </w:r>
      <w:r w:rsidR="0026739A" w:rsidRPr="00737ECE">
        <w:rPr>
          <w:rStyle w:val="ac"/>
          <w:rFonts w:eastAsiaTheme="majorEastAsia"/>
          <w:b/>
          <w:bCs/>
          <w:sz w:val="24"/>
          <w:szCs w:val="24"/>
        </w:rPr>
        <w:t xml:space="preserve">ЕОАГ </w:t>
      </w:r>
      <w:r w:rsidR="0026739A" w:rsidRPr="00737ECE">
        <w:rPr>
          <w:rStyle w:val="ac"/>
          <w:rFonts w:eastAsiaTheme="majorEastAsia"/>
          <w:b/>
          <w:bCs/>
          <w:sz w:val="24"/>
          <w:szCs w:val="24"/>
          <w:lang w:val="en-US"/>
        </w:rPr>
        <w:t>IC</w:t>
      </w:r>
      <w:r w:rsidR="00447539">
        <w:rPr>
          <w:rStyle w:val="ac"/>
          <w:rFonts w:eastAsiaTheme="majorEastAsia"/>
          <w:b/>
          <w:bCs/>
          <w:sz w:val="24"/>
          <w:szCs w:val="24"/>
        </w:rPr>
        <w:t>.</w:t>
      </w:r>
    </w:p>
    <w:p w14:paraId="3A2F5996" w14:textId="77777777" w:rsidR="00737ECE" w:rsidRPr="00737ECE" w:rsidRDefault="00737ECE" w:rsidP="00ED2521">
      <w:pPr>
        <w:pStyle w:val="11"/>
        <w:ind w:firstLine="620"/>
        <w:jc w:val="both"/>
        <w:rPr>
          <w:sz w:val="24"/>
          <w:szCs w:val="24"/>
        </w:rPr>
      </w:pPr>
      <w:r w:rsidRPr="00737ECE">
        <w:rPr>
          <w:rStyle w:val="ac"/>
          <w:rFonts w:eastAsiaTheme="majorEastAsia"/>
          <w:b/>
          <w:bCs/>
          <w:sz w:val="24"/>
          <w:szCs w:val="24"/>
        </w:rPr>
        <w:t xml:space="preserve">Комментарии. </w:t>
      </w:r>
      <w:r w:rsidRPr="00737ECE">
        <w:rPr>
          <w:rStyle w:val="ac"/>
          <w:rFonts w:eastAsiaTheme="majorEastAsia"/>
          <w:i/>
          <w:iCs/>
          <w:sz w:val="24"/>
          <w:szCs w:val="24"/>
        </w:rPr>
        <w:t>Пациенты, перенесшие онкологическое заболевание, имеют более высокий риск развития АГ и других сердечно-сосудистых и почечных осложнений, и их следует периодически обследовать с измерением АД и информировать об их состоянии</w:t>
      </w:r>
      <w:r w:rsidRPr="00737ECE">
        <w:rPr>
          <w:rStyle w:val="ac"/>
          <w:rFonts w:eastAsiaTheme="majorEastAsia"/>
          <w:sz w:val="24"/>
          <w:szCs w:val="24"/>
        </w:rPr>
        <w:t xml:space="preserve"> [12]</w:t>
      </w:r>
      <w:r w:rsidRPr="00737ECE">
        <w:rPr>
          <w:rStyle w:val="ac"/>
          <w:rFonts w:eastAsiaTheme="majorEastAsia"/>
          <w:i/>
          <w:iCs/>
          <w:sz w:val="24"/>
          <w:szCs w:val="24"/>
        </w:rPr>
        <w:t>.</w:t>
      </w:r>
      <w:r w:rsidRPr="00737ECE">
        <w:rPr>
          <w:rStyle w:val="ac"/>
          <w:rFonts w:eastAsiaTheme="majorEastAsia"/>
          <w:sz w:val="24"/>
          <w:szCs w:val="24"/>
        </w:rPr>
        <w:t xml:space="preserve"> У </w:t>
      </w:r>
      <w:r w:rsidRPr="00737ECE">
        <w:rPr>
          <w:rStyle w:val="ac"/>
          <w:rFonts w:eastAsiaTheme="majorEastAsia"/>
          <w:i/>
          <w:iCs/>
          <w:sz w:val="24"/>
          <w:szCs w:val="24"/>
        </w:rPr>
        <w:t>пациентов, получавших препараты, приводящие к кратковременному обратимому повышению АД, следует снижать дозу или отменять АГП во избежание гипотонии. В связи с повышенным риском прогрессирования ПОМ, необходимо проводить соответствующее обследование в зависимости от индивидуальных факторов риска. Всем пациентам с анамнезом противоопухолевой терапии рекомендуется длительный контроль АД</w:t>
      </w:r>
      <w:r w:rsidRPr="00737ECE">
        <w:rPr>
          <w:rStyle w:val="ac"/>
          <w:rFonts w:eastAsiaTheme="majorEastAsia"/>
          <w:sz w:val="24"/>
          <w:szCs w:val="24"/>
        </w:rPr>
        <w:t xml:space="preserve"> [478]</w:t>
      </w:r>
      <w:r w:rsidRPr="00737ECE">
        <w:rPr>
          <w:rStyle w:val="ac"/>
          <w:rFonts w:eastAsiaTheme="majorEastAsia"/>
          <w:i/>
          <w:iCs/>
          <w:sz w:val="24"/>
          <w:szCs w:val="24"/>
        </w:rPr>
        <w:t>. У пациентов с тяжелыми проявлениями АГ на фоне противоопухолевой терапии, возможно наличие вторичных причин, которые требуют подтверждения по завершении лечения.</w:t>
      </w:r>
    </w:p>
    <w:p w14:paraId="0BE80FD8" w14:textId="77777777" w:rsidR="00085CDE" w:rsidRDefault="00085CDE" w:rsidP="0008732C">
      <w:pPr>
        <w:pStyle w:val="11"/>
        <w:tabs>
          <w:tab w:val="left" w:pos="1408"/>
        </w:tabs>
        <w:ind w:left="620" w:firstLine="0"/>
        <w:jc w:val="center"/>
        <w:rPr>
          <w:rStyle w:val="ac"/>
          <w:rFonts w:eastAsiaTheme="majorEastAsia"/>
          <w:b/>
          <w:bCs/>
          <w:sz w:val="24"/>
          <w:szCs w:val="24"/>
        </w:rPr>
      </w:pPr>
      <w:bookmarkStart w:id="60" w:name="bookmark48"/>
    </w:p>
    <w:p w14:paraId="458CA24A" w14:textId="6D5C6052" w:rsidR="00737ECE" w:rsidRPr="0026739A" w:rsidRDefault="00737ECE" w:rsidP="0008732C">
      <w:pPr>
        <w:pStyle w:val="11"/>
        <w:tabs>
          <w:tab w:val="left" w:pos="1408"/>
        </w:tabs>
        <w:ind w:left="620" w:firstLine="0"/>
        <w:jc w:val="center"/>
        <w:rPr>
          <w:sz w:val="24"/>
          <w:szCs w:val="24"/>
        </w:rPr>
      </w:pPr>
      <w:r w:rsidRPr="0026739A">
        <w:rPr>
          <w:rStyle w:val="ac"/>
          <w:rFonts w:eastAsiaTheme="majorEastAsia"/>
          <w:b/>
          <w:bCs/>
          <w:sz w:val="24"/>
          <w:szCs w:val="24"/>
        </w:rPr>
        <w:t>Коррекция сопутствующих факторов сердечно-сосудистого риска</w:t>
      </w:r>
      <w:bookmarkEnd w:id="60"/>
    </w:p>
    <w:p w14:paraId="3F3ABFB5" w14:textId="77777777" w:rsidR="00737ECE" w:rsidRPr="00737ECE" w:rsidRDefault="00737ECE">
      <w:pPr>
        <w:pStyle w:val="11"/>
        <w:numPr>
          <w:ilvl w:val="0"/>
          <w:numId w:val="33"/>
        </w:numPr>
        <w:tabs>
          <w:tab w:val="left" w:pos="1277"/>
        </w:tabs>
        <w:ind w:firstLine="620"/>
        <w:jc w:val="both"/>
        <w:rPr>
          <w:sz w:val="24"/>
          <w:szCs w:val="24"/>
        </w:rPr>
      </w:pPr>
      <w:r w:rsidRPr="00737ECE">
        <w:rPr>
          <w:rStyle w:val="ac"/>
          <w:rFonts w:eastAsiaTheme="majorEastAsia"/>
          <w:sz w:val="24"/>
          <w:szCs w:val="24"/>
        </w:rPr>
        <w:t>Пациентам с АГ и экстремальным СС риском рекомендовано достижение целевого уровня ХС ЛНП &lt; 1,0 ммоль/л и очень высокого риска целевой уровень ХС ЛНП &lt; 1,4 ммоль/л или снижение по меньшей мере на 50% от исходного через 8±4 нед терапии для вторичной профилактики СС осложнений [479, 480, 481, 482]</w:t>
      </w:r>
    </w:p>
    <w:p w14:paraId="4BD95FE4" w14:textId="057A5A46" w:rsidR="00737ECE" w:rsidRPr="00447539" w:rsidRDefault="00737ECE" w:rsidP="00737ECE">
      <w:pPr>
        <w:pStyle w:val="11"/>
        <w:ind w:firstLine="620"/>
        <w:jc w:val="both"/>
        <w:rPr>
          <w:rStyle w:val="ac"/>
          <w:rFonts w:eastAsiaTheme="majorEastAsia"/>
          <w:b/>
          <w:bCs/>
          <w:sz w:val="24"/>
          <w:szCs w:val="24"/>
        </w:rPr>
      </w:pPr>
      <w:r w:rsidRPr="00737EC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26739A">
        <w:rPr>
          <w:rStyle w:val="ac"/>
          <w:rFonts w:eastAsiaTheme="majorEastAsia"/>
          <w:b/>
          <w:bCs/>
          <w:sz w:val="24"/>
          <w:szCs w:val="24"/>
        </w:rPr>
        <w:t xml:space="preserve"> </w:t>
      </w:r>
      <w:r w:rsidRPr="00737ECE">
        <w:rPr>
          <w:rStyle w:val="ac"/>
          <w:rFonts w:eastAsiaTheme="majorEastAsia"/>
          <w:b/>
          <w:bCs/>
          <w:sz w:val="24"/>
          <w:szCs w:val="24"/>
          <w:lang w:val="en-US"/>
        </w:rPr>
        <w:t>A</w:t>
      </w:r>
      <w:r w:rsidRPr="00737ECE">
        <w:rPr>
          <w:rStyle w:val="ac"/>
          <w:rFonts w:eastAsiaTheme="majorEastAsia"/>
          <w:b/>
          <w:bCs/>
          <w:sz w:val="24"/>
          <w:szCs w:val="24"/>
        </w:rPr>
        <w:t xml:space="preserve">, </w:t>
      </w:r>
      <w:r w:rsidR="0026739A" w:rsidRPr="00737ECE">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737ECE">
        <w:rPr>
          <w:rStyle w:val="ac"/>
          <w:rFonts w:eastAsiaTheme="majorEastAsia"/>
          <w:b/>
          <w:bCs/>
          <w:sz w:val="24"/>
          <w:szCs w:val="24"/>
        </w:rPr>
        <w:t xml:space="preserve"> 1</w:t>
      </w:r>
      <w:r w:rsidR="0026739A" w:rsidRPr="00737ECE">
        <w:rPr>
          <w:rStyle w:val="ac"/>
          <w:rFonts w:eastAsiaTheme="majorEastAsia"/>
          <w:b/>
          <w:bCs/>
          <w:sz w:val="24"/>
          <w:szCs w:val="24"/>
        </w:rPr>
        <w:t>)</w:t>
      </w:r>
      <w:r w:rsidR="0026739A" w:rsidRPr="0026739A">
        <w:rPr>
          <w:rStyle w:val="ac"/>
          <w:rFonts w:eastAsiaTheme="majorEastAsia"/>
          <w:b/>
          <w:bCs/>
          <w:sz w:val="24"/>
          <w:szCs w:val="24"/>
        </w:rPr>
        <w:t>;</w:t>
      </w:r>
      <w:r w:rsidR="0026739A">
        <w:rPr>
          <w:rStyle w:val="ac"/>
          <w:rFonts w:eastAsiaTheme="majorEastAsia"/>
          <w:b/>
          <w:bCs/>
          <w:sz w:val="24"/>
          <w:szCs w:val="24"/>
        </w:rPr>
        <w:t xml:space="preserve"> </w:t>
      </w:r>
      <w:r w:rsidR="0026739A" w:rsidRPr="00737ECE">
        <w:rPr>
          <w:rStyle w:val="ac"/>
          <w:rFonts w:eastAsiaTheme="majorEastAsia"/>
          <w:b/>
          <w:bCs/>
          <w:sz w:val="24"/>
          <w:szCs w:val="24"/>
        </w:rPr>
        <w:t xml:space="preserve">ЕОК/ЕОАГ </w:t>
      </w:r>
      <w:r w:rsidR="0026739A" w:rsidRPr="00737ECE">
        <w:rPr>
          <w:rStyle w:val="ac"/>
          <w:rFonts w:eastAsiaTheme="majorEastAsia"/>
          <w:b/>
          <w:bCs/>
          <w:sz w:val="24"/>
          <w:szCs w:val="24"/>
          <w:lang w:val="en-US"/>
        </w:rPr>
        <w:t>IA</w:t>
      </w:r>
      <w:r w:rsidR="00447539">
        <w:rPr>
          <w:rStyle w:val="ac"/>
          <w:rFonts w:eastAsiaTheme="majorEastAsia"/>
          <w:b/>
          <w:bCs/>
          <w:sz w:val="24"/>
          <w:szCs w:val="24"/>
        </w:rPr>
        <w:t>.</w:t>
      </w:r>
    </w:p>
    <w:p w14:paraId="182E12BE" w14:textId="354F84A8" w:rsidR="0026739A" w:rsidRPr="0026739A" w:rsidRDefault="0026739A" w:rsidP="00737ECE">
      <w:pPr>
        <w:pStyle w:val="11"/>
        <w:ind w:firstLine="620"/>
        <w:jc w:val="both"/>
        <w:rPr>
          <w:i/>
          <w:iCs/>
          <w:sz w:val="28"/>
          <w:szCs w:val="28"/>
        </w:rPr>
      </w:pPr>
      <w:r w:rsidRPr="00737ECE">
        <w:rPr>
          <w:rStyle w:val="ac"/>
          <w:rFonts w:eastAsiaTheme="majorEastAsia"/>
          <w:b/>
          <w:bCs/>
          <w:sz w:val="24"/>
          <w:szCs w:val="24"/>
        </w:rPr>
        <w:t>Комментарии</w:t>
      </w:r>
      <w:r>
        <w:rPr>
          <w:rStyle w:val="ac"/>
          <w:rFonts w:eastAsiaTheme="majorEastAsia"/>
          <w:b/>
          <w:bCs/>
          <w:sz w:val="24"/>
          <w:szCs w:val="24"/>
        </w:rPr>
        <w:t>:</w:t>
      </w:r>
      <w:r w:rsidRPr="0026739A">
        <w:t xml:space="preserve"> </w:t>
      </w:r>
      <w:r w:rsidRPr="0026739A">
        <w:rPr>
          <w:i/>
          <w:iCs/>
          <w:sz w:val="24"/>
          <w:szCs w:val="24"/>
        </w:rPr>
        <w:t>Достижение этих целей является ключевым элементом вторичной профилактики сердечно-сосудистых осложнений, снижая вероятность инфаркта, инсульта и других тяжелых событий.</w:t>
      </w:r>
    </w:p>
    <w:p w14:paraId="6D407F33" w14:textId="77777777" w:rsidR="00737ECE" w:rsidRPr="00737ECE" w:rsidRDefault="00737ECE">
      <w:pPr>
        <w:pStyle w:val="11"/>
        <w:numPr>
          <w:ilvl w:val="0"/>
          <w:numId w:val="33"/>
        </w:numPr>
        <w:tabs>
          <w:tab w:val="left" w:pos="1277"/>
        </w:tabs>
        <w:ind w:firstLine="620"/>
        <w:jc w:val="both"/>
        <w:rPr>
          <w:sz w:val="24"/>
          <w:szCs w:val="24"/>
        </w:rPr>
      </w:pPr>
      <w:r w:rsidRPr="00737ECE">
        <w:rPr>
          <w:rStyle w:val="ac"/>
          <w:rFonts w:eastAsiaTheme="majorEastAsia"/>
          <w:sz w:val="24"/>
          <w:szCs w:val="24"/>
        </w:rPr>
        <w:t>Пациентам с АГ и очень высоким СС риском рекомендовано назначение гиполипидемических средств согласно клиническим рекомендациям по нарушениям липидного обмена для достижения целевого ХС-ЛНП &lt; 1,4 ммоль/л или снижение по меньшей мере на 50% от исходного через 8±4 нед терапии как для первичной, так и вторичной профилактики СС осложнений [480, 483].</w:t>
      </w:r>
    </w:p>
    <w:p w14:paraId="5E5CAB68" w14:textId="41E5F4BD" w:rsidR="00737ECE" w:rsidRDefault="00737ECE" w:rsidP="00737ECE">
      <w:pPr>
        <w:pStyle w:val="11"/>
        <w:ind w:firstLine="620"/>
        <w:jc w:val="both"/>
        <w:rPr>
          <w:rStyle w:val="ac"/>
          <w:rFonts w:eastAsiaTheme="majorEastAsia"/>
          <w:b/>
          <w:bCs/>
          <w:sz w:val="24"/>
          <w:szCs w:val="24"/>
        </w:rPr>
      </w:pPr>
      <w:r w:rsidRPr="00737EC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26739A">
        <w:rPr>
          <w:rStyle w:val="ac"/>
          <w:rFonts w:eastAsiaTheme="majorEastAsia"/>
          <w:b/>
          <w:bCs/>
          <w:sz w:val="24"/>
          <w:szCs w:val="24"/>
        </w:rPr>
        <w:t xml:space="preserve"> </w:t>
      </w:r>
      <w:r w:rsidRPr="00737ECE">
        <w:rPr>
          <w:rStyle w:val="ac"/>
          <w:rFonts w:eastAsiaTheme="majorEastAsia"/>
          <w:b/>
          <w:bCs/>
          <w:sz w:val="24"/>
          <w:szCs w:val="24"/>
          <w:lang w:val="en-US"/>
        </w:rPr>
        <w:t>A</w:t>
      </w:r>
      <w:r w:rsidRPr="00737ECE">
        <w:rPr>
          <w:rStyle w:val="ac"/>
          <w:rFonts w:eastAsiaTheme="majorEastAsia"/>
          <w:b/>
          <w:bCs/>
          <w:sz w:val="24"/>
          <w:szCs w:val="24"/>
        </w:rPr>
        <w:t xml:space="preserve">, </w:t>
      </w:r>
      <w:r w:rsidR="0026739A" w:rsidRPr="00737ECE">
        <w:rPr>
          <w:rStyle w:val="ac"/>
          <w:rFonts w:eastAsiaTheme="majorEastAsia"/>
          <w:b/>
          <w:bCs/>
          <w:sz w:val="24"/>
          <w:szCs w:val="24"/>
        </w:rPr>
        <w:t>(</w:t>
      </w:r>
      <w:r w:rsidR="003D51B3">
        <w:rPr>
          <w:rStyle w:val="ac"/>
          <w:rFonts w:eastAsiaTheme="majorEastAsia"/>
          <w:b/>
          <w:bCs/>
          <w:sz w:val="24"/>
          <w:szCs w:val="24"/>
        </w:rPr>
        <w:t xml:space="preserve">Уровень достоверности </w:t>
      </w:r>
      <w:r w:rsidR="003D51B3">
        <w:rPr>
          <w:rStyle w:val="ac"/>
          <w:rFonts w:eastAsiaTheme="majorEastAsia"/>
          <w:b/>
          <w:bCs/>
          <w:sz w:val="24"/>
          <w:szCs w:val="24"/>
        </w:rPr>
        <w:lastRenderedPageBreak/>
        <w:t>доказательств</w:t>
      </w:r>
      <w:r w:rsidRPr="00737ECE">
        <w:rPr>
          <w:rStyle w:val="ac"/>
          <w:rFonts w:eastAsiaTheme="majorEastAsia"/>
          <w:b/>
          <w:bCs/>
          <w:sz w:val="24"/>
          <w:szCs w:val="24"/>
        </w:rPr>
        <w:t xml:space="preserve"> 1</w:t>
      </w:r>
      <w:r w:rsidR="0026739A" w:rsidRPr="00737ECE">
        <w:rPr>
          <w:rStyle w:val="ac"/>
          <w:rFonts w:eastAsiaTheme="majorEastAsia"/>
          <w:b/>
          <w:bCs/>
          <w:sz w:val="24"/>
          <w:szCs w:val="24"/>
        </w:rPr>
        <w:t>)</w:t>
      </w:r>
      <w:r w:rsidR="0026739A" w:rsidRPr="0026739A">
        <w:rPr>
          <w:rStyle w:val="ac"/>
          <w:rFonts w:eastAsiaTheme="majorEastAsia"/>
          <w:b/>
          <w:bCs/>
          <w:sz w:val="24"/>
          <w:szCs w:val="24"/>
        </w:rPr>
        <w:t>; ЕОК</w:t>
      </w:r>
      <w:r w:rsidR="0026739A" w:rsidRPr="00737ECE">
        <w:rPr>
          <w:rStyle w:val="ac"/>
          <w:rFonts w:eastAsiaTheme="majorEastAsia"/>
          <w:b/>
          <w:bCs/>
          <w:sz w:val="24"/>
          <w:szCs w:val="24"/>
        </w:rPr>
        <w:t>/ЕОАГ IС</w:t>
      </w:r>
      <w:r w:rsidR="00447539">
        <w:rPr>
          <w:rStyle w:val="ac"/>
          <w:rFonts w:eastAsiaTheme="majorEastAsia"/>
          <w:b/>
          <w:bCs/>
          <w:sz w:val="24"/>
          <w:szCs w:val="24"/>
        </w:rPr>
        <w:t>.</w:t>
      </w:r>
    </w:p>
    <w:p w14:paraId="286AF4E0" w14:textId="3B27C73C" w:rsidR="004152F6" w:rsidRPr="008B2217" w:rsidRDefault="004152F6" w:rsidP="00737ECE">
      <w:pPr>
        <w:pStyle w:val="11"/>
        <w:ind w:firstLine="620"/>
        <w:jc w:val="both"/>
        <w:rPr>
          <w:i/>
          <w:iCs/>
          <w:sz w:val="36"/>
          <w:szCs w:val="36"/>
        </w:rPr>
      </w:pPr>
      <w:r>
        <w:rPr>
          <w:rStyle w:val="ac"/>
          <w:rFonts w:eastAsiaTheme="majorEastAsia"/>
          <w:b/>
          <w:bCs/>
          <w:sz w:val="24"/>
          <w:szCs w:val="24"/>
        </w:rPr>
        <w:t>Комментарии:</w:t>
      </w:r>
      <w:r w:rsidR="008B2217" w:rsidRPr="008B2217">
        <w:t xml:space="preserve"> </w:t>
      </w:r>
      <w:r w:rsidR="008B2217" w:rsidRPr="008B2217">
        <w:rPr>
          <w:i/>
          <w:iCs/>
          <w:sz w:val="24"/>
          <w:szCs w:val="24"/>
        </w:rPr>
        <w:t xml:space="preserve">Рекомендуется достижение целевого уровня холестерина липопротеинов низкой плотности (ХС-ЛНП) </w:t>
      </w:r>
      <w:proofErr w:type="gramStart"/>
      <w:r w:rsidR="008B2217" w:rsidRPr="008B2217">
        <w:rPr>
          <w:i/>
          <w:iCs/>
          <w:sz w:val="24"/>
          <w:szCs w:val="24"/>
        </w:rPr>
        <w:t>&lt; 1</w:t>
      </w:r>
      <w:proofErr w:type="gramEnd"/>
      <w:r w:rsidR="008B2217" w:rsidRPr="008B2217">
        <w:rPr>
          <w:i/>
          <w:iCs/>
          <w:sz w:val="24"/>
          <w:szCs w:val="24"/>
        </w:rPr>
        <w:t>,4 ммоль/л или снижение ХС-ЛНП по меньшей мере на 50% от исходного уровня в течение 8±4 недель терапии.</w:t>
      </w:r>
      <w:r w:rsidR="008B2217" w:rsidRPr="008B2217">
        <w:t xml:space="preserve"> </w:t>
      </w:r>
      <w:r w:rsidR="008B2217" w:rsidRPr="008B2217">
        <w:rPr>
          <w:i/>
          <w:iCs/>
          <w:sz w:val="24"/>
          <w:szCs w:val="24"/>
        </w:rPr>
        <w:t>Показано как для первичной, так и для вторичной профилактики сердечно-сосудистых осложнений.</w:t>
      </w:r>
      <w:r w:rsidR="008B2217" w:rsidRPr="008B2217">
        <w:t xml:space="preserve"> </w:t>
      </w:r>
      <w:r w:rsidR="008B2217" w:rsidRPr="008B2217">
        <w:rPr>
          <w:i/>
          <w:iCs/>
          <w:sz w:val="24"/>
          <w:szCs w:val="24"/>
        </w:rPr>
        <w:t>Подбор и дозировка препаратов должны учитывать индивидуальные особенности пациента и возможные противопоказания.</w:t>
      </w:r>
    </w:p>
    <w:p w14:paraId="24289391" w14:textId="77777777" w:rsidR="00737ECE" w:rsidRPr="00737ECE" w:rsidRDefault="00737ECE">
      <w:pPr>
        <w:pStyle w:val="11"/>
        <w:numPr>
          <w:ilvl w:val="0"/>
          <w:numId w:val="33"/>
        </w:numPr>
        <w:tabs>
          <w:tab w:val="left" w:pos="1277"/>
        </w:tabs>
        <w:ind w:firstLine="620"/>
        <w:jc w:val="both"/>
        <w:rPr>
          <w:sz w:val="24"/>
          <w:szCs w:val="24"/>
        </w:rPr>
      </w:pPr>
      <w:r w:rsidRPr="00737ECE">
        <w:rPr>
          <w:rStyle w:val="ac"/>
          <w:rFonts w:eastAsiaTheme="majorEastAsia"/>
          <w:sz w:val="24"/>
          <w:szCs w:val="24"/>
        </w:rPr>
        <w:t>У пациентов с АГ и подтвержденным атеросклеротическим сердечно-сосудистым заболеванием (АССЗ), перенесших повторное сосудистое событие в течение 2 лет (в другом сосудистом бассейне), несмотря на прием максимально переносимой дозы ингибитора ГМГ- КоА-редуктазы, рекомендован целевой уровень ЛНП &lt;1,0 ммоль/л [481, 482, 484, 485].</w:t>
      </w:r>
    </w:p>
    <w:p w14:paraId="43B1F2E6" w14:textId="2DEAD12D" w:rsidR="00737ECE" w:rsidRPr="00447539" w:rsidRDefault="00737ECE" w:rsidP="00737ECE">
      <w:pPr>
        <w:pStyle w:val="11"/>
        <w:ind w:firstLine="620"/>
        <w:jc w:val="both"/>
        <w:rPr>
          <w:rStyle w:val="ac"/>
          <w:rFonts w:eastAsiaTheme="majorEastAsia"/>
          <w:b/>
          <w:bCs/>
          <w:sz w:val="24"/>
          <w:szCs w:val="24"/>
        </w:rPr>
      </w:pPr>
      <w:r w:rsidRPr="00737EC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8B2217">
        <w:rPr>
          <w:rStyle w:val="ac"/>
          <w:rFonts w:eastAsiaTheme="majorEastAsia"/>
          <w:b/>
          <w:bCs/>
          <w:sz w:val="24"/>
          <w:szCs w:val="24"/>
        </w:rPr>
        <w:t xml:space="preserve"> </w:t>
      </w:r>
      <w:r w:rsidRPr="00737ECE">
        <w:rPr>
          <w:rStyle w:val="ac"/>
          <w:rFonts w:eastAsiaTheme="majorEastAsia"/>
          <w:b/>
          <w:bCs/>
          <w:sz w:val="24"/>
          <w:szCs w:val="24"/>
        </w:rPr>
        <w:t xml:space="preserve">В, </w:t>
      </w:r>
      <w:r w:rsidR="008B2217" w:rsidRPr="00737ECE">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737ECE">
        <w:rPr>
          <w:rStyle w:val="ac"/>
          <w:rFonts w:eastAsiaTheme="majorEastAsia"/>
          <w:b/>
          <w:bCs/>
          <w:sz w:val="24"/>
          <w:szCs w:val="24"/>
        </w:rPr>
        <w:t xml:space="preserve"> 2</w:t>
      </w:r>
      <w:r w:rsidR="00DD301F" w:rsidRPr="00737ECE">
        <w:rPr>
          <w:rStyle w:val="ac"/>
          <w:rFonts w:eastAsiaTheme="majorEastAsia"/>
          <w:b/>
          <w:bCs/>
          <w:sz w:val="24"/>
          <w:szCs w:val="24"/>
        </w:rPr>
        <w:t>)</w:t>
      </w:r>
      <w:r w:rsidR="00DD301F" w:rsidRPr="008B2217">
        <w:rPr>
          <w:rStyle w:val="ac"/>
          <w:rFonts w:eastAsiaTheme="majorEastAsia"/>
          <w:b/>
          <w:bCs/>
          <w:sz w:val="24"/>
          <w:szCs w:val="24"/>
        </w:rPr>
        <w:t>;</w:t>
      </w:r>
      <w:r w:rsidR="008B2217">
        <w:rPr>
          <w:rStyle w:val="ac"/>
          <w:rFonts w:eastAsiaTheme="majorEastAsia"/>
          <w:b/>
          <w:bCs/>
          <w:sz w:val="24"/>
          <w:szCs w:val="24"/>
        </w:rPr>
        <w:t xml:space="preserve"> </w:t>
      </w:r>
      <w:r w:rsidR="008B2217" w:rsidRPr="00737ECE">
        <w:rPr>
          <w:rStyle w:val="ac"/>
          <w:rFonts w:eastAsiaTheme="majorEastAsia"/>
          <w:b/>
          <w:bCs/>
          <w:sz w:val="24"/>
          <w:szCs w:val="24"/>
        </w:rPr>
        <w:t xml:space="preserve">ЕОК/ЕОАГ </w:t>
      </w:r>
      <w:r w:rsidR="008B2217" w:rsidRPr="00737ECE">
        <w:rPr>
          <w:rStyle w:val="ac"/>
          <w:rFonts w:eastAsiaTheme="majorEastAsia"/>
          <w:b/>
          <w:bCs/>
          <w:sz w:val="24"/>
          <w:szCs w:val="24"/>
          <w:lang w:val="en-US"/>
        </w:rPr>
        <w:t>IIbB</w:t>
      </w:r>
      <w:r w:rsidR="00447539">
        <w:rPr>
          <w:rStyle w:val="ac"/>
          <w:rFonts w:eastAsiaTheme="majorEastAsia"/>
          <w:b/>
          <w:bCs/>
          <w:sz w:val="24"/>
          <w:szCs w:val="24"/>
        </w:rPr>
        <w:t>.</w:t>
      </w:r>
    </w:p>
    <w:p w14:paraId="082A0D52" w14:textId="3AA26869" w:rsidR="008B2217" w:rsidRPr="003B783D" w:rsidRDefault="008B2217" w:rsidP="00737ECE">
      <w:pPr>
        <w:pStyle w:val="11"/>
        <w:ind w:firstLine="620"/>
        <w:jc w:val="both"/>
        <w:rPr>
          <w:i/>
          <w:iCs/>
          <w:sz w:val="32"/>
          <w:szCs w:val="32"/>
        </w:rPr>
      </w:pPr>
      <w:proofErr w:type="gramStart"/>
      <w:r>
        <w:rPr>
          <w:rStyle w:val="ac"/>
          <w:rFonts w:eastAsiaTheme="majorEastAsia"/>
          <w:b/>
          <w:bCs/>
          <w:sz w:val="24"/>
          <w:szCs w:val="24"/>
        </w:rPr>
        <w:t>Комментарии:</w:t>
      </w:r>
      <w:r w:rsidRPr="008B2217">
        <w:t xml:space="preserve"> </w:t>
      </w:r>
      <w:r w:rsidR="003B783D">
        <w:rPr>
          <w:i/>
          <w:iCs/>
          <w:sz w:val="24"/>
          <w:szCs w:val="24"/>
        </w:rPr>
        <w:t xml:space="preserve"> Д</w:t>
      </w:r>
      <w:r w:rsidR="003B783D" w:rsidRPr="003B783D">
        <w:rPr>
          <w:i/>
          <w:iCs/>
          <w:sz w:val="24"/>
          <w:szCs w:val="24"/>
        </w:rPr>
        <w:t>остижение</w:t>
      </w:r>
      <w:proofErr w:type="gramEnd"/>
      <w:r w:rsidR="003B783D" w:rsidRPr="003B783D">
        <w:rPr>
          <w:i/>
          <w:iCs/>
          <w:sz w:val="24"/>
          <w:szCs w:val="24"/>
        </w:rPr>
        <w:t xml:space="preserve"> столь низкого уровня ЛНП снижает риск повторных сердечно-сосудистых событий и улучшает прогноз. </w:t>
      </w:r>
      <w:r w:rsidR="003B783D">
        <w:rPr>
          <w:i/>
          <w:iCs/>
          <w:sz w:val="24"/>
          <w:szCs w:val="24"/>
        </w:rPr>
        <w:t>В</w:t>
      </w:r>
      <w:r w:rsidR="003B783D" w:rsidRPr="003B783D">
        <w:rPr>
          <w:i/>
          <w:iCs/>
          <w:sz w:val="24"/>
          <w:szCs w:val="24"/>
        </w:rPr>
        <w:t xml:space="preserve"> таких случаях может потребоваться добавление других гиполипидемических средств (например, ингибиторов PCSK9) для достижения целевого уровня.</w:t>
      </w:r>
    </w:p>
    <w:p w14:paraId="1CC03780" w14:textId="77777777" w:rsidR="00737ECE" w:rsidRPr="00737ECE" w:rsidRDefault="00737ECE">
      <w:pPr>
        <w:pStyle w:val="11"/>
        <w:numPr>
          <w:ilvl w:val="0"/>
          <w:numId w:val="33"/>
        </w:numPr>
        <w:tabs>
          <w:tab w:val="left" w:pos="1277"/>
        </w:tabs>
        <w:ind w:firstLine="620"/>
        <w:jc w:val="both"/>
        <w:rPr>
          <w:sz w:val="24"/>
          <w:szCs w:val="24"/>
        </w:rPr>
      </w:pPr>
      <w:r w:rsidRPr="00737ECE">
        <w:rPr>
          <w:rStyle w:val="ac"/>
          <w:rFonts w:eastAsiaTheme="majorEastAsia"/>
          <w:sz w:val="24"/>
          <w:szCs w:val="24"/>
        </w:rPr>
        <w:t xml:space="preserve">Пациентам с АГ и высоким СС риском рекомендовано назначение гиполипидемических средств согласно клиническим рекомендациям по нарушениям липидного обмена для достижения целевого ХС-ЛНП </w:t>
      </w:r>
      <w:proofErr w:type="gramStart"/>
      <w:r w:rsidRPr="00737ECE">
        <w:rPr>
          <w:rStyle w:val="ac"/>
          <w:rFonts w:eastAsiaTheme="majorEastAsia"/>
          <w:sz w:val="24"/>
          <w:szCs w:val="24"/>
        </w:rPr>
        <w:t>&lt; 1</w:t>
      </w:r>
      <w:proofErr w:type="gramEnd"/>
      <w:r w:rsidRPr="00737ECE">
        <w:rPr>
          <w:rStyle w:val="ac"/>
          <w:rFonts w:eastAsiaTheme="majorEastAsia"/>
          <w:sz w:val="24"/>
          <w:szCs w:val="24"/>
        </w:rPr>
        <w:t>,8 ммоль/л или его снижение по меньшей мере на 50% от исходного [480, 483].</w:t>
      </w:r>
    </w:p>
    <w:p w14:paraId="151DEA17" w14:textId="24676F03" w:rsidR="00737ECE" w:rsidRPr="00447539" w:rsidRDefault="00737ECE" w:rsidP="00737ECE">
      <w:pPr>
        <w:pStyle w:val="11"/>
        <w:ind w:firstLine="620"/>
        <w:jc w:val="both"/>
        <w:rPr>
          <w:sz w:val="24"/>
          <w:szCs w:val="24"/>
        </w:rPr>
      </w:pPr>
      <w:r w:rsidRPr="00737EC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DD301F">
        <w:rPr>
          <w:rStyle w:val="ac"/>
          <w:rFonts w:eastAsiaTheme="majorEastAsia"/>
          <w:b/>
          <w:bCs/>
          <w:sz w:val="24"/>
          <w:szCs w:val="24"/>
        </w:rPr>
        <w:t xml:space="preserve"> </w:t>
      </w:r>
      <w:r w:rsidRPr="00737ECE">
        <w:rPr>
          <w:rStyle w:val="ac"/>
          <w:rFonts w:eastAsiaTheme="majorEastAsia"/>
          <w:b/>
          <w:bCs/>
          <w:sz w:val="24"/>
          <w:szCs w:val="24"/>
          <w:lang w:val="en-US"/>
        </w:rPr>
        <w:t>A</w:t>
      </w:r>
      <w:r w:rsidRPr="00737ECE">
        <w:rPr>
          <w:rStyle w:val="ac"/>
          <w:rFonts w:eastAsiaTheme="majorEastAsia"/>
          <w:b/>
          <w:bCs/>
          <w:sz w:val="24"/>
          <w:szCs w:val="24"/>
        </w:rPr>
        <w:t xml:space="preserve">, </w:t>
      </w:r>
      <w:r w:rsidR="00DD301F" w:rsidRPr="00737ECE">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737ECE">
        <w:rPr>
          <w:rStyle w:val="ac"/>
          <w:rFonts w:eastAsiaTheme="majorEastAsia"/>
          <w:b/>
          <w:bCs/>
          <w:sz w:val="24"/>
          <w:szCs w:val="24"/>
        </w:rPr>
        <w:t xml:space="preserve"> 1)</w:t>
      </w:r>
      <w:r w:rsidR="00DD301F">
        <w:rPr>
          <w:rStyle w:val="ac"/>
          <w:rFonts w:eastAsiaTheme="majorEastAsia"/>
          <w:b/>
          <w:bCs/>
          <w:sz w:val="24"/>
          <w:szCs w:val="24"/>
        </w:rPr>
        <w:t>;</w:t>
      </w:r>
      <w:r w:rsidR="00DD301F" w:rsidRPr="00DD301F">
        <w:rPr>
          <w:rStyle w:val="ac"/>
          <w:rFonts w:eastAsiaTheme="majorEastAsia"/>
          <w:b/>
          <w:bCs/>
          <w:sz w:val="24"/>
          <w:szCs w:val="24"/>
        </w:rPr>
        <w:t xml:space="preserve"> </w:t>
      </w:r>
      <w:r w:rsidR="00DD301F" w:rsidRPr="00737ECE">
        <w:rPr>
          <w:rStyle w:val="ac"/>
          <w:rFonts w:eastAsiaTheme="majorEastAsia"/>
          <w:b/>
          <w:bCs/>
          <w:sz w:val="24"/>
          <w:szCs w:val="24"/>
        </w:rPr>
        <w:t xml:space="preserve">ЕОК/ЕОАГ </w:t>
      </w:r>
      <w:r w:rsidR="00DD301F" w:rsidRPr="00737ECE">
        <w:rPr>
          <w:rStyle w:val="ac"/>
          <w:rFonts w:eastAsiaTheme="majorEastAsia"/>
          <w:b/>
          <w:bCs/>
          <w:sz w:val="24"/>
          <w:szCs w:val="24"/>
          <w:lang w:val="en-US"/>
        </w:rPr>
        <w:t>IA</w:t>
      </w:r>
      <w:r w:rsidR="00447539">
        <w:rPr>
          <w:rStyle w:val="ac"/>
          <w:rFonts w:eastAsiaTheme="majorEastAsia"/>
          <w:b/>
          <w:bCs/>
          <w:sz w:val="24"/>
          <w:szCs w:val="24"/>
        </w:rPr>
        <w:t>.</w:t>
      </w:r>
    </w:p>
    <w:p w14:paraId="37AA3DDC" w14:textId="77777777" w:rsidR="00737ECE" w:rsidRPr="00737ECE" w:rsidRDefault="00737ECE" w:rsidP="00737ECE">
      <w:pPr>
        <w:pStyle w:val="11"/>
        <w:ind w:firstLine="620"/>
        <w:jc w:val="both"/>
        <w:rPr>
          <w:sz w:val="24"/>
          <w:szCs w:val="24"/>
        </w:rPr>
      </w:pPr>
      <w:r w:rsidRPr="00737ECE">
        <w:rPr>
          <w:rStyle w:val="ac"/>
          <w:rFonts w:eastAsiaTheme="majorEastAsia"/>
          <w:b/>
          <w:bCs/>
          <w:sz w:val="24"/>
          <w:szCs w:val="24"/>
        </w:rPr>
        <w:t xml:space="preserve">Комментарии. </w:t>
      </w:r>
      <w:r w:rsidRPr="00737ECE">
        <w:rPr>
          <w:rStyle w:val="ac"/>
          <w:rFonts w:eastAsiaTheme="majorEastAsia"/>
          <w:i/>
          <w:iCs/>
          <w:sz w:val="24"/>
          <w:szCs w:val="24"/>
        </w:rPr>
        <w:t>У пациентов с низким риском можно рассмотреть назначение гиполипидемических средств согласно клиническим рекомендациям по нарушениям липидного обмена для достижения целевого ХС-ЛНП &lt;3,0 ммоль/л. У пациентов с умеренным риском можно рассмотреть назначение гиполипидемических средств согласно клиническим рекомендациям по нарушениям липидного обмена для достижения целевого ХС-ЛНП &lt;2,6 ммоль/л. Эффекты снижения сердечно-сосудистого риска при использовании гиполипидемических средств согласно клиническим рекомендациям по нарушениям липидного обмена в первичной профилактике у пациентов с АГ подтверждаются в краткосрочных исследованиях и при длительном наблюдении</w:t>
      </w:r>
      <w:r w:rsidRPr="00737ECE">
        <w:rPr>
          <w:rStyle w:val="ac"/>
          <w:rFonts w:eastAsiaTheme="majorEastAsia"/>
          <w:sz w:val="24"/>
          <w:szCs w:val="24"/>
        </w:rPr>
        <w:t xml:space="preserve"> [486, 487]</w:t>
      </w:r>
      <w:r w:rsidRPr="00737ECE">
        <w:rPr>
          <w:rStyle w:val="ac"/>
          <w:rFonts w:eastAsiaTheme="majorEastAsia"/>
          <w:i/>
          <w:iCs/>
          <w:sz w:val="24"/>
          <w:szCs w:val="24"/>
        </w:rPr>
        <w:t xml:space="preserve">. При изолированной гипертриглицеридемии статины являются препаратами первой линии для снижения СС </w:t>
      </w:r>
      <w:r w:rsidRPr="00737ECE">
        <w:rPr>
          <w:rStyle w:val="ac"/>
          <w:rFonts w:eastAsiaTheme="majorEastAsia"/>
          <w:i/>
          <w:iCs/>
          <w:sz w:val="24"/>
          <w:szCs w:val="24"/>
        </w:rPr>
        <w:lastRenderedPageBreak/>
        <w:t>риска. Также их назначение можно рассмотреть при уровне ТГ &gt;2,3 ммоль/л, особенно у пациентов с СД. Лечение фенофибратом** можно рассматривать в связи с дополнительными преимуществами, связанными с его влиянием на ХС-неЛВП</w:t>
      </w:r>
      <w:r w:rsidRPr="00737ECE">
        <w:rPr>
          <w:rStyle w:val="ac"/>
          <w:rFonts w:eastAsiaTheme="majorEastAsia"/>
          <w:sz w:val="24"/>
          <w:szCs w:val="24"/>
        </w:rPr>
        <w:t xml:space="preserve"> [488]</w:t>
      </w:r>
      <w:r w:rsidRPr="00737ECE">
        <w:rPr>
          <w:rStyle w:val="ac"/>
          <w:rFonts w:eastAsiaTheme="majorEastAsia"/>
          <w:i/>
          <w:iCs/>
          <w:sz w:val="24"/>
          <w:szCs w:val="24"/>
        </w:rPr>
        <w:t>. Роль омега-3 полиненасыщенных жирных кислот остается неясной в связи с противоречащими друг другу результатами двух крупных исследований</w:t>
      </w:r>
      <w:r w:rsidRPr="00737ECE">
        <w:rPr>
          <w:rStyle w:val="ac"/>
          <w:rFonts w:eastAsiaTheme="majorEastAsia"/>
          <w:sz w:val="24"/>
          <w:szCs w:val="24"/>
        </w:rPr>
        <w:t xml:space="preserve"> [489, 490]</w:t>
      </w:r>
      <w:r w:rsidRPr="00737ECE">
        <w:rPr>
          <w:rStyle w:val="ac"/>
          <w:rFonts w:eastAsiaTheme="majorEastAsia"/>
          <w:i/>
          <w:iCs/>
          <w:sz w:val="24"/>
          <w:szCs w:val="24"/>
        </w:rPr>
        <w:t>. При трудностях в достижении целевых уровней липидов ББ и диуретики могут быть менее предпочтительны в качестве АГП в связи с умеренным дислипидемическим эффектом. В то же время их возможности по снижению СС риска за счет снижения АД существенно перевешивают их метаболические недостатки, поэтому они должны быть назначены при необходимости.</w:t>
      </w:r>
    </w:p>
    <w:p w14:paraId="19140208" w14:textId="77777777" w:rsidR="0065428A" w:rsidRPr="00737ECE" w:rsidRDefault="003A7819" w:rsidP="0065428A">
      <w:pPr>
        <w:pStyle w:val="11"/>
        <w:spacing w:after="120"/>
        <w:ind w:firstLine="0"/>
        <w:jc w:val="both"/>
        <w:rPr>
          <w:sz w:val="24"/>
          <w:szCs w:val="24"/>
        </w:rPr>
      </w:pPr>
      <w:r>
        <w:rPr>
          <w:rStyle w:val="ac"/>
          <w:rFonts w:eastAsiaTheme="majorEastAsia"/>
          <w:i/>
          <w:iCs/>
          <w:sz w:val="24"/>
          <w:szCs w:val="24"/>
        </w:rPr>
        <w:tab/>
      </w:r>
      <w:r w:rsidR="00737ECE" w:rsidRPr="00737ECE">
        <w:rPr>
          <w:rStyle w:val="ac"/>
          <w:rFonts w:eastAsiaTheme="majorEastAsia"/>
          <w:i/>
          <w:iCs/>
          <w:sz w:val="24"/>
          <w:szCs w:val="24"/>
        </w:rPr>
        <w:t>Многоцелевая политаблетка, содержащая два АГП и ингибитор ГМГ-КоА-редуктазы, может быть назначена пациентам с АГ для первичной и вторичной профилактики. Назначение многоцелевой политаблетки («полипилл») позволяет повысить приверженность к лечению, обеспечивая ежедневный прием эффективных комбинаций сразу нескольких препаратов в достаточных дозах, и является эффективным способом медикаментозной коррекции факторов риска у пациентов с АГ в первичной и вторичной профилактике</w:t>
      </w:r>
      <w:r w:rsidR="00737ECE" w:rsidRPr="00737ECE">
        <w:rPr>
          <w:rStyle w:val="ac"/>
          <w:rFonts w:eastAsiaTheme="majorEastAsia"/>
          <w:sz w:val="24"/>
          <w:szCs w:val="24"/>
        </w:rPr>
        <w:t xml:space="preserve"> [491, 492]</w:t>
      </w:r>
      <w:r w:rsidR="00737ECE" w:rsidRPr="00737ECE">
        <w:rPr>
          <w:rStyle w:val="ac"/>
          <w:rFonts w:eastAsiaTheme="majorEastAsia"/>
          <w:i/>
          <w:iCs/>
          <w:sz w:val="24"/>
          <w:szCs w:val="24"/>
        </w:rPr>
        <w:t>. Таким образам применение многоцелевых политаблеток рекомендуется у пациентов с АГ: для первичной профилактики - без добавления АСК**, для вторичной - с АСК**. Предварительная оценка эффективности отдельных компонентов политаблетки не требуется</w:t>
      </w:r>
      <w:r w:rsidR="00737ECE" w:rsidRPr="00737ECE">
        <w:rPr>
          <w:rStyle w:val="ac"/>
          <w:rFonts w:eastAsiaTheme="majorEastAsia"/>
          <w:sz w:val="24"/>
          <w:szCs w:val="24"/>
        </w:rPr>
        <w:t xml:space="preserve"> [493]</w:t>
      </w:r>
      <w:r w:rsidR="00737ECE" w:rsidRPr="00737ECE">
        <w:rPr>
          <w:rStyle w:val="ac"/>
          <w:rFonts w:eastAsiaTheme="majorEastAsia"/>
          <w:i/>
          <w:iCs/>
          <w:sz w:val="24"/>
          <w:szCs w:val="24"/>
        </w:rPr>
        <w:t>. Возможные неудобства могут быть связаны с недостаточной гибкостью подхода к дозированию компонентов и ограниченными возможностями по достижению целевых ХС-ЛНП и АД в соответствии с рекомендациями, что может потребовать раздельного назначения</w:t>
      </w:r>
      <w:r w:rsidR="0065428A" w:rsidRPr="0065428A">
        <w:rPr>
          <w:rStyle w:val="ac"/>
          <w:rFonts w:eastAsiaTheme="majorEastAsia"/>
          <w:i/>
          <w:iCs/>
          <w:sz w:val="24"/>
          <w:szCs w:val="24"/>
        </w:rPr>
        <w:t xml:space="preserve"> </w:t>
      </w:r>
      <w:r w:rsidR="0065428A" w:rsidRPr="00737ECE">
        <w:rPr>
          <w:rStyle w:val="ac"/>
          <w:rFonts w:eastAsiaTheme="majorEastAsia"/>
          <w:i/>
          <w:iCs/>
          <w:sz w:val="24"/>
          <w:szCs w:val="24"/>
        </w:rPr>
        <w:t>компонентов политаблетки у ряда пациентов, несмотря на потерю преимуществ ее</w:t>
      </w:r>
      <w:r w:rsidR="0065428A">
        <w:rPr>
          <w:sz w:val="24"/>
          <w:szCs w:val="24"/>
        </w:rPr>
        <w:t xml:space="preserve"> </w:t>
      </w:r>
      <w:r w:rsidR="0065428A" w:rsidRPr="00737ECE">
        <w:rPr>
          <w:rStyle w:val="ac"/>
          <w:rFonts w:eastAsiaTheme="majorEastAsia"/>
          <w:i/>
          <w:iCs/>
          <w:sz w:val="24"/>
          <w:szCs w:val="24"/>
        </w:rPr>
        <w:t>использования.</w:t>
      </w:r>
    </w:p>
    <w:p w14:paraId="2F9EAFF8" w14:textId="77777777" w:rsidR="0065428A" w:rsidRPr="0065428A" w:rsidRDefault="0065428A">
      <w:pPr>
        <w:pStyle w:val="11"/>
        <w:numPr>
          <w:ilvl w:val="0"/>
          <w:numId w:val="33"/>
        </w:numPr>
        <w:tabs>
          <w:tab w:val="left" w:pos="1296"/>
        </w:tabs>
        <w:ind w:firstLine="600"/>
        <w:jc w:val="both"/>
        <w:rPr>
          <w:sz w:val="24"/>
          <w:szCs w:val="24"/>
        </w:rPr>
      </w:pPr>
      <w:r w:rsidRPr="00737ECE">
        <w:rPr>
          <w:rStyle w:val="ac"/>
          <w:rFonts w:eastAsiaTheme="majorEastAsia"/>
          <w:sz w:val="24"/>
          <w:szCs w:val="24"/>
        </w:rPr>
        <w:t>Пациентам с АГ при сочетании с атеросклеротическими сердечно-сосудистыми</w:t>
      </w:r>
      <w:r>
        <w:rPr>
          <w:sz w:val="24"/>
          <w:szCs w:val="24"/>
        </w:rPr>
        <w:t xml:space="preserve"> </w:t>
      </w:r>
      <w:r w:rsidRPr="0065428A">
        <w:rPr>
          <w:rStyle w:val="ac"/>
          <w:rFonts w:eastAsiaTheme="majorEastAsia"/>
          <w:sz w:val="24"/>
          <w:szCs w:val="24"/>
        </w:rPr>
        <w:t>заболеваниями (ИБС, перенесенный инфаркт миокарда, цереброваскулярная болезнь, атеросклеротические заболевания периферических артерий) с целью вторичной профилактики СС событий может быть рекомендовано назначение ацетилсалициловой кислоты** в низких дозах как это указано в соответствующих клинических рекомендациях [494, 495].</w:t>
      </w:r>
    </w:p>
    <w:p w14:paraId="75D1865F" w14:textId="22939985" w:rsidR="0065428A" w:rsidRPr="00737ECE" w:rsidRDefault="0065428A" w:rsidP="0065428A">
      <w:pPr>
        <w:pStyle w:val="11"/>
        <w:ind w:firstLine="600"/>
        <w:jc w:val="both"/>
        <w:rPr>
          <w:sz w:val="24"/>
          <w:szCs w:val="24"/>
        </w:rPr>
      </w:pPr>
      <w:r w:rsidRPr="00737EC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0A49F4">
        <w:rPr>
          <w:rStyle w:val="ac"/>
          <w:rFonts w:eastAsiaTheme="majorEastAsia"/>
          <w:b/>
          <w:bCs/>
          <w:sz w:val="24"/>
          <w:szCs w:val="24"/>
        </w:rPr>
        <w:t xml:space="preserve"> </w:t>
      </w:r>
      <w:r w:rsidRPr="00737ECE">
        <w:rPr>
          <w:rStyle w:val="ac"/>
          <w:rFonts w:eastAsiaTheme="majorEastAsia"/>
          <w:b/>
          <w:bCs/>
          <w:sz w:val="24"/>
          <w:szCs w:val="24"/>
        </w:rPr>
        <w:t xml:space="preserve">А, </w:t>
      </w:r>
      <w:r w:rsidR="000A49F4" w:rsidRPr="00737ECE">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737ECE">
        <w:rPr>
          <w:rStyle w:val="ac"/>
          <w:rFonts w:eastAsiaTheme="majorEastAsia"/>
          <w:b/>
          <w:bCs/>
          <w:sz w:val="24"/>
          <w:szCs w:val="24"/>
        </w:rPr>
        <w:t xml:space="preserve"> 1)</w:t>
      </w:r>
      <w:r w:rsidR="000A49F4">
        <w:rPr>
          <w:rStyle w:val="ac"/>
          <w:rFonts w:eastAsiaTheme="majorEastAsia"/>
          <w:b/>
          <w:bCs/>
          <w:sz w:val="24"/>
          <w:szCs w:val="24"/>
        </w:rPr>
        <w:t>;</w:t>
      </w:r>
      <w:r w:rsidR="00447539">
        <w:rPr>
          <w:rStyle w:val="ac"/>
          <w:rFonts w:eastAsiaTheme="majorEastAsia"/>
          <w:b/>
          <w:bCs/>
          <w:sz w:val="24"/>
          <w:szCs w:val="24"/>
        </w:rPr>
        <w:t xml:space="preserve"> </w:t>
      </w:r>
      <w:r w:rsidR="000A49F4" w:rsidRPr="00737ECE">
        <w:rPr>
          <w:rStyle w:val="ac"/>
          <w:rFonts w:eastAsiaTheme="majorEastAsia"/>
          <w:b/>
          <w:bCs/>
          <w:sz w:val="24"/>
          <w:szCs w:val="24"/>
        </w:rPr>
        <w:t>ЕОК/ЕОАГ IА</w:t>
      </w:r>
      <w:r w:rsidR="00447539">
        <w:rPr>
          <w:rStyle w:val="ac"/>
          <w:rFonts w:eastAsiaTheme="majorEastAsia"/>
          <w:b/>
          <w:bCs/>
          <w:sz w:val="24"/>
          <w:szCs w:val="24"/>
        </w:rPr>
        <w:t>.</w:t>
      </w:r>
    </w:p>
    <w:p w14:paraId="021CDD15" w14:textId="77777777" w:rsidR="0065428A" w:rsidRPr="00737ECE" w:rsidRDefault="0065428A" w:rsidP="0065428A">
      <w:pPr>
        <w:pStyle w:val="11"/>
        <w:ind w:firstLine="600"/>
        <w:jc w:val="both"/>
        <w:rPr>
          <w:sz w:val="24"/>
          <w:szCs w:val="24"/>
        </w:rPr>
      </w:pPr>
      <w:r w:rsidRPr="00737ECE">
        <w:rPr>
          <w:rStyle w:val="ac"/>
          <w:rFonts w:eastAsiaTheme="majorEastAsia"/>
          <w:b/>
          <w:bCs/>
          <w:i/>
          <w:iCs/>
          <w:sz w:val="24"/>
          <w:szCs w:val="24"/>
        </w:rPr>
        <w:t xml:space="preserve">Комментарии. </w:t>
      </w:r>
      <w:r w:rsidRPr="00737ECE">
        <w:rPr>
          <w:rStyle w:val="ac"/>
          <w:rFonts w:eastAsiaTheme="majorEastAsia"/>
          <w:i/>
          <w:iCs/>
          <w:sz w:val="24"/>
          <w:szCs w:val="24"/>
        </w:rPr>
        <w:t>Назначать низкие дозы ацетилсалициловой кислоты** для первичной профилактики всем пациентам с АГ не рекомендуется</w:t>
      </w:r>
      <w:r w:rsidRPr="00737ECE">
        <w:rPr>
          <w:rStyle w:val="ac"/>
          <w:rFonts w:eastAsiaTheme="majorEastAsia"/>
          <w:sz w:val="24"/>
          <w:szCs w:val="24"/>
        </w:rPr>
        <w:t xml:space="preserve"> [494, 495]</w:t>
      </w:r>
      <w:r w:rsidRPr="00737ECE">
        <w:rPr>
          <w:rStyle w:val="ac"/>
          <w:rFonts w:eastAsiaTheme="majorEastAsia"/>
          <w:i/>
          <w:iCs/>
          <w:sz w:val="24"/>
          <w:szCs w:val="24"/>
        </w:rPr>
        <w:t>.</w:t>
      </w:r>
    </w:p>
    <w:p w14:paraId="285A17C4" w14:textId="77777777" w:rsidR="0065428A" w:rsidRPr="0065428A" w:rsidRDefault="0065428A">
      <w:pPr>
        <w:pStyle w:val="11"/>
        <w:numPr>
          <w:ilvl w:val="0"/>
          <w:numId w:val="33"/>
        </w:numPr>
        <w:tabs>
          <w:tab w:val="left" w:pos="1296"/>
        </w:tabs>
        <w:ind w:firstLine="600"/>
        <w:jc w:val="both"/>
        <w:rPr>
          <w:sz w:val="24"/>
          <w:szCs w:val="24"/>
        </w:rPr>
      </w:pPr>
      <w:r w:rsidRPr="00737ECE">
        <w:rPr>
          <w:rStyle w:val="ac"/>
          <w:rFonts w:eastAsiaTheme="majorEastAsia"/>
          <w:sz w:val="24"/>
          <w:szCs w:val="24"/>
        </w:rPr>
        <w:lastRenderedPageBreak/>
        <w:t>У пациентов с АГ и СД рекомендуется рассмотреть возможность назначения низких</w:t>
      </w:r>
      <w:r>
        <w:rPr>
          <w:sz w:val="24"/>
          <w:szCs w:val="24"/>
        </w:rPr>
        <w:t xml:space="preserve"> </w:t>
      </w:r>
      <w:r w:rsidRPr="0065428A">
        <w:rPr>
          <w:rStyle w:val="ac"/>
          <w:rFonts w:eastAsiaTheme="majorEastAsia"/>
          <w:sz w:val="24"/>
          <w:szCs w:val="24"/>
        </w:rPr>
        <w:t>доз ацетилсалициловой кислоты** для первичной профилактики при отсутствии явных противопоказаний [494, 75, 496, 497, 495, 498].</w:t>
      </w:r>
    </w:p>
    <w:p w14:paraId="234E8955" w14:textId="7F532E6F" w:rsidR="0065428A" w:rsidRPr="008A2AFD" w:rsidRDefault="0065428A" w:rsidP="0065428A">
      <w:pPr>
        <w:pStyle w:val="11"/>
        <w:ind w:firstLine="600"/>
        <w:jc w:val="both"/>
        <w:rPr>
          <w:sz w:val="24"/>
          <w:szCs w:val="24"/>
        </w:rPr>
      </w:pPr>
      <w:r w:rsidRPr="00866591">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0A49F4">
        <w:rPr>
          <w:rStyle w:val="ac"/>
          <w:rFonts w:eastAsiaTheme="majorEastAsia"/>
          <w:b/>
          <w:bCs/>
          <w:sz w:val="24"/>
          <w:szCs w:val="24"/>
        </w:rPr>
        <w:t xml:space="preserve"> </w:t>
      </w:r>
      <w:r w:rsidRPr="00737ECE">
        <w:rPr>
          <w:rStyle w:val="ac"/>
          <w:rFonts w:eastAsiaTheme="majorEastAsia"/>
          <w:b/>
          <w:bCs/>
          <w:sz w:val="24"/>
          <w:szCs w:val="24"/>
          <w:lang w:val="en-US"/>
        </w:rPr>
        <w:t>A</w:t>
      </w:r>
      <w:r w:rsidRPr="00866591">
        <w:rPr>
          <w:rStyle w:val="ac"/>
          <w:rFonts w:eastAsiaTheme="majorEastAsia"/>
          <w:b/>
          <w:bCs/>
          <w:sz w:val="24"/>
          <w:szCs w:val="24"/>
        </w:rPr>
        <w:t xml:space="preserve">, </w:t>
      </w:r>
      <w:r w:rsidR="000A49F4" w:rsidRPr="00866591">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866591">
        <w:rPr>
          <w:rStyle w:val="ac"/>
          <w:rFonts w:eastAsiaTheme="majorEastAsia"/>
          <w:b/>
          <w:bCs/>
          <w:sz w:val="24"/>
          <w:szCs w:val="24"/>
        </w:rPr>
        <w:t xml:space="preserve"> 1)</w:t>
      </w:r>
      <w:r w:rsidR="000A49F4">
        <w:rPr>
          <w:rStyle w:val="ac"/>
          <w:rFonts w:eastAsiaTheme="majorEastAsia"/>
          <w:b/>
          <w:bCs/>
          <w:sz w:val="24"/>
          <w:szCs w:val="24"/>
        </w:rPr>
        <w:t xml:space="preserve">; </w:t>
      </w:r>
      <w:r w:rsidR="000A49F4" w:rsidRPr="00737ECE">
        <w:rPr>
          <w:rStyle w:val="ac"/>
          <w:rFonts w:eastAsiaTheme="majorEastAsia"/>
          <w:b/>
          <w:bCs/>
          <w:sz w:val="24"/>
          <w:szCs w:val="24"/>
        </w:rPr>
        <w:t>ЕОК</w:t>
      </w:r>
      <w:r w:rsidR="000A49F4" w:rsidRPr="00866591">
        <w:rPr>
          <w:rStyle w:val="ac"/>
          <w:rFonts w:eastAsiaTheme="majorEastAsia"/>
          <w:b/>
          <w:bCs/>
          <w:sz w:val="24"/>
          <w:szCs w:val="24"/>
        </w:rPr>
        <w:t>/</w:t>
      </w:r>
      <w:r w:rsidR="000A49F4" w:rsidRPr="00737ECE">
        <w:rPr>
          <w:rStyle w:val="ac"/>
          <w:rFonts w:eastAsiaTheme="majorEastAsia"/>
          <w:b/>
          <w:bCs/>
          <w:sz w:val="24"/>
          <w:szCs w:val="24"/>
        </w:rPr>
        <w:t>ЕОАГ</w:t>
      </w:r>
      <w:r w:rsidR="000A49F4" w:rsidRPr="00866591">
        <w:rPr>
          <w:rStyle w:val="ac"/>
          <w:rFonts w:eastAsiaTheme="majorEastAsia"/>
          <w:b/>
          <w:bCs/>
          <w:sz w:val="24"/>
          <w:szCs w:val="24"/>
        </w:rPr>
        <w:t xml:space="preserve"> </w:t>
      </w:r>
      <w:r w:rsidR="000A49F4" w:rsidRPr="00737ECE">
        <w:rPr>
          <w:rStyle w:val="ac"/>
          <w:rFonts w:eastAsiaTheme="majorEastAsia"/>
          <w:b/>
          <w:bCs/>
          <w:sz w:val="24"/>
          <w:szCs w:val="24"/>
          <w:lang w:val="en-US"/>
        </w:rPr>
        <w:t>IIb</w:t>
      </w:r>
      <w:r w:rsidR="000A49F4" w:rsidRPr="00866591">
        <w:rPr>
          <w:rStyle w:val="ac"/>
          <w:rFonts w:eastAsiaTheme="majorEastAsia"/>
          <w:b/>
          <w:bCs/>
          <w:sz w:val="24"/>
          <w:szCs w:val="24"/>
        </w:rPr>
        <w:t xml:space="preserve"> </w:t>
      </w:r>
      <w:r w:rsidR="000A49F4" w:rsidRPr="00737ECE">
        <w:rPr>
          <w:rStyle w:val="ac"/>
          <w:rFonts w:eastAsiaTheme="majorEastAsia"/>
          <w:b/>
          <w:bCs/>
          <w:sz w:val="24"/>
          <w:szCs w:val="24"/>
          <w:lang w:val="en-US"/>
        </w:rPr>
        <w:t>A</w:t>
      </w:r>
      <w:r w:rsidR="008A2AFD">
        <w:rPr>
          <w:rStyle w:val="ac"/>
          <w:rFonts w:eastAsiaTheme="majorEastAsia"/>
          <w:b/>
          <w:bCs/>
          <w:sz w:val="24"/>
          <w:szCs w:val="24"/>
        </w:rPr>
        <w:t>.</w:t>
      </w:r>
    </w:p>
    <w:p w14:paraId="16F7452B" w14:textId="77777777" w:rsidR="0065428A" w:rsidRPr="00737ECE" w:rsidRDefault="0065428A" w:rsidP="001B6C25">
      <w:pPr>
        <w:pStyle w:val="11"/>
        <w:ind w:firstLine="600"/>
        <w:jc w:val="both"/>
        <w:rPr>
          <w:sz w:val="24"/>
          <w:szCs w:val="24"/>
        </w:rPr>
      </w:pPr>
      <w:r w:rsidRPr="00737ECE">
        <w:rPr>
          <w:rStyle w:val="ac"/>
          <w:rFonts w:eastAsiaTheme="majorEastAsia"/>
          <w:b/>
          <w:bCs/>
          <w:sz w:val="24"/>
          <w:szCs w:val="24"/>
        </w:rPr>
        <w:t xml:space="preserve">Комментарии. </w:t>
      </w:r>
      <w:r w:rsidRPr="00737ECE">
        <w:rPr>
          <w:rStyle w:val="ac"/>
          <w:rFonts w:eastAsiaTheme="majorEastAsia"/>
          <w:i/>
          <w:iCs/>
          <w:sz w:val="24"/>
          <w:szCs w:val="24"/>
        </w:rPr>
        <w:t>Назначение многоцелевой политаблетки, содержащей низкие дозы АСК**, можно рассмотреть у пациентов с АГ для вторичной профилактики. Решение о назначении антиагрегантной терапии при АГ должно основываться на оценке индивидуального СС риска по аналогии с нормотониками с учетом риска кровотечений. Применение низких доз АСК** в рамках вторичной профилактики ССО необходимо для снижения риска неблагоприятных сердечно-сосудистых исходов [349]. Преимущества назначения антиагрегантов в рамках первичной профилактики при АГ не подтверждены, а их прием спряжен с повышением риска кровотечений [345].</w:t>
      </w:r>
    </w:p>
    <w:p w14:paraId="27253A72" w14:textId="77777777" w:rsidR="0065428A" w:rsidRPr="001B6C25" w:rsidRDefault="0065428A" w:rsidP="001B6C25">
      <w:pPr>
        <w:pStyle w:val="11"/>
        <w:tabs>
          <w:tab w:val="left" w:pos="1087"/>
        </w:tabs>
        <w:ind w:firstLine="0"/>
        <w:jc w:val="center"/>
        <w:rPr>
          <w:sz w:val="24"/>
          <w:szCs w:val="24"/>
        </w:rPr>
      </w:pPr>
      <w:bookmarkStart w:id="61" w:name="bookmark49"/>
      <w:r w:rsidRPr="001B6C25">
        <w:rPr>
          <w:rStyle w:val="ac"/>
          <w:rFonts w:eastAsiaTheme="majorEastAsia"/>
          <w:b/>
          <w:bCs/>
          <w:sz w:val="24"/>
          <w:szCs w:val="24"/>
        </w:rPr>
        <w:t>Неотложные состояния при артериальной гипертензии: гипертонический криз</w:t>
      </w:r>
      <w:bookmarkEnd w:id="61"/>
    </w:p>
    <w:p w14:paraId="5A3FE740" w14:textId="77777777" w:rsidR="0065428A" w:rsidRPr="000A49F4" w:rsidRDefault="0065428A" w:rsidP="001B6C25">
      <w:pPr>
        <w:pStyle w:val="11"/>
        <w:ind w:firstLine="600"/>
        <w:jc w:val="both"/>
        <w:rPr>
          <w:sz w:val="24"/>
          <w:szCs w:val="24"/>
        </w:rPr>
      </w:pPr>
      <w:r w:rsidRPr="000A49F4">
        <w:rPr>
          <w:rStyle w:val="ac"/>
          <w:rFonts w:eastAsiaTheme="majorEastAsia"/>
          <w:sz w:val="24"/>
          <w:szCs w:val="24"/>
        </w:rPr>
        <w:t>Гипертонический криз (ГК) — cостояние, при котором значительное повышение АД ассоциируется с острым поражением органов-мишеней, нередко жизнеугрожающим, требующее немедленных квалифицированных действий, направленных на снижение АД, обычно с помощью внутривенной терапии [499]. При определении тяжести поражения органов скорость и степень повышения АД могут быть так же важны, как и абсолютный уровень АД [500]. Можно выделить следующие типичные проявления гипертонических кризов:</w:t>
      </w:r>
    </w:p>
    <w:p w14:paraId="60977929" w14:textId="77777777" w:rsidR="00737ECE" w:rsidRPr="000A49F4" w:rsidRDefault="0065428A">
      <w:pPr>
        <w:pStyle w:val="11"/>
        <w:numPr>
          <w:ilvl w:val="0"/>
          <w:numId w:val="34"/>
        </w:numPr>
        <w:tabs>
          <w:tab w:val="left" w:pos="1296"/>
        </w:tabs>
        <w:ind w:firstLine="567"/>
        <w:jc w:val="both"/>
        <w:rPr>
          <w:sz w:val="24"/>
          <w:szCs w:val="24"/>
        </w:rPr>
      </w:pPr>
      <w:r w:rsidRPr="000A49F4">
        <w:rPr>
          <w:rStyle w:val="ac"/>
          <w:rFonts w:eastAsiaTheme="majorEastAsia"/>
          <w:sz w:val="24"/>
          <w:szCs w:val="24"/>
        </w:rPr>
        <w:t>Пациенты со злокачественной АГ: тяжелая АГ (чаще 3-й степени) ассоциируется</w:t>
      </w:r>
      <w:r w:rsidR="001B6C25" w:rsidRPr="000A49F4">
        <w:rPr>
          <w:sz w:val="24"/>
          <w:szCs w:val="24"/>
        </w:rPr>
        <w:t xml:space="preserve"> </w:t>
      </w:r>
      <w:r w:rsidRPr="000A49F4">
        <w:rPr>
          <w:rStyle w:val="ac"/>
          <w:rFonts w:eastAsiaTheme="majorEastAsia"/>
          <w:sz w:val="24"/>
          <w:szCs w:val="24"/>
        </w:rPr>
        <w:t>с изменениями на глазном дне (кровоизлияния и/или отек соска зрительного нерва), микроангиопатией и диссеминированным внутрисусосудистым свертыванием. Может</w:t>
      </w:r>
      <w:r w:rsidR="001B6C25" w:rsidRPr="000A49F4">
        <w:rPr>
          <w:rStyle w:val="ac"/>
          <w:rFonts w:eastAsiaTheme="majorEastAsia"/>
          <w:sz w:val="24"/>
          <w:szCs w:val="24"/>
        </w:rPr>
        <w:t xml:space="preserve"> </w:t>
      </w:r>
      <w:r w:rsidR="00737ECE" w:rsidRPr="000A49F4">
        <w:rPr>
          <w:rStyle w:val="ac"/>
          <w:rFonts w:eastAsiaTheme="majorEastAsia"/>
          <w:sz w:val="24"/>
          <w:szCs w:val="24"/>
        </w:rPr>
        <w:t>приводить к энцефалопатии (примерно в 15% случаев) [501], ОСН, острому ухудшению функции почек [502, 503,504,505].</w:t>
      </w:r>
    </w:p>
    <w:p w14:paraId="2E0FFDDA" w14:textId="77777777" w:rsidR="00737ECE" w:rsidRPr="000A49F4" w:rsidRDefault="00737ECE">
      <w:pPr>
        <w:pStyle w:val="11"/>
        <w:numPr>
          <w:ilvl w:val="0"/>
          <w:numId w:val="34"/>
        </w:numPr>
        <w:tabs>
          <w:tab w:val="left" w:pos="1294"/>
        </w:tabs>
        <w:ind w:firstLine="600"/>
        <w:jc w:val="both"/>
        <w:rPr>
          <w:sz w:val="24"/>
          <w:szCs w:val="24"/>
        </w:rPr>
      </w:pPr>
      <w:r w:rsidRPr="000A49F4">
        <w:rPr>
          <w:rStyle w:val="ac"/>
          <w:rFonts w:eastAsiaTheme="majorEastAsia"/>
          <w:sz w:val="24"/>
          <w:szCs w:val="24"/>
        </w:rPr>
        <w:t>Пациенты с тяжелой АГ, ассоциированной с другими клиническими состояниями,</w:t>
      </w:r>
      <w:r w:rsidR="001B6C25" w:rsidRPr="000A49F4">
        <w:rPr>
          <w:sz w:val="24"/>
          <w:szCs w:val="24"/>
        </w:rPr>
        <w:t xml:space="preserve"> </w:t>
      </w:r>
      <w:r w:rsidRPr="000A49F4">
        <w:rPr>
          <w:rStyle w:val="ac"/>
          <w:rFonts w:eastAsiaTheme="majorEastAsia"/>
          <w:sz w:val="24"/>
          <w:szCs w:val="24"/>
        </w:rPr>
        <w:t>требующими неотложного снижения АД: расслоение аорты, острая ишемия миокарда, ОСН</w:t>
      </w:r>
    </w:p>
    <w:p w14:paraId="368A5383" w14:textId="77777777" w:rsidR="00737ECE" w:rsidRPr="000A49F4" w:rsidRDefault="00737ECE">
      <w:pPr>
        <w:pStyle w:val="11"/>
        <w:numPr>
          <w:ilvl w:val="0"/>
          <w:numId w:val="34"/>
        </w:numPr>
        <w:tabs>
          <w:tab w:val="left" w:pos="1294"/>
        </w:tabs>
        <w:ind w:firstLine="600"/>
        <w:jc w:val="both"/>
        <w:rPr>
          <w:sz w:val="24"/>
          <w:szCs w:val="24"/>
        </w:rPr>
      </w:pPr>
      <w:r w:rsidRPr="000A49F4">
        <w:rPr>
          <w:rStyle w:val="ac"/>
          <w:rFonts w:eastAsiaTheme="majorEastAsia"/>
          <w:sz w:val="24"/>
          <w:szCs w:val="24"/>
        </w:rPr>
        <w:t>Пациенты с внезапным повышением АД на фоне феохромоцитомы,</w:t>
      </w:r>
      <w:r w:rsidR="001B6C25" w:rsidRPr="000A49F4">
        <w:rPr>
          <w:sz w:val="24"/>
          <w:szCs w:val="24"/>
        </w:rPr>
        <w:t xml:space="preserve"> </w:t>
      </w:r>
      <w:r w:rsidRPr="000A49F4">
        <w:rPr>
          <w:rStyle w:val="ac"/>
          <w:rFonts w:eastAsiaTheme="majorEastAsia"/>
          <w:sz w:val="24"/>
          <w:szCs w:val="24"/>
        </w:rPr>
        <w:t>ассоциированным с ПОМ</w:t>
      </w:r>
    </w:p>
    <w:p w14:paraId="73B28EB8" w14:textId="77777777" w:rsidR="00737ECE" w:rsidRPr="000A49F4" w:rsidRDefault="00737ECE">
      <w:pPr>
        <w:pStyle w:val="11"/>
        <w:numPr>
          <w:ilvl w:val="0"/>
          <w:numId w:val="34"/>
        </w:numPr>
        <w:tabs>
          <w:tab w:val="left" w:pos="1294"/>
        </w:tabs>
        <w:ind w:firstLine="600"/>
        <w:jc w:val="both"/>
        <w:rPr>
          <w:sz w:val="24"/>
          <w:szCs w:val="24"/>
        </w:rPr>
      </w:pPr>
      <w:r w:rsidRPr="000A49F4">
        <w:rPr>
          <w:rStyle w:val="ac"/>
          <w:rFonts w:eastAsiaTheme="majorEastAsia"/>
          <w:sz w:val="24"/>
          <w:szCs w:val="24"/>
        </w:rPr>
        <w:t>Беременные с тяжелой АГ или преэклампсией.</w:t>
      </w:r>
    </w:p>
    <w:p w14:paraId="241A29A6" w14:textId="77777777" w:rsidR="00737ECE" w:rsidRPr="000A49F4" w:rsidRDefault="00737ECE" w:rsidP="00737ECE">
      <w:pPr>
        <w:pStyle w:val="11"/>
        <w:ind w:firstLine="600"/>
        <w:jc w:val="both"/>
        <w:rPr>
          <w:sz w:val="24"/>
          <w:szCs w:val="24"/>
        </w:rPr>
      </w:pPr>
      <w:r w:rsidRPr="000A49F4">
        <w:rPr>
          <w:rStyle w:val="ac"/>
          <w:rFonts w:eastAsiaTheme="majorEastAsia"/>
          <w:sz w:val="24"/>
          <w:szCs w:val="24"/>
        </w:rPr>
        <w:t xml:space="preserve">Ранее использовавшийся термин «неосложненный гипертонический криз», описывавший пациентов со значительным повышением АД, но без признаков острых </w:t>
      </w:r>
      <w:r w:rsidRPr="000A49F4">
        <w:rPr>
          <w:rStyle w:val="ac"/>
          <w:rFonts w:eastAsiaTheme="majorEastAsia"/>
          <w:sz w:val="24"/>
          <w:szCs w:val="24"/>
        </w:rPr>
        <w:lastRenderedPageBreak/>
        <w:t xml:space="preserve">изменений в органах- мишенях [506], в настоящее время не рекомендован к использованию. Вместо этого используется понятие «недостижение целевых цифр АД», которое может быть использовано врачами скорой и неотложной медицинской помощи, если причиной вызова </w:t>
      </w:r>
      <w:r w:rsidR="001B6C25" w:rsidRPr="000A49F4">
        <w:rPr>
          <w:rStyle w:val="ac"/>
          <w:rFonts w:eastAsiaTheme="majorEastAsia"/>
          <w:sz w:val="24"/>
          <w:szCs w:val="24"/>
        </w:rPr>
        <w:t>является</w:t>
      </w:r>
      <w:r w:rsidRPr="000A49F4">
        <w:rPr>
          <w:rStyle w:val="ac"/>
          <w:rFonts w:eastAsiaTheme="majorEastAsia"/>
          <w:sz w:val="24"/>
          <w:szCs w:val="24"/>
        </w:rPr>
        <w:t xml:space="preserve"> резкий подъем АД без осложнений. В этой ситуации рекомендуется трехкратное измерение АД на периферических артериях с интервалом 2 минуты в покое для верификации стойкого </w:t>
      </w:r>
      <w:r w:rsidR="001B6C25" w:rsidRPr="000A49F4">
        <w:rPr>
          <w:rStyle w:val="ac"/>
          <w:rFonts w:eastAsiaTheme="majorEastAsia"/>
          <w:sz w:val="24"/>
          <w:szCs w:val="24"/>
        </w:rPr>
        <w:t>подъёма</w:t>
      </w:r>
      <w:r w:rsidRPr="000A49F4">
        <w:rPr>
          <w:rStyle w:val="ac"/>
          <w:rFonts w:eastAsiaTheme="majorEastAsia"/>
          <w:sz w:val="24"/>
          <w:szCs w:val="24"/>
        </w:rPr>
        <w:t xml:space="preserve"> АД. АГП на вызове назначаются на усмотрение специалиста СМП с рекомендацией коррекции постоянной АГТ лечащим врачом. В данной группе пациентов снижение АД должно проводиться в амбулаторных условиях АГП для перорального </w:t>
      </w:r>
      <w:r w:rsidR="001B6C25" w:rsidRPr="000A49F4">
        <w:rPr>
          <w:rStyle w:val="ac"/>
          <w:rFonts w:eastAsiaTheme="majorEastAsia"/>
          <w:sz w:val="24"/>
          <w:szCs w:val="24"/>
        </w:rPr>
        <w:t>приёма</w:t>
      </w:r>
      <w:r w:rsidRPr="000A49F4">
        <w:rPr>
          <w:rStyle w:val="ac"/>
          <w:rFonts w:eastAsiaTheme="majorEastAsia"/>
          <w:sz w:val="24"/>
          <w:szCs w:val="24"/>
        </w:rPr>
        <w:t>, в соответствии со стандартным алгоритмом, представленным выше, с усиленным контролем приверженности к лечению.</w:t>
      </w:r>
    </w:p>
    <w:p w14:paraId="1ABC8213" w14:textId="77777777" w:rsidR="00737ECE" w:rsidRPr="001B6C25" w:rsidRDefault="00737ECE">
      <w:pPr>
        <w:pStyle w:val="11"/>
        <w:numPr>
          <w:ilvl w:val="0"/>
          <w:numId w:val="34"/>
        </w:numPr>
        <w:tabs>
          <w:tab w:val="left" w:pos="1294"/>
        </w:tabs>
        <w:ind w:firstLine="0"/>
        <w:jc w:val="both"/>
        <w:rPr>
          <w:sz w:val="24"/>
          <w:szCs w:val="24"/>
        </w:rPr>
      </w:pPr>
      <w:r w:rsidRPr="001B6C25">
        <w:rPr>
          <w:rStyle w:val="ac"/>
          <w:rFonts w:eastAsiaTheme="majorEastAsia"/>
          <w:sz w:val="24"/>
          <w:szCs w:val="24"/>
        </w:rPr>
        <w:t>Прием (осмотр, консультация) врачом-терапевтом или прием (осмотр,</w:t>
      </w:r>
      <w:r w:rsidR="001B6C25">
        <w:rPr>
          <w:rStyle w:val="ac"/>
          <w:rFonts w:eastAsiaTheme="majorEastAsia"/>
          <w:sz w:val="24"/>
          <w:szCs w:val="24"/>
        </w:rPr>
        <w:t xml:space="preserve"> </w:t>
      </w:r>
      <w:r w:rsidRPr="001B6C25">
        <w:rPr>
          <w:rStyle w:val="ac"/>
          <w:rFonts w:eastAsiaTheme="majorEastAsia"/>
          <w:sz w:val="24"/>
          <w:szCs w:val="24"/>
        </w:rPr>
        <w:t>консультация) врачом-кардиологом рекомендуется проводить не позднее 10 минут от момента поступления в стационар [27].</w:t>
      </w:r>
    </w:p>
    <w:p w14:paraId="4CD6D24B" w14:textId="3CDEF41F" w:rsidR="00737ECE" w:rsidRPr="00737ECE" w:rsidRDefault="00737ECE" w:rsidP="00737ECE">
      <w:pPr>
        <w:pStyle w:val="11"/>
        <w:ind w:firstLine="600"/>
        <w:jc w:val="both"/>
        <w:rPr>
          <w:sz w:val="24"/>
          <w:szCs w:val="24"/>
        </w:rPr>
      </w:pPr>
      <w:r w:rsidRPr="00737EC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0A49F4">
        <w:rPr>
          <w:rStyle w:val="ac"/>
          <w:rFonts w:eastAsiaTheme="majorEastAsia"/>
          <w:b/>
          <w:bCs/>
          <w:sz w:val="24"/>
          <w:szCs w:val="24"/>
        </w:rPr>
        <w:t xml:space="preserve"> </w:t>
      </w:r>
      <w:r w:rsidRPr="00737ECE">
        <w:rPr>
          <w:rStyle w:val="ac"/>
          <w:rFonts w:eastAsiaTheme="majorEastAsia"/>
          <w:b/>
          <w:bCs/>
          <w:sz w:val="24"/>
          <w:szCs w:val="24"/>
          <w:lang w:val="en-US"/>
        </w:rPr>
        <w:t>C</w:t>
      </w:r>
      <w:r w:rsidRPr="00737ECE">
        <w:rPr>
          <w:rStyle w:val="ac"/>
          <w:rFonts w:eastAsiaTheme="majorEastAsia"/>
          <w:b/>
          <w:bCs/>
          <w:sz w:val="24"/>
          <w:szCs w:val="24"/>
        </w:rPr>
        <w:t xml:space="preserve">, </w:t>
      </w:r>
      <w:r w:rsidR="000A49F4" w:rsidRPr="00737ECE">
        <w:rPr>
          <w:rStyle w:val="ac"/>
          <w:rFonts w:eastAsiaTheme="majorEastAsia"/>
          <w:sz w:val="24"/>
          <w:szCs w:val="24"/>
        </w:rPr>
        <w:t>(</w:t>
      </w:r>
      <w:r w:rsidR="003D51B3">
        <w:rPr>
          <w:rStyle w:val="ac"/>
          <w:rFonts w:eastAsiaTheme="majorEastAsia"/>
          <w:b/>
          <w:bCs/>
          <w:sz w:val="24"/>
          <w:szCs w:val="24"/>
        </w:rPr>
        <w:t>Уровень достоверности доказательств</w:t>
      </w:r>
      <w:r w:rsidRPr="00737ECE">
        <w:rPr>
          <w:rStyle w:val="ac"/>
          <w:rFonts w:eastAsiaTheme="majorEastAsia"/>
          <w:b/>
          <w:bCs/>
          <w:sz w:val="24"/>
          <w:szCs w:val="24"/>
        </w:rPr>
        <w:t xml:space="preserve"> 5</w:t>
      </w:r>
      <w:r w:rsidR="008A2AFD" w:rsidRPr="00737ECE">
        <w:rPr>
          <w:rStyle w:val="ac"/>
          <w:rFonts w:eastAsiaTheme="majorEastAsia"/>
          <w:b/>
          <w:bCs/>
          <w:sz w:val="24"/>
          <w:szCs w:val="24"/>
        </w:rPr>
        <w:t>)</w:t>
      </w:r>
      <w:r w:rsidR="008A2AFD" w:rsidRPr="000A49F4">
        <w:rPr>
          <w:rStyle w:val="ac"/>
          <w:rFonts w:eastAsiaTheme="majorEastAsia"/>
          <w:b/>
          <w:bCs/>
          <w:sz w:val="24"/>
          <w:szCs w:val="24"/>
        </w:rPr>
        <w:t>; ЕОК</w:t>
      </w:r>
      <w:r w:rsidR="000A49F4" w:rsidRPr="00737ECE">
        <w:rPr>
          <w:rStyle w:val="ac"/>
          <w:rFonts w:eastAsiaTheme="majorEastAsia"/>
          <w:b/>
          <w:bCs/>
          <w:sz w:val="24"/>
          <w:szCs w:val="24"/>
        </w:rPr>
        <w:t>/ЕОАГ нет</w:t>
      </w:r>
      <w:r w:rsidR="008A2AFD">
        <w:rPr>
          <w:rStyle w:val="ac"/>
          <w:rFonts w:eastAsiaTheme="majorEastAsia"/>
          <w:b/>
          <w:bCs/>
          <w:sz w:val="24"/>
          <w:szCs w:val="24"/>
        </w:rPr>
        <w:t>.</w:t>
      </w:r>
    </w:p>
    <w:p w14:paraId="684E5458" w14:textId="77777777" w:rsidR="00737ECE" w:rsidRPr="00737ECE" w:rsidRDefault="00737ECE" w:rsidP="00737ECE">
      <w:pPr>
        <w:pStyle w:val="11"/>
        <w:ind w:firstLine="600"/>
        <w:jc w:val="both"/>
        <w:rPr>
          <w:sz w:val="24"/>
          <w:szCs w:val="24"/>
        </w:rPr>
      </w:pPr>
      <w:r w:rsidRPr="00737ECE">
        <w:rPr>
          <w:rStyle w:val="ac"/>
          <w:rFonts w:eastAsiaTheme="majorEastAsia"/>
          <w:b/>
          <w:bCs/>
          <w:sz w:val="24"/>
          <w:szCs w:val="24"/>
        </w:rPr>
        <w:t xml:space="preserve">Комментарии. </w:t>
      </w:r>
      <w:r w:rsidRPr="00737ECE">
        <w:rPr>
          <w:rStyle w:val="ac"/>
          <w:rFonts w:eastAsiaTheme="majorEastAsia"/>
          <w:i/>
          <w:iCs/>
          <w:sz w:val="24"/>
          <w:szCs w:val="24"/>
        </w:rPr>
        <w:t xml:space="preserve">При наличии показаний для госпитализации учитываются порядки оказания медицинской помощи по </w:t>
      </w:r>
      <w:r w:rsidR="001B6C25" w:rsidRPr="00737ECE">
        <w:rPr>
          <w:rStyle w:val="ac"/>
          <w:rFonts w:eastAsiaTheme="majorEastAsia"/>
          <w:i/>
          <w:iCs/>
          <w:sz w:val="24"/>
          <w:szCs w:val="24"/>
        </w:rPr>
        <w:t>соответствующему</w:t>
      </w:r>
      <w:r w:rsidRPr="00737ECE">
        <w:rPr>
          <w:rStyle w:val="ac"/>
          <w:rFonts w:eastAsiaTheme="majorEastAsia"/>
          <w:i/>
          <w:iCs/>
          <w:sz w:val="24"/>
          <w:szCs w:val="24"/>
        </w:rPr>
        <w:t xml:space="preserve"> профилю и региональные схемы маршрутизации.</w:t>
      </w:r>
    </w:p>
    <w:p w14:paraId="2006B0A7" w14:textId="77777777" w:rsidR="00737ECE" w:rsidRPr="003A34D8" w:rsidRDefault="00737ECE">
      <w:pPr>
        <w:pStyle w:val="11"/>
        <w:numPr>
          <w:ilvl w:val="0"/>
          <w:numId w:val="34"/>
        </w:numPr>
        <w:tabs>
          <w:tab w:val="left" w:pos="1294"/>
        </w:tabs>
        <w:ind w:firstLine="600"/>
        <w:jc w:val="both"/>
        <w:rPr>
          <w:sz w:val="24"/>
          <w:szCs w:val="24"/>
        </w:rPr>
      </w:pPr>
      <w:r w:rsidRPr="00737ECE">
        <w:rPr>
          <w:rStyle w:val="ac"/>
          <w:rFonts w:eastAsiaTheme="majorEastAsia"/>
          <w:sz w:val="24"/>
          <w:szCs w:val="24"/>
        </w:rPr>
        <w:t>ЭКГ рекомендуется проводить всем пациентам с ГК не позднее 15 минут от момента</w:t>
      </w:r>
      <w:r w:rsidR="003A34D8">
        <w:rPr>
          <w:sz w:val="24"/>
          <w:szCs w:val="24"/>
        </w:rPr>
        <w:t xml:space="preserve"> </w:t>
      </w:r>
      <w:r w:rsidRPr="003A34D8">
        <w:rPr>
          <w:rStyle w:val="ac"/>
          <w:rFonts w:eastAsiaTheme="majorEastAsia"/>
          <w:sz w:val="24"/>
          <w:szCs w:val="24"/>
        </w:rPr>
        <w:t>поступления в стационар для выявления ПОМ [27].</w:t>
      </w:r>
    </w:p>
    <w:p w14:paraId="3BB3B3BC" w14:textId="46BFAA05" w:rsidR="00737ECE" w:rsidRDefault="003D51B3" w:rsidP="00737ECE">
      <w:pPr>
        <w:pStyle w:val="11"/>
        <w:ind w:firstLine="600"/>
        <w:jc w:val="both"/>
        <w:rPr>
          <w:rStyle w:val="ac"/>
          <w:rFonts w:eastAsiaTheme="majorEastAsia"/>
          <w:b/>
          <w:bCs/>
          <w:sz w:val="24"/>
          <w:szCs w:val="24"/>
        </w:rPr>
      </w:pPr>
      <w:r>
        <w:rPr>
          <w:rStyle w:val="ac"/>
          <w:rFonts w:eastAsiaTheme="majorEastAsia"/>
          <w:b/>
          <w:bCs/>
          <w:sz w:val="24"/>
          <w:szCs w:val="24"/>
        </w:rPr>
        <w:t>Уровень убедительности рекомендаций</w:t>
      </w:r>
      <w:r w:rsidR="000A49F4">
        <w:rPr>
          <w:rStyle w:val="ac"/>
          <w:rFonts w:eastAsiaTheme="majorEastAsia"/>
          <w:b/>
          <w:bCs/>
          <w:sz w:val="24"/>
          <w:szCs w:val="24"/>
        </w:rPr>
        <w:t xml:space="preserve"> </w:t>
      </w:r>
      <w:r w:rsidR="00737ECE" w:rsidRPr="00737ECE">
        <w:rPr>
          <w:rStyle w:val="ac"/>
          <w:rFonts w:eastAsiaTheme="majorEastAsia"/>
          <w:b/>
          <w:bCs/>
          <w:sz w:val="24"/>
          <w:szCs w:val="24"/>
          <w:lang w:val="en-US"/>
        </w:rPr>
        <w:t>C</w:t>
      </w:r>
      <w:r w:rsidR="00737ECE" w:rsidRPr="00737ECE">
        <w:rPr>
          <w:rStyle w:val="ac"/>
          <w:rFonts w:eastAsiaTheme="majorEastAsia"/>
          <w:b/>
          <w:bCs/>
          <w:sz w:val="24"/>
          <w:szCs w:val="24"/>
        </w:rPr>
        <w:t xml:space="preserve">, </w:t>
      </w:r>
      <w:r w:rsidR="000A49F4" w:rsidRPr="00737ECE">
        <w:rPr>
          <w:rStyle w:val="ac"/>
          <w:rFonts w:eastAsiaTheme="majorEastAsia"/>
          <w:sz w:val="24"/>
          <w:szCs w:val="24"/>
        </w:rPr>
        <w:t>(</w:t>
      </w:r>
      <w:r>
        <w:rPr>
          <w:rStyle w:val="ac"/>
          <w:rFonts w:eastAsiaTheme="majorEastAsia"/>
          <w:b/>
          <w:bCs/>
          <w:sz w:val="24"/>
          <w:szCs w:val="24"/>
        </w:rPr>
        <w:t>Уровень достоверности доказательств</w:t>
      </w:r>
      <w:r w:rsidR="00737ECE" w:rsidRPr="00737ECE">
        <w:rPr>
          <w:rStyle w:val="ac"/>
          <w:rFonts w:eastAsiaTheme="majorEastAsia"/>
          <w:b/>
          <w:bCs/>
          <w:sz w:val="24"/>
          <w:szCs w:val="24"/>
        </w:rPr>
        <w:t xml:space="preserve"> 5</w:t>
      </w:r>
      <w:r w:rsidR="008A2AFD" w:rsidRPr="00737ECE">
        <w:rPr>
          <w:rStyle w:val="ac"/>
          <w:rFonts w:eastAsiaTheme="majorEastAsia"/>
          <w:b/>
          <w:bCs/>
          <w:sz w:val="24"/>
          <w:szCs w:val="24"/>
        </w:rPr>
        <w:t>)</w:t>
      </w:r>
      <w:r w:rsidR="008A2AFD" w:rsidRPr="000A49F4">
        <w:rPr>
          <w:rStyle w:val="ac"/>
          <w:rFonts w:eastAsiaTheme="majorEastAsia"/>
          <w:b/>
          <w:bCs/>
          <w:sz w:val="24"/>
          <w:szCs w:val="24"/>
        </w:rPr>
        <w:t>;</w:t>
      </w:r>
      <w:r w:rsidR="000A49F4">
        <w:rPr>
          <w:rStyle w:val="ac"/>
          <w:rFonts w:eastAsiaTheme="majorEastAsia"/>
          <w:b/>
          <w:bCs/>
          <w:sz w:val="24"/>
          <w:szCs w:val="24"/>
        </w:rPr>
        <w:t xml:space="preserve"> </w:t>
      </w:r>
      <w:r w:rsidR="000A49F4" w:rsidRPr="00737ECE">
        <w:rPr>
          <w:rStyle w:val="ac"/>
          <w:rFonts w:eastAsiaTheme="majorEastAsia"/>
          <w:b/>
          <w:bCs/>
          <w:sz w:val="24"/>
          <w:szCs w:val="24"/>
        </w:rPr>
        <w:t>ЕОК/ЕОАГ нет</w:t>
      </w:r>
      <w:r w:rsidR="008A2AFD">
        <w:rPr>
          <w:rStyle w:val="ac"/>
          <w:rFonts w:eastAsiaTheme="majorEastAsia"/>
          <w:b/>
          <w:bCs/>
          <w:sz w:val="24"/>
          <w:szCs w:val="24"/>
        </w:rPr>
        <w:t>.</w:t>
      </w:r>
    </w:p>
    <w:p w14:paraId="7EDDF44F" w14:textId="6FC07ED0" w:rsidR="000A49F4" w:rsidRPr="000A49F4" w:rsidRDefault="000A49F4" w:rsidP="00737ECE">
      <w:pPr>
        <w:pStyle w:val="11"/>
        <w:ind w:firstLine="600"/>
        <w:jc w:val="both"/>
        <w:rPr>
          <w:i/>
          <w:iCs/>
          <w:sz w:val="28"/>
          <w:szCs w:val="28"/>
        </w:rPr>
      </w:pPr>
      <w:r>
        <w:rPr>
          <w:rStyle w:val="ac"/>
          <w:rFonts w:eastAsiaTheme="majorEastAsia"/>
          <w:b/>
          <w:bCs/>
          <w:sz w:val="24"/>
          <w:szCs w:val="24"/>
        </w:rPr>
        <w:t>Комментарии:</w:t>
      </w:r>
      <w:r w:rsidRPr="000A49F4">
        <w:rPr>
          <w:rStyle w:val="10"/>
        </w:rPr>
        <w:t xml:space="preserve"> </w:t>
      </w:r>
      <w:r w:rsidRPr="000A49F4">
        <w:rPr>
          <w:rStyle w:val="aff9"/>
          <w:rFonts w:eastAsiaTheme="majorEastAsia"/>
          <w:b w:val="0"/>
          <w:bCs w:val="0"/>
          <w:i/>
          <w:iCs/>
          <w:sz w:val="24"/>
          <w:szCs w:val="24"/>
        </w:rPr>
        <w:t xml:space="preserve">Цель </w:t>
      </w:r>
      <w:r w:rsidRPr="000A49F4">
        <w:rPr>
          <w:rStyle w:val="aff9"/>
          <w:rFonts w:eastAsiaTheme="majorEastAsia"/>
          <w:i/>
          <w:iCs/>
          <w:sz w:val="24"/>
          <w:szCs w:val="24"/>
        </w:rPr>
        <w:t>-</w:t>
      </w:r>
      <w:r w:rsidRPr="000A49F4">
        <w:rPr>
          <w:i/>
          <w:iCs/>
          <w:sz w:val="24"/>
          <w:szCs w:val="24"/>
        </w:rPr>
        <w:t xml:space="preserve"> своевременное выявление поражения органов-мишеней (ПОМ), особенно ишемических изменений, аритмий и других осложнений. ранняя диагностика ПОМ позволяет быстро скорректировать лечение и снизить риск тяжелых исходов. проведение ЭКГ в первые минуты госпитализации — стандарт качества оказания медицинской помощи при ГК.</w:t>
      </w:r>
    </w:p>
    <w:p w14:paraId="78030E8E" w14:textId="77777777" w:rsidR="00737ECE" w:rsidRPr="003A34D8" w:rsidRDefault="00737ECE">
      <w:pPr>
        <w:pStyle w:val="11"/>
        <w:numPr>
          <w:ilvl w:val="0"/>
          <w:numId w:val="34"/>
        </w:numPr>
        <w:tabs>
          <w:tab w:val="left" w:pos="1294"/>
        </w:tabs>
        <w:ind w:firstLine="600"/>
        <w:jc w:val="both"/>
        <w:rPr>
          <w:sz w:val="24"/>
          <w:szCs w:val="24"/>
        </w:rPr>
      </w:pPr>
      <w:r w:rsidRPr="00737ECE">
        <w:rPr>
          <w:rStyle w:val="ac"/>
          <w:rFonts w:eastAsiaTheme="majorEastAsia"/>
          <w:sz w:val="24"/>
          <w:szCs w:val="24"/>
        </w:rPr>
        <w:t>Рутинное обследование (офтальмоскопию с осмотром глазного дна, ЭКГ, общий</w:t>
      </w:r>
      <w:r w:rsidR="003A34D8">
        <w:rPr>
          <w:sz w:val="24"/>
          <w:szCs w:val="24"/>
        </w:rPr>
        <w:t xml:space="preserve"> </w:t>
      </w:r>
      <w:r w:rsidRPr="003A34D8">
        <w:rPr>
          <w:rStyle w:val="ac"/>
          <w:rFonts w:eastAsiaTheme="majorEastAsia"/>
          <w:sz w:val="24"/>
          <w:szCs w:val="24"/>
        </w:rPr>
        <w:t>(клинический) анализ крови, исследование уровня фибриногена, креатинина, калия, натрия в крови, определение активности лактатдегидрогеназы в крови, исследование уровня гаптоглобина</w:t>
      </w:r>
      <w:r w:rsidR="003A34D8">
        <w:rPr>
          <w:sz w:val="24"/>
          <w:szCs w:val="24"/>
        </w:rPr>
        <w:t xml:space="preserve"> </w:t>
      </w:r>
      <w:r w:rsidRPr="003A34D8">
        <w:rPr>
          <w:rStyle w:val="ac"/>
          <w:rFonts w:eastAsiaTheme="majorEastAsia"/>
          <w:sz w:val="24"/>
          <w:szCs w:val="24"/>
        </w:rPr>
        <w:t>в крови, определение альбумина в моче и микроскопическое исследование осадка мочи, исследование уровня хорионического гонадотропина (свободная бета-субъединица) в сыворотке крови у женщин детородного возраста) рекомендуется проводить всем пациентам с ГК для выявления ПОМ [27].</w:t>
      </w:r>
    </w:p>
    <w:p w14:paraId="285266EE" w14:textId="575DA71B" w:rsidR="00737ECE" w:rsidRPr="00737ECE" w:rsidRDefault="00737ECE" w:rsidP="00737ECE">
      <w:pPr>
        <w:pStyle w:val="11"/>
        <w:ind w:firstLine="600"/>
        <w:jc w:val="both"/>
        <w:rPr>
          <w:sz w:val="24"/>
          <w:szCs w:val="24"/>
        </w:rPr>
      </w:pPr>
      <w:r w:rsidRPr="00737ECE">
        <w:rPr>
          <w:rStyle w:val="ac"/>
          <w:rFonts w:eastAsiaTheme="majorEastAsia"/>
          <w:b/>
          <w:bCs/>
          <w:sz w:val="24"/>
          <w:szCs w:val="24"/>
        </w:rPr>
        <w:lastRenderedPageBreak/>
        <w:t xml:space="preserve"> </w:t>
      </w:r>
      <w:r w:rsidR="003D51B3">
        <w:rPr>
          <w:rStyle w:val="ac"/>
          <w:rFonts w:eastAsiaTheme="majorEastAsia"/>
          <w:b/>
          <w:bCs/>
          <w:sz w:val="24"/>
          <w:szCs w:val="24"/>
        </w:rPr>
        <w:t>Уровень убедительности рекомендаций</w:t>
      </w:r>
      <w:r w:rsidR="000A49F4">
        <w:rPr>
          <w:rStyle w:val="ac"/>
          <w:rFonts w:eastAsiaTheme="majorEastAsia"/>
          <w:b/>
          <w:bCs/>
          <w:sz w:val="24"/>
          <w:szCs w:val="24"/>
        </w:rPr>
        <w:t xml:space="preserve"> </w:t>
      </w:r>
      <w:r w:rsidRPr="00737ECE">
        <w:rPr>
          <w:rStyle w:val="ac"/>
          <w:rFonts w:eastAsiaTheme="majorEastAsia"/>
          <w:b/>
          <w:bCs/>
          <w:sz w:val="24"/>
          <w:szCs w:val="24"/>
        </w:rPr>
        <w:t xml:space="preserve">С, </w:t>
      </w:r>
      <w:r w:rsidR="000A49F4" w:rsidRPr="00737ECE">
        <w:rPr>
          <w:rStyle w:val="ac"/>
          <w:rFonts w:eastAsiaTheme="majorEastAsia"/>
          <w:sz w:val="24"/>
          <w:szCs w:val="24"/>
        </w:rPr>
        <w:t>(</w:t>
      </w:r>
      <w:r w:rsidR="003D51B3">
        <w:rPr>
          <w:rStyle w:val="ac"/>
          <w:rFonts w:eastAsiaTheme="majorEastAsia"/>
          <w:b/>
          <w:bCs/>
          <w:sz w:val="24"/>
          <w:szCs w:val="24"/>
        </w:rPr>
        <w:t>Уровень достоверности доказательств</w:t>
      </w:r>
      <w:r w:rsidRPr="00737ECE">
        <w:rPr>
          <w:rStyle w:val="ac"/>
          <w:rFonts w:eastAsiaTheme="majorEastAsia"/>
          <w:b/>
          <w:bCs/>
          <w:sz w:val="24"/>
          <w:szCs w:val="24"/>
        </w:rPr>
        <w:t xml:space="preserve"> 5)</w:t>
      </w:r>
      <w:r w:rsidR="000A49F4">
        <w:rPr>
          <w:rStyle w:val="ac"/>
          <w:rFonts w:eastAsiaTheme="majorEastAsia"/>
          <w:b/>
          <w:bCs/>
          <w:sz w:val="24"/>
          <w:szCs w:val="24"/>
        </w:rPr>
        <w:t xml:space="preserve">; </w:t>
      </w:r>
      <w:r w:rsidR="000A49F4" w:rsidRPr="00737ECE">
        <w:rPr>
          <w:rStyle w:val="ac"/>
          <w:rFonts w:eastAsiaTheme="majorEastAsia"/>
          <w:b/>
          <w:bCs/>
          <w:sz w:val="24"/>
          <w:szCs w:val="24"/>
        </w:rPr>
        <w:t>ЕОК/ЕОАГ нет</w:t>
      </w:r>
      <w:r w:rsidR="008A2AFD">
        <w:rPr>
          <w:rStyle w:val="ac"/>
          <w:rFonts w:eastAsiaTheme="majorEastAsia"/>
          <w:b/>
          <w:bCs/>
          <w:sz w:val="24"/>
          <w:szCs w:val="24"/>
        </w:rPr>
        <w:t>.</w:t>
      </w:r>
    </w:p>
    <w:p w14:paraId="7C439059" w14:textId="77777777" w:rsidR="00737ECE" w:rsidRPr="00737ECE" w:rsidRDefault="00737ECE" w:rsidP="00737ECE">
      <w:pPr>
        <w:pStyle w:val="11"/>
        <w:ind w:firstLine="620"/>
        <w:jc w:val="both"/>
        <w:rPr>
          <w:sz w:val="24"/>
          <w:szCs w:val="24"/>
        </w:rPr>
      </w:pPr>
      <w:r w:rsidRPr="00737ECE">
        <w:rPr>
          <w:rStyle w:val="ac"/>
          <w:rFonts w:eastAsiaTheme="majorEastAsia"/>
          <w:b/>
          <w:bCs/>
          <w:sz w:val="24"/>
          <w:szCs w:val="24"/>
        </w:rPr>
        <w:t xml:space="preserve">Комментарии. </w:t>
      </w:r>
      <w:r w:rsidRPr="00737ECE">
        <w:rPr>
          <w:rStyle w:val="ac"/>
          <w:rFonts w:eastAsiaTheme="majorEastAsia"/>
          <w:i/>
          <w:iCs/>
          <w:sz w:val="24"/>
          <w:szCs w:val="24"/>
        </w:rPr>
        <w:t xml:space="preserve">Специфическое обследование по показаниям может включать экспресс- исследование уровня тропонинов </w:t>
      </w:r>
      <w:r w:rsidRPr="00737ECE">
        <w:rPr>
          <w:rStyle w:val="ac"/>
          <w:rFonts w:eastAsiaTheme="majorEastAsia"/>
          <w:i/>
          <w:iCs/>
          <w:sz w:val="24"/>
          <w:szCs w:val="24"/>
          <w:lang w:val="en-US"/>
        </w:rPr>
        <w:t>I</w:t>
      </w:r>
      <w:r w:rsidRPr="00737ECE">
        <w:rPr>
          <w:rStyle w:val="ac"/>
          <w:rFonts w:eastAsiaTheme="majorEastAsia"/>
          <w:i/>
          <w:iCs/>
          <w:sz w:val="24"/>
          <w:szCs w:val="24"/>
        </w:rPr>
        <w:t xml:space="preserve">, </w:t>
      </w:r>
      <w:r w:rsidRPr="00737ECE">
        <w:rPr>
          <w:rStyle w:val="ac"/>
          <w:rFonts w:eastAsiaTheme="majorEastAsia"/>
          <w:i/>
          <w:iCs/>
          <w:sz w:val="24"/>
          <w:szCs w:val="24"/>
          <w:lang w:val="en-US"/>
        </w:rPr>
        <w:t>T</w:t>
      </w:r>
      <w:r w:rsidRPr="00737ECE">
        <w:rPr>
          <w:rStyle w:val="ac"/>
          <w:rFonts w:eastAsiaTheme="majorEastAsia"/>
          <w:i/>
          <w:iCs/>
          <w:sz w:val="24"/>
          <w:szCs w:val="24"/>
        </w:rPr>
        <w:t xml:space="preserve"> в крови, исследование уровня/активности изоферментов креатинкиназы МВ в крови, исследование уровня </w:t>
      </w:r>
      <w:r w:rsidRPr="00737ECE">
        <w:rPr>
          <w:rStyle w:val="ac"/>
          <w:rFonts w:eastAsiaTheme="majorEastAsia"/>
          <w:i/>
          <w:iCs/>
          <w:sz w:val="24"/>
          <w:szCs w:val="24"/>
          <w:lang w:val="en-US"/>
        </w:rPr>
        <w:t>N</w:t>
      </w:r>
      <w:r w:rsidRPr="00737ECE">
        <w:rPr>
          <w:rStyle w:val="ac"/>
          <w:rFonts w:eastAsiaTheme="majorEastAsia"/>
          <w:i/>
          <w:iCs/>
          <w:sz w:val="24"/>
          <w:szCs w:val="24"/>
        </w:rPr>
        <w:t>- терминального фрагмента натрийуретического пропептида мозгового (</w:t>
      </w:r>
      <w:r w:rsidRPr="00737ECE">
        <w:rPr>
          <w:rStyle w:val="ac"/>
          <w:rFonts w:eastAsiaTheme="majorEastAsia"/>
          <w:i/>
          <w:iCs/>
          <w:sz w:val="24"/>
          <w:szCs w:val="24"/>
          <w:lang w:val="en-US"/>
        </w:rPr>
        <w:t>NT</w:t>
      </w:r>
      <w:r w:rsidRPr="00737ECE">
        <w:rPr>
          <w:rStyle w:val="ac"/>
          <w:rFonts w:eastAsiaTheme="majorEastAsia"/>
          <w:i/>
          <w:iCs/>
          <w:sz w:val="24"/>
          <w:szCs w:val="24"/>
        </w:rPr>
        <w:t>-</w:t>
      </w:r>
      <w:r w:rsidRPr="00737ECE">
        <w:rPr>
          <w:rStyle w:val="ac"/>
          <w:rFonts w:eastAsiaTheme="majorEastAsia"/>
          <w:i/>
          <w:iCs/>
          <w:sz w:val="24"/>
          <w:szCs w:val="24"/>
          <w:lang w:val="en-US"/>
        </w:rPr>
        <w:t>proBNP</w:t>
      </w:r>
      <w:r w:rsidRPr="00737ECE">
        <w:rPr>
          <w:rStyle w:val="ac"/>
          <w:rFonts w:eastAsiaTheme="majorEastAsia"/>
          <w:i/>
          <w:iCs/>
          <w:sz w:val="24"/>
          <w:szCs w:val="24"/>
        </w:rPr>
        <w:t>) в крови, НУП, прицельную рентгенографию органов грудной клетки, ЭХО-КГ, КТ-ангиографию аорты и ее ветвей, КТ или МРТ головного мозга, УЗИ почек, исследование мочи на наркотики (метамфетамины, кокаин) (количественное определение одной группы психоактивных веществ, в том числе наркотических средств и психотропных веществ, их метаболитов в моче иммунохимическим методом)</w:t>
      </w:r>
      <w:r w:rsidRPr="00737ECE">
        <w:rPr>
          <w:rStyle w:val="ac"/>
          <w:rFonts w:eastAsiaTheme="majorEastAsia"/>
          <w:sz w:val="24"/>
          <w:szCs w:val="24"/>
        </w:rPr>
        <w:t xml:space="preserve"> [505]</w:t>
      </w:r>
      <w:r w:rsidRPr="00737ECE">
        <w:rPr>
          <w:rStyle w:val="ac"/>
          <w:rFonts w:eastAsiaTheme="majorEastAsia"/>
          <w:i/>
          <w:iCs/>
          <w:sz w:val="24"/>
          <w:szCs w:val="24"/>
        </w:rPr>
        <w:t>.</w:t>
      </w:r>
    </w:p>
    <w:p w14:paraId="4705A902" w14:textId="77777777" w:rsidR="00737ECE" w:rsidRPr="003A34D8" w:rsidRDefault="00737ECE">
      <w:pPr>
        <w:pStyle w:val="11"/>
        <w:numPr>
          <w:ilvl w:val="0"/>
          <w:numId w:val="34"/>
        </w:numPr>
        <w:tabs>
          <w:tab w:val="left" w:pos="1299"/>
        </w:tabs>
        <w:ind w:firstLine="620"/>
        <w:jc w:val="both"/>
        <w:rPr>
          <w:sz w:val="24"/>
          <w:szCs w:val="24"/>
        </w:rPr>
      </w:pPr>
      <w:r w:rsidRPr="00737ECE">
        <w:rPr>
          <w:rStyle w:val="ac"/>
          <w:rFonts w:eastAsiaTheme="majorEastAsia"/>
          <w:sz w:val="24"/>
          <w:szCs w:val="24"/>
        </w:rPr>
        <w:t>При ГК терапию антигипертензивными лекарственными средствами внутривенно</w:t>
      </w:r>
      <w:r w:rsidR="003A34D8">
        <w:rPr>
          <w:sz w:val="24"/>
          <w:szCs w:val="24"/>
        </w:rPr>
        <w:t xml:space="preserve"> </w:t>
      </w:r>
      <w:r w:rsidRPr="003A34D8">
        <w:rPr>
          <w:rStyle w:val="ac"/>
          <w:rFonts w:eastAsiaTheme="majorEastAsia"/>
          <w:sz w:val="24"/>
          <w:szCs w:val="24"/>
        </w:rPr>
        <w:t>рекомендуется проводить не позднее 15 минут от момента поступления в стационар [27, 507].</w:t>
      </w:r>
    </w:p>
    <w:p w14:paraId="3F31832D" w14:textId="3EE0A434" w:rsidR="00737ECE" w:rsidRPr="00737ECE" w:rsidRDefault="00737ECE" w:rsidP="00737ECE">
      <w:pPr>
        <w:pStyle w:val="11"/>
        <w:ind w:firstLine="620"/>
        <w:jc w:val="both"/>
        <w:rPr>
          <w:sz w:val="24"/>
          <w:szCs w:val="24"/>
        </w:rPr>
      </w:pPr>
      <w:r w:rsidRPr="00737EC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0A49F4">
        <w:rPr>
          <w:rStyle w:val="ac"/>
          <w:rFonts w:eastAsiaTheme="majorEastAsia"/>
          <w:b/>
          <w:bCs/>
          <w:sz w:val="24"/>
          <w:szCs w:val="24"/>
        </w:rPr>
        <w:t xml:space="preserve"> </w:t>
      </w:r>
      <w:r w:rsidRPr="00737ECE">
        <w:rPr>
          <w:rStyle w:val="ac"/>
          <w:rFonts w:eastAsiaTheme="majorEastAsia"/>
          <w:b/>
          <w:bCs/>
          <w:sz w:val="24"/>
          <w:szCs w:val="24"/>
        </w:rPr>
        <w:t xml:space="preserve">С, </w:t>
      </w:r>
      <w:r w:rsidR="000A49F4" w:rsidRPr="00737ECE">
        <w:rPr>
          <w:rStyle w:val="ac"/>
          <w:rFonts w:eastAsiaTheme="majorEastAsia"/>
          <w:sz w:val="24"/>
          <w:szCs w:val="24"/>
        </w:rPr>
        <w:t>(</w:t>
      </w:r>
      <w:r w:rsidR="003D51B3">
        <w:rPr>
          <w:rStyle w:val="ac"/>
          <w:rFonts w:eastAsiaTheme="majorEastAsia"/>
          <w:b/>
          <w:bCs/>
          <w:sz w:val="24"/>
          <w:szCs w:val="24"/>
        </w:rPr>
        <w:t>Уровень достоверности доказательств</w:t>
      </w:r>
      <w:r w:rsidRPr="00737ECE">
        <w:rPr>
          <w:rStyle w:val="ac"/>
          <w:rFonts w:eastAsiaTheme="majorEastAsia"/>
          <w:b/>
          <w:bCs/>
          <w:sz w:val="24"/>
          <w:szCs w:val="24"/>
        </w:rPr>
        <w:t xml:space="preserve"> 5)</w:t>
      </w:r>
      <w:r w:rsidR="000A49F4">
        <w:rPr>
          <w:rStyle w:val="ac"/>
          <w:rFonts w:eastAsiaTheme="majorEastAsia"/>
          <w:b/>
          <w:bCs/>
          <w:sz w:val="24"/>
          <w:szCs w:val="24"/>
        </w:rPr>
        <w:t>;</w:t>
      </w:r>
      <w:r w:rsidR="000A49F4" w:rsidRPr="000A49F4">
        <w:rPr>
          <w:rStyle w:val="ac"/>
          <w:rFonts w:eastAsiaTheme="majorEastAsia"/>
          <w:b/>
          <w:bCs/>
          <w:sz w:val="24"/>
          <w:szCs w:val="24"/>
        </w:rPr>
        <w:t xml:space="preserve"> </w:t>
      </w:r>
      <w:r w:rsidR="000A49F4" w:rsidRPr="00737ECE">
        <w:rPr>
          <w:rStyle w:val="ac"/>
          <w:rFonts w:eastAsiaTheme="majorEastAsia"/>
          <w:b/>
          <w:bCs/>
          <w:sz w:val="24"/>
          <w:szCs w:val="24"/>
        </w:rPr>
        <w:t>ЕОК/ЕОАГ нет</w:t>
      </w:r>
      <w:r w:rsidR="008A2AFD">
        <w:rPr>
          <w:rStyle w:val="ac"/>
          <w:rFonts w:eastAsiaTheme="majorEastAsia"/>
          <w:b/>
          <w:bCs/>
          <w:sz w:val="24"/>
          <w:szCs w:val="24"/>
        </w:rPr>
        <w:t>.</w:t>
      </w:r>
    </w:p>
    <w:p w14:paraId="698219D4" w14:textId="77777777" w:rsidR="00737ECE" w:rsidRPr="00737ECE" w:rsidRDefault="00737ECE" w:rsidP="00737ECE">
      <w:pPr>
        <w:pStyle w:val="11"/>
        <w:ind w:firstLine="620"/>
        <w:jc w:val="both"/>
        <w:rPr>
          <w:sz w:val="24"/>
          <w:szCs w:val="24"/>
        </w:rPr>
      </w:pPr>
      <w:r w:rsidRPr="00737ECE">
        <w:rPr>
          <w:rStyle w:val="ac"/>
          <w:rFonts w:eastAsiaTheme="majorEastAsia"/>
          <w:b/>
          <w:bCs/>
          <w:sz w:val="24"/>
          <w:szCs w:val="24"/>
        </w:rPr>
        <w:t xml:space="preserve">Комментарии. </w:t>
      </w:r>
      <w:r w:rsidRPr="00737ECE">
        <w:rPr>
          <w:rStyle w:val="ac"/>
          <w:rFonts w:eastAsiaTheme="majorEastAsia"/>
          <w:i/>
          <w:iCs/>
          <w:sz w:val="24"/>
          <w:szCs w:val="24"/>
        </w:rPr>
        <w:t>При лечении гипертонического криза для своевременной коррекции терапии в соответствии с изменениями АД оптимальным представляется в/в назначение препарата с коротким периодом полувыведения. Быстрое неконтролируемое снижение АД не рекомендовано, так как может привести к осложнениям</w:t>
      </w:r>
      <w:r w:rsidRPr="00737ECE">
        <w:rPr>
          <w:rStyle w:val="ac"/>
          <w:rFonts w:eastAsiaTheme="majorEastAsia"/>
          <w:sz w:val="24"/>
          <w:szCs w:val="24"/>
        </w:rPr>
        <w:t xml:space="preserve"> [508]</w:t>
      </w:r>
      <w:r w:rsidRPr="00737ECE">
        <w:rPr>
          <w:rStyle w:val="ac"/>
          <w:rFonts w:eastAsiaTheme="majorEastAsia"/>
          <w:i/>
          <w:iCs/>
          <w:sz w:val="24"/>
          <w:szCs w:val="24"/>
        </w:rPr>
        <w:t>.</w:t>
      </w:r>
    </w:p>
    <w:p w14:paraId="3F25DAF8" w14:textId="77777777" w:rsidR="00737ECE" w:rsidRPr="00737ECE" w:rsidRDefault="00737ECE" w:rsidP="00737ECE">
      <w:pPr>
        <w:pStyle w:val="11"/>
        <w:ind w:firstLine="620"/>
        <w:jc w:val="both"/>
        <w:rPr>
          <w:sz w:val="24"/>
          <w:szCs w:val="24"/>
        </w:rPr>
      </w:pPr>
      <w:r w:rsidRPr="00737ECE">
        <w:rPr>
          <w:rStyle w:val="ac"/>
          <w:rFonts w:eastAsiaTheme="majorEastAsia"/>
          <w:i/>
          <w:iCs/>
          <w:sz w:val="24"/>
          <w:szCs w:val="24"/>
        </w:rPr>
        <w:t>У пациентов со злокачественной АГ можно рассмотреть осторожное пероральное назначение ИАПФ, БРА или ББ, так как почечная ишемия приводит к активации РААС. Лечение следует начинать с очень низких доз в условиях стационара, поскольку такие пациенты могут быть очень чувствительны к данным препаратам.</w:t>
      </w:r>
    </w:p>
    <w:p w14:paraId="2A4E26B9" w14:textId="77777777" w:rsidR="00737ECE" w:rsidRPr="00737ECE" w:rsidRDefault="00737ECE" w:rsidP="00737ECE">
      <w:pPr>
        <w:pStyle w:val="11"/>
        <w:ind w:firstLine="620"/>
        <w:jc w:val="both"/>
        <w:rPr>
          <w:sz w:val="24"/>
          <w:szCs w:val="24"/>
        </w:rPr>
      </w:pPr>
      <w:r w:rsidRPr="00737ECE">
        <w:rPr>
          <w:rStyle w:val="ac"/>
          <w:rFonts w:eastAsiaTheme="majorEastAsia"/>
          <w:i/>
          <w:iCs/>
          <w:sz w:val="24"/>
          <w:szCs w:val="24"/>
        </w:rPr>
        <w:t>Для лечения ГК используются следующие парентеральные препараты:</w:t>
      </w:r>
    </w:p>
    <w:p w14:paraId="13305DC1" w14:textId="77777777" w:rsidR="00737ECE" w:rsidRPr="00737ECE" w:rsidRDefault="00737ECE" w:rsidP="003A34D8">
      <w:pPr>
        <w:pStyle w:val="11"/>
        <w:tabs>
          <w:tab w:val="left" w:pos="1299"/>
        </w:tabs>
        <w:jc w:val="both"/>
        <w:rPr>
          <w:sz w:val="24"/>
          <w:szCs w:val="24"/>
        </w:rPr>
      </w:pPr>
      <w:r w:rsidRPr="00737ECE">
        <w:rPr>
          <w:rStyle w:val="ac"/>
          <w:rFonts w:eastAsiaTheme="majorEastAsia"/>
          <w:i/>
          <w:iCs/>
          <w:sz w:val="24"/>
          <w:szCs w:val="24"/>
        </w:rPr>
        <w:t>Вазодилататоры для лечения заболеваний сердца:</w:t>
      </w:r>
    </w:p>
    <w:p w14:paraId="418960B9" w14:textId="77777777" w:rsidR="00737ECE" w:rsidRPr="00737ECE" w:rsidRDefault="00737ECE" w:rsidP="00424F51">
      <w:pPr>
        <w:pStyle w:val="11"/>
        <w:numPr>
          <w:ilvl w:val="0"/>
          <w:numId w:val="47"/>
        </w:numPr>
        <w:tabs>
          <w:tab w:val="left" w:pos="1299"/>
        </w:tabs>
        <w:ind w:hanging="611"/>
        <w:jc w:val="both"/>
        <w:rPr>
          <w:sz w:val="24"/>
          <w:szCs w:val="24"/>
        </w:rPr>
      </w:pPr>
      <w:r w:rsidRPr="00737ECE">
        <w:rPr>
          <w:rStyle w:val="ac"/>
          <w:rFonts w:eastAsiaTheme="majorEastAsia"/>
          <w:i/>
          <w:iCs/>
          <w:sz w:val="24"/>
          <w:szCs w:val="24"/>
        </w:rPr>
        <w:t>нитроглицерин** (при острой левожелудочковой недостаточности);</w:t>
      </w:r>
    </w:p>
    <w:p w14:paraId="4E50681B" w14:textId="77777777" w:rsidR="00737ECE" w:rsidRPr="00737ECE" w:rsidRDefault="00737ECE" w:rsidP="00424F51">
      <w:pPr>
        <w:pStyle w:val="11"/>
        <w:numPr>
          <w:ilvl w:val="0"/>
          <w:numId w:val="47"/>
        </w:numPr>
        <w:tabs>
          <w:tab w:val="left" w:pos="1299"/>
        </w:tabs>
        <w:ind w:hanging="611"/>
        <w:jc w:val="both"/>
        <w:rPr>
          <w:sz w:val="24"/>
          <w:szCs w:val="24"/>
        </w:rPr>
      </w:pPr>
      <w:r w:rsidRPr="00737ECE">
        <w:rPr>
          <w:rStyle w:val="ac"/>
          <w:rFonts w:eastAsiaTheme="majorEastAsia"/>
          <w:i/>
          <w:iCs/>
          <w:sz w:val="24"/>
          <w:szCs w:val="24"/>
        </w:rPr>
        <w:t>нитропруссида натрия дигидрат (является препаратом выбора при острой</w:t>
      </w:r>
    </w:p>
    <w:p w14:paraId="7DB6B7E9" w14:textId="77777777" w:rsidR="00737ECE" w:rsidRPr="00737ECE" w:rsidRDefault="00737ECE" w:rsidP="004D7F69">
      <w:pPr>
        <w:pStyle w:val="11"/>
        <w:ind w:left="709" w:firstLine="0"/>
        <w:jc w:val="both"/>
        <w:rPr>
          <w:sz w:val="24"/>
          <w:szCs w:val="24"/>
        </w:rPr>
      </w:pPr>
      <w:r w:rsidRPr="00737ECE">
        <w:rPr>
          <w:rStyle w:val="ac"/>
          <w:rFonts w:eastAsiaTheme="majorEastAsia"/>
          <w:i/>
          <w:iCs/>
          <w:sz w:val="24"/>
          <w:szCs w:val="24"/>
        </w:rPr>
        <w:t>гипертонической энцефалопатии).</w:t>
      </w:r>
    </w:p>
    <w:p w14:paraId="65BA5942" w14:textId="77777777" w:rsidR="00737ECE" w:rsidRPr="00737ECE" w:rsidRDefault="00737ECE" w:rsidP="00424F51">
      <w:pPr>
        <w:pStyle w:val="11"/>
        <w:numPr>
          <w:ilvl w:val="0"/>
          <w:numId w:val="47"/>
        </w:numPr>
        <w:tabs>
          <w:tab w:val="left" w:pos="1319"/>
          <w:tab w:val="left" w:pos="2405"/>
        </w:tabs>
        <w:ind w:hanging="611"/>
        <w:jc w:val="both"/>
        <w:rPr>
          <w:sz w:val="24"/>
          <w:szCs w:val="24"/>
        </w:rPr>
      </w:pPr>
      <w:r w:rsidRPr="00737ECE">
        <w:rPr>
          <w:rStyle w:val="ac"/>
          <w:rFonts w:eastAsiaTheme="majorEastAsia"/>
          <w:i/>
          <w:iCs/>
          <w:sz w:val="24"/>
          <w:szCs w:val="24"/>
        </w:rPr>
        <w:t>ИАПФ:</w:t>
      </w:r>
      <w:r w:rsidRPr="00737ECE">
        <w:rPr>
          <w:rStyle w:val="ac"/>
          <w:rFonts w:eastAsiaTheme="majorEastAsia"/>
          <w:i/>
          <w:iCs/>
          <w:sz w:val="24"/>
          <w:szCs w:val="24"/>
        </w:rPr>
        <w:tab/>
        <w:t>эналаприлат (предпочтителен при острой левожелудочковой</w:t>
      </w:r>
    </w:p>
    <w:p w14:paraId="38FF1D4E" w14:textId="77777777" w:rsidR="00737ECE" w:rsidRPr="00737ECE" w:rsidRDefault="00737ECE" w:rsidP="004D7F69">
      <w:pPr>
        <w:pStyle w:val="11"/>
        <w:ind w:left="709" w:firstLine="0"/>
        <w:jc w:val="both"/>
        <w:rPr>
          <w:sz w:val="24"/>
          <w:szCs w:val="24"/>
        </w:rPr>
      </w:pPr>
      <w:r w:rsidRPr="00737ECE">
        <w:rPr>
          <w:rStyle w:val="ac"/>
          <w:rFonts w:eastAsiaTheme="majorEastAsia"/>
          <w:i/>
          <w:iCs/>
          <w:sz w:val="24"/>
          <w:szCs w:val="24"/>
        </w:rPr>
        <w:t>недостаточности);</w:t>
      </w:r>
    </w:p>
    <w:p w14:paraId="2E141B7E" w14:textId="77777777" w:rsidR="00737ECE" w:rsidRPr="00737ECE" w:rsidRDefault="00737ECE" w:rsidP="00424F51">
      <w:pPr>
        <w:pStyle w:val="11"/>
        <w:numPr>
          <w:ilvl w:val="0"/>
          <w:numId w:val="47"/>
        </w:numPr>
        <w:tabs>
          <w:tab w:val="left" w:pos="1319"/>
        </w:tabs>
        <w:ind w:hanging="611"/>
        <w:jc w:val="both"/>
        <w:rPr>
          <w:sz w:val="24"/>
          <w:szCs w:val="24"/>
        </w:rPr>
      </w:pPr>
      <w:r w:rsidRPr="00737ECE">
        <w:rPr>
          <w:rStyle w:val="ac"/>
          <w:rFonts w:eastAsiaTheme="majorEastAsia"/>
          <w:i/>
          <w:iCs/>
          <w:sz w:val="24"/>
          <w:szCs w:val="24"/>
        </w:rPr>
        <w:t>ББ (предпочтительны при расслаивающей аневризме аорты и ОКС);</w:t>
      </w:r>
    </w:p>
    <w:p w14:paraId="546F88AA" w14:textId="77777777" w:rsidR="00737ECE" w:rsidRPr="00737ECE" w:rsidRDefault="00737ECE" w:rsidP="00424F51">
      <w:pPr>
        <w:pStyle w:val="11"/>
        <w:numPr>
          <w:ilvl w:val="0"/>
          <w:numId w:val="47"/>
        </w:numPr>
        <w:tabs>
          <w:tab w:val="left" w:pos="1307"/>
          <w:tab w:val="center" w:pos="8213"/>
        </w:tabs>
        <w:ind w:hanging="611"/>
        <w:jc w:val="both"/>
        <w:rPr>
          <w:sz w:val="24"/>
          <w:szCs w:val="24"/>
        </w:rPr>
      </w:pPr>
      <w:r w:rsidRPr="00737ECE">
        <w:rPr>
          <w:rStyle w:val="ac"/>
          <w:rFonts w:eastAsiaTheme="majorEastAsia"/>
          <w:i/>
          <w:iCs/>
          <w:sz w:val="24"/>
          <w:szCs w:val="24"/>
        </w:rPr>
        <w:t>диуретики (фуросемид** при острой левожелудочковой</w:t>
      </w:r>
      <w:r w:rsidRPr="00737ECE">
        <w:rPr>
          <w:rStyle w:val="ac"/>
          <w:rFonts w:eastAsiaTheme="majorEastAsia"/>
          <w:i/>
          <w:iCs/>
          <w:sz w:val="24"/>
          <w:szCs w:val="24"/>
        </w:rPr>
        <w:tab/>
        <w:t>недостаточности);</w:t>
      </w:r>
    </w:p>
    <w:p w14:paraId="55DABE12" w14:textId="77777777" w:rsidR="00737ECE" w:rsidRPr="00737ECE" w:rsidRDefault="00737ECE" w:rsidP="00424F51">
      <w:pPr>
        <w:pStyle w:val="11"/>
        <w:numPr>
          <w:ilvl w:val="0"/>
          <w:numId w:val="47"/>
        </w:numPr>
        <w:tabs>
          <w:tab w:val="left" w:pos="1307"/>
        </w:tabs>
        <w:ind w:hanging="611"/>
        <w:jc w:val="both"/>
        <w:rPr>
          <w:sz w:val="24"/>
          <w:szCs w:val="24"/>
        </w:rPr>
      </w:pPr>
      <w:r w:rsidRPr="00737ECE">
        <w:rPr>
          <w:rStyle w:val="ac"/>
          <w:rFonts w:eastAsiaTheme="majorEastAsia"/>
          <w:i/>
          <w:iCs/>
          <w:sz w:val="24"/>
          <w:szCs w:val="24"/>
        </w:rPr>
        <w:t>альфа-адреноблокаторы (урапидил**);</w:t>
      </w:r>
    </w:p>
    <w:p w14:paraId="43BA89FC" w14:textId="77777777" w:rsidR="00737ECE" w:rsidRPr="00737ECE" w:rsidRDefault="00737ECE" w:rsidP="00424F51">
      <w:pPr>
        <w:pStyle w:val="11"/>
        <w:numPr>
          <w:ilvl w:val="0"/>
          <w:numId w:val="47"/>
        </w:numPr>
        <w:tabs>
          <w:tab w:val="left" w:pos="1307"/>
        </w:tabs>
        <w:ind w:hanging="611"/>
        <w:jc w:val="both"/>
        <w:rPr>
          <w:sz w:val="24"/>
          <w:szCs w:val="24"/>
        </w:rPr>
      </w:pPr>
      <w:r w:rsidRPr="00737ECE">
        <w:rPr>
          <w:rStyle w:val="ac"/>
          <w:rFonts w:eastAsiaTheme="majorEastAsia"/>
          <w:i/>
          <w:iCs/>
          <w:sz w:val="24"/>
          <w:szCs w:val="24"/>
        </w:rPr>
        <w:lastRenderedPageBreak/>
        <w:t>антипсихотические средства (дроперидол**).</w:t>
      </w:r>
    </w:p>
    <w:p w14:paraId="664C7365" w14:textId="77777777" w:rsidR="00737ECE" w:rsidRPr="00B27514" w:rsidRDefault="00737ECE" w:rsidP="00424F51">
      <w:pPr>
        <w:pStyle w:val="11"/>
        <w:numPr>
          <w:ilvl w:val="0"/>
          <w:numId w:val="47"/>
        </w:numPr>
        <w:ind w:left="0" w:firstLine="709"/>
        <w:jc w:val="both"/>
        <w:rPr>
          <w:sz w:val="24"/>
          <w:szCs w:val="24"/>
        </w:rPr>
      </w:pPr>
      <w:r w:rsidRPr="00737ECE">
        <w:rPr>
          <w:rStyle w:val="ac"/>
          <w:rFonts w:eastAsiaTheme="majorEastAsia"/>
          <w:sz w:val="24"/>
          <w:szCs w:val="24"/>
        </w:rPr>
        <w:t>В остром периоде инсульта вопрос о необходимости снижения АД и его</w:t>
      </w:r>
      <w:r w:rsidR="00B27514">
        <w:rPr>
          <w:sz w:val="24"/>
          <w:szCs w:val="24"/>
        </w:rPr>
        <w:t xml:space="preserve"> </w:t>
      </w:r>
      <w:r w:rsidRPr="00B27514">
        <w:rPr>
          <w:rStyle w:val="ac"/>
          <w:rFonts w:eastAsiaTheme="majorEastAsia"/>
          <w:sz w:val="24"/>
          <w:szCs w:val="24"/>
        </w:rPr>
        <w:t>оптимальной величине рекомендуется решать совместно с врачом-неврологом, индивидуально для каждого пациента [27, 507].</w:t>
      </w:r>
    </w:p>
    <w:p w14:paraId="1DF3C448" w14:textId="4B084039" w:rsidR="00737ECE" w:rsidRPr="00737ECE" w:rsidRDefault="00737ECE" w:rsidP="00737ECE">
      <w:pPr>
        <w:pStyle w:val="11"/>
        <w:ind w:firstLine="600"/>
        <w:jc w:val="both"/>
        <w:rPr>
          <w:sz w:val="24"/>
          <w:szCs w:val="24"/>
        </w:rPr>
      </w:pPr>
      <w:r w:rsidRPr="00737EC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0A49F4">
        <w:rPr>
          <w:rStyle w:val="ac"/>
          <w:rFonts w:eastAsiaTheme="majorEastAsia"/>
          <w:b/>
          <w:bCs/>
          <w:sz w:val="24"/>
          <w:szCs w:val="24"/>
        </w:rPr>
        <w:t xml:space="preserve"> </w:t>
      </w:r>
      <w:r w:rsidRPr="00737ECE">
        <w:rPr>
          <w:rStyle w:val="ac"/>
          <w:rFonts w:eastAsiaTheme="majorEastAsia"/>
          <w:b/>
          <w:bCs/>
          <w:sz w:val="24"/>
          <w:szCs w:val="24"/>
          <w:lang w:val="en-US"/>
        </w:rPr>
        <w:t>C</w:t>
      </w:r>
      <w:r w:rsidRPr="00737ECE">
        <w:rPr>
          <w:rStyle w:val="ac"/>
          <w:rFonts w:eastAsiaTheme="majorEastAsia"/>
          <w:b/>
          <w:bCs/>
          <w:sz w:val="24"/>
          <w:szCs w:val="24"/>
        </w:rPr>
        <w:t xml:space="preserve">, </w:t>
      </w:r>
      <w:r w:rsidR="000A49F4" w:rsidRPr="00737ECE">
        <w:rPr>
          <w:rStyle w:val="ac"/>
          <w:rFonts w:eastAsiaTheme="majorEastAsia"/>
          <w:sz w:val="24"/>
          <w:szCs w:val="24"/>
        </w:rPr>
        <w:t>(</w:t>
      </w:r>
      <w:r w:rsidR="003D51B3">
        <w:rPr>
          <w:rStyle w:val="ac"/>
          <w:rFonts w:eastAsiaTheme="majorEastAsia"/>
          <w:b/>
          <w:bCs/>
          <w:sz w:val="24"/>
          <w:szCs w:val="24"/>
        </w:rPr>
        <w:t>Уровень достоверности доказательств</w:t>
      </w:r>
      <w:r w:rsidRPr="00737ECE">
        <w:rPr>
          <w:rStyle w:val="ac"/>
          <w:rFonts w:eastAsiaTheme="majorEastAsia"/>
          <w:b/>
          <w:bCs/>
          <w:sz w:val="24"/>
          <w:szCs w:val="24"/>
        </w:rPr>
        <w:t xml:space="preserve"> 5)</w:t>
      </w:r>
      <w:r w:rsidR="000A49F4">
        <w:rPr>
          <w:rStyle w:val="ac"/>
          <w:rFonts w:eastAsiaTheme="majorEastAsia"/>
          <w:b/>
          <w:bCs/>
          <w:sz w:val="24"/>
          <w:szCs w:val="24"/>
        </w:rPr>
        <w:t>;</w:t>
      </w:r>
      <w:r w:rsidR="000A49F4" w:rsidRPr="000A49F4">
        <w:rPr>
          <w:rStyle w:val="ac"/>
          <w:rFonts w:eastAsiaTheme="majorEastAsia"/>
          <w:b/>
          <w:bCs/>
          <w:sz w:val="24"/>
          <w:szCs w:val="24"/>
        </w:rPr>
        <w:t xml:space="preserve"> </w:t>
      </w:r>
      <w:r w:rsidR="000A49F4" w:rsidRPr="00737ECE">
        <w:rPr>
          <w:rStyle w:val="ac"/>
          <w:rFonts w:eastAsiaTheme="majorEastAsia"/>
          <w:b/>
          <w:bCs/>
          <w:sz w:val="24"/>
          <w:szCs w:val="24"/>
        </w:rPr>
        <w:t>ЕОК/ЕОАГ нет</w:t>
      </w:r>
      <w:r w:rsidR="008A2AFD">
        <w:rPr>
          <w:rStyle w:val="ac"/>
          <w:rFonts w:eastAsiaTheme="majorEastAsia"/>
          <w:b/>
          <w:bCs/>
          <w:sz w:val="24"/>
          <w:szCs w:val="24"/>
        </w:rPr>
        <w:t>.</w:t>
      </w:r>
    </w:p>
    <w:p w14:paraId="2BBDC8C9" w14:textId="77777777" w:rsidR="00737ECE" w:rsidRPr="00737ECE" w:rsidRDefault="00737ECE" w:rsidP="00737ECE">
      <w:pPr>
        <w:pStyle w:val="11"/>
        <w:ind w:firstLine="600"/>
        <w:jc w:val="both"/>
        <w:rPr>
          <w:sz w:val="24"/>
          <w:szCs w:val="24"/>
        </w:rPr>
      </w:pPr>
      <w:r w:rsidRPr="00737ECE">
        <w:rPr>
          <w:rStyle w:val="ac"/>
          <w:rFonts w:eastAsiaTheme="majorEastAsia"/>
          <w:b/>
          <w:bCs/>
          <w:sz w:val="24"/>
          <w:szCs w:val="24"/>
        </w:rPr>
        <w:t xml:space="preserve">Комментарии. </w:t>
      </w:r>
      <w:r w:rsidRPr="00737ECE">
        <w:rPr>
          <w:rStyle w:val="ac"/>
          <w:rFonts w:eastAsiaTheme="majorEastAsia"/>
          <w:i/>
          <w:iCs/>
          <w:sz w:val="24"/>
          <w:szCs w:val="24"/>
        </w:rPr>
        <w:t>Пациенты с инсультом требуют особого подхода, т.к. избыточное и/или быстрое снижение АД может привести к нарастанию ишемии головного мозга.</w:t>
      </w:r>
    </w:p>
    <w:p w14:paraId="2ACC9D90" w14:textId="77777777" w:rsidR="00737ECE" w:rsidRPr="00705360" w:rsidRDefault="00737ECE">
      <w:pPr>
        <w:pStyle w:val="11"/>
        <w:numPr>
          <w:ilvl w:val="0"/>
          <w:numId w:val="35"/>
        </w:numPr>
        <w:tabs>
          <w:tab w:val="left" w:pos="1307"/>
        </w:tabs>
        <w:ind w:firstLine="600"/>
        <w:jc w:val="both"/>
        <w:rPr>
          <w:sz w:val="24"/>
          <w:szCs w:val="24"/>
        </w:rPr>
      </w:pPr>
      <w:r w:rsidRPr="00737ECE">
        <w:rPr>
          <w:rStyle w:val="ac"/>
          <w:rFonts w:eastAsiaTheme="majorEastAsia"/>
          <w:sz w:val="24"/>
          <w:szCs w:val="24"/>
        </w:rPr>
        <w:t>В большинстве других случаев врачам рекомендуется обеспечить быстрое, но не</w:t>
      </w:r>
      <w:r w:rsidR="00705360">
        <w:rPr>
          <w:sz w:val="24"/>
          <w:szCs w:val="24"/>
        </w:rPr>
        <w:t xml:space="preserve"> </w:t>
      </w:r>
      <w:r w:rsidRPr="00705360">
        <w:rPr>
          <w:rStyle w:val="ac"/>
          <w:rFonts w:eastAsiaTheme="majorEastAsia"/>
          <w:sz w:val="24"/>
          <w:szCs w:val="24"/>
        </w:rPr>
        <w:t>более чем на 25% от исходных значений, снижение АД за первые 2 часа от момента поступления в стационар [27, 507].</w:t>
      </w:r>
    </w:p>
    <w:p w14:paraId="06C56F4A" w14:textId="1694A2AD" w:rsidR="00737ECE" w:rsidRPr="00737ECE" w:rsidRDefault="00737ECE" w:rsidP="00737ECE">
      <w:pPr>
        <w:pStyle w:val="11"/>
        <w:ind w:firstLine="600"/>
        <w:jc w:val="both"/>
        <w:rPr>
          <w:sz w:val="24"/>
          <w:szCs w:val="24"/>
        </w:rPr>
      </w:pPr>
      <w:r w:rsidRPr="00737EC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0A49F4">
        <w:rPr>
          <w:rStyle w:val="ac"/>
          <w:rFonts w:eastAsiaTheme="majorEastAsia"/>
          <w:b/>
          <w:bCs/>
          <w:sz w:val="24"/>
          <w:szCs w:val="24"/>
        </w:rPr>
        <w:t xml:space="preserve"> </w:t>
      </w:r>
      <w:r w:rsidRPr="00737ECE">
        <w:rPr>
          <w:rStyle w:val="ac"/>
          <w:rFonts w:eastAsiaTheme="majorEastAsia"/>
          <w:b/>
          <w:bCs/>
          <w:sz w:val="24"/>
          <w:szCs w:val="24"/>
          <w:lang w:val="en-US"/>
        </w:rPr>
        <w:t>C</w:t>
      </w:r>
      <w:r w:rsidRPr="00737ECE">
        <w:rPr>
          <w:rStyle w:val="ac"/>
          <w:rFonts w:eastAsiaTheme="majorEastAsia"/>
          <w:b/>
          <w:bCs/>
          <w:sz w:val="24"/>
          <w:szCs w:val="24"/>
        </w:rPr>
        <w:t xml:space="preserve">, </w:t>
      </w:r>
      <w:r w:rsidR="000A49F4" w:rsidRPr="00737ECE">
        <w:rPr>
          <w:rStyle w:val="ac"/>
          <w:rFonts w:eastAsiaTheme="majorEastAsia"/>
          <w:sz w:val="24"/>
          <w:szCs w:val="24"/>
        </w:rPr>
        <w:t>(</w:t>
      </w:r>
      <w:r w:rsidR="003D51B3">
        <w:rPr>
          <w:rStyle w:val="ac"/>
          <w:rFonts w:eastAsiaTheme="majorEastAsia"/>
          <w:b/>
          <w:bCs/>
          <w:sz w:val="24"/>
          <w:szCs w:val="24"/>
        </w:rPr>
        <w:t>Уровень достоверности доказательств</w:t>
      </w:r>
      <w:r w:rsidRPr="00737ECE">
        <w:rPr>
          <w:rStyle w:val="ac"/>
          <w:rFonts w:eastAsiaTheme="majorEastAsia"/>
          <w:b/>
          <w:bCs/>
          <w:sz w:val="24"/>
          <w:szCs w:val="24"/>
        </w:rPr>
        <w:t xml:space="preserve"> 5</w:t>
      </w:r>
      <w:r w:rsidR="000A49F4" w:rsidRPr="00737ECE">
        <w:rPr>
          <w:rStyle w:val="ac"/>
          <w:rFonts w:eastAsiaTheme="majorEastAsia"/>
          <w:b/>
          <w:bCs/>
          <w:sz w:val="24"/>
          <w:szCs w:val="24"/>
        </w:rPr>
        <w:t>)</w:t>
      </w:r>
      <w:r w:rsidR="000A49F4" w:rsidRPr="000A49F4">
        <w:rPr>
          <w:rStyle w:val="ac"/>
          <w:rFonts w:eastAsiaTheme="majorEastAsia"/>
          <w:b/>
          <w:bCs/>
          <w:sz w:val="24"/>
          <w:szCs w:val="24"/>
        </w:rPr>
        <w:t>;</w:t>
      </w:r>
      <w:r w:rsidR="000A49F4">
        <w:rPr>
          <w:rStyle w:val="ac"/>
          <w:rFonts w:eastAsiaTheme="majorEastAsia"/>
          <w:b/>
          <w:bCs/>
          <w:sz w:val="24"/>
          <w:szCs w:val="24"/>
        </w:rPr>
        <w:t xml:space="preserve"> </w:t>
      </w:r>
      <w:r w:rsidR="000A49F4" w:rsidRPr="00737ECE">
        <w:rPr>
          <w:rStyle w:val="ac"/>
          <w:rFonts w:eastAsiaTheme="majorEastAsia"/>
          <w:b/>
          <w:bCs/>
          <w:sz w:val="24"/>
          <w:szCs w:val="24"/>
        </w:rPr>
        <w:t>ЕОК/ЕОАГ нет</w:t>
      </w:r>
      <w:r w:rsidR="008A2AFD">
        <w:rPr>
          <w:rStyle w:val="ac"/>
          <w:rFonts w:eastAsiaTheme="majorEastAsia"/>
          <w:b/>
          <w:bCs/>
          <w:sz w:val="24"/>
          <w:szCs w:val="24"/>
        </w:rPr>
        <w:t>.</w:t>
      </w:r>
    </w:p>
    <w:p w14:paraId="5F4B126B" w14:textId="77777777" w:rsidR="00737ECE" w:rsidRPr="00737ECE" w:rsidRDefault="00737ECE" w:rsidP="00737ECE">
      <w:pPr>
        <w:pStyle w:val="11"/>
        <w:ind w:firstLine="600"/>
        <w:jc w:val="both"/>
        <w:rPr>
          <w:sz w:val="24"/>
          <w:szCs w:val="24"/>
        </w:rPr>
      </w:pPr>
      <w:r w:rsidRPr="00737ECE">
        <w:rPr>
          <w:rStyle w:val="ac"/>
          <w:rFonts w:eastAsiaTheme="majorEastAsia"/>
          <w:b/>
          <w:bCs/>
          <w:sz w:val="24"/>
          <w:szCs w:val="24"/>
        </w:rPr>
        <w:t xml:space="preserve">Комментарии. </w:t>
      </w:r>
      <w:r w:rsidRPr="00737ECE">
        <w:rPr>
          <w:rStyle w:val="ac"/>
          <w:rFonts w:eastAsiaTheme="majorEastAsia"/>
          <w:i/>
          <w:iCs/>
          <w:sz w:val="24"/>
          <w:szCs w:val="24"/>
        </w:rPr>
        <w:t>Рекомендуются следующие сроки и выраженность снижения АД</w:t>
      </w:r>
      <w:r w:rsidRPr="00737ECE">
        <w:rPr>
          <w:rStyle w:val="ac"/>
          <w:rFonts w:eastAsiaTheme="majorEastAsia"/>
          <w:sz w:val="24"/>
          <w:szCs w:val="24"/>
        </w:rPr>
        <w:t xml:space="preserve"> [27, 507]</w:t>
      </w:r>
      <w:r w:rsidRPr="00737ECE">
        <w:rPr>
          <w:rStyle w:val="ac"/>
          <w:rFonts w:eastAsiaTheme="majorEastAsia"/>
          <w:i/>
          <w:iCs/>
          <w:sz w:val="24"/>
          <w:szCs w:val="24"/>
        </w:rPr>
        <w:t>:</w:t>
      </w:r>
    </w:p>
    <w:p w14:paraId="5E0E76F9" w14:textId="77777777" w:rsidR="00737ECE" w:rsidRPr="00705360" w:rsidRDefault="00737ECE">
      <w:pPr>
        <w:pStyle w:val="11"/>
        <w:numPr>
          <w:ilvl w:val="0"/>
          <w:numId w:val="35"/>
        </w:numPr>
        <w:tabs>
          <w:tab w:val="left" w:pos="1307"/>
        </w:tabs>
        <w:ind w:firstLine="600"/>
        <w:jc w:val="both"/>
        <w:rPr>
          <w:sz w:val="24"/>
          <w:szCs w:val="24"/>
        </w:rPr>
      </w:pPr>
      <w:r w:rsidRPr="00737ECE">
        <w:rPr>
          <w:rStyle w:val="ac"/>
          <w:rFonts w:eastAsiaTheme="majorEastAsia"/>
          <w:i/>
          <w:iCs/>
          <w:sz w:val="24"/>
          <w:szCs w:val="24"/>
        </w:rPr>
        <w:t>У пациентов со злокачественной АГ с или без почечной недостаточности среднее</w:t>
      </w:r>
      <w:r w:rsidR="00705360">
        <w:rPr>
          <w:sz w:val="24"/>
          <w:szCs w:val="24"/>
        </w:rPr>
        <w:t xml:space="preserve"> </w:t>
      </w:r>
      <w:r w:rsidRPr="00705360">
        <w:rPr>
          <w:rStyle w:val="ac"/>
          <w:rFonts w:eastAsiaTheme="majorEastAsia"/>
          <w:i/>
          <w:iCs/>
          <w:sz w:val="24"/>
          <w:szCs w:val="24"/>
        </w:rPr>
        <w:t>давление должно быть снижено на 20-25% от исходного в течение нескольких часов</w:t>
      </w:r>
    </w:p>
    <w:p w14:paraId="6BF72212" w14:textId="77777777" w:rsidR="00737ECE" w:rsidRPr="00737ECE" w:rsidRDefault="00737ECE">
      <w:pPr>
        <w:pStyle w:val="11"/>
        <w:numPr>
          <w:ilvl w:val="0"/>
          <w:numId w:val="35"/>
        </w:numPr>
        <w:tabs>
          <w:tab w:val="left" w:pos="1307"/>
        </w:tabs>
        <w:ind w:firstLine="600"/>
        <w:jc w:val="both"/>
        <w:rPr>
          <w:sz w:val="24"/>
          <w:szCs w:val="24"/>
        </w:rPr>
      </w:pPr>
      <w:r w:rsidRPr="00737ECE">
        <w:rPr>
          <w:rStyle w:val="ac"/>
          <w:rFonts w:eastAsiaTheme="majorEastAsia"/>
          <w:i/>
          <w:iCs/>
          <w:sz w:val="24"/>
          <w:szCs w:val="24"/>
        </w:rPr>
        <w:t>У пациентов с гипертонической энцефалопатией рекомендовано немедленное</w:t>
      </w:r>
    </w:p>
    <w:p w14:paraId="02E2F0CC" w14:textId="77777777" w:rsidR="00737ECE" w:rsidRPr="00737ECE" w:rsidRDefault="00737ECE" w:rsidP="00737ECE">
      <w:pPr>
        <w:pStyle w:val="11"/>
        <w:ind w:firstLine="0"/>
        <w:jc w:val="both"/>
        <w:rPr>
          <w:sz w:val="24"/>
          <w:szCs w:val="24"/>
        </w:rPr>
      </w:pPr>
      <w:r w:rsidRPr="00737ECE">
        <w:rPr>
          <w:rStyle w:val="ac"/>
          <w:rFonts w:eastAsiaTheme="majorEastAsia"/>
          <w:i/>
          <w:iCs/>
          <w:sz w:val="24"/>
          <w:szCs w:val="24"/>
        </w:rPr>
        <w:t>снижение среднего АД на 20-25% от исходного</w:t>
      </w:r>
    </w:p>
    <w:p w14:paraId="573C7715" w14:textId="77777777" w:rsidR="00737ECE" w:rsidRPr="00705360" w:rsidRDefault="00737ECE">
      <w:pPr>
        <w:pStyle w:val="11"/>
        <w:numPr>
          <w:ilvl w:val="0"/>
          <w:numId w:val="35"/>
        </w:numPr>
        <w:tabs>
          <w:tab w:val="left" w:pos="1307"/>
        </w:tabs>
        <w:ind w:firstLine="600"/>
        <w:jc w:val="both"/>
        <w:rPr>
          <w:sz w:val="24"/>
          <w:szCs w:val="24"/>
        </w:rPr>
      </w:pPr>
      <w:r w:rsidRPr="00737ECE">
        <w:rPr>
          <w:rStyle w:val="ac"/>
          <w:rFonts w:eastAsiaTheme="majorEastAsia"/>
          <w:i/>
          <w:iCs/>
          <w:sz w:val="24"/>
          <w:szCs w:val="24"/>
        </w:rPr>
        <w:t>У пациентов с ОКС рекомендовано немедленное снижение САД ниже 140 мм рт.</w:t>
      </w:r>
      <w:r w:rsidR="00705360">
        <w:rPr>
          <w:sz w:val="24"/>
          <w:szCs w:val="24"/>
        </w:rPr>
        <w:t xml:space="preserve"> </w:t>
      </w:r>
      <w:r w:rsidRPr="00705360">
        <w:rPr>
          <w:rStyle w:val="ac"/>
          <w:rFonts w:eastAsiaTheme="majorEastAsia"/>
          <w:i/>
          <w:iCs/>
          <w:sz w:val="24"/>
          <w:szCs w:val="24"/>
        </w:rPr>
        <w:t>ст.</w:t>
      </w:r>
    </w:p>
    <w:p w14:paraId="45B14A94" w14:textId="77777777" w:rsidR="00737ECE" w:rsidRPr="00705360" w:rsidRDefault="00737ECE">
      <w:pPr>
        <w:pStyle w:val="11"/>
        <w:numPr>
          <w:ilvl w:val="0"/>
          <w:numId w:val="35"/>
        </w:numPr>
        <w:tabs>
          <w:tab w:val="left" w:pos="1307"/>
        </w:tabs>
        <w:ind w:firstLine="600"/>
        <w:jc w:val="both"/>
        <w:rPr>
          <w:sz w:val="24"/>
          <w:szCs w:val="24"/>
        </w:rPr>
      </w:pPr>
      <w:r w:rsidRPr="00737ECE">
        <w:rPr>
          <w:rStyle w:val="ac"/>
          <w:rFonts w:eastAsiaTheme="majorEastAsia"/>
          <w:i/>
          <w:iCs/>
          <w:sz w:val="24"/>
          <w:szCs w:val="24"/>
        </w:rPr>
        <w:t>У пациентов с кардиогенным отеком легких рекомендовано немедленное снижение</w:t>
      </w:r>
      <w:r w:rsidR="00705360">
        <w:rPr>
          <w:sz w:val="24"/>
          <w:szCs w:val="24"/>
        </w:rPr>
        <w:t xml:space="preserve"> </w:t>
      </w:r>
      <w:r w:rsidRPr="00705360">
        <w:rPr>
          <w:rStyle w:val="ac"/>
          <w:rFonts w:eastAsiaTheme="majorEastAsia"/>
          <w:i/>
          <w:iCs/>
          <w:sz w:val="24"/>
          <w:szCs w:val="24"/>
        </w:rPr>
        <w:t>САД ниже 140 мм рт. ст.</w:t>
      </w:r>
    </w:p>
    <w:p w14:paraId="3D86FA77" w14:textId="77777777" w:rsidR="00737ECE" w:rsidRPr="00705360" w:rsidRDefault="00737ECE">
      <w:pPr>
        <w:pStyle w:val="11"/>
        <w:numPr>
          <w:ilvl w:val="0"/>
          <w:numId w:val="35"/>
        </w:numPr>
        <w:tabs>
          <w:tab w:val="left" w:pos="1307"/>
        </w:tabs>
        <w:ind w:firstLine="600"/>
        <w:jc w:val="both"/>
        <w:rPr>
          <w:sz w:val="24"/>
          <w:szCs w:val="24"/>
        </w:rPr>
      </w:pPr>
      <w:r w:rsidRPr="00737ECE">
        <w:rPr>
          <w:rStyle w:val="ac"/>
          <w:rFonts w:eastAsiaTheme="majorEastAsia"/>
          <w:i/>
          <w:iCs/>
          <w:sz w:val="24"/>
          <w:szCs w:val="24"/>
        </w:rPr>
        <w:t>У пациентов с расслоением аорты рекомендовано немедленное снижение САД ниже</w:t>
      </w:r>
      <w:r w:rsidR="00705360">
        <w:rPr>
          <w:sz w:val="24"/>
          <w:szCs w:val="24"/>
        </w:rPr>
        <w:t xml:space="preserve"> </w:t>
      </w:r>
      <w:r w:rsidRPr="00705360">
        <w:rPr>
          <w:rStyle w:val="ac"/>
          <w:rFonts w:eastAsiaTheme="majorEastAsia"/>
          <w:i/>
          <w:iCs/>
          <w:sz w:val="24"/>
          <w:szCs w:val="24"/>
        </w:rPr>
        <w:t>120 мм рт. ст. и ЧСС ниже 60 уд/мин.</w:t>
      </w:r>
    </w:p>
    <w:p w14:paraId="7E4373E1" w14:textId="77777777" w:rsidR="00737ECE" w:rsidRPr="00737ECE" w:rsidRDefault="00737ECE">
      <w:pPr>
        <w:pStyle w:val="11"/>
        <w:numPr>
          <w:ilvl w:val="0"/>
          <w:numId w:val="35"/>
        </w:numPr>
        <w:tabs>
          <w:tab w:val="left" w:pos="1307"/>
        </w:tabs>
        <w:ind w:firstLine="600"/>
        <w:jc w:val="both"/>
        <w:rPr>
          <w:sz w:val="24"/>
          <w:szCs w:val="24"/>
        </w:rPr>
      </w:pPr>
      <w:r w:rsidRPr="00737ECE">
        <w:rPr>
          <w:rStyle w:val="ac"/>
          <w:rFonts w:eastAsiaTheme="majorEastAsia"/>
          <w:i/>
          <w:iCs/>
          <w:sz w:val="24"/>
          <w:szCs w:val="24"/>
        </w:rPr>
        <w:t xml:space="preserve">У пациенток с эклампсией и тяжелой преэклампсией или </w:t>
      </w:r>
      <w:r w:rsidRPr="00737ECE">
        <w:rPr>
          <w:rStyle w:val="ac"/>
          <w:rFonts w:eastAsiaTheme="majorEastAsia"/>
          <w:i/>
          <w:iCs/>
          <w:sz w:val="24"/>
          <w:szCs w:val="24"/>
          <w:lang w:val="en-US"/>
        </w:rPr>
        <w:t>HELLP</w:t>
      </w:r>
      <w:r w:rsidRPr="00737ECE">
        <w:rPr>
          <w:rStyle w:val="ac"/>
          <w:rFonts w:eastAsiaTheme="majorEastAsia"/>
          <w:i/>
          <w:iCs/>
          <w:sz w:val="24"/>
          <w:szCs w:val="24"/>
        </w:rPr>
        <w:t>-синдромом</w:t>
      </w:r>
    </w:p>
    <w:p w14:paraId="7CC177F8" w14:textId="77777777" w:rsidR="00737ECE" w:rsidRPr="00737ECE" w:rsidRDefault="00737ECE" w:rsidP="00737ECE">
      <w:pPr>
        <w:pStyle w:val="11"/>
        <w:ind w:firstLine="0"/>
        <w:jc w:val="both"/>
        <w:rPr>
          <w:sz w:val="24"/>
          <w:szCs w:val="24"/>
        </w:rPr>
      </w:pPr>
      <w:r w:rsidRPr="00737ECE">
        <w:rPr>
          <w:rStyle w:val="ac"/>
          <w:rFonts w:eastAsiaTheme="majorEastAsia"/>
          <w:i/>
          <w:iCs/>
          <w:sz w:val="24"/>
          <w:szCs w:val="24"/>
        </w:rPr>
        <w:t>рекомендовано немедленное снижение САД ниже 160 мм рт. ст. и ДАД ниже 105 мм рт. ст.</w:t>
      </w:r>
    </w:p>
    <w:p w14:paraId="25246167" w14:textId="6DFEE3F8" w:rsidR="00291E63" w:rsidRDefault="00737ECE" w:rsidP="00705360">
      <w:pPr>
        <w:pStyle w:val="11"/>
        <w:ind w:firstLine="600"/>
        <w:jc w:val="both"/>
        <w:rPr>
          <w:rStyle w:val="ac"/>
          <w:rFonts w:eastAsiaTheme="majorEastAsia"/>
          <w:i/>
          <w:iCs/>
          <w:sz w:val="24"/>
          <w:szCs w:val="24"/>
        </w:rPr>
      </w:pPr>
      <w:bookmarkStart w:id="62" w:name="bookmark50"/>
      <w:r w:rsidRPr="00737ECE">
        <w:rPr>
          <w:rStyle w:val="ac"/>
          <w:rFonts w:eastAsiaTheme="majorEastAsia"/>
          <w:i/>
          <w:iCs/>
          <w:sz w:val="24"/>
          <w:szCs w:val="24"/>
        </w:rPr>
        <w:t xml:space="preserve">Пациенты с ГК являются группой высокого риска [279, 280] и должны быть скринированы на наличие вторичной АГ. Выписка из стационара осуществляется при достижении безопасного стабильного уровня АД на фоне перорального приема препаратов. Наблюдение в амбулаторных условиях следует проводить хотя бы раз в месяц до достижения целевого АД. Далее рекомендуется длительное регулярное наблюдение </w:t>
      </w:r>
      <w:r w:rsidRPr="00737ECE">
        <w:rPr>
          <w:rStyle w:val="ac"/>
          <w:rFonts w:eastAsiaTheme="majorEastAsia"/>
          <w:i/>
          <w:iCs/>
          <w:sz w:val="24"/>
          <w:szCs w:val="24"/>
        </w:rPr>
        <w:lastRenderedPageBreak/>
        <w:t>специалистом.</w:t>
      </w:r>
      <w:bookmarkEnd w:id="62"/>
    </w:p>
    <w:p w14:paraId="57F458CF" w14:textId="77777777" w:rsidR="00B70EB4" w:rsidRDefault="00B70EB4" w:rsidP="00B70EB4">
      <w:pPr>
        <w:autoSpaceDE w:val="0"/>
        <w:autoSpaceDN w:val="0"/>
        <w:adjustRightInd w:val="0"/>
        <w:spacing w:after="0" w:line="360" w:lineRule="auto"/>
        <w:jc w:val="center"/>
        <w:rPr>
          <w:rFonts w:ascii="Times New Roman CYR" w:hAnsi="Times New Roman CYR" w:cs="Times New Roman CYR"/>
          <w:b/>
          <w:bCs/>
          <w:color w:val="000000"/>
          <w:kern w:val="0"/>
          <w:sz w:val="24"/>
          <w:szCs w:val="24"/>
        </w:rPr>
      </w:pPr>
      <w:r w:rsidRPr="00B70EB4">
        <w:rPr>
          <w:rFonts w:ascii="Times New Roman CYR" w:hAnsi="Times New Roman CYR" w:cs="Times New Roman CYR"/>
          <w:b/>
          <w:bCs/>
          <w:color w:val="000000"/>
          <w:kern w:val="0"/>
          <w:sz w:val="24"/>
          <w:szCs w:val="24"/>
        </w:rPr>
        <w:t>Экстренная медицинская помощь при повышении артериального давления (на догоспитальном этапе)</w:t>
      </w:r>
    </w:p>
    <w:p w14:paraId="171BA874" w14:textId="4491FD44" w:rsidR="00CA0D7F" w:rsidRPr="002C2F68" w:rsidRDefault="00896495" w:rsidP="002C2F68">
      <w:pPr>
        <w:autoSpaceDE w:val="0"/>
        <w:autoSpaceDN w:val="0"/>
        <w:adjustRightInd w:val="0"/>
        <w:spacing w:after="0" w:line="360" w:lineRule="auto"/>
        <w:jc w:val="both"/>
        <w:rPr>
          <w:rFonts w:cs="Times New Roman"/>
          <w:sz w:val="24"/>
          <w:szCs w:val="24"/>
        </w:rPr>
      </w:pPr>
      <w:r>
        <w:rPr>
          <w:rFonts w:cs="Times New Roman"/>
          <w:sz w:val="24"/>
          <w:szCs w:val="24"/>
        </w:rPr>
        <w:tab/>
      </w:r>
      <w:r w:rsidR="000123D2" w:rsidRPr="002C2F68">
        <w:rPr>
          <w:rFonts w:cs="Times New Roman"/>
          <w:sz w:val="24"/>
          <w:szCs w:val="24"/>
        </w:rPr>
        <w:t>Основное направление дифференциальной диагностики заключается в разделении неотложных состояний, сопровождающихся повышением артериального давления, на две группы: состояния без непосредственной угрозы для жизни и состояния</w:t>
      </w:r>
      <w:r w:rsidR="008E7E6A">
        <w:rPr>
          <w:rFonts w:cs="Times New Roman"/>
          <w:sz w:val="24"/>
          <w:szCs w:val="24"/>
        </w:rPr>
        <w:t xml:space="preserve"> </w:t>
      </w:r>
      <w:r w:rsidR="008A2AFD">
        <w:rPr>
          <w:rFonts w:cs="Times New Roman"/>
          <w:sz w:val="24"/>
          <w:szCs w:val="24"/>
        </w:rPr>
        <w:t xml:space="preserve">и </w:t>
      </w:r>
      <w:r w:rsidR="008A2AFD" w:rsidRPr="002C2F68">
        <w:rPr>
          <w:rFonts w:cs="Times New Roman"/>
          <w:sz w:val="24"/>
          <w:szCs w:val="24"/>
        </w:rPr>
        <w:t>представляющие</w:t>
      </w:r>
      <w:r w:rsidR="000123D2" w:rsidRPr="002C2F68">
        <w:rPr>
          <w:rFonts w:cs="Times New Roman"/>
          <w:sz w:val="24"/>
          <w:szCs w:val="24"/>
        </w:rPr>
        <w:t xml:space="preserve"> прямую угрозу жизни.</w:t>
      </w:r>
    </w:p>
    <w:p w14:paraId="637AED94" w14:textId="77777777" w:rsidR="002B3CEE" w:rsidRDefault="00CA0D7F" w:rsidP="002B3CEE">
      <w:pPr>
        <w:autoSpaceDE w:val="0"/>
        <w:autoSpaceDN w:val="0"/>
        <w:adjustRightInd w:val="0"/>
        <w:spacing w:after="0" w:line="360" w:lineRule="auto"/>
        <w:jc w:val="both"/>
        <w:rPr>
          <w:rFonts w:eastAsia="Times New Roman" w:cs="Times New Roman"/>
          <w:kern w:val="0"/>
          <w:sz w:val="24"/>
          <w:szCs w:val="24"/>
          <w:lang w:eastAsia="ru-RU"/>
        </w:rPr>
      </w:pPr>
      <w:r w:rsidRPr="002C2F68">
        <w:rPr>
          <w:rFonts w:eastAsia="Times New Roman" w:cs="Times New Roman"/>
          <w:b/>
          <w:bCs/>
          <w:kern w:val="0"/>
          <w:sz w:val="24"/>
          <w:szCs w:val="24"/>
          <w:lang w:eastAsia="ru-RU"/>
        </w:rPr>
        <w:t>1. Гипертоническая болезнь (вне криза)</w:t>
      </w:r>
    </w:p>
    <w:p w14:paraId="4E4A73D9" w14:textId="302DAE0D" w:rsidR="002B3CEE" w:rsidRDefault="002B3CEE" w:rsidP="002B3CEE">
      <w:pPr>
        <w:autoSpaceDE w:val="0"/>
        <w:autoSpaceDN w:val="0"/>
        <w:adjustRightInd w:val="0"/>
        <w:spacing w:after="0" w:line="360" w:lineRule="auto"/>
        <w:jc w:val="both"/>
        <w:rPr>
          <w:rFonts w:cs="Times New Roman"/>
          <w:sz w:val="24"/>
          <w:szCs w:val="24"/>
        </w:rPr>
      </w:pPr>
      <w:r w:rsidRPr="002C2F68">
        <w:rPr>
          <w:rFonts w:eastAsia="Times New Roman" w:cs="Times New Roman"/>
          <w:b/>
          <w:bCs/>
          <w:kern w:val="0"/>
          <w:sz w:val="24"/>
          <w:szCs w:val="24"/>
          <w:lang w:eastAsia="ru-RU"/>
        </w:rPr>
        <w:t xml:space="preserve"> </w:t>
      </w:r>
      <w:r w:rsidR="00CA0D7F" w:rsidRPr="002C2F68">
        <w:rPr>
          <w:rFonts w:eastAsia="Times New Roman" w:cs="Times New Roman"/>
          <w:b/>
          <w:bCs/>
          <w:kern w:val="0"/>
          <w:sz w:val="24"/>
          <w:szCs w:val="24"/>
          <w:lang w:eastAsia="ru-RU"/>
        </w:rPr>
        <w:t>1.1.</w:t>
      </w:r>
      <w:r w:rsidR="00CA0D7F" w:rsidRPr="002C2F68">
        <w:rPr>
          <w:rFonts w:eastAsia="Times New Roman" w:cs="Times New Roman"/>
          <w:kern w:val="0"/>
          <w:sz w:val="24"/>
          <w:szCs w:val="24"/>
          <w:lang w:eastAsia="ru-RU"/>
        </w:rPr>
        <w:t xml:space="preserve"> </w:t>
      </w:r>
      <w:r w:rsidR="00CA0D7F" w:rsidRPr="00FB3E16">
        <w:rPr>
          <w:rFonts w:eastAsia="Times New Roman" w:cs="Times New Roman"/>
          <w:b/>
          <w:bCs/>
          <w:kern w:val="0"/>
          <w:sz w:val="24"/>
          <w:szCs w:val="24"/>
          <w:lang w:eastAsia="ru-RU"/>
        </w:rPr>
        <w:t xml:space="preserve">При повышении систолического артериального давления не более чем на 20 мм рт. ст. </w:t>
      </w:r>
      <w:r w:rsidR="00CA0D7F" w:rsidRPr="002C2F68">
        <w:rPr>
          <w:rFonts w:eastAsia="Times New Roman" w:cs="Times New Roman"/>
          <w:kern w:val="0"/>
          <w:sz w:val="24"/>
          <w:szCs w:val="24"/>
          <w:lang w:eastAsia="ru-RU"/>
        </w:rPr>
        <w:t>от привычного уровня антигипертензивная терапия на этапе оказания скорой медицинской помощи не требуется.</w:t>
      </w:r>
      <w:r w:rsidR="001F1F03" w:rsidRPr="002C2F68">
        <w:rPr>
          <w:rFonts w:eastAsia="Times New Roman" w:cs="Times New Roman"/>
          <w:kern w:val="0"/>
          <w:sz w:val="24"/>
          <w:szCs w:val="24"/>
          <w:lang w:eastAsia="ru-RU"/>
        </w:rPr>
        <w:t>[545]</w:t>
      </w:r>
    </w:p>
    <w:p w14:paraId="604FCB0F" w14:textId="7DF94431" w:rsidR="00FE670E" w:rsidRPr="002C2F68" w:rsidRDefault="00FE670E" w:rsidP="002B3CEE">
      <w:pPr>
        <w:autoSpaceDE w:val="0"/>
        <w:autoSpaceDN w:val="0"/>
        <w:adjustRightInd w:val="0"/>
        <w:spacing w:after="0" w:line="360" w:lineRule="auto"/>
        <w:rPr>
          <w:rFonts w:cs="Times New Roman"/>
          <w:sz w:val="24"/>
          <w:szCs w:val="24"/>
        </w:rPr>
      </w:pPr>
      <w:r w:rsidRPr="002C2F68">
        <w:rPr>
          <w:rStyle w:val="ac"/>
          <w:rFonts w:eastAsiaTheme="majorEastAsia"/>
          <w:b/>
          <w:bCs/>
          <w:sz w:val="24"/>
          <w:szCs w:val="24"/>
        </w:rPr>
        <w:t xml:space="preserve">Уровень убедительности рекомендаций </w:t>
      </w:r>
      <w:r w:rsidRPr="002C2F68">
        <w:rPr>
          <w:rStyle w:val="ac"/>
          <w:rFonts w:eastAsiaTheme="majorEastAsia"/>
          <w:b/>
          <w:bCs/>
          <w:sz w:val="24"/>
          <w:szCs w:val="24"/>
          <w:lang w:val="en-US"/>
        </w:rPr>
        <w:t>C</w:t>
      </w:r>
      <w:r w:rsidRPr="002C2F68">
        <w:rPr>
          <w:rStyle w:val="ac"/>
          <w:rFonts w:eastAsiaTheme="majorEastAsia"/>
          <w:b/>
          <w:bCs/>
          <w:sz w:val="24"/>
          <w:szCs w:val="24"/>
        </w:rPr>
        <w:t xml:space="preserve">, </w:t>
      </w:r>
      <w:r w:rsidRPr="002C2F68">
        <w:rPr>
          <w:rStyle w:val="ac"/>
          <w:rFonts w:eastAsiaTheme="majorEastAsia"/>
          <w:sz w:val="24"/>
          <w:szCs w:val="24"/>
        </w:rPr>
        <w:t>(</w:t>
      </w:r>
      <w:r w:rsidRPr="002C2F68">
        <w:rPr>
          <w:rStyle w:val="ac"/>
          <w:rFonts w:eastAsiaTheme="majorEastAsia"/>
          <w:b/>
          <w:bCs/>
          <w:sz w:val="24"/>
          <w:szCs w:val="24"/>
        </w:rPr>
        <w:t>Уровень достоверности доказательств 5); ЕОК/ЕОАГ нет</w:t>
      </w:r>
      <w:r w:rsidR="002B3CEE">
        <w:rPr>
          <w:rStyle w:val="ac"/>
          <w:rFonts w:eastAsiaTheme="majorEastAsia"/>
          <w:b/>
          <w:bCs/>
          <w:sz w:val="24"/>
          <w:szCs w:val="24"/>
        </w:rPr>
        <w:t>.</w:t>
      </w:r>
    </w:p>
    <w:p w14:paraId="37B9096C" w14:textId="017FC80B" w:rsidR="001B7081" w:rsidRPr="002C2F68" w:rsidRDefault="001B7081" w:rsidP="00896495">
      <w:pPr>
        <w:pStyle w:val="ds-markdown-paragraph"/>
        <w:shd w:val="clear" w:color="auto" w:fill="FFFFFF"/>
        <w:spacing w:before="0" w:beforeAutospacing="0" w:after="0" w:afterAutospacing="0" w:line="360" w:lineRule="auto"/>
        <w:jc w:val="both"/>
        <w:rPr>
          <w:i/>
          <w:iCs/>
          <w:color w:val="404040"/>
          <w:shd w:val="clear" w:color="auto" w:fill="FFFFFF"/>
        </w:rPr>
      </w:pPr>
      <w:r w:rsidRPr="002C2F68">
        <w:rPr>
          <w:b/>
          <w:bCs/>
          <w:color w:val="231F20"/>
        </w:rPr>
        <w:t>Комментарий:</w:t>
      </w:r>
      <w:r w:rsidRPr="002C2F68">
        <w:rPr>
          <w:i/>
          <w:iCs/>
          <w:color w:val="404040"/>
          <w:shd w:val="clear" w:color="auto" w:fill="FFFFFF"/>
        </w:rPr>
        <w:t xml:space="preserve"> Повышение САД на 20 мм рт. ст., например, со 140 до 160 мм рт. ст.</w:t>
      </w:r>
      <w:r w:rsidR="008E7E6A">
        <w:rPr>
          <w:i/>
          <w:iCs/>
          <w:color w:val="404040"/>
          <w:shd w:val="clear" w:color="auto" w:fill="FFFFFF"/>
        </w:rPr>
        <w:t xml:space="preserve"> САД</w:t>
      </w:r>
      <w:r w:rsidRPr="002C2F68">
        <w:rPr>
          <w:i/>
          <w:iCs/>
          <w:color w:val="404040"/>
          <w:shd w:val="clear" w:color="auto" w:fill="FFFFFF"/>
        </w:rPr>
        <w:t>, у пациента с хронической гипертонией </w:t>
      </w:r>
      <w:r w:rsidRPr="002C2F68">
        <w:rPr>
          <w:rStyle w:val="aff9"/>
          <w:rFonts w:eastAsiaTheme="majorEastAsia"/>
          <w:b w:val="0"/>
          <w:bCs w:val="0"/>
          <w:i/>
          <w:iCs/>
          <w:color w:val="404040"/>
          <w:shd w:val="clear" w:color="auto" w:fill="FFFFFF"/>
        </w:rPr>
        <w:t>не является гипертоническим кризом</w:t>
      </w:r>
      <w:r w:rsidRPr="002C2F68">
        <w:rPr>
          <w:i/>
          <w:iCs/>
          <w:color w:val="404040"/>
          <w:shd w:val="clear" w:color="auto" w:fill="FFFFFF"/>
        </w:rPr>
        <w:t> и не связано с высоким риском острых осложнений (инфаркт, инсульт, расслоение аорты). Организм адаптирован к более высоким цифрам давления.</w:t>
      </w:r>
      <w:r w:rsidRPr="002C2F68">
        <w:rPr>
          <w:i/>
          <w:iCs/>
          <w:color w:val="404040"/>
        </w:rPr>
        <w:t xml:space="preserve"> Резкое падение АД может привести к ортостатической гипотензии (головокружение, падение при вставании) и, что гораздо опаснее, к ишемии жизненно важных органов (головного мозга, почек, сердца). Например, снижение perfusion pressure может спровоцировать ишемический инсульт или инфаркт миокарда, особенно у пожилых пациентов с атеросклерозом.</w:t>
      </w:r>
      <w:r w:rsidRPr="002C2F68">
        <w:rPr>
          <w:color w:val="404040"/>
          <w:shd w:val="clear" w:color="auto" w:fill="FFFFFF"/>
        </w:rPr>
        <w:t xml:space="preserve"> </w:t>
      </w:r>
      <w:r w:rsidRPr="002C2F68">
        <w:rPr>
          <w:i/>
          <w:iCs/>
          <w:color w:val="404040"/>
          <w:shd w:val="clear" w:color="auto" w:fill="FFFFFF"/>
        </w:rPr>
        <w:t>Сама ситуация вызова скорой помощи, волнение пациента, боль (если она есть) — являются стрессовыми факторами, которые закономерно повышают артериальное давление. После разрешения стрессовой ситуации давление часто снижается самостоятельно. Задача бригады — купировать острые, угрожающие жизни состояния, а не коррекция хронических заболеваний. Оптимальный подбор плановой гипотензивной терапии — это функция лечащего врача-терапевта или кардиолога в поликлинике</w:t>
      </w:r>
    </w:p>
    <w:p w14:paraId="2B280D22" w14:textId="77777777" w:rsidR="001F1F03" w:rsidRPr="00EB397A" w:rsidRDefault="00DF5B59" w:rsidP="00896495">
      <w:pPr>
        <w:pStyle w:val="affa"/>
        <w:spacing w:before="0" w:beforeAutospacing="0" w:after="0" w:afterAutospacing="0" w:line="360" w:lineRule="auto"/>
        <w:jc w:val="both"/>
      </w:pPr>
      <w:r w:rsidRPr="00EB397A">
        <w:rPr>
          <w:b/>
          <w:bCs/>
          <w:color w:val="000000"/>
        </w:rPr>
        <w:t>1.2</w:t>
      </w:r>
      <w:r w:rsidRPr="00EB397A">
        <w:rPr>
          <w:color w:val="231F20"/>
        </w:rPr>
        <w:t xml:space="preserve">– </w:t>
      </w:r>
      <w:r w:rsidR="001F1F03" w:rsidRPr="00EB397A">
        <w:rPr>
          <w:b/>
          <w:bCs/>
        </w:rPr>
        <w:t>При повышении систолического артериального давления более чем на 20 мм рт. ст. от привычного уровня</w:t>
      </w:r>
      <w:r w:rsidR="001F1F03" w:rsidRPr="00EB397A">
        <w:t xml:space="preserve"> рекомендуется назначить </w:t>
      </w:r>
      <w:r w:rsidR="001F1F03" w:rsidRPr="001F642A">
        <w:rPr>
          <w:b/>
          <w:bCs/>
        </w:rPr>
        <w:t xml:space="preserve">моксонидин </w:t>
      </w:r>
      <w:r w:rsidR="001F1F03" w:rsidRPr="00EB397A">
        <w:t>0,2 мг внутрь (при отсутствии признаков застойной хронической сердечной недостаточности) или каптоприл 12,5–25 мг внутрь.</w:t>
      </w:r>
    </w:p>
    <w:p w14:paraId="228B578A" w14:textId="7AEB9F94" w:rsidR="001F1F03" w:rsidRPr="002C2F68" w:rsidRDefault="001F1F03" w:rsidP="002C2F68">
      <w:pPr>
        <w:pStyle w:val="affa"/>
        <w:spacing w:before="0" w:beforeAutospacing="0" w:after="0" w:afterAutospacing="0" w:line="360" w:lineRule="auto"/>
        <w:jc w:val="both"/>
      </w:pPr>
      <w:r w:rsidRPr="00EB397A">
        <w:rPr>
          <w:b/>
          <w:bCs/>
        </w:rPr>
        <w:t>Важно:</w:t>
      </w:r>
      <w:r w:rsidRPr="00EB397A">
        <w:t xml:space="preserve"> максимальная суточная доза моксонидина составляет 0,6 мг, разделённая на два приёма.</w:t>
      </w:r>
      <w:r w:rsidR="0091408B" w:rsidRPr="00EB397A">
        <w:t xml:space="preserve"> [545]</w:t>
      </w:r>
    </w:p>
    <w:p w14:paraId="0198D765" w14:textId="1A0CCD75" w:rsidR="00EB397A" w:rsidRPr="00F03632" w:rsidRDefault="00EB397A" w:rsidP="00F03632">
      <w:pPr>
        <w:autoSpaceDE w:val="0"/>
        <w:autoSpaceDN w:val="0"/>
        <w:adjustRightInd w:val="0"/>
        <w:spacing w:after="0" w:line="360" w:lineRule="auto"/>
        <w:jc w:val="center"/>
        <w:rPr>
          <w:rStyle w:val="ac"/>
          <w:rFonts w:eastAsiaTheme="minorHAnsi"/>
          <w:kern w:val="0"/>
          <w:sz w:val="24"/>
          <w:szCs w:val="24"/>
          <w:u w:val="single"/>
          <w:lang w:eastAsia="ru-RU"/>
        </w:rPr>
      </w:pPr>
      <w:r w:rsidRPr="00F03632">
        <w:rPr>
          <w:rStyle w:val="ac"/>
          <w:rFonts w:eastAsiaTheme="majorEastAsia"/>
          <w:b/>
          <w:bCs/>
          <w:sz w:val="24"/>
          <w:szCs w:val="24"/>
          <w:u w:val="single"/>
        </w:rPr>
        <w:t>Альтернативная помощь на ДГЭ</w:t>
      </w:r>
      <w:r w:rsidR="00F03632" w:rsidRPr="00F03632">
        <w:rPr>
          <w:rStyle w:val="ac"/>
          <w:rFonts w:eastAsiaTheme="majorEastAsia"/>
          <w:b/>
          <w:bCs/>
          <w:sz w:val="24"/>
          <w:szCs w:val="24"/>
          <w:u w:val="single"/>
        </w:rPr>
        <w:t xml:space="preserve"> при </w:t>
      </w:r>
      <w:r w:rsidR="00F03632" w:rsidRPr="00F03632">
        <w:rPr>
          <w:rFonts w:eastAsia="Times New Roman" w:cs="Times New Roman"/>
          <w:b/>
          <w:bCs/>
          <w:kern w:val="0"/>
          <w:sz w:val="24"/>
          <w:szCs w:val="24"/>
          <w:u w:val="single"/>
          <w:lang w:eastAsia="ru-RU"/>
        </w:rPr>
        <w:t>гипертонической болезни (вне криза)</w:t>
      </w:r>
    </w:p>
    <w:p w14:paraId="62F780C4" w14:textId="7060FDCF" w:rsidR="00EB397A" w:rsidRPr="001F642A" w:rsidRDefault="00EB397A" w:rsidP="005C5214">
      <w:pPr>
        <w:pStyle w:val="ds-markdown-paragraph"/>
        <w:shd w:val="clear" w:color="auto" w:fill="FFFFFF"/>
        <w:spacing w:before="0" w:beforeAutospacing="0" w:after="0" w:afterAutospacing="0" w:line="360" w:lineRule="auto"/>
        <w:jc w:val="both"/>
        <w:rPr>
          <w:color w:val="0F1115"/>
        </w:rPr>
      </w:pPr>
      <w:r w:rsidRPr="00EB397A">
        <w:rPr>
          <w:rStyle w:val="aff9"/>
          <w:rFonts w:eastAsiaTheme="majorEastAsia"/>
          <w:color w:val="0F1115"/>
        </w:rPr>
        <w:lastRenderedPageBreak/>
        <w:t>Нифедипин (Коринфар)</w:t>
      </w:r>
      <w:r w:rsidRPr="00EB397A">
        <w:rPr>
          <w:color w:val="0F1115"/>
        </w:rPr>
        <w:t> — препарат первого выбора для купирования неосложненного ГК: 10–20 мг внутрь (</w:t>
      </w:r>
      <w:r w:rsidRPr="00EB397A">
        <w:rPr>
          <w:rStyle w:val="aff9"/>
          <w:rFonts w:eastAsiaTheme="majorEastAsia"/>
          <w:b w:val="0"/>
          <w:bCs w:val="0"/>
          <w:color w:val="0F1115"/>
        </w:rPr>
        <w:t>Эффект</w:t>
      </w:r>
      <w:r w:rsidRPr="00EB397A">
        <w:rPr>
          <w:color w:val="0F1115"/>
        </w:rPr>
        <w:t>: снижение АД начинается через 5–30 минут, продолжительность действия — 4–5 часов.)</w:t>
      </w:r>
      <w:r>
        <w:rPr>
          <w:color w:val="0F1115"/>
        </w:rPr>
        <w:t>.</w:t>
      </w:r>
      <w:r w:rsidRPr="00EB397A">
        <w:rPr>
          <w:rStyle w:val="aff9"/>
          <w:rFonts w:eastAsiaTheme="majorEastAsia"/>
          <w:b w:val="0"/>
          <w:bCs w:val="0"/>
          <w:color w:val="0F1115"/>
        </w:rPr>
        <w:t>Повторный прием</w:t>
      </w:r>
      <w:r w:rsidRPr="00EB397A">
        <w:rPr>
          <w:color w:val="0F1115"/>
        </w:rPr>
        <w:t>: при отсутствии эффекта через 30 минут возможен повторный прием той же дозы.</w:t>
      </w:r>
      <w:r>
        <w:rPr>
          <w:color w:val="0F1115"/>
        </w:rPr>
        <w:t xml:space="preserve"> </w:t>
      </w:r>
      <w:r w:rsidRPr="00EB397A">
        <w:rPr>
          <w:rStyle w:val="aff9"/>
          <w:rFonts w:eastAsiaTheme="majorEastAsia"/>
          <w:b w:val="0"/>
          <w:bCs w:val="0"/>
          <w:color w:val="0F1115"/>
        </w:rPr>
        <w:t>Цель терапии</w:t>
      </w:r>
      <w:r w:rsidRPr="00EB397A">
        <w:rPr>
          <w:b/>
          <w:bCs/>
          <w:color w:val="0F1115"/>
        </w:rPr>
        <w:t>:</w:t>
      </w:r>
      <w:r w:rsidRPr="00EB397A">
        <w:rPr>
          <w:color w:val="0F1115"/>
        </w:rPr>
        <w:t xml:space="preserve"> снизить АД на </w:t>
      </w:r>
      <w:r w:rsidRPr="00EB397A">
        <w:rPr>
          <w:rStyle w:val="aff9"/>
          <w:rFonts w:eastAsiaTheme="majorEastAsia"/>
          <w:b w:val="0"/>
          <w:bCs w:val="0"/>
          <w:color w:val="0F1115"/>
        </w:rPr>
        <w:t>20–25% от исходного уровня</w:t>
      </w:r>
      <w:r w:rsidRPr="00EB397A">
        <w:rPr>
          <w:color w:val="0F1115"/>
        </w:rPr>
        <w:t> в течение первого часа. Резкое снижение АД недопустимо.</w:t>
      </w:r>
      <w:r>
        <w:rPr>
          <w:color w:val="0F1115"/>
        </w:rPr>
        <w:t xml:space="preserve"> </w:t>
      </w:r>
      <w:r w:rsidRPr="00EB397A">
        <w:rPr>
          <w:rStyle w:val="aff9"/>
          <w:rFonts w:eastAsiaTheme="majorEastAsia"/>
          <w:b w:val="0"/>
          <w:bCs w:val="0"/>
          <w:color w:val="0F1115"/>
        </w:rPr>
        <w:t>Противопоказания к нифедипину</w:t>
      </w:r>
      <w:r w:rsidRPr="00EB397A">
        <w:rPr>
          <w:color w:val="0F1115"/>
        </w:rPr>
        <w:t>:</w:t>
      </w:r>
      <w:r>
        <w:rPr>
          <w:color w:val="0F1115"/>
        </w:rPr>
        <w:t xml:space="preserve"> </w:t>
      </w:r>
      <w:r w:rsidRPr="00EB397A">
        <w:rPr>
          <w:color w:val="0F1115"/>
        </w:rPr>
        <w:t>(Синдром слабости синусового узла,</w:t>
      </w:r>
      <w:r>
        <w:rPr>
          <w:color w:val="0F1115"/>
        </w:rPr>
        <w:t xml:space="preserve"> </w:t>
      </w:r>
      <w:r w:rsidRPr="00EB397A">
        <w:rPr>
          <w:color w:val="0F1115"/>
        </w:rPr>
        <w:t xml:space="preserve">Острая коронарная </w:t>
      </w:r>
      <w:r w:rsidRPr="001F642A">
        <w:rPr>
          <w:color w:val="0F1115"/>
        </w:rPr>
        <w:t>недостаточность (например, инфаркт миокарда), Тахиаритмии)</w:t>
      </w:r>
      <w:r w:rsidR="008A2AFD">
        <w:rPr>
          <w:color w:val="0F1115"/>
        </w:rPr>
        <w:t>.</w:t>
      </w:r>
    </w:p>
    <w:p w14:paraId="4C13B96B" w14:textId="7986E6B8" w:rsidR="00EB397A" w:rsidRPr="009C63CF" w:rsidRDefault="00EB397A" w:rsidP="009C63CF">
      <w:pPr>
        <w:pStyle w:val="ds-markdown-paragraph"/>
        <w:shd w:val="clear" w:color="auto" w:fill="FFFFFF"/>
        <w:spacing w:before="0" w:beforeAutospacing="0" w:after="0" w:afterAutospacing="0" w:line="360" w:lineRule="auto"/>
        <w:jc w:val="center"/>
        <w:rPr>
          <w:b/>
          <w:bCs/>
          <w:color w:val="0F1115"/>
        </w:rPr>
      </w:pPr>
      <w:r w:rsidRPr="009C63CF">
        <w:rPr>
          <w:b/>
          <w:bCs/>
          <w:color w:val="0F1115"/>
        </w:rPr>
        <w:t>при непереносимости или противопоказаниях к нифедипину:</w:t>
      </w:r>
    </w:p>
    <w:p w14:paraId="2BBD0C06" w14:textId="7BA1B181" w:rsidR="00EB397A" w:rsidRPr="001F642A" w:rsidRDefault="001F642A" w:rsidP="005C5214">
      <w:pPr>
        <w:pStyle w:val="ds-markdown-paragraph"/>
        <w:shd w:val="clear" w:color="auto" w:fill="FFFFFF"/>
        <w:spacing w:before="0" w:beforeAutospacing="0" w:after="0" w:afterAutospacing="0" w:line="360" w:lineRule="auto"/>
        <w:jc w:val="both"/>
        <w:rPr>
          <w:color w:val="0F1115"/>
        </w:rPr>
      </w:pPr>
      <w:r w:rsidRPr="001F642A">
        <w:rPr>
          <w:rStyle w:val="aff9"/>
          <w:rFonts w:eastAsiaTheme="majorEastAsia"/>
          <w:color w:val="0F1115"/>
        </w:rPr>
        <w:t>-</w:t>
      </w:r>
      <w:r w:rsidR="00EB397A" w:rsidRPr="001F642A">
        <w:rPr>
          <w:rStyle w:val="aff9"/>
          <w:rFonts w:eastAsiaTheme="majorEastAsia"/>
          <w:color w:val="0F1115"/>
        </w:rPr>
        <w:t>Каптоприл</w:t>
      </w:r>
      <w:r w:rsidR="00EB397A" w:rsidRPr="001F642A">
        <w:rPr>
          <w:color w:val="0F1115"/>
        </w:rPr>
        <w:t> (25 мг сублингвально или перорально),</w:t>
      </w:r>
    </w:p>
    <w:p w14:paraId="7BE60285" w14:textId="0B70D386" w:rsidR="00EB397A" w:rsidRPr="00F95388" w:rsidRDefault="001F642A" w:rsidP="005C5214">
      <w:pPr>
        <w:pStyle w:val="ds-markdown-paragraph"/>
        <w:shd w:val="clear" w:color="auto" w:fill="FFFFFF"/>
        <w:spacing w:before="0" w:beforeAutospacing="0" w:after="0" w:afterAutospacing="0" w:line="360" w:lineRule="auto"/>
        <w:jc w:val="both"/>
        <w:rPr>
          <w:color w:val="0F1115"/>
        </w:rPr>
      </w:pPr>
      <w:r w:rsidRPr="001F642A">
        <w:rPr>
          <w:rStyle w:val="aff9"/>
          <w:rFonts w:eastAsiaTheme="majorEastAsia"/>
          <w:color w:val="0F1115"/>
        </w:rPr>
        <w:t>-</w:t>
      </w:r>
      <w:r w:rsidR="00EB397A" w:rsidRPr="001F642A">
        <w:rPr>
          <w:rStyle w:val="aff9"/>
          <w:rFonts w:eastAsiaTheme="majorEastAsia"/>
          <w:color w:val="0F1115"/>
        </w:rPr>
        <w:t>Клонидин</w:t>
      </w:r>
      <w:r w:rsidR="00EB397A" w:rsidRPr="001F642A">
        <w:rPr>
          <w:color w:val="0F1115"/>
        </w:rPr>
        <w:t> (0,075–0,15 мг перорально) — с осторожностью, особенно у пациентов с брадикардией.</w:t>
      </w:r>
      <w:r w:rsidR="005C5214">
        <w:rPr>
          <w:color w:val="0F1115"/>
        </w:rPr>
        <w:t xml:space="preserve"> П</w:t>
      </w:r>
      <w:r w:rsidR="00EB397A" w:rsidRPr="001F642A">
        <w:rPr>
          <w:color w:val="0F1115"/>
        </w:rPr>
        <w:t>осле приема препарата необходимо контролировать АД каждые 15–20 минут в течение первого часа.</w:t>
      </w:r>
      <w:r w:rsidR="005C5214">
        <w:rPr>
          <w:color w:val="0F1115"/>
        </w:rPr>
        <w:t xml:space="preserve"> </w:t>
      </w:r>
      <w:r w:rsidR="00EB397A" w:rsidRPr="001F642A">
        <w:rPr>
          <w:rStyle w:val="aff9"/>
          <w:rFonts w:eastAsiaTheme="majorEastAsia"/>
          <w:b w:val="0"/>
          <w:bCs w:val="0"/>
          <w:color w:val="0F1115"/>
        </w:rPr>
        <w:t>При отсутствии эффекта</w:t>
      </w:r>
      <w:r w:rsidR="00EB397A" w:rsidRPr="001F642A">
        <w:rPr>
          <w:color w:val="0F1115"/>
        </w:rPr>
        <w:t> или ухудшении состояния (появление одышки, болей в груди, неврологической симптоматики) — показана </w:t>
      </w:r>
      <w:r w:rsidR="00EB397A" w:rsidRPr="001F642A">
        <w:rPr>
          <w:rStyle w:val="aff9"/>
          <w:rFonts w:eastAsiaTheme="majorEastAsia"/>
          <w:b w:val="0"/>
          <w:bCs w:val="0"/>
          <w:color w:val="0F1115"/>
        </w:rPr>
        <w:t>госпитализация</w:t>
      </w:r>
      <w:r w:rsidR="00EB397A" w:rsidRPr="001F642A">
        <w:rPr>
          <w:color w:val="0F1115"/>
        </w:rPr>
        <w:t> и парентеральная терапия.</w:t>
      </w:r>
      <w:r w:rsidR="005C5214" w:rsidRPr="005C5214">
        <w:rPr>
          <w:color w:val="0F1115"/>
        </w:rPr>
        <w:t xml:space="preserve"> </w:t>
      </w:r>
      <w:r w:rsidR="005C5214" w:rsidRPr="00F95388">
        <w:rPr>
          <w:color w:val="0F1115"/>
        </w:rPr>
        <w:t>[547]</w:t>
      </w:r>
    </w:p>
    <w:p w14:paraId="043FB065" w14:textId="3EFA91F4" w:rsidR="00EB397A" w:rsidRPr="001F642A" w:rsidRDefault="009C63CF" w:rsidP="005C5214">
      <w:pPr>
        <w:pStyle w:val="ds-markdown-paragraph"/>
        <w:shd w:val="clear" w:color="auto" w:fill="FFFFFF"/>
        <w:spacing w:before="0" w:beforeAutospacing="0" w:after="0" w:afterAutospacing="0" w:line="360" w:lineRule="auto"/>
        <w:jc w:val="both"/>
        <w:rPr>
          <w:rStyle w:val="ac"/>
          <w:rFonts w:eastAsiaTheme="majorEastAsia"/>
        </w:rPr>
      </w:pPr>
      <w:r w:rsidRPr="002C2F68">
        <w:rPr>
          <w:rStyle w:val="ac"/>
          <w:rFonts w:eastAsiaTheme="majorEastAsia"/>
          <w:b/>
          <w:bCs/>
        </w:rPr>
        <w:t xml:space="preserve">Уровень убедительности рекомендаций </w:t>
      </w:r>
      <w:r w:rsidRPr="002C2F68">
        <w:rPr>
          <w:rStyle w:val="ac"/>
          <w:rFonts w:eastAsiaTheme="majorEastAsia"/>
          <w:b/>
          <w:bCs/>
          <w:lang w:val="en-US"/>
        </w:rPr>
        <w:t>C</w:t>
      </w:r>
      <w:r w:rsidRPr="002C2F68">
        <w:rPr>
          <w:rStyle w:val="ac"/>
          <w:rFonts w:eastAsiaTheme="majorEastAsia"/>
          <w:b/>
          <w:bCs/>
        </w:rPr>
        <w:t xml:space="preserve">, </w:t>
      </w:r>
      <w:r w:rsidRPr="002C2F68">
        <w:rPr>
          <w:rStyle w:val="ac"/>
          <w:rFonts w:eastAsiaTheme="majorEastAsia"/>
        </w:rPr>
        <w:t>(</w:t>
      </w:r>
      <w:r w:rsidRPr="002C2F68">
        <w:rPr>
          <w:rStyle w:val="ac"/>
          <w:rFonts w:eastAsiaTheme="majorEastAsia"/>
          <w:b/>
          <w:bCs/>
        </w:rPr>
        <w:t>Уровень достоверности доказательств 5); ЕОК/ЕОАГ нет</w:t>
      </w:r>
      <w:r w:rsidR="008A2AFD">
        <w:rPr>
          <w:rStyle w:val="ac"/>
          <w:rFonts w:eastAsiaTheme="majorEastAsia"/>
          <w:b/>
          <w:bCs/>
        </w:rPr>
        <w:t>.</w:t>
      </w:r>
    </w:p>
    <w:p w14:paraId="0D9170A0" w14:textId="7A9603CC" w:rsidR="00CD1973" w:rsidRPr="002C2F68" w:rsidRDefault="00CD1973" w:rsidP="002C2F68">
      <w:pPr>
        <w:pStyle w:val="ds-markdown-paragraph"/>
        <w:shd w:val="clear" w:color="auto" w:fill="FFFFFF"/>
        <w:spacing w:before="0" w:beforeAutospacing="0" w:after="0" w:afterAutospacing="0" w:line="360" w:lineRule="auto"/>
        <w:jc w:val="both"/>
      </w:pPr>
      <w:r w:rsidRPr="002C2F68">
        <w:rPr>
          <w:b/>
          <w:bCs/>
          <w:color w:val="231F20"/>
        </w:rPr>
        <w:t>Комментарий:</w:t>
      </w:r>
      <w:r w:rsidRPr="002C2F68">
        <w:rPr>
          <w:color w:val="000000"/>
        </w:rPr>
        <w:t xml:space="preserve"> </w:t>
      </w:r>
      <w:r w:rsidRPr="002C2F68">
        <w:rPr>
          <w:i/>
          <w:iCs/>
          <w:color w:val="000000"/>
        </w:rPr>
        <w:t>Выбор и доза гипотензивного препарата определяются с учетом тех лекарственных средств, которые пациент принял до прибытия СМП и с учетом того промежутка времени, когда развива</w:t>
      </w:r>
      <w:r w:rsidRPr="002C2F68">
        <w:rPr>
          <w:i/>
          <w:iCs/>
          <w:color w:val="000000"/>
        </w:rPr>
        <w:softHyphen/>
        <w:t>ется начало эффекта и максимальный эффект всех препаратов.</w:t>
      </w:r>
      <w:r w:rsidR="00B37D69">
        <w:rPr>
          <w:i/>
          <w:iCs/>
          <w:color w:val="000000"/>
        </w:rPr>
        <w:t xml:space="preserve"> </w:t>
      </w:r>
      <w:r w:rsidRPr="002C2F68">
        <w:rPr>
          <w:i/>
          <w:iCs/>
          <w:color w:val="000000"/>
        </w:rPr>
        <w:t xml:space="preserve">При использовании гипотензивных средств у пожилых пациентов необходимо соблюдать осторожность: начальная доза может быть снижена по </w:t>
      </w:r>
      <w:r w:rsidRPr="002C2F68">
        <w:rPr>
          <w:i/>
          <w:iCs/>
        </w:rPr>
        <w:t>сравнению с рекомендуемой, поскольку чувствительность у пожилых пациентов к препаратам этого ряда часто изменена.</w:t>
      </w:r>
      <w:r w:rsidR="008B3B34" w:rsidRPr="002C2F68">
        <w:rPr>
          <w:i/>
          <w:iCs/>
        </w:rPr>
        <w:t xml:space="preserve"> </w:t>
      </w:r>
      <w:r w:rsidRPr="002C2F68">
        <w:rPr>
          <w:i/>
          <w:iCs/>
        </w:rPr>
        <w:t xml:space="preserve">Три ошибки при назначении гипотензивных препаратов: </w:t>
      </w:r>
    </w:p>
    <w:p w14:paraId="1F9A7521" w14:textId="77777777" w:rsidR="00CD1973" w:rsidRPr="002C2F68" w:rsidRDefault="00CD1973" w:rsidP="002C2F68">
      <w:pPr>
        <w:autoSpaceDE w:val="0"/>
        <w:autoSpaceDN w:val="0"/>
        <w:adjustRightInd w:val="0"/>
        <w:spacing w:after="0" w:line="360" w:lineRule="auto"/>
        <w:jc w:val="both"/>
        <w:rPr>
          <w:rFonts w:cs="Times New Roman"/>
          <w:i/>
          <w:iCs/>
          <w:kern w:val="0"/>
          <w:sz w:val="24"/>
          <w:szCs w:val="24"/>
        </w:rPr>
      </w:pPr>
      <w:r w:rsidRPr="002C2F68">
        <w:rPr>
          <w:rFonts w:cs="Times New Roman"/>
          <w:i/>
          <w:iCs/>
          <w:kern w:val="0"/>
          <w:sz w:val="24"/>
          <w:szCs w:val="24"/>
        </w:rPr>
        <w:t xml:space="preserve"> — применение при отсутствии достаточных показаний; </w:t>
      </w:r>
    </w:p>
    <w:p w14:paraId="038C4603" w14:textId="77777777" w:rsidR="00CD1973" w:rsidRPr="002C2F68" w:rsidRDefault="00CD1973" w:rsidP="002C2F68">
      <w:pPr>
        <w:autoSpaceDE w:val="0"/>
        <w:autoSpaceDN w:val="0"/>
        <w:adjustRightInd w:val="0"/>
        <w:spacing w:after="0" w:line="360" w:lineRule="auto"/>
        <w:jc w:val="both"/>
        <w:rPr>
          <w:rFonts w:cs="Times New Roman"/>
          <w:i/>
          <w:iCs/>
          <w:kern w:val="0"/>
          <w:sz w:val="24"/>
          <w:szCs w:val="24"/>
        </w:rPr>
      </w:pPr>
      <w:r w:rsidRPr="002C2F68">
        <w:rPr>
          <w:rFonts w:cs="Times New Roman"/>
          <w:i/>
          <w:iCs/>
          <w:kern w:val="0"/>
          <w:sz w:val="24"/>
          <w:szCs w:val="24"/>
        </w:rPr>
        <w:t>— применение в чрезмерной дозе;</w:t>
      </w:r>
    </w:p>
    <w:p w14:paraId="259FDDCF" w14:textId="77777777" w:rsidR="006D7888" w:rsidRPr="002C2F68" w:rsidRDefault="00CD1973" w:rsidP="002C2F68">
      <w:pPr>
        <w:autoSpaceDE w:val="0"/>
        <w:autoSpaceDN w:val="0"/>
        <w:adjustRightInd w:val="0"/>
        <w:spacing w:after="0" w:line="360" w:lineRule="auto"/>
        <w:jc w:val="both"/>
        <w:rPr>
          <w:rFonts w:cs="Times New Roman"/>
          <w:i/>
          <w:iCs/>
          <w:kern w:val="0"/>
          <w:sz w:val="24"/>
          <w:szCs w:val="24"/>
        </w:rPr>
      </w:pPr>
      <w:r w:rsidRPr="002C2F68">
        <w:rPr>
          <w:rFonts w:cs="Times New Roman"/>
          <w:i/>
          <w:iCs/>
          <w:kern w:val="0"/>
          <w:sz w:val="24"/>
          <w:szCs w:val="24"/>
        </w:rPr>
        <w:t xml:space="preserve"> — применение при наличии противопоказаний.</w:t>
      </w:r>
    </w:p>
    <w:p w14:paraId="7FBCE8FD" w14:textId="77777777" w:rsidR="008B3B34" w:rsidRPr="002C2F68" w:rsidRDefault="006D7888" w:rsidP="002C2F68">
      <w:pPr>
        <w:autoSpaceDE w:val="0"/>
        <w:autoSpaceDN w:val="0"/>
        <w:adjustRightInd w:val="0"/>
        <w:spacing w:after="0" w:line="360" w:lineRule="auto"/>
        <w:jc w:val="both"/>
        <w:rPr>
          <w:rFonts w:cs="Times New Roman"/>
          <w:i/>
          <w:iCs/>
          <w:sz w:val="24"/>
          <w:szCs w:val="24"/>
        </w:rPr>
      </w:pPr>
      <w:r w:rsidRPr="002C2F68">
        <w:rPr>
          <w:rFonts w:cs="Times New Roman"/>
          <w:i/>
          <w:iCs/>
          <w:sz w:val="24"/>
          <w:szCs w:val="24"/>
        </w:rPr>
        <w:t>Основная и предпочтительная альтернатива:</w:t>
      </w:r>
    </w:p>
    <w:p w14:paraId="4FB92AE4" w14:textId="3B5B7D05" w:rsidR="006D7888" w:rsidRPr="002C2F68" w:rsidRDefault="006D7888" w:rsidP="002C2F68">
      <w:pPr>
        <w:autoSpaceDE w:val="0"/>
        <w:autoSpaceDN w:val="0"/>
        <w:adjustRightInd w:val="0"/>
        <w:spacing w:after="0" w:line="360" w:lineRule="auto"/>
        <w:jc w:val="both"/>
        <w:rPr>
          <w:rFonts w:cs="Times New Roman"/>
          <w:i/>
          <w:iCs/>
          <w:kern w:val="0"/>
          <w:sz w:val="24"/>
          <w:szCs w:val="24"/>
        </w:rPr>
      </w:pPr>
      <w:r w:rsidRPr="002C2F68">
        <w:rPr>
          <w:rFonts w:cs="Times New Roman"/>
          <w:i/>
          <w:iCs/>
          <w:sz w:val="24"/>
          <w:szCs w:val="24"/>
        </w:rPr>
        <w:t xml:space="preserve"> </w:t>
      </w:r>
      <w:r w:rsidR="0091408B" w:rsidRPr="002C2F68">
        <w:rPr>
          <w:rFonts w:cs="Times New Roman"/>
          <w:i/>
          <w:iCs/>
          <w:sz w:val="24"/>
          <w:szCs w:val="24"/>
        </w:rPr>
        <w:tab/>
      </w:r>
      <w:r w:rsidRPr="002C2F68">
        <w:rPr>
          <w:rFonts w:cs="Times New Roman"/>
          <w:i/>
          <w:iCs/>
          <w:sz w:val="24"/>
          <w:szCs w:val="24"/>
        </w:rPr>
        <w:t>Каптоприл</w:t>
      </w:r>
      <w:r w:rsidR="008B3B34" w:rsidRPr="002C2F68">
        <w:rPr>
          <w:rFonts w:cs="Times New Roman"/>
          <w:i/>
          <w:iCs/>
          <w:kern w:val="0"/>
          <w:sz w:val="24"/>
          <w:szCs w:val="24"/>
        </w:rPr>
        <w:t>-</w:t>
      </w:r>
      <w:r w:rsidRPr="002C2F68">
        <w:rPr>
          <w:rFonts w:cs="Times New Roman"/>
          <w:i/>
          <w:iCs/>
          <w:sz w:val="24"/>
          <w:szCs w:val="24"/>
          <w:shd w:val="clear" w:color="auto" w:fill="FFFFFF"/>
        </w:rPr>
        <w:t>Это препарат из класса ингибиторов АПФ с быстрым началом действия (15-30 минут), предсказуемым эффектом и хорошо изученный для купирования неосложненных подъемов АД. Начинать </w:t>
      </w:r>
      <w:r w:rsidRPr="002C2F68">
        <w:rPr>
          <w:rStyle w:val="aff9"/>
          <w:rFonts w:cs="Times New Roman"/>
          <w:b w:val="0"/>
          <w:bCs w:val="0"/>
          <w:i/>
          <w:iCs/>
          <w:sz w:val="24"/>
          <w:szCs w:val="24"/>
          <w:shd w:val="clear" w:color="auto" w:fill="FFFFFF"/>
        </w:rPr>
        <w:t>всегда с дозы 12.5 мг</w:t>
      </w:r>
      <w:r w:rsidRPr="002C2F68">
        <w:rPr>
          <w:rFonts w:cs="Times New Roman"/>
          <w:i/>
          <w:iCs/>
          <w:sz w:val="24"/>
          <w:szCs w:val="24"/>
          <w:shd w:val="clear" w:color="auto" w:fill="FFFFFF"/>
        </w:rPr>
        <w:t> (полтаблетки, если таблетка 25 мг). Особенно это важно для пожилых пациентов и тех, кто никогда не принимал иАПФ (для исключения риска резкой гипотензии и "эффекта первой дозы"). Таблетку можно рассасывать под языком (сублингвально) или проглотить. Сублингвальный прием может ускорить наступление эффекта.</w:t>
      </w:r>
    </w:p>
    <w:p w14:paraId="4EDA2DDC" w14:textId="198FD047" w:rsidR="006D7888" w:rsidRPr="002C2F68" w:rsidRDefault="006D7888" w:rsidP="002C2F68">
      <w:pPr>
        <w:autoSpaceDE w:val="0"/>
        <w:autoSpaceDN w:val="0"/>
        <w:adjustRightInd w:val="0"/>
        <w:spacing w:after="0" w:line="360" w:lineRule="auto"/>
        <w:jc w:val="both"/>
        <w:rPr>
          <w:rFonts w:cs="Times New Roman"/>
          <w:i/>
          <w:iCs/>
          <w:sz w:val="24"/>
          <w:szCs w:val="24"/>
          <w:shd w:val="clear" w:color="auto" w:fill="FFFFFF"/>
        </w:rPr>
      </w:pPr>
      <w:r w:rsidRPr="002C2F68">
        <w:rPr>
          <w:rFonts w:cs="Times New Roman"/>
          <w:i/>
          <w:iCs/>
          <w:sz w:val="24"/>
          <w:szCs w:val="24"/>
          <w:shd w:val="clear" w:color="auto" w:fill="FFFFFF"/>
        </w:rPr>
        <w:lastRenderedPageBreak/>
        <w:t>Другие альтернативы:</w:t>
      </w:r>
    </w:p>
    <w:p w14:paraId="3D35EB04" w14:textId="35824644" w:rsidR="006D7888" w:rsidRPr="002C2F68" w:rsidRDefault="006D7888" w:rsidP="002C2F68">
      <w:pPr>
        <w:autoSpaceDE w:val="0"/>
        <w:autoSpaceDN w:val="0"/>
        <w:adjustRightInd w:val="0"/>
        <w:spacing w:after="0" w:line="360" w:lineRule="auto"/>
        <w:ind w:firstLine="708"/>
        <w:jc w:val="both"/>
        <w:rPr>
          <w:rFonts w:cs="Times New Roman"/>
          <w:i/>
          <w:iCs/>
          <w:kern w:val="0"/>
          <w:sz w:val="24"/>
          <w:szCs w:val="24"/>
        </w:rPr>
      </w:pPr>
      <w:r w:rsidRPr="002C2F68">
        <w:rPr>
          <w:rStyle w:val="aff9"/>
          <w:rFonts w:cs="Times New Roman"/>
          <w:b w:val="0"/>
          <w:bCs w:val="0"/>
          <w:i/>
          <w:iCs/>
          <w:sz w:val="24"/>
          <w:szCs w:val="24"/>
          <w:shd w:val="clear" w:color="auto" w:fill="FFFFFF"/>
        </w:rPr>
        <w:t xml:space="preserve">Нифедипин - </w:t>
      </w:r>
      <w:r w:rsidRPr="002C2F68">
        <w:rPr>
          <w:rFonts w:cs="Times New Roman"/>
          <w:i/>
          <w:iCs/>
          <w:sz w:val="24"/>
          <w:szCs w:val="24"/>
          <w:shd w:val="clear" w:color="auto" w:fill="FFFFFF"/>
        </w:rPr>
        <w:t>Резкое, неуправляемое падение АД, провокация ишемии миокарда и мозга. Эффективность низка при высокой ЧСС (&gt;85 уд/мин) и очень высоком АД (&gt;200/100 мм рт. ст.).</w:t>
      </w:r>
      <w:r w:rsidRPr="002C2F68">
        <w:rPr>
          <w:rStyle w:val="10"/>
          <w:rFonts w:ascii="Times New Roman" w:hAnsi="Times New Roman" w:cs="Times New Roman"/>
          <w:color w:val="auto"/>
          <w:sz w:val="24"/>
          <w:szCs w:val="24"/>
          <w:shd w:val="clear" w:color="auto" w:fill="FFFFFF"/>
        </w:rPr>
        <w:t xml:space="preserve"> </w:t>
      </w:r>
      <w:r w:rsidRPr="002C2F68">
        <w:rPr>
          <w:rStyle w:val="aff9"/>
          <w:rFonts w:cs="Times New Roman"/>
          <w:b w:val="0"/>
          <w:bCs w:val="0"/>
          <w:i/>
          <w:iCs/>
          <w:sz w:val="24"/>
          <w:szCs w:val="24"/>
          <w:shd w:val="clear" w:color="auto" w:fill="FFFFFF"/>
        </w:rPr>
        <w:t>Не является препаратом выбора</w:t>
      </w:r>
      <w:r w:rsidRPr="002C2F68">
        <w:rPr>
          <w:rFonts w:cs="Times New Roman"/>
          <w:i/>
          <w:iCs/>
          <w:sz w:val="24"/>
          <w:szCs w:val="24"/>
          <w:shd w:val="clear" w:color="auto" w:fill="FFFFFF"/>
        </w:rPr>
        <w:t> для купирования неосложненных подъемов АД на догоспитальном этапе из-за высокого риска осложнений.</w:t>
      </w:r>
    </w:p>
    <w:p w14:paraId="44E68509" w14:textId="517FDDED" w:rsidR="00DF5B59" w:rsidRPr="002C2F68" w:rsidRDefault="008D6E34" w:rsidP="002C2F68">
      <w:pPr>
        <w:autoSpaceDE w:val="0"/>
        <w:autoSpaceDN w:val="0"/>
        <w:adjustRightInd w:val="0"/>
        <w:spacing w:after="0" w:line="360" w:lineRule="auto"/>
        <w:ind w:firstLine="708"/>
        <w:jc w:val="both"/>
        <w:rPr>
          <w:rFonts w:cs="Times New Roman"/>
          <w:i/>
          <w:iCs/>
          <w:sz w:val="24"/>
          <w:szCs w:val="24"/>
          <w:shd w:val="clear" w:color="auto" w:fill="FFFFFF"/>
        </w:rPr>
      </w:pPr>
      <w:r w:rsidRPr="002C2F68">
        <w:rPr>
          <w:rStyle w:val="aff9"/>
          <w:rFonts w:cs="Times New Roman"/>
          <w:b w:val="0"/>
          <w:bCs w:val="0"/>
          <w:i/>
          <w:iCs/>
          <w:sz w:val="24"/>
          <w:szCs w:val="24"/>
          <w:shd w:val="clear" w:color="auto" w:fill="FFFFFF"/>
        </w:rPr>
        <w:t>Клонидин (Клофелин)</w:t>
      </w:r>
      <w:r w:rsidRPr="002C2F68">
        <w:rPr>
          <w:rFonts w:cs="Times New Roman"/>
          <w:b/>
          <w:bCs/>
          <w:i/>
          <w:iCs/>
          <w:sz w:val="24"/>
          <w:szCs w:val="24"/>
          <w:shd w:val="clear" w:color="auto" w:fill="FFFFFF"/>
        </w:rPr>
        <w:t> </w:t>
      </w:r>
      <w:r w:rsidRPr="002C2F68">
        <w:rPr>
          <w:rFonts w:cs="Times New Roman"/>
          <w:i/>
          <w:iCs/>
          <w:sz w:val="24"/>
          <w:szCs w:val="24"/>
          <w:shd w:val="clear" w:color="auto" w:fill="FFFFFF"/>
        </w:rPr>
        <w:t>- Имеет серьезные недостатки: выраженный седативный эффект, синдром отмены, непредсказуемость действия, кратковременное повышение АД при быстром в/в введении. Для рутинного купирования неосложненного подъема АД </w:t>
      </w:r>
      <w:r w:rsidRPr="002C2F68">
        <w:rPr>
          <w:rStyle w:val="aff9"/>
          <w:rFonts w:cs="Times New Roman"/>
          <w:b w:val="0"/>
          <w:bCs w:val="0"/>
          <w:i/>
          <w:iCs/>
          <w:sz w:val="24"/>
          <w:szCs w:val="24"/>
          <w:shd w:val="clear" w:color="auto" w:fill="FFFFFF"/>
        </w:rPr>
        <w:t>моксонидин и каптоприл предпочтительнее</w:t>
      </w:r>
      <w:r w:rsidRPr="002C2F68">
        <w:rPr>
          <w:rFonts w:cs="Times New Roman"/>
          <w:i/>
          <w:iCs/>
          <w:sz w:val="24"/>
          <w:szCs w:val="24"/>
          <w:shd w:val="clear" w:color="auto" w:fill="FFFFFF"/>
        </w:rPr>
        <w:t>.</w:t>
      </w:r>
    </w:p>
    <w:p w14:paraId="4899F913" w14:textId="77777777" w:rsidR="008D6E34" w:rsidRPr="002C2F68" w:rsidRDefault="008D6E34" w:rsidP="002C2F68">
      <w:pPr>
        <w:pStyle w:val="ds-markdown-paragraph"/>
        <w:shd w:val="clear" w:color="auto" w:fill="FFFFFF"/>
        <w:spacing w:before="0" w:beforeAutospacing="0" w:after="0" w:afterAutospacing="0" w:line="360" w:lineRule="auto"/>
        <w:ind w:firstLine="708"/>
        <w:jc w:val="both"/>
        <w:rPr>
          <w:i/>
          <w:iCs/>
          <w:shd w:val="clear" w:color="auto" w:fill="FFFFFF"/>
        </w:rPr>
      </w:pPr>
      <w:r w:rsidRPr="002C2F68">
        <w:rPr>
          <w:rStyle w:val="aff9"/>
          <w:rFonts w:eastAsiaTheme="majorEastAsia"/>
          <w:b w:val="0"/>
          <w:bCs w:val="0"/>
          <w:i/>
          <w:iCs/>
          <w:shd w:val="clear" w:color="auto" w:fill="FFFFFF"/>
        </w:rPr>
        <w:t xml:space="preserve">Бета-адреноблокаторы (Метопролол, </w:t>
      </w:r>
      <w:proofErr w:type="gramStart"/>
      <w:r w:rsidRPr="002C2F68">
        <w:rPr>
          <w:rStyle w:val="aff9"/>
          <w:rFonts w:eastAsiaTheme="majorEastAsia"/>
          <w:b w:val="0"/>
          <w:bCs w:val="0"/>
          <w:i/>
          <w:iCs/>
          <w:shd w:val="clear" w:color="auto" w:fill="FFFFFF"/>
        </w:rPr>
        <w:t>Пропранолол)</w:t>
      </w:r>
      <w:r w:rsidRPr="002C2F68">
        <w:rPr>
          <w:rStyle w:val="aff9"/>
          <w:b w:val="0"/>
          <w:bCs w:val="0"/>
          <w:i/>
          <w:iCs/>
          <w:shd w:val="clear" w:color="auto" w:fill="FFFFFF"/>
        </w:rPr>
        <w:t>-</w:t>
      </w:r>
      <w:proofErr w:type="gramEnd"/>
      <w:r w:rsidRPr="002C2F68">
        <w:rPr>
          <w:rStyle w:val="aff9"/>
          <w:i/>
          <w:iCs/>
          <w:shd w:val="clear" w:color="auto" w:fill="FFFFFF"/>
        </w:rPr>
        <w:t xml:space="preserve"> </w:t>
      </w:r>
      <w:r w:rsidRPr="002C2F68">
        <w:rPr>
          <w:i/>
          <w:iCs/>
        </w:rPr>
        <w:t>Показаны только в случае, если подъем АД сопровождается выраженной тахикардией (ЧСС &gt; 90-100 уд/мин).</w:t>
      </w:r>
      <w:r w:rsidRPr="002C2F68">
        <w:rPr>
          <w:rStyle w:val="aff9"/>
          <w:rFonts w:eastAsiaTheme="majorEastAsia"/>
          <w:i/>
          <w:iCs/>
        </w:rPr>
        <w:t xml:space="preserve"> </w:t>
      </w:r>
      <w:r w:rsidRPr="002C2F68">
        <w:rPr>
          <w:i/>
          <w:iCs/>
        </w:rPr>
        <w:t>Абсолютные противопоказания применения препаратов данной группы: Бронхиальная астма, ХОБЛ, брадикардия, AV-блокады.</w:t>
      </w:r>
      <w:r w:rsidRPr="002C2F68">
        <w:rPr>
          <w:i/>
          <w:iCs/>
          <w:shd w:val="clear" w:color="auto" w:fill="FFFFFF"/>
        </w:rPr>
        <w:t xml:space="preserve"> Не являются универсальными препаратами для снижения АД. Их применение должно быть обосновано сопутствующей тахиаритмией.</w:t>
      </w:r>
    </w:p>
    <w:p w14:paraId="11AF725E" w14:textId="77777777" w:rsidR="008D6E34" w:rsidRPr="002C2F68" w:rsidRDefault="008D6E34" w:rsidP="002C2F68">
      <w:pPr>
        <w:pStyle w:val="ds-markdown-paragraph"/>
        <w:shd w:val="clear" w:color="auto" w:fill="FFFFFF"/>
        <w:spacing w:before="0" w:beforeAutospacing="0" w:after="0" w:afterAutospacing="0" w:line="360" w:lineRule="auto"/>
        <w:ind w:firstLine="708"/>
        <w:jc w:val="both"/>
        <w:rPr>
          <w:rStyle w:val="aff9"/>
          <w:rFonts w:eastAsiaTheme="majorEastAsia"/>
          <w:i/>
          <w:iCs/>
        </w:rPr>
      </w:pPr>
      <w:r w:rsidRPr="002C2F68">
        <w:rPr>
          <w:rStyle w:val="aff9"/>
          <w:rFonts w:eastAsiaTheme="majorEastAsia"/>
          <w:b w:val="0"/>
          <w:bCs w:val="0"/>
          <w:i/>
          <w:iCs/>
          <w:shd w:val="clear" w:color="auto" w:fill="FFFFFF"/>
        </w:rPr>
        <w:t>Урапидил (Эбрантил)</w:t>
      </w:r>
      <w:r w:rsidRPr="002C2F68">
        <w:rPr>
          <w:b/>
          <w:bCs/>
          <w:i/>
          <w:iCs/>
          <w:shd w:val="clear" w:color="auto" w:fill="FFFFFF"/>
        </w:rPr>
        <w:t> </w:t>
      </w:r>
      <w:r w:rsidRPr="002C2F68">
        <w:rPr>
          <w:i/>
          <w:iCs/>
          <w:shd w:val="clear" w:color="auto" w:fill="FFFFFF"/>
        </w:rPr>
        <w:t>и</w:t>
      </w:r>
      <w:r w:rsidRPr="002C2F68">
        <w:rPr>
          <w:b/>
          <w:bCs/>
          <w:i/>
          <w:iCs/>
          <w:shd w:val="clear" w:color="auto" w:fill="FFFFFF"/>
        </w:rPr>
        <w:t> </w:t>
      </w:r>
      <w:r w:rsidRPr="002C2F68">
        <w:rPr>
          <w:rStyle w:val="aff9"/>
          <w:rFonts w:eastAsiaTheme="majorEastAsia"/>
          <w:b w:val="0"/>
          <w:bCs w:val="0"/>
          <w:i/>
          <w:iCs/>
          <w:shd w:val="clear" w:color="auto" w:fill="FFFFFF"/>
        </w:rPr>
        <w:t>Азаметония бромид (Пентамин)</w:t>
      </w:r>
      <w:r w:rsidRPr="002C2F68">
        <w:rPr>
          <w:b/>
          <w:bCs/>
          <w:i/>
          <w:iCs/>
          <w:shd w:val="clear" w:color="auto" w:fill="FFFFFF"/>
        </w:rPr>
        <w:t>:</w:t>
      </w:r>
      <w:r w:rsidRPr="002C2F68">
        <w:rPr>
          <w:shd w:val="clear" w:color="auto" w:fill="FFFFFF"/>
        </w:rPr>
        <w:t xml:space="preserve"> </w:t>
      </w:r>
      <w:r w:rsidRPr="002C2F68">
        <w:rPr>
          <w:i/>
          <w:iCs/>
          <w:shd w:val="clear" w:color="auto" w:fill="FFFFFF"/>
        </w:rPr>
        <w:t>парентеральные формы для в/в введения.</w:t>
      </w:r>
      <w:r w:rsidRPr="002C2F68">
        <w:rPr>
          <w:rStyle w:val="aff9"/>
          <w:rFonts w:eastAsiaTheme="majorEastAsia"/>
          <w:i/>
          <w:iCs/>
        </w:rPr>
        <w:t xml:space="preserve"> </w:t>
      </w:r>
    </w:p>
    <w:p w14:paraId="264CFCE9" w14:textId="68C7F13B" w:rsidR="008D6E34" w:rsidRPr="002C2F68" w:rsidRDefault="008D6E34" w:rsidP="002C2F68">
      <w:pPr>
        <w:pStyle w:val="ds-markdown-paragraph"/>
        <w:shd w:val="clear" w:color="auto" w:fill="FFFFFF"/>
        <w:spacing w:before="0" w:beforeAutospacing="0" w:after="0" w:afterAutospacing="0" w:line="360" w:lineRule="auto"/>
        <w:ind w:firstLine="708"/>
        <w:jc w:val="both"/>
        <w:rPr>
          <w:i/>
          <w:iCs/>
        </w:rPr>
      </w:pPr>
      <w:r w:rsidRPr="002C2F68">
        <w:rPr>
          <w:i/>
          <w:iCs/>
        </w:rPr>
        <w:t>Пентамин </w:t>
      </w:r>
      <w:r w:rsidR="00896495">
        <w:rPr>
          <w:i/>
          <w:iCs/>
        </w:rPr>
        <w:t>-</w:t>
      </w:r>
      <w:r w:rsidRPr="002C2F68">
        <w:rPr>
          <w:i/>
          <w:iCs/>
        </w:rPr>
        <w:t>обладает непредсказуемым эффектом и высоким риском ортостатической гипотензии, не рекомендуется для рутинного применения.</w:t>
      </w:r>
    </w:p>
    <w:p w14:paraId="67241BBC" w14:textId="5EE7E9E8" w:rsidR="008D6E34" w:rsidRPr="002B3CEE" w:rsidRDefault="008D6E34" w:rsidP="002C2F68">
      <w:pPr>
        <w:pStyle w:val="ds-markdown-paragraph"/>
        <w:shd w:val="clear" w:color="auto" w:fill="FFFFFF"/>
        <w:spacing w:before="0" w:beforeAutospacing="0" w:after="0" w:afterAutospacing="0" w:line="360" w:lineRule="auto"/>
        <w:ind w:firstLine="708"/>
        <w:jc w:val="both"/>
        <w:rPr>
          <w:i/>
          <w:iCs/>
          <w:shd w:val="clear" w:color="auto" w:fill="FFFFFF"/>
        </w:rPr>
      </w:pPr>
      <w:r w:rsidRPr="002C2F68">
        <w:rPr>
          <w:i/>
          <w:iCs/>
        </w:rPr>
        <w:t>Урапидил </w:t>
      </w:r>
      <w:r w:rsidR="00896495">
        <w:rPr>
          <w:i/>
          <w:iCs/>
        </w:rPr>
        <w:t>-</w:t>
      </w:r>
      <w:r w:rsidRPr="002C2F68">
        <w:rPr>
          <w:i/>
          <w:iCs/>
        </w:rPr>
        <w:t xml:space="preserve"> эффективный препарат для кризов, но требует в/в введения и контроля</w:t>
      </w:r>
      <w:r w:rsidRPr="002B3CEE">
        <w:rPr>
          <w:i/>
          <w:iCs/>
        </w:rPr>
        <w:t>, что не всегда удобно или необходимо при неосложненном подъеме АД.</w:t>
      </w:r>
    </w:p>
    <w:p w14:paraId="4DE992F9" w14:textId="735A92A9" w:rsidR="00F228F6" w:rsidRPr="002B3CEE" w:rsidRDefault="00F228F6" w:rsidP="002C2F68">
      <w:pPr>
        <w:pStyle w:val="ds-markdown-paragraph"/>
        <w:shd w:val="clear" w:color="auto" w:fill="FFFFFF"/>
        <w:spacing w:before="0" w:beforeAutospacing="0" w:after="0" w:afterAutospacing="0" w:line="360" w:lineRule="auto"/>
        <w:ind w:firstLine="708"/>
        <w:jc w:val="both"/>
        <w:rPr>
          <w:i/>
          <w:iCs/>
        </w:rPr>
      </w:pPr>
      <w:r w:rsidRPr="002B3CEE">
        <w:rPr>
          <w:rStyle w:val="aff9"/>
          <w:rFonts w:eastAsiaTheme="majorEastAsia"/>
          <w:b w:val="0"/>
          <w:bCs w:val="0"/>
          <w:i/>
          <w:iCs/>
          <w:shd w:val="clear" w:color="auto" w:fill="FFFFFF"/>
        </w:rPr>
        <w:t>Магния сульфат-</w:t>
      </w:r>
      <w:r w:rsidRPr="002B3CEE">
        <w:rPr>
          <w:rStyle w:val="aff9"/>
          <w:rFonts w:eastAsiaTheme="majorEastAsia"/>
          <w:i/>
          <w:iCs/>
          <w:shd w:val="clear" w:color="auto" w:fill="FFFFFF"/>
        </w:rPr>
        <w:t xml:space="preserve"> </w:t>
      </w:r>
      <w:r w:rsidR="00896495">
        <w:rPr>
          <w:i/>
          <w:iCs/>
        </w:rPr>
        <w:t>о</w:t>
      </w:r>
      <w:r w:rsidRPr="002B3CEE">
        <w:rPr>
          <w:i/>
          <w:iCs/>
        </w:rPr>
        <w:t>бладает очень слабым гипотензивным</w:t>
      </w:r>
      <w:r w:rsidR="00FE670E" w:rsidRPr="002B3CEE">
        <w:rPr>
          <w:i/>
          <w:iCs/>
        </w:rPr>
        <w:t xml:space="preserve"> действием</w:t>
      </w:r>
      <w:r w:rsidRPr="002B3CEE">
        <w:rPr>
          <w:i/>
          <w:iCs/>
        </w:rPr>
        <w:t>. Его основные показания к применению: ликвородинамические кризы, пируэтная тахикардия, преэклампсия/эклампсия, эпилептический статус, алкогольная абстиненция, запоры. Для планового снижения АД при неосложненной гипертензии он не предназначен и неэффективен.</w:t>
      </w:r>
    </w:p>
    <w:p w14:paraId="3867C7CA" w14:textId="74B9423F" w:rsidR="00B76FCE" w:rsidRPr="002B3CEE" w:rsidRDefault="00F228F6" w:rsidP="002C2F68">
      <w:pPr>
        <w:pStyle w:val="ds-markdown-paragraph"/>
        <w:shd w:val="clear" w:color="auto" w:fill="FFFFFF"/>
        <w:spacing w:before="0" w:beforeAutospacing="0" w:after="0" w:afterAutospacing="0" w:line="360" w:lineRule="auto"/>
        <w:ind w:firstLine="708"/>
        <w:jc w:val="both"/>
        <w:rPr>
          <w:i/>
          <w:iCs/>
        </w:rPr>
      </w:pPr>
      <w:r w:rsidRPr="002B3CEE">
        <w:rPr>
          <w:i/>
          <w:iCs/>
        </w:rPr>
        <w:t>Фуросемид</w:t>
      </w:r>
      <w:r w:rsidR="00896495">
        <w:rPr>
          <w:i/>
          <w:iCs/>
        </w:rPr>
        <w:t xml:space="preserve"> </w:t>
      </w:r>
      <w:r w:rsidRPr="002B3CEE">
        <w:rPr>
          <w:i/>
          <w:iCs/>
        </w:rPr>
        <w:t xml:space="preserve">- Более чем у 80% пациентов с </w:t>
      </w:r>
      <w:r w:rsidR="00FE670E" w:rsidRPr="002B3CEE">
        <w:rPr>
          <w:i/>
          <w:iCs/>
        </w:rPr>
        <w:t>артериальной гипертензией</w:t>
      </w:r>
      <w:r w:rsidRPr="002B3CEE">
        <w:rPr>
          <w:i/>
          <w:iCs/>
        </w:rPr>
        <w:t xml:space="preserve"> нет задержки жидкости, но имеется снижение объема циркулирующей крови (ОЦК). </w:t>
      </w:r>
    </w:p>
    <w:p w14:paraId="6C1BFCEE" w14:textId="4B17FC9A" w:rsidR="008D6E34" w:rsidRPr="002B3CEE" w:rsidRDefault="00F228F6" w:rsidP="002C2F68">
      <w:pPr>
        <w:pStyle w:val="ds-markdown-paragraph"/>
        <w:shd w:val="clear" w:color="auto" w:fill="FFFFFF"/>
        <w:spacing w:before="0" w:beforeAutospacing="0" w:after="0" w:afterAutospacing="0" w:line="360" w:lineRule="auto"/>
        <w:ind w:firstLine="708"/>
        <w:jc w:val="both"/>
        <w:rPr>
          <w:i/>
          <w:iCs/>
        </w:rPr>
      </w:pPr>
      <w:r w:rsidRPr="002B3CEE">
        <w:rPr>
          <w:i/>
          <w:iCs/>
        </w:rPr>
        <w:t xml:space="preserve">Введение фуросемида на этом </w:t>
      </w:r>
      <w:r w:rsidR="00B76FCE" w:rsidRPr="002B3CEE">
        <w:rPr>
          <w:i/>
          <w:iCs/>
        </w:rPr>
        <w:t>фоне: ещё</w:t>
      </w:r>
      <w:r w:rsidRPr="002B3CEE">
        <w:rPr>
          <w:i/>
          <w:iCs/>
        </w:rPr>
        <w:t xml:space="preserve"> больше снижает ОЦК. Вызывает потерю калия (гипокалиемию). Приводит к осложнениям: «рикошетные» гипертонические кризы (повторное повышение АД через несколько часов) и «постдиуретическая боль» в области сердца (из-за алкалоза и дефицита калия).</w:t>
      </w:r>
      <w:r w:rsidR="00FE670E" w:rsidRPr="002B3CEE">
        <w:rPr>
          <w:i/>
          <w:iCs/>
        </w:rPr>
        <w:t xml:space="preserve"> Основные показания к применению — это состояния, связанные с отечным синдромом (Сердечная астма и кардиогенный отек легких (основное показание). Массивные отеки при хронической сердечной недостаточности (ХСН), хронической почечной недостаточности (ХПН), циррозе печени. </w:t>
      </w:r>
      <w:r w:rsidR="00FE670E" w:rsidRPr="002B3CEE">
        <w:rPr>
          <w:i/>
          <w:iCs/>
        </w:rPr>
        <w:lastRenderedPageBreak/>
        <w:t>Проведение форсированного диуреза при острых отравлениях.).</w:t>
      </w:r>
      <w:r w:rsidR="00FE670E" w:rsidRPr="002B3CEE">
        <w:rPr>
          <w:b/>
          <w:bCs/>
        </w:rPr>
        <w:t xml:space="preserve"> </w:t>
      </w:r>
      <w:r w:rsidR="00FE670E" w:rsidRPr="002B3CEE">
        <w:t> </w:t>
      </w:r>
      <w:r w:rsidR="00FE670E" w:rsidRPr="002B3CEE">
        <w:rPr>
          <w:i/>
          <w:iCs/>
        </w:rPr>
        <w:t>Фуросемид можно применять при отеке легких на фоне преэклампсии и эклампсии у беременных</w:t>
      </w:r>
      <w:r w:rsidR="00C66127" w:rsidRPr="002B3CEE">
        <w:rPr>
          <w:i/>
          <w:iCs/>
        </w:rPr>
        <w:t>, это единственное показание для введения фуросемида при беременности</w:t>
      </w:r>
      <w:r w:rsidR="00FE670E" w:rsidRPr="002B3CEE">
        <w:rPr>
          <w:i/>
          <w:iCs/>
        </w:rPr>
        <w:t>.</w:t>
      </w:r>
    </w:p>
    <w:p w14:paraId="6999A4C0" w14:textId="77777777" w:rsidR="0091408B" w:rsidRPr="005C5214" w:rsidRDefault="00DF5B59" w:rsidP="002C2F68">
      <w:pPr>
        <w:pStyle w:val="affa"/>
        <w:spacing w:before="0" w:beforeAutospacing="0" w:after="0" w:afterAutospacing="0" w:line="360" w:lineRule="auto"/>
        <w:jc w:val="both"/>
        <w:rPr>
          <w:u w:val="single"/>
        </w:rPr>
      </w:pPr>
      <w:r w:rsidRPr="005C5214">
        <w:rPr>
          <w:b/>
          <w:bCs/>
          <w:color w:val="000000"/>
          <w:u w:val="single"/>
        </w:rPr>
        <w:t>2.</w:t>
      </w:r>
      <w:r w:rsidR="0091408B" w:rsidRPr="005C5214">
        <w:rPr>
          <w:rStyle w:val="aff9"/>
          <w:rFonts w:eastAsiaTheme="majorEastAsia"/>
          <w:u w:val="single"/>
        </w:rPr>
        <w:t xml:space="preserve"> Гипертонический криз</w:t>
      </w:r>
    </w:p>
    <w:p w14:paraId="78801496" w14:textId="12D59DB3" w:rsidR="0091408B" w:rsidRPr="00F95388" w:rsidRDefault="00DC7A5D" w:rsidP="002C2F68">
      <w:pPr>
        <w:pStyle w:val="affa"/>
        <w:spacing w:before="0" w:beforeAutospacing="0" w:after="0" w:afterAutospacing="0" w:line="360" w:lineRule="auto"/>
        <w:jc w:val="both"/>
      </w:pPr>
      <w:r w:rsidRPr="00F95388">
        <w:tab/>
      </w:r>
      <w:r w:rsidR="0091408B" w:rsidRPr="00F95388">
        <w:t xml:space="preserve">Снижение артериального давления должно проводиться </w:t>
      </w:r>
      <w:r w:rsidR="0091408B" w:rsidRPr="00F95388">
        <w:rPr>
          <w:rStyle w:val="aff9"/>
          <w:rFonts w:eastAsiaTheme="majorEastAsia"/>
          <w:b w:val="0"/>
          <w:bCs w:val="0"/>
        </w:rPr>
        <w:t>постепенно</w:t>
      </w:r>
      <w:r w:rsidR="0091408B" w:rsidRPr="00F95388">
        <w:rPr>
          <w:b/>
          <w:bCs/>
        </w:rPr>
        <w:t>:</w:t>
      </w:r>
    </w:p>
    <w:p w14:paraId="17D07DE2" w14:textId="3672C4D6" w:rsidR="0091408B" w:rsidRPr="00F95388" w:rsidRDefault="00DC7A5D" w:rsidP="002C2F68">
      <w:pPr>
        <w:pStyle w:val="affa"/>
        <w:spacing w:before="0" w:beforeAutospacing="0" w:after="0" w:afterAutospacing="0" w:line="360" w:lineRule="auto"/>
        <w:jc w:val="both"/>
      </w:pPr>
      <w:r w:rsidRPr="00F95388">
        <w:rPr>
          <w:rStyle w:val="aff9"/>
          <w:rFonts w:eastAsiaTheme="majorEastAsia"/>
          <w:b w:val="0"/>
          <w:bCs w:val="0"/>
        </w:rPr>
        <w:t xml:space="preserve">Таб. </w:t>
      </w:r>
      <w:r w:rsidR="0091408B" w:rsidRPr="00F95388">
        <w:rPr>
          <w:rStyle w:val="aff9"/>
          <w:rFonts w:eastAsiaTheme="majorEastAsia"/>
          <w:b w:val="0"/>
          <w:bCs w:val="0"/>
        </w:rPr>
        <w:t>Моксонидин</w:t>
      </w:r>
      <w:r w:rsidR="0091408B" w:rsidRPr="00F95388">
        <w:t xml:space="preserve"> 0,2–0,4 мг внутрь (при отсутствии признаков застойной хронической сердечной недостаточности)</w:t>
      </w:r>
    </w:p>
    <w:p w14:paraId="08BC8822" w14:textId="3FF5094E" w:rsidR="0091408B" w:rsidRPr="00F95388" w:rsidRDefault="00DC7A5D" w:rsidP="002C2F68">
      <w:pPr>
        <w:pStyle w:val="affa"/>
        <w:spacing w:before="0" w:beforeAutospacing="0" w:after="0" w:afterAutospacing="0" w:line="360" w:lineRule="auto"/>
        <w:jc w:val="both"/>
      </w:pPr>
      <w:r w:rsidRPr="00F95388">
        <w:rPr>
          <w:rStyle w:val="aff9"/>
          <w:rFonts w:eastAsiaTheme="majorEastAsia"/>
          <w:b w:val="0"/>
          <w:bCs w:val="0"/>
        </w:rPr>
        <w:t xml:space="preserve">Таб. </w:t>
      </w:r>
      <w:r w:rsidR="0091408B" w:rsidRPr="00F95388">
        <w:rPr>
          <w:rStyle w:val="aff9"/>
          <w:rFonts w:eastAsiaTheme="majorEastAsia"/>
          <w:b w:val="0"/>
          <w:bCs w:val="0"/>
        </w:rPr>
        <w:t>Каптоприл</w:t>
      </w:r>
      <w:r w:rsidR="0091408B" w:rsidRPr="00F95388">
        <w:t xml:space="preserve"> 12,5–25 мг внутрь</w:t>
      </w:r>
    </w:p>
    <w:p w14:paraId="7991A1B2" w14:textId="77777777" w:rsidR="0091408B" w:rsidRPr="00F95388" w:rsidRDefault="0091408B" w:rsidP="002C2F68">
      <w:pPr>
        <w:pStyle w:val="affa"/>
        <w:spacing w:before="0" w:beforeAutospacing="0" w:after="0" w:afterAutospacing="0" w:line="360" w:lineRule="auto"/>
        <w:jc w:val="both"/>
      </w:pPr>
      <w:r w:rsidRPr="00F95388">
        <w:rPr>
          <w:rStyle w:val="aff9"/>
          <w:rFonts w:eastAsiaTheme="majorEastAsia"/>
        </w:rPr>
        <w:t>Внимание:</w:t>
      </w:r>
      <w:r w:rsidRPr="00F95388">
        <w:t xml:space="preserve"> максимальная суточная доза моксонидина составляет 0,6 мг, разделённая на два приёма.</w:t>
      </w:r>
    </w:p>
    <w:p w14:paraId="21E9B0F0" w14:textId="77777777" w:rsidR="0091408B" w:rsidRPr="00F95388" w:rsidRDefault="0091408B" w:rsidP="002C2F68">
      <w:pPr>
        <w:pStyle w:val="affa"/>
        <w:spacing w:before="0" w:beforeAutospacing="0" w:after="0" w:afterAutospacing="0" w:line="360" w:lineRule="auto"/>
        <w:ind w:firstLine="360"/>
        <w:jc w:val="both"/>
      </w:pPr>
      <w:r w:rsidRPr="00F95388">
        <w:t>При отсутствии эффекта (снижение АД менее чем на 15–25% от исходного уровня) назначается парентеральная терапия:</w:t>
      </w:r>
    </w:p>
    <w:p w14:paraId="489DE585" w14:textId="45FC620D" w:rsidR="0091408B" w:rsidRPr="00F95388" w:rsidRDefault="00DC7A5D" w:rsidP="002C2F68">
      <w:pPr>
        <w:pStyle w:val="affa"/>
        <w:spacing w:before="0" w:beforeAutospacing="0" w:after="0" w:afterAutospacing="0" w:line="360" w:lineRule="auto"/>
        <w:jc w:val="both"/>
      </w:pPr>
      <w:r w:rsidRPr="00F95388">
        <w:rPr>
          <w:rStyle w:val="aff9"/>
          <w:rFonts w:eastAsiaTheme="majorEastAsia"/>
          <w:b w:val="0"/>
          <w:bCs w:val="0"/>
        </w:rPr>
        <w:t xml:space="preserve">Р-р. </w:t>
      </w:r>
      <w:r w:rsidR="0091408B" w:rsidRPr="00F95388">
        <w:rPr>
          <w:rStyle w:val="aff9"/>
          <w:rFonts w:eastAsiaTheme="majorEastAsia"/>
          <w:b w:val="0"/>
          <w:bCs w:val="0"/>
        </w:rPr>
        <w:t>Урапидил</w:t>
      </w:r>
      <w:r w:rsidR="0091408B" w:rsidRPr="00F95388">
        <w:rPr>
          <w:b/>
          <w:bCs/>
        </w:rPr>
        <w:t xml:space="preserve"> </w:t>
      </w:r>
      <w:r w:rsidR="0091408B" w:rsidRPr="00F95388">
        <w:t>25 мг (5 мл) разводят 10 мл 0,9% раствора хлорида натрия. В течение 5 минут внутривенно вводят половину раствора (12,5 мг, 2,5 мл).</w:t>
      </w:r>
    </w:p>
    <w:p w14:paraId="5D551951" w14:textId="0F86EB45" w:rsidR="0091408B" w:rsidRPr="00F95388" w:rsidRDefault="00DC7A5D" w:rsidP="002C2F68">
      <w:pPr>
        <w:pStyle w:val="affa"/>
        <w:spacing w:before="0" w:beforeAutospacing="0" w:after="0" w:afterAutospacing="0" w:line="360" w:lineRule="auto"/>
        <w:jc w:val="both"/>
      </w:pPr>
      <w:r w:rsidRPr="00F95388">
        <w:rPr>
          <w:rStyle w:val="aff9"/>
          <w:rFonts w:eastAsiaTheme="majorEastAsia"/>
          <w:b w:val="0"/>
          <w:bCs w:val="0"/>
        </w:rPr>
        <w:t xml:space="preserve">Р-р. </w:t>
      </w:r>
      <w:r w:rsidR="0091408B" w:rsidRPr="00F95388">
        <w:rPr>
          <w:rStyle w:val="aff9"/>
          <w:rFonts w:eastAsiaTheme="majorEastAsia"/>
          <w:b w:val="0"/>
          <w:bCs w:val="0"/>
        </w:rPr>
        <w:t>Эналаприлат</w:t>
      </w:r>
      <w:r w:rsidR="0091408B" w:rsidRPr="00F95388">
        <w:t xml:space="preserve"> 1,25 мг (1 мл) внутривенно — альтернатива при необходимости.</w:t>
      </w:r>
    </w:p>
    <w:p w14:paraId="4CB5A27A" w14:textId="164CC40C" w:rsidR="00DF5B59" w:rsidRDefault="0091408B" w:rsidP="002C2F68">
      <w:pPr>
        <w:pStyle w:val="affa"/>
        <w:spacing w:before="0" w:beforeAutospacing="0" w:after="0" w:afterAutospacing="0" w:line="360" w:lineRule="auto"/>
        <w:ind w:firstLine="360"/>
        <w:jc w:val="both"/>
        <w:rPr>
          <w:color w:val="231F20"/>
        </w:rPr>
      </w:pPr>
      <w:r w:rsidRPr="00F95388">
        <w:t xml:space="preserve">Если достигается снижение АД на 15–25% от исходного уровня, введение урапидила прекращается, чтобы не допустить резкого падения давления. Если через 5–7 минут после введения первой половины раствора снижение АД остаётся недостаточным, вводят вторую половину </w:t>
      </w:r>
      <w:r w:rsidR="002B3CEE" w:rsidRPr="00F95388">
        <w:t>раствора.</w:t>
      </w:r>
      <w:r w:rsidR="002B3CEE" w:rsidRPr="00F95388">
        <w:rPr>
          <w:color w:val="231F20"/>
        </w:rPr>
        <w:t xml:space="preserve"> [</w:t>
      </w:r>
      <w:r w:rsidR="00311F9D" w:rsidRPr="00F95388">
        <w:rPr>
          <w:color w:val="231F20"/>
        </w:rPr>
        <w:t>541</w:t>
      </w:r>
      <w:r w:rsidR="00C0383B" w:rsidRPr="00F95388">
        <w:rPr>
          <w:color w:val="231F20"/>
        </w:rPr>
        <w:t>,545</w:t>
      </w:r>
      <w:r w:rsidR="00311F9D" w:rsidRPr="00F95388">
        <w:rPr>
          <w:color w:val="231F20"/>
        </w:rPr>
        <w:t>]</w:t>
      </w:r>
    </w:p>
    <w:p w14:paraId="57C4907C" w14:textId="56900F97" w:rsidR="00F95388" w:rsidRDefault="00F95388" w:rsidP="00F95388">
      <w:pPr>
        <w:pStyle w:val="ds-markdown-paragraph"/>
        <w:shd w:val="clear" w:color="auto" w:fill="FFFFFF"/>
        <w:spacing w:before="0" w:beforeAutospacing="0" w:after="0" w:afterAutospacing="0" w:line="360" w:lineRule="auto"/>
        <w:jc w:val="center"/>
        <w:rPr>
          <w:rStyle w:val="ac"/>
          <w:rFonts w:eastAsiaTheme="majorEastAsia"/>
          <w:b/>
          <w:bCs/>
          <w:u w:val="single"/>
        </w:rPr>
      </w:pPr>
      <w:r w:rsidRPr="001F642A">
        <w:rPr>
          <w:rStyle w:val="ac"/>
          <w:rFonts w:eastAsiaTheme="majorEastAsia"/>
          <w:b/>
          <w:bCs/>
          <w:u w:val="single"/>
        </w:rPr>
        <w:t>Альтернативная помощь на ДГЭ</w:t>
      </w:r>
      <w:r w:rsidR="00F03632">
        <w:rPr>
          <w:rStyle w:val="ac"/>
          <w:rFonts w:eastAsiaTheme="majorEastAsia"/>
          <w:b/>
          <w:bCs/>
          <w:u w:val="single"/>
        </w:rPr>
        <w:t xml:space="preserve"> при гипертоническом кризе не осложненном</w:t>
      </w:r>
    </w:p>
    <w:p w14:paraId="7287D639" w14:textId="77777777" w:rsidR="007A5EB5" w:rsidRDefault="00F95388" w:rsidP="007A5EB5">
      <w:pPr>
        <w:pStyle w:val="ds-markdown-paragraph"/>
        <w:shd w:val="clear" w:color="auto" w:fill="FFFFFF"/>
        <w:spacing w:before="0" w:beforeAutospacing="0" w:after="0" w:afterAutospacing="0" w:line="360" w:lineRule="auto"/>
        <w:ind w:firstLine="708"/>
        <w:jc w:val="both"/>
        <w:rPr>
          <w:rFonts w:eastAsiaTheme="majorEastAsia"/>
          <w:b/>
          <w:bCs/>
          <w:u w:val="single"/>
        </w:rPr>
      </w:pPr>
      <w:r w:rsidRPr="00F95388">
        <w:rPr>
          <w:color w:val="0F1115"/>
        </w:rPr>
        <w:t xml:space="preserve">Пероральная терапия (для неосложнённых </w:t>
      </w:r>
      <w:r w:rsidR="007A5EB5" w:rsidRPr="00F95388">
        <w:rPr>
          <w:color w:val="0F1115"/>
        </w:rPr>
        <w:t>кризов) (</w:t>
      </w:r>
      <w:r w:rsidRPr="007A5EB5">
        <w:rPr>
          <w:rStyle w:val="aff9"/>
          <w:rFonts w:eastAsiaTheme="majorEastAsia"/>
          <w:color w:val="0F1115"/>
        </w:rPr>
        <w:t>Нифедипин</w:t>
      </w:r>
      <w:r w:rsidRPr="00F95388">
        <w:rPr>
          <w:rStyle w:val="aff9"/>
          <w:b w:val="0"/>
          <w:bCs w:val="0"/>
          <w:color w:val="0F1115"/>
        </w:rPr>
        <w:t xml:space="preserve"> - </w:t>
      </w:r>
      <w:r w:rsidRPr="00F95388">
        <w:rPr>
          <w:color w:val="0F1115"/>
        </w:rPr>
        <w:t>Блокатор кальциевых каналов, периферический вазодилататор. 10-20 мг перорально (разжевать</w:t>
      </w:r>
      <w:r w:rsidR="007A5EB5" w:rsidRPr="00F95388">
        <w:rPr>
          <w:color w:val="0F1115"/>
        </w:rPr>
        <w:t>). Классический</w:t>
      </w:r>
      <w:r w:rsidRPr="00F95388">
        <w:rPr>
          <w:color w:val="0F1115"/>
        </w:rPr>
        <w:t xml:space="preserve"> препарат для купирования неосложнённых кризов. Эффект наступает через 15-30 минут. </w:t>
      </w:r>
      <w:r w:rsidRPr="00F95388">
        <w:rPr>
          <w:rStyle w:val="aff9"/>
          <w:rFonts w:eastAsiaTheme="majorEastAsia"/>
          <w:b w:val="0"/>
          <w:bCs w:val="0"/>
          <w:color w:val="0F1115"/>
        </w:rPr>
        <w:t>С осторожностью</w:t>
      </w:r>
      <w:r w:rsidRPr="007A5EB5">
        <w:rPr>
          <w:color w:val="0F1115"/>
        </w:rPr>
        <w:t xml:space="preserve"> </w:t>
      </w:r>
      <w:r w:rsidRPr="00F95388">
        <w:rPr>
          <w:color w:val="0F1115"/>
        </w:rPr>
        <w:t>при остром коронарном синдроме и выраженной тахикардии.</w:t>
      </w:r>
    </w:p>
    <w:p w14:paraId="1557B69A" w14:textId="77777777" w:rsidR="007A5EB5" w:rsidRDefault="00F95388" w:rsidP="007A5EB5">
      <w:pPr>
        <w:pStyle w:val="ds-markdown-paragraph"/>
        <w:shd w:val="clear" w:color="auto" w:fill="FFFFFF"/>
        <w:spacing w:before="0" w:beforeAutospacing="0" w:after="0" w:afterAutospacing="0" w:line="360" w:lineRule="auto"/>
        <w:ind w:firstLine="708"/>
        <w:jc w:val="both"/>
        <w:rPr>
          <w:rFonts w:eastAsiaTheme="majorEastAsia"/>
          <w:b/>
          <w:bCs/>
          <w:u w:val="single"/>
        </w:rPr>
      </w:pPr>
      <w:r w:rsidRPr="00F95388">
        <w:rPr>
          <w:rStyle w:val="aff9"/>
          <w:rFonts w:eastAsiaTheme="majorEastAsia"/>
          <w:color w:val="0F1115"/>
        </w:rPr>
        <w:t>Клонидин (Клофелин)</w:t>
      </w:r>
      <w:r w:rsidR="007A5EB5" w:rsidRPr="007A5EB5">
        <w:rPr>
          <w:rFonts w:eastAsiaTheme="majorEastAsia"/>
          <w:b/>
          <w:bCs/>
        </w:rPr>
        <w:t xml:space="preserve"> -</w:t>
      </w:r>
      <w:r w:rsidRPr="00F95388">
        <w:rPr>
          <w:color w:val="0F1115"/>
        </w:rPr>
        <w:t>Стимулятор центральных α₂-адренорецепторов.</w:t>
      </w:r>
      <w:r w:rsidR="007A5EB5" w:rsidRPr="007A5EB5">
        <w:rPr>
          <w:rFonts w:eastAsiaTheme="majorEastAsia"/>
          <w:b/>
          <w:bCs/>
        </w:rPr>
        <w:t xml:space="preserve"> </w:t>
      </w:r>
      <w:r w:rsidRPr="00F95388">
        <w:rPr>
          <w:color w:val="0F1115"/>
        </w:rPr>
        <w:t>0,075-0,15 мг перорально.</w:t>
      </w:r>
      <w:r w:rsidR="007A5EB5" w:rsidRPr="00F03632">
        <w:rPr>
          <w:color w:val="0F1115"/>
        </w:rPr>
        <w:t xml:space="preserve"> </w:t>
      </w:r>
      <w:r w:rsidRPr="00F95388">
        <w:rPr>
          <w:color w:val="0F1115"/>
        </w:rPr>
        <w:t>Эффект развивается через 30-60 минут. Противопоказан при брадикардии, AV-блокадах, синдроме слабости синусового узла. Характерен синдром отмены.</w:t>
      </w:r>
    </w:p>
    <w:p w14:paraId="55354E0F" w14:textId="0BE6F18F" w:rsidR="009F5C98" w:rsidRDefault="00F95388" w:rsidP="009F5C98">
      <w:pPr>
        <w:pStyle w:val="ds-markdown-paragraph"/>
        <w:shd w:val="clear" w:color="auto" w:fill="FFFFFF"/>
        <w:spacing w:before="0" w:beforeAutospacing="0" w:after="0" w:afterAutospacing="0" w:line="360" w:lineRule="auto"/>
        <w:ind w:firstLine="708"/>
        <w:jc w:val="both"/>
        <w:rPr>
          <w:rFonts w:eastAsiaTheme="majorEastAsia"/>
          <w:b/>
          <w:bCs/>
          <w:u w:val="single"/>
        </w:rPr>
      </w:pPr>
      <w:r w:rsidRPr="00F95388">
        <w:rPr>
          <w:rStyle w:val="aff9"/>
          <w:rFonts w:eastAsiaTheme="majorEastAsia"/>
          <w:color w:val="0F1115"/>
        </w:rPr>
        <w:t>Пропранолол (Анаприлин)</w:t>
      </w:r>
      <w:r w:rsidR="007A5EB5" w:rsidRPr="007A5EB5">
        <w:rPr>
          <w:rFonts w:eastAsiaTheme="majorEastAsia"/>
          <w:b/>
          <w:bCs/>
        </w:rPr>
        <w:t>-</w:t>
      </w:r>
      <w:r w:rsidRPr="00F95388">
        <w:rPr>
          <w:color w:val="0F1115"/>
        </w:rPr>
        <w:t>Неселективный β-адреноблокатор.</w:t>
      </w:r>
      <w:r w:rsidR="007A5EB5" w:rsidRPr="007A5EB5">
        <w:rPr>
          <w:rFonts w:eastAsiaTheme="majorEastAsia"/>
          <w:b/>
          <w:bCs/>
        </w:rPr>
        <w:t xml:space="preserve"> </w:t>
      </w:r>
      <w:r w:rsidRPr="00F95388">
        <w:rPr>
          <w:color w:val="0F1115"/>
        </w:rPr>
        <w:t>20-40 мг перорально.</w:t>
      </w:r>
      <w:r w:rsidR="000A451A" w:rsidRPr="000A451A">
        <w:rPr>
          <w:rFonts w:eastAsiaTheme="majorEastAsia"/>
          <w:b/>
          <w:bCs/>
        </w:rPr>
        <w:t xml:space="preserve"> </w:t>
      </w:r>
      <w:r w:rsidRPr="00F95388">
        <w:rPr>
          <w:color w:val="0F1115"/>
        </w:rPr>
        <w:t>Показан при кризе, сопровождающимся тахикардией, тахиаритмией. </w:t>
      </w:r>
      <w:r w:rsidRPr="007A5EB5">
        <w:rPr>
          <w:rStyle w:val="aff9"/>
          <w:rFonts w:eastAsiaTheme="majorEastAsia"/>
          <w:b w:val="0"/>
          <w:bCs w:val="0"/>
          <w:color w:val="0F1115"/>
        </w:rPr>
        <w:t>Строго противопоказан</w:t>
      </w:r>
      <w:r w:rsidRPr="00F95388">
        <w:rPr>
          <w:color w:val="0F1115"/>
        </w:rPr>
        <w:t> при острой левожелудочковой недостаточности (отёке лёгких), бронхообструктивных заболеваниях.</w:t>
      </w:r>
      <w:r w:rsidR="000A451A" w:rsidRPr="000A451A">
        <w:rPr>
          <w:color w:val="0F1115"/>
        </w:rPr>
        <w:t xml:space="preserve"> </w:t>
      </w:r>
      <w:r w:rsidR="000A451A" w:rsidRPr="00F95388">
        <w:rPr>
          <w:color w:val="0F1115"/>
        </w:rPr>
        <w:t>[547]</w:t>
      </w:r>
    </w:p>
    <w:p w14:paraId="3D36C100" w14:textId="77777777" w:rsidR="009F5C98" w:rsidRDefault="00F95388" w:rsidP="009F5C98">
      <w:pPr>
        <w:pStyle w:val="ds-markdown-paragraph"/>
        <w:shd w:val="clear" w:color="auto" w:fill="FFFFFF"/>
        <w:spacing w:before="0" w:beforeAutospacing="0" w:after="0" w:afterAutospacing="0" w:line="360" w:lineRule="auto"/>
        <w:ind w:firstLine="708"/>
        <w:jc w:val="center"/>
        <w:rPr>
          <w:rFonts w:eastAsiaTheme="majorEastAsia"/>
          <w:b/>
          <w:bCs/>
          <w:u w:val="single"/>
        </w:rPr>
      </w:pPr>
      <w:r w:rsidRPr="009F5C98">
        <w:rPr>
          <w:b/>
          <w:bCs/>
          <w:color w:val="0F1115"/>
        </w:rPr>
        <w:t>Парентеральная терапия (для осложнённых кризов или при неэффективности пероральных средств)</w:t>
      </w:r>
    </w:p>
    <w:p w14:paraId="11274EB1" w14:textId="2BCA061A" w:rsidR="009F5C98" w:rsidRDefault="00F95388" w:rsidP="009F5C98">
      <w:pPr>
        <w:pStyle w:val="ds-markdown-paragraph"/>
        <w:shd w:val="clear" w:color="auto" w:fill="FFFFFF"/>
        <w:spacing w:before="0" w:beforeAutospacing="0" w:after="0" w:afterAutospacing="0" w:line="360" w:lineRule="auto"/>
        <w:ind w:firstLine="708"/>
        <w:jc w:val="both"/>
        <w:rPr>
          <w:color w:val="0F1115"/>
        </w:rPr>
      </w:pPr>
      <w:r w:rsidRPr="00F95388">
        <w:rPr>
          <w:rStyle w:val="aff9"/>
          <w:rFonts w:eastAsiaTheme="majorEastAsia"/>
          <w:color w:val="0F1115"/>
        </w:rPr>
        <w:lastRenderedPageBreak/>
        <w:t xml:space="preserve"> Нитроглицерин</w:t>
      </w:r>
      <w:r w:rsidR="009F5C98">
        <w:rPr>
          <w:rStyle w:val="aff9"/>
          <w:rFonts w:eastAsiaTheme="majorEastAsia"/>
          <w:color w:val="0F1115"/>
        </w:rPr>
        <w:t xml:space="preserve"> - </w:t>
      </w:r>
      <w:r w:rsidRPr="00F95388">
        <w:rPr>
          <w:color w:val="0F1115"/>
        </w:rPr>
        <w:t xml:space="preserve">Венозный и артериальный </w:t>
      </w:r>
      <w:r w:rsidR="005C5214" w:rsidRPr="00F95388">
        <w:rPr>
          <w:color w:val="0F1115"/>
        </w:rPr>
        <w:t>вазодилататор.</w:t>
      </w:r>
      <w:r w:rsidR="005C5214" w:rsidRPr="005C5214">
        <w:rPr>
          <w:rFonts w:eastAsiaTheme="majorEastAsia"/>
          <w:b/>
          <w:bCs/>
        </w:rPr>
        <w:t xml:space="preserve"> </w:t>
      </w:r>
      <w:r w:rsidR="005C5214" w:rsidRPr="005C5214">
        <w:rPr>
          <w:rFonts w:eastAsiaTheme="majorEastAsia"/>
        </w:rPr>
        <w:t>(</w:t>
      </w:r>
      <w:r w:rsidRPr="00F95388">
        <w:rPr>
          <w:color w:val="0F1115"/>
        </w:rPr>
        <w:t>Криз, осложнённый острой сердечной недостаточностью, острым коронарным синдромом (ОИМ, нестабильная стенокардия)</w:t>
      </w:r>
      <w:r w:rsidR="009F5C98">
        <w:rPr>
          <w:color w:val="0F1115"/>
        </w:rPr>
        <w:t>)</w:t>
      </w:r>
      <w:r w:rsidRPr="00F95388">
        <w:rPr>
          <w:color w:val="0F1115"/>
        </w:rPr>
        <w:t>. Внутривенно капельно, начиная с 10-15 мкг/мин, с увеличением дозы на 5-10 мкг/мин каждые 5-10 минут до достижения эффект</w:t>
      </w:r>
      <w:r w:rsidR="009F5C98">
        <w:rPr>
          <w:color w:val="0F1115"/>
        </w:rPr>
        <w:t>.</w:t>
      </w:r>
      <w:r w:rsidR="005C5214">
        <w:rPr>
          <w:color w:val="0F1115"/>
        </w:rPr>
        <w:t xml:space="preserve"> </w:t>
      </w:r>
      <w:r w:rsidRPr="00F95388">
        <w:rPr>
          <w:color w:val="0F1115"/>
        </w:rPr>
        <w:t>Требуется титрование дозы под постоянным контролем АД. Эффект «синдрома обкрадывания» менее выражен, чем у нитропруссида.</w:t>
      </w:r>
    </w:p>
    <w:p w14:paraId="339EBC74" w14:textId="77777777" w:rsidR="005C5214" w:rsidRDefault="00F95388" w:rsidP="005C5214">
      <w:pPr>
        <w:pStyle w:val="ds-markdown-paragraph"/>
        <w:shd w:val="clear" w:color="auto" w:fill="FFFFFF"/>
        <w:spacing w:before="0" w:beforeAutospacing="0" w:after="0" w:afterAutospacing="0" w:line="360" w:lineRule="auto"/>
        <w:ind w:firstLine="708"/>
        <w:jc w:val="both"/>
        <w:rPr>
          <w:rFonts w:eastAsiaTheme="majorEastAsia"/>
          <w:b/>
          <w:bCs/>
          <w:u w:val="single"/>
        </w:rPr>
      </w:pPr>
      <w:r w:rsidRPr="00F95388">
        <w:rPr>
          <w:rStyle w:val="aff9"/>
          <w:rFonts w:eastAsiaTheme="majorEastAsia"/>
          <w:color w:val="0F1115"/>
        </w:rPr>
        <w:t>Нитропруссид натрия</w:t>
      </w:r>
      <w:r w:rsidR="009F5C98" w:rsidRPr="009F5C98">
        <w:rPr>
          <w:rStyle w:val="aff9"/>
          <w:rFonts w:eastAsiaTheme="majorEastAsia"/>
          <w:color w:val="0F1115"/>
        </w:rPr>
        <w:t xml:space="preserve"> </w:t>
      </w:r>
      <w:r w:rsidR="009F5C98" w:rsidRPr="009F5C98">
        <w:rPr>
          <w:rFonts w:eastAsiaTheme="majorEastAsia"/>
          <w:b/>
          <w:bCs/>
        </w:rPr>
        <w:t xml:space="preserve">- </w:t>
      </w:r>
      <w:r w:rsidRPr="00F95388">
        <w:rPr>
          <w:color w:val="0F1115"/>
        </w:rPr>
        <w:t>Прямой периферический вазодилататор (артериальный и венозный</w:t>
      </w:r>
      <w:r w:rsidRPr="009F5C98">
        <w:rPr>
          <w:color w:val="0F1115"/>
        </w:rPr>
        <w:t>).</w:t>
      </w:r>
      <w:r w:rsidR="009F5C98" w:rsidRPr="009F5C98">
        <w:rPr>
          <w:rFonts w:eastAsiaTheme="majorEastAsia"/>
          <w:b/>
          <w:bCs/>
        </w:rPr>
        <w:t xml:space="preserve"> (</w:t>
      </w:r>
      <w:r w:rsidRPr="00F95388">
        <w:rPr>
          <w:color w:val="0F1115"/>
        </w:rPr>
        <w:t>Криз, осложнённый гипертонической энцефалопатией, расслоением аорты (в комбинации с β-блокаторами)</w:t>
      </w:r>
      <w:r w:rsidR="009F5C98">
        <w:rPr>
          <w:color w:val="0F1115"/>
        </w:rPr>
        <w:t>)</w:t>
      </w:r>
      <w:r w:rsidRPr="00F95388">
        <w:rPr>
          <w:color w:val="0F1115"/>
        </w:rPr>
        <w:t>. Внутривенно капельно, 0,25-10 мкг/кг/мин.</w:t>
      </w:r>
      <w:r w:rsidR="009F5C98">
        <w:rPr>
          <w:color w:val="0F1115"/>
        </w:rPr>
        <w:t xml:space="preserve"> </w:t>
      </w:r>
      <w:r w:rsidRPr="009F5C98">
        <w:rPr>
          <w:rStyle w:val="aff9"/>
          <w:rFonts w:eastAsiaTheme="majorEastAsia"/>
          <w:b w:val="0"/>
          <w:bCs w:val="0"/>
          <w:color w:val="0F1115"/>
        </w:rPr>
        <w:t>Препарат выбора при угрожающих жизни состояниях.</w:t>
      </w:r>
      <w:r w:rsidRPr="009F5C98">
        <w:rPr>
          <w:b/>
          <w:bCs/>
          <w:color w:val="0F1115"/>
        </w:rPr>
        <w:t> </w:t>
      </w:r>
      <w:r w:rsidRPr="00F95388">
        <w:rPr>
          <w:color w:val="0F1115"/>
        </w:rPr>
        <w:t xml:space="preserve">Требуется инвазивный мониторинг АД. Противопоказан при повышенном внутричерепном давлении. </w:t>
      </w:r>
    </w:p>
    <w:p w14:paraId="08A19F97" w14:textId="2AEDBAD9" w:rsidR="00F87AB3" w:rsidRPr="000A451A" w:rsidRDefault="00F95388" w:rsidP="00F87AB3">
      <w:pPr>
        <w:pStyle w:val="ds-markdown-paragraph"/>
        <w:shd w:val="clear" w:color="auto" w:fill="FFFFFF"/>
        <w:spacing w:before="0" w:beforeAutospacing="0" w:after="0" w:afterAutospacing="0" w:line="360" w:lineRule="auto"/>
        <w:ind w:firstLine="708"/>
        <w:jc w:val="both"/>
        <w:rPr>
          <w:color w:val="0F1115"/>
        </w:rPr>
      </w:pPr>
      <w:r w:rsidRPr="00F95388">
        <w:rPr>
          <w:rStyle w:val="aff9"/>
          <w:rFonts w:eastAsiaTheme="majorEastAsia"/>
          <w:color w:val="0F1115"/>
        </w:rPr>
        <w:t>Фуросемид</w:t>
      </w:r>
      <w:r w:rsidR="005C5214">
        <w:rPr>
          <w:rStyle w:val="aff9"/>
          <w:rFonts w:eastAsiaTheme="majorEastAsia"/>
          <w:color w:val="0F1115"/>
        </w:rPr>
        <w:t xml:space="preserve"> </w:t>
      </w:r>
      <w:r w:rsidR="005C5214" w:rsidRPr="005C5214">
        <w:rPr>
          <w:rFonts w:eastAsiaTheme="majorEastAsia"/>
          <w:b/>
          <w:bCs/>
        </w:rPr>
        <w:t>-</w:t>
      </w:r>
      <w:r w:rsidR="005C5214" w:rsidRPr="00F95388">
        <w:rPr>
          <w:color w:val="0F1115"/>
        </w:rPr>
        <w:t xml:space="preserve"> </w:t>
      </w:r>
      <w:r w:rsidRPr="00F95388">
        <w:rPr>
          <w:color w:val="0F1115"/>
        </w:rPr>
        <w:t xml:space="preserve">Петлевой </w:t>
      </w:r>
      <w:r w:rsidR="001701B2" w:rsidRPr="00F95388">
        <w:rPr>
          <w:color w:val="0F1115"/>
        </w:rPr>
        <w:t>диуретик</w:t>
      </w:r>
      <w:r w:rsidR="001701B2" w:rsidRPr="001701B2">
        <w:rPr>
          <w:color w:val="0F1115"/>
        </w:rPr>
        <w:t>.</w:t>
      </w:r>
      <w:r w:rsidR="001701B2" w:rsidRPr="001701B2">
        <w:rPr>
          <w:rFonts w:eastAsiaTheme="majorEastAsia"/>
        </w:rPr>
        <w:t xml:space="preserve"> (</w:t>
      </w:r>
      <w:r w:rsidRPr="00F95388">
        <w:rPr>
          <w:color w:val="0F1115"/>
        </w:rPr>
        <w:t>Криз, осложнённый острой левожелудочковой недостаточностью (отёком лёгких</w:t>
      </w:r>
      <w:r w:rsidR="001701B2" w:rsidRPr="001701B2">
        <w:rPr>
          <w:color w:val="0F1115"/>
        </w:rPr>
        <w:t>).</w:t>
      </w:r>
      <w:r w:rsidR="001701B2" w:rsidRPr="001701B2">
        <w:rPr>
          <w:rFonts w:eastAsiaTheme="majorEastAsia"/>
        </w:rPr>
        <w:t xml:space="preserve"> (</w:t>
      </w:r>
      <w:r w:rsidRPr="00F95388">
        <w:rPr>
          <w:color w:val="0F1115"/>
        </w:rPr>
        <w:t>20-80 мг внутривенно струйно медленно</w:t>
      </w:r>
      <w:r w:rsidR="001701B2">
        <w:rPr>
          <w:color w:val="0F1115"/>
        </w:rPr>
        <w:t>)</w:t>
      </w:r>
      <w:r w:rsidR="00F87AB3" w:rsidRPr="000A451A">
        <w:rPr>
          <w:color w:val="0F1115"/>
        </w:rPr>
        <w:t>.</w:t>
      </w:r>
    </w:p>
    <w:p w14:paraId="1A09B3D6" w14:textId="5469B0F2" w:rsidR="00F95388" w:rsidRPr="004C7FAC" w:rsidRDefault="00F95388" w:rsidP="004C7FAC">
      <w:pPr>
        <w:pStyle w:val="ds-markdown-paragraph"/>
        <w:shd w:val="clear" w:color="auto" w:fill="FFFFFF"/>
        <w:spacing w:before="0" w:beforeAutospacing="0" w:after="0" w:afterAutospacing="0" w:line="360" w:lineRule="auto"/>
        <w:ind w:firstLine="708"/>
        <w:jc w:val="both"/>
        <w:rPr>
          <w:color w:val="0F1115"/>
        </w:rPr>
      </w:pPr>
      <w:r w:rsidRPr="000A451A">
        <w:rPr>
          <w:rStyle w:val="aff9"/>
          <w:rFonts w:eastAsiaTheme="majorEastAsia"/>
          <w:color w:val="0F1115"/>
        </w:rPr>
        <w:t xml:space="preserve"> Магния сульфат</w:t>
      </w:r>
      <w:r w:rsidR="00F87AB3" w:rsidRPr="000A451A">
        <w:rPr>
          <w:rFonts w:eastAsiaTheme="majorEastAsia"/>
        </w:rPr>
        <w:t xml:space="preserve"> (</w:t>
      </w:r>
      <w:r w:rsidRPr="000A451A">
        <w:rPr>
          <w:color w:val="0F1115"/>
        </w:rPr>
        <w:t>Сосудорасширяющее, противосудорожное, седативное действие.</w:t>
      </w:r>
      <w:r w:rsidR="00F87AB3" w:rsidRPr="000A451A">
        <w:rPr>
          <w:rFonts w:eastAsiaTheme="majorEastAsia"/>
          <w:u w:val="single"/>
        </w:rPr>
        <w:t xml:space="preserve"> </w:t>
      </w:r>
      <w:proofErr w:type="gramStart"/>
      <w:r w:rsidR="00F87AB3" w:rsidRPr="000A451A">
        <w:rPr>
          <w:rFonts w:eastAsiaTheme="majorEastAsia"/>
          <w:u w:val="single"/>
        </w:rPr>
        <w:t>Показания:</w:t>
      </w:r>
      <w:r w:rsidR="00F87AB3" w:rsidRPr="000A451A">
        <w:rPr>
          <w:color w:val="0F1115"/>
        </w:rPr>
        <w:t>к</w:t>
      </w:r>
      <w:r w:rsidRPr="000A451A">
        <w:rPr>
          <w:color w:val="0F1115"/>
        </w:rPr>
        <w:t>риз</w:t>
      </w:r>
      <w:proofErr w:type="gramEnd"/>
      <w:r w:rsidRPr="000A451A">
        <w:rPr>
          <w:color w:val="0F1115"/>
        </w:rPr>
        <w:t>, осложнённый судорожным синдромом (эклампсия)</w:t>
      </w:r>
      <w:r w:rsidR="000A451A">
        <w:rPr>
          <w:color w:val="0F1115"/>
        </w:rPr>
        <w:t>.</w:t>
      </w:r>
      <w:r w:rsidRPr="000A451A">
        <w:rPr>
          <w:color w:val="0F1115"/>
        </w:rPr>
        <w:t>1000-2500 мг (5-10 мл 25% р-ра) в/в медленно или капельно на 0,9% р-ре NaCl</w:t>
      </w:r>
      <w:r w:rsidR="000A451A">
        <w:rPr>
          <w:color w:val="0F1115"/>
        </w:rPr>
        <w:t xml:space="preserve">. </w:t>
      </w:r>
      <w:r w:rsidRPr="000A451A">
        <w:rPr>
          <w:rStyle w:val="aff9"/>
          <w:rFonts w:eastAsiaTheme="majorEastAsia"/>
          <w:b w:val="0"/>
          <w:bCs w:val="0"/>
          <w:color w:val="0F1115"/>
        </w:rPr>
        <w:t>Не является гипотензивным препаратом первого выбора.</w:t>
      </w:r>
      <w:r w:rsidRPr="000A451A">
        <w:rPr>
          <w:color w:val="0F1115"/>
        </w:rPr>
        <w:t> Требуется контроль дыхания, АД, сухожильных рефлексов.</w:t>
      </w:r>
    </w:p>
    <w:p w14:paraId="741A97F5" w14:textId="53F5EF86" w:rsidR="00311F9D" w:rsidRPr="002C2F68" w:rsidRDefault="00311F9D" w:rsidP="002C2F68">
      <w:pPr>
        <w:pStyle w:val="11"/>
        <w:ind w:firstLine="600"/>
        <w:jc w:val="both"/>
        <w:rPr>
          <w:sz w:val="24"/>
          <w:szCs w:val="24"/>
        </w:rPr>
      </w:pPr>
      <w:r w:rsidRPr="002C2F68">
        <w:rPr>
          <w:rStyle w:val="ac"/>
          <w:rFonts w:eastAsiaTheme="majorEastAsia"/>
          <w:b/>
          <w:bCs/>
          <w:sz w:val="24"/>
          <w:szCs w:val="24"/>
        </w:rPr>
        <w:t xml:space="preserve">Уровень убедительности рекомендаций </w:t>
      </w:r>
      <w:r w:rsidRPr="002C2F68">
        <w:rPr>
          <w:rStyle w:val="ac"/>
          <w:rFonts w:eastAsiaTheme="majorEastAsia"/>
          <w:b/>
          <w:bCs/>
          <w:sz w:val="24"/>
          <w:szCs w:val="24"/>
          <w:lang w:val="en-US"/>
        </w:rPr>
        <w:t>C</w:t>
      </w:r>
      <w:r w:rsidRPr="002C2F68">
        <w:rPr>
          <w:rStyle w:val="ac"/>
          <w:rFonts w:eastAsiaTheme="majorEastAsia"/>
          <w:b/>
          <w:bCs/>
          <w:sz w:val="24"/>
          <w:szCs w:val="24"/>
        </w:rPr>
        <w:t xml:space="preserve">, </w:t>
      </w:r>
      <w:r w:rsidRPr="002C2F68">
        <w:rPr>
          <w:rStyle w:val="ac"/>
          <w:rFonts w:eastAsiaTheme="majorEastAsia"/>
          <w:sz w:val="24"/>
          <w:szCs w:val="24"/>
        </w:rPr>
        <w:t>(</w:t>
      </w:r>
      <w:r w:rsidRPr="002C2F68">
        <w:rPr>
          <w:rStyle w:val="ac"/>
          <w:rFonts w:eastAsiaTheme="majorEastAsia"/>
          <w:b/>
          <w:bCs/>
          <w:sz w:val="24"/>
          <w:szCs w:val="24"/>
        </w:rPr>
        <w:t>Уровень достоверности доказательств 5); ЕОК/ЕОАГ нет</w:t>
      </w:r>
      <w:r w:rsidR="008A2AFD">
        <w:rPr>
          <w:rStyle w:val="ac"/>
          <w:rFonts w:eastAsiaTheme="majorEastAsia"/>
          <w:b/>
          <w:bCs/>
          <w:sz w:val="24"/>
          <w:szCs w:val="24"/>
        </w:rPr>
        <w:t>.</w:t>
      </w:r>
    </w:p>
    <w:p w14:paraId="6F5F75F0" w14:textId="2771B74D" w:rsidR="00EB0CB0" w:rsidRPr="002C2F68" w:rsidRDefault="00C0383B" w:rsidP="002C2F68">
      <w:pPr>
        <w:pStyle w:val="ds-markdown-paragraph"/>
        <w:shd w:val="clear" w:color="auto" w:fill="FFFFFF"/>
        <w:spacing w:before="0" w:beforeAutospacing="0" w:after="60" w:afterAutospacing="0" w:line="360" w:lineRule="auto"/>
        <w:jc w:val="both"/>
        <w:rPr>
          <w:i/>
          <w:iCs/>
          <w:color w:val="404040"/>
        </w:rPr>
      </w:pPr>
      <w:r w:rsidRPr="002C2F68">
        <w:rPr>
          <w:b/>
          <w:bCs/>
          <w:color w:val="231F20"/>
        </w:rPr>
        <w:t>Комментарий</w:t>
      </w:r>
      <w:r w:rsidR="008B3B34" w:rsidRPr="002C2F68">
        <w:rPr>
          <w:b/>
          <w:bCs/>
          <w:color w:val="231F20"/>
        </w:rPr>
        <w:t>:</w:t>
      </w:r>
      <w:r w:rsidR="008B3B34" w:rsidRPr="002C2F68">
        <w:rPr>
          <w:color w:val="404040"/>
        </w:rPr>
        <w:t xml:space="preserve"> </w:t>
      </w:r>
      <w:r w:rsidR="008B3B34" w:rsidRPr="002C2F68">
        <w:rPr>
          <w:i/>
          <w:iCs/>
          <w:color w:val="404040"/>
        </w:rPr>
        <w:t>это</w:t>
      </w:r>
      <w:r w:rsidR="00EB0CB0" w:rsidRPr="002C2F68">
        <w:rPr>
          <w:i/>
          <w:iCs/>
          <w:color w:val="404040"/>
        </w:rPr>
        <w:t xml:space="preserve"> препараты первого выбора для неосложненных ГК. Выбор между ними часто зависит от клинической картины:</w:t>
      </w:r>
    </w:p>
    <w:p w14:paraId="66D83CA5" w14:textId="77777777" w:rsidR="00EB0CB0" w:rsidRPr="002C2F68" w:rsidRDefault="00EB0CB0" w:rsidP="002C2F68">
      <w:pPr>
        <w:pStyle w:val="ds-markdown-paragraph"/>
        <w:shd w:val="clear" w:color="auto" w:fill="FFFFFF"/>
        <w:spacing w:before="0" w:beforeAutospacing="0" w:after="60" w:afterAutospacing="0" w:line="360" w:lineRule="auto"/>
        <w:jc w:val="both"/>
        <w:rPr>
          <w:i/>
          <w:iCs/>
          <w:color w:val="404040"/>
        </w:rPr>
      </w:pPr>
      <w:r w:rsidRPr="002C2F68">
        <w:rPr>
          <w:i/>
          <w:iCs/>
          <w:color w:val="404040"/>
        </w:rPr>
        <w:t>-</w:t>
      </w:r>
      <w:r w:rsidRPr="002C2F68">
        <w:rPr>
          <w:rStyle w:val="aff9"/>
          <w:rFonts w:eastAsiaTheme="majorEastAsia"/>
          <w:b w:val="0"/>
          <w:bCs w:val="0"/>
          <w:i/>
          <w:iCs/>
          <w:color w:val="404040"/>
        </w:rPr>
        <w:t>Моксонидин</w:t>
      </w:r>
      <w:r w:rsidRPr="002C2F68">
        <w:rPr>
          <w:i/>
          <w:iCs/>
          <w:color w:val="404040"/>
        </w:rPr>
        <w:t> (Физиотенз) предпочтительнее при тахикардии (</w:t>
      </w:r>
      <w:proofErr w:type="gramStart"/>
      <w:r w:rsidRPr="002C2F68">
        <w:rPr>
          <w:i/>
          <w:iCs/>
          <w:color w:val="404040"/>
        </w:rPr>
        <w:t>ЧСС &gt;</w:t>
      </w:r>
      <w:proofErr w:type="gramEnd"/>
      <w:r w:rsidRPr="002C2F68">
        <w:rPr>
          <w:i/>
          <w:iCs/>
          <w:color w:val="404040"/>
        </w:rPr>
        <w:t xml:space="preserve"> 85) и признаках гиперсимпатикотонии (возбуждение, покраснение кожи, тревожность), так как он обладает центральным действием и снижает ЧСС.</w:t>
      </w:r>
    </w:p>
    <w:p w14:paraId="74A466F4" w14:textId="710E1C38" w:rsidR="00825D9E" w:rsidRPr="002C2F68" w:rsidRDefault="00EB0CB0" w:rsidP="002C2F68">
      <w:pPr>
        <w:pStyle w:val="ds-markdown-paragraph"/>
        <w:shd w:val="clear" w:color="auto" w:fill="FFFFFF"/>
        <w:spacing w:before="0" w:beforeAutospacing="0" w:after="60" w:afterAutospacing="0" w:line="360" w:lineRule="auto"/>
        <w:jc w:val="both"/>
        <w:rPr>
          <w:i/>
          <w:iCs/>
          <w:color w:val="404040"/>
        </w:rPr>
      </w:pPr>
      <w:r w:rsidRPr="002C2F68">
        <w:rPr>
          <w:i/>
          <w:iCs/>
          <w:color w:val="404040"/>
        </w:rPr>
        <w:t>-</w:t>
      </w:r>
      <w:r w:rsidRPr="002C2F68">
        <w:rPr>
          <w:rStyle w:val="aff9"/>
          <w:rFonts w:eastAsiaTheme="majorEastAsia"/>
          <w:b w:val="0"/>
          <w:bCs w:val="0"/>
          <w:i/>
          <w:iCs/>
          <w:color w:val="404040"/>
        </w:rPr>
        <w:t>Каптоприл</w:t>
      </w:r>
      <w:r w:rsidRPr="002C2F68">
        <w:rPr>
          <w:i/>
          <w:iCs/>
          <w:color w:val="404040"/>
        </w:rPr>
        <w:t> (Капотен) часто выбирают при нормальной или пониженной ЧСС. Особенно эффективен у пациентов с хронической сердечной недостаточностью (ХСН) или заболеваниями почек (но не при стенозе почечных артерий!).</w:t>
      </w:r>
    </w:p>
    <w:p w14:paraId="04694D07" w14:textId="3C494F53" w:rsidR="00EB0CB0" w:rsidRPr="002C2F68" w:rsidRDefault="00825D9E" w:rsidP="002C2F68">
      <w:pPr>
        <w:pStyle w:val="ds-markdown-paragraph"/>
        <w:shd w:val="clear" w:color="auto" w:fill="FFFFFF"/>
        <w:spacing w:before="0" w:beforeAutospacing="0" w:after="60" w:afterAutospacing="0" w:line="360" w:lineRule="auto"/>
        <w:jc w:val="both"/>
        <w:rPr>
          <w:i/>
          <w:iCs/>
          <w:color w:val="404040"/>
          <w:shd w:val="clear" w:color="auto" w:fill="FFFFFF"/>
        </w:rPr>
      </w:pPr>
      <w:r w:rsidRPr="002C2F68">
        <w:rPr>
          <w:rStyle w:val="aff9"/>
          <w:rFonts w:eastAsiaTheme="majorEastAsia"/>
          <w:b w:val="0"/>
          <w:bCs w:val="0"/>
          <w:i/>
          <w:iCs/>
          <w:color w:val="404040"/>
          <w:shd w:val="clear" w:color="auto" w:fill="FFFFFF"/>
        </w:rPr>
        <w:t>-Эналаприлат (Энап Р)</w:t>
      </w:r>
      <w:r w:rsidRPr="002C2F68">
        <w:rPr>
          <w:i/>
          <w:iCs/>
          <w:color w:val="404040"/>
          <w:shd w:val="clear" w:color="auto" w:fill="FFFFFF"/>
        </w:rPr>
        <w:t xml:space="preserve"> имеет</w:t>
      </w:r>
      <w:r w:rsidR="00EB0CB0" w:rsidRPr="002C2F68">
        <w:rPr>
          <w:i/>
          <w:iCs/>
          <w:color w:val="404040"/>
          <w:shd w:val="clear" w:color="auto" w:fill="FFFFFF"/>
        </w:rPr>
        <w:t xml:space="preserve"> отсроченное начало действия (15-30 мин) и длительный эффект. Риск чрезмерного снижения АД («эффект первой дозы»), особенно у пациентов с гиповолемией или на фоне приема диуретиков.</w:t>
      </w:r>
    </w:p>
    <w:p w14:paraId="41E9CF85" w14:textId="393805DE" w:rsidR="00825D9E" w:rsidRPr="002C2F68" w:rsidRDefault="00825D9E" w:rsidP="002C2F68">
      <w:pPr>
        <w:pStyle w:val="ds-markdown-paragraph"/>
        <w:shd w:val="clear" w:color="auto" w:fill="FFFFFF"/>
        <w:spacing w:before="0" w:beforeAutospacing="0" w:after="60" w:afterAutospacing="0" w:line="360" w:lineRule="auto"/>
        <w:jc w:val="both"/>
        <w:rPr>
          <w:i/>
          <w:iCs/>
          <w:color w:val="404040"/>
        </w:rPr>
      </w:pPr>
      <w:r w:rsidRPr="002C2F68">
        <w:rPr>
          <w:rStyle w:val="aff9"/>
          <w:rFonts w:eastAsiaTheme="majorEastAsia"/>
          <w:color w:val="404040"/>
          <w:shd w:val="clear" w:color="auto" w:fill="FFFFFF"/>
        </w:rPr>
        <w:t>-</w:t>
      </w:r>
      <w:r w:rsidRPr="002C2F68">
        <w:rPr>
          <w:rStyle w:val="aff9"/>
          <w:rFonts w:eastAsiaTheme="majorEastAsia"/>
          <w:b w:val="0"/>
          <w:bCs w:val="0"/>
          <w:i/>
          <w:iCs/>
          <w:color w:val="404040"/>
          <w:shd w:val="clear" w:color="auto" w:fill="FFFFFF"/>
        </w:rPr>
        <w:t>Урапидил (</w:t>
      </w:r>
      <w:r w:rsidR="00DC7A5D" w:rsidRPr="002C2F68">
        <w:rPr>
          <w:rStyle w:val="aff9"/>
          <w:rFonts w:eastAsiaTheme="majorEastAsia"/>
          <w:b w:val="0"/>
          <w:bCs w:val="0"/>
          <w:i/>
          <w:iCs/>
          <w:color w:val="404040"/>
          <w:shd w:val="clear" w:color="auto" w:fill="FFFFFF"/>
        </w:rPr>
        <w:t>Эбрантил</w:t>
      </w:r>
      <w:r w:rsidR="00DC7A5D">
        <w:rPr>
          <w:rStyle w:val="aff9"/>
          <w:rFonts w:eastAsiaTheme="majorEastAsia"/>
          <w:b w:val="0"/>
          <w:bCs w:val="0"/>
          <w:i/>
          <w:iCs/>
          <w:color w:val="404040"/>
          <w:shd w:val="clear" w:color="auto" w:fill="FFFFFF"/>
        </w:rPr>
        <w:t>) мощный</w:t>
      </w:r>
      <w:r w:rsidRPr="002C2F68">
        <w:rPr>
          <w:i/>
          <w:iCs/>
          <w:color w:val="404040"/>
          <w:shd w:val="clear" w:color="auto" w:fill="FFFFFF"/>
        </w:rPr>
        <w:t xml:space="preserve"> периферический вазодилататор. Его главное преимущество – он практически не влияет на частоту сердечных сокращений и мозговой кровоток, что делает его безопасным для пациентов с неврологической симптоматикой.</w:t>
      </w:r>
    </w:p>
    <w:p w14:paraId="360913AC" w14:textId="2ACEC3C9" w:rsidR="00EB0CB0" w:rsidRPr="002C2F68" w:rsidRDefault="00EB0CB0" w:rsidP="002C2F68">
      <w:pPr>
        <w:pStyle w:val="ds-markdown-paragraph"/>
        <w:shd w:val="clear" w:color="auto" w:fill="FFFFFF"/>
        <w:spacing w:before="0" w:beforeAutospacing="0" w:after="0" w:afterAutospacing="0" w:line="360" w:lineRule="auto"/>
        <w:jc w:val="both"/>
        <w:rPr>
          <w:i/>
          <w:iCs/>
          <w:color w:val="404040"/>
        </w:rPr>
      </w:pPr>
      <w:r w:rsidRPr="002C2F68">
        <w:rPr>
          <w:rStyle w:val="aff9"/>
          <w:rFonts w:eastAsiaTheme="majorEastAsia"/>
          <w:i/>
          <w:iCs/>
          <w:color w:val="404040"/>
        </w:rPr>
        <w:lastRenderedPageBreak/>
        <w:t>Важное ограничение:</w:t>
      </w:r>
      <w:r w:rsidRPr="002C2F68">
        <w:rPr>
          <w:i/>
          <w:iCs/>
          <w:color w:val="404040"/>
        </w:rPr>
        <w:t> </w:t>
      </w:r>
      <w:r w:rsidRPr="002C2F68">
        <w:rPr>
          <w:rStyle w:val="aff9"/>
          <w:rFonts w:eastAsiaTheme="majorEastAsia"/>
          <w:i/>
          <w:iCs/>
          <w:color w:val="404040"/>
        </w:rPr>
        <w:t>«максимальная суточная доза таб. моксонидина 0,6 мг»</w:t>
      </w:r>
      <w:r w:rsidRPr="002C2F68">
        <w:rPr>
          <w:i/>
          <w:iCs/>
          <w:color w:val="404040"/>
        </w:rPr>
        <w:t>. Это критически важно, так как пациент мог уже принять свою обычную дозу до приезда скорой. Превышение дозы не усилит эффект, но повысит риск побочных действий (седация, сухость во рту).</w:t>
      </w:r>
    </w:p>
    <w:p w14:paraId="5939C8F7" w14:textId="1EFEE930" w:rsidR="00EB0CB0" w:rsidRPr="002C2F68" w:rsidRDefault="00EB0CB0" w:rsidP="002C2F68">
      <w:pPr>
        <w:pStyle w:val="ds-markdown-paragraph"/>
        <w:shd w:val="clear" w:color="auto" w:fill="FFFFFF"/>
        <w:spacing w:before="0" w:beforeAutospacing="0" w:after="0" w:afterAutospacing="0" w:line="360" w:lineRule="auto"/>
        <w:jc w:val="both"/>
        <w:rPr>
          <w:i/>
          <w:iCs/>
          <w:color w:val="404040"/>
          <w:shd w:val="clear" w:color="auto" w:fill="FFFFFF"/>
        </w:rPr>
      </w:pPr>
      <w:r w:rsidRPr="002C2F68">
        <w:rPr>
          <w:rStyle w:val="aff9"/>
          <w:rFonts w:eastAsiaTheme="majorEastAsia"/>
          <w:i/>
          <w:iCs/>
          <w:color w:val="404040"/>
          <w:shd w:val="clear" w:color="auto" w:fill="FFFFFF"/>
        </w:rPr>
        <w:t>Ключевой критерий:</w:t>
      </w:r>
      <w:r w:rsidRPr="002C2F68">
        <w:rPr>
          <w:i/>
          <w:iCs/>
          <w:color w:val="404040"/>
          <w:shd w:val="clear" w:color="auto" w:fill="FFFFFF"/>
        </w:rPr>
        <w:t> Эффект считается достаточным, если АД снизилось на </w:t>
      </w:r>
      <w:r w:rsidRPr="002C2F68">
        <w:rPr>
          <w:rStyle w:val="aff9"/>
          <w:rFonts w:eastAsiaTheme="majorEastAsia"/>
          <w:i/>
          <w:iCs/>
          <w:color w:val="404040"/>
          <w:shd w:val="clear" w:color="auto" w:fill="FFFFFF"/>
        </w:rPr>
        <w:t>15-25%</w:t>
      </w:r>
      <w:r w:rsidRPr="002C2F68">
        <w:rPr>
          <w:i/>
          <w:iCs/>
          <w:color w:val="404040"/>
          <w:shd w:val="clear" w:color="auto" w:fill="FFFFFF"/>
        </w:rPr>
        <w:t> от исходных значений. Например, при давлении 200/110 мм рт. ст. цель – снизить его примерно до 170-150/95-85 мм рт. ст. в первые 30-60 минут. Не нужно стремиться к немедленной нормотонии (120/80)!</w:t>
      </w:r>
    </w:p>
    <w:p w14:paraId="79E2495A" w14:textId="68AAC793" w:rsidR="00311F9D" w:rsidRPr="002C2F68" w:rsidRDefault="00142863" w:rsidP="00B37D69">
      <w:pPr>
        <w:pStyle w:val="ds-markdown-paragraph"/>
        <w:shd w:val="clear" w:color="auto" w:fill="FFFFFF"/>
        <w:spacing w:before="0" w:beforeAutospacing="0" w:after="0" w:afterAutospacing="0" w:line="360" w:lineRule="auto"/>
        <w:ind w:firstLine="708"/>
        <w:jc w:val="both"/>
        <w:rPr>
          <w:i/>
          <w:iCs/>
          <w:color w:val="231F20"/>
        </w:rPr>
      </w:pPr>
      <w:r w:rsidRPr="002C2F68">
        <w:rPr>
          <w:i/>
          <w:iCs/>
          <w:color w:val="404040"/>
          <w:shd w:val="clear" w:color="auto" w:fill="FFFFFF"/>
        </w:rPr>
        <w:t>Начинать следует с менее инвазивных и более управляемых пероральных форм. К парентеральным препаратам переходят только при их неэффективности. Приоритетом безопасности введения препаратов является не скорость снижения АД, а его </w:t>
      </w:r>
      <w:r w:rsidRPr="002C2F68">
        <w:rPr>
          <w:rStyle w:val="aff9"/>
          <w:rFonts w:eastAsiaTheme="majorEastAsia"/>
          <w:b w:val="0"/>
          <w:bCs w:val="0"/>
          <w:i/>
          <w:iCs/>
          <w:color w:val="404040"/>
          <w:shd w:val="clear" w:color="auto" w:fill="FFFFFF"/>
        </w:rPr>
        <w:t>контролируемость</w:t>
      </w:r>
      <w:r w:rsidRPr="002C2F68">
        <w:rPr>
          <w:b/>
          <w:bCs/>
          <w:i/>
          <w:iCs/>
          <w:color w:val="404040"/>
          <w:shd w:val="clear" w:color="auto" w:fill="FFFFFF"/>
        </w:rPr>
        <w:t> </w:t>
      </w:r>
      <w:r w:rsidRPr="002C2F68">
        <w:rPr>
          <w:i/>
          <w:iCs/>
          <w:color w:val="404040"/>
          <w:shd w:val="clear" w:color="auto" w:fill="FFFFFF"/>
        </w:rPr>
        <w:t>и</w:t>
      </w:r>
      <w:r w:rsidRPr="002C2F68">
        <w:rPr>
          <w:b/>
          <w:bCs/>
          <w:i/>
          <w:iCs/>
          <w:color w:val="404040"/>
          <w:shd w:val="clear" w:color="auto" w:fill="FFFFFF"/>
        </w:rPr>
        <w:t> </w:t>
      </w:r>
      <w:r w:rsidRPr="002C2F68">
        <w:rPr>
          <w:rStyle w:val="aff9"/>
          <w:rFonts w:eastAsiaTheme="majorEastAsia"/>
          <w:b w:val="0"/>
          <w:bCs w:val="0"/>
          <w:i/>
          <w:iCs/>
          <w:color w:val="404040"/>
          <w:shd w:val="clear" w:color="auto" w:fill="FFFFFF"/>
        </w:rPr>
        <w:t>постепенность</w:t>
      </w:r>
      <w:r w:rsidRPr="002C2F68">
        <w:rPr>
          <w:i/>
          <w:iCs/>
          <w:color w:val="404040"/>
          <w:shd w:val="clear" w:color="auto" w:fill="FFFFFF"/>
        </w:rPr>
        <w:t>. Резкое падение давления опаснее, чем само повышенное давление в краткосрочной перспективе.</w:t>
      </w:r>
    </w:p>
    <w:p w14:paraId="1D753E5A" w14:textId="77777777" w:rsidR="0091408B" w:rsidRPr="00C9572A" w:rsidRDefault="00DF5B59" w:rsidP="002C2F68">
      <w:pPr>
        <w:pStyle w:val="affa"/>
        <w:spacing w:before="0" w:beforeAutospacing="0" w:after="0" w:afterAutospacing="0" w:line="360" w:lineRule="auto"/>
        <w:jc w:val="both"/>
        <w:rPr>
          <w:b/>
          <w:bCs/>
        </w:rPr>
      </w:pPr>
      <w:r w:rsidRPr="002C2F68">
        <w:rPr>
          <w:b/>
          <w:bCs/>
          <w:color w:val="231F20"/>
        </w:rPr>
        <w:t xml:space="preserve">2.1– </w:t>
      </w:r>
      <w:r w:rsidR="0091408B" w:rsidRPr="00FB3E16">
        <w:rPr>
          <w:b/>
          <w:bCs/>
        </w:rPr>
        <w:t xml:space="preserve">При тахикардии с частотой сердечных сокращений более 100 ударов в минуту </w:t>
      </w:r>
      <w:r w:rsidR="0091408B" w:rsidRPr="00C9572A">
        <w:rPr>
          <w:b/>
          <w:bCs/>
        </w:rPr>
        <w:t>рекомендуется:</w:t>
      </w:r>
    </w:p>
    <w:p w14:paraId="15BD4470" w14:textId="25220CC6" w:rsidR="0091408B" w:rsidRPr="002C2F68" w:rsidRDefault="00DC7A5D" w:rsidP="002C2F68">
      <w:pPr>
        <w:pStyle w:val="affa"/>
        <w:spacing w:before="0" w:beforeAutospacing="0" w:after="0" w:afterAutospacing="0" w:line="360" w:lineRule="auto"/>
        <w:jc w:val="both"/>
      </w:pPr>
      <w:r w:rsidRPr="00896495">
        <w:rPr>
          <w:rStyle w:val="aff9"/>
          <w:rFonts w:eastAsiaTheme="majorEastAsia"/>
          <w:b w:val="0"/>
          <w:bCs w:val="0"/>
        </w:rPr>
        <w:t>Таб.</w:t>
      </w:r>
      <w:r w:rsidR="00896495" w:rsidRPr="00896495">
        <w:rPr>
          <w:rStyle w:val="aff9"/>
          <w:rFonts w:eastAsiaTheme="majorEastAsia"/>
          <w:b w:val="0"/>
          <w:bCs w:val="0"/>
        </w:rPr>
        <w:t xml:space="preserve"> </w:t>
      </w:r>
      <w:r w:rsidR="0091408B" w:rsidRPr="00896495">
        <w:rPr>
          <w:rStyle w:val="aff9"/>
          <w:rFonts w:eastAsiaTheme="majorEastAsia"/>
          <w:b w:val="0"/>
          <w:bCs w:val="0"/>
        </w:rPr>
        <w:t>Метопролол</w:t>
      </w:r>
      <w:r w:rsidR="0091408B" w:rsidRPr="002C2F68">
        <w:t xml:space="preserve"> 25–50 мг внутрь или </w:t>
      </w:r>
      <w:r w:rsidR="00896495">
        <w:t xml:space="preserve">р-р. </w:t>
      </w:r>
      <w:r w:rsidR="00896495" w:rsidRPr="00896495">
        <w:rPr>
          <w:rStyle w:val="aff9"/>
          <w:rFonts w:eastAsiaTheme="majorEastAsia"/>
          <w:b w:val="0"/>
          <w:bCs w:val="0"/>
        </w:rPr>
        <w:t>Метопролол</w:t>
      </w:r>
      <w:r w:rsidR="00896495" w:rsidRPr="002C2F68">
        <w:t xml:space="preserve"> </w:t>
      </w:r>
      <w:r w:rsidR="0091408B" w:rsidRPr="002C2F68">
        <w:t>2,5–10 мг внутривенно</w:t>
      </w:r>
    </w:p>
    <w:p w14:paraId="34F64E65" w14:textId="66D95462" w:rsidR="0091408B" w:rsidRPr="002C2F68" w:rsidRDefault="00DC7A5D" w:rsidP="002C2F68">
      <w:pPr>
        <w:pStyle w:val="affa"/>
        <w:spacing w:before="0" w:beforeAutospacing="0" w:after="0" w:afterAutospacing="0" w:line="360" w:lineRule="auto"/>
        <w:jc w:val="both"/>
      </w:pPr>
      <w:r w:rsidRPr="00896495">
        <w:rPr>
          <w:rStyle w:val="aff9"/>
          <w:rFonts w:eastAsiaTheme="majorEastAsia"/>
          <w:b w:val="0"/>
          <w:bCs w:val="0"/>
        </w:rPr>
        <w:t xml:space="preserve">Таб. </w:t>
      </w:r>
      <w:r w:rsidR="0091408B" w:rsidRPr="00896495">
        <w:rPr>
          <w:rStyle w:val="aff9"/>
          <w:rFonts w:eastAsiaTheme="majorEastAsia"/>
          <w:b w:val="0"/>
          <w:bCs w:val="0"/>
        </w:rPr>
        <w:t>Пропранолол</w:t>
      </w:r>
      <w:r w:rsidR="0091408B" w:rsidRPr="002C2F68">
        <w:t xml:space="preserve"> 10–40 мг внутрь</w:t>
      </w:r>
    </w:p>
    <w:p w14:paraId="030D58D9" w14:textId="3E032C13" w:rsidR="00DF5B59" w:rsidRPr="002C2F68" w:rsidRDefault="00DC7A5D" w:rsidP="002C2F68">
      <w:pPr>
        <w:pStyle w:val="affa"/>
        <w:spacing w:before="0" w:beforeAutospacing="0" w:after="0" w:afterAutospacing="0" w:line="360" w:lineRule="auto"/>
        <w:jc w:val="both"/>
      </w:pPr>
      <w:r w:rsidRPr="00896495">
        <w:rPr>
          <w:rStyle w:val="aff9"/>
          <w:rFonts w:eastAsiaTheme="majorEastAsia"/>
          <w:b w:val="0"/>
          <w:bCs w:val="0"/>
        </w:rPr>
        <w:t xml:space="preserve">Р-р. </w:t>
      </w:r>
      <w:r w:rsidR="0091408B" w:rsidRPr="00896495">
        <w:rPr>
          <w:rStyle w:val="aff9"/>
          <w:rFonts w:eastAsiaTheme="majorEastAsia"/>
          <w:b w:val="0"/>
          <w:bCs w:val="0"/>
        </w:rPr>
        <w:t>Верапамил</w:t>
      </w:r>
      <w:r w:rsidR="0091408B" w:rsidRPr="002C2F68">
        <w:t xml:space="preserve"> 5–10 мг (2–4 мл) внутривенно — только при противопоказаниях к применению бета-адреноблокаторов</w:t>
      </w:r>
      <w:r w:rsidR="00E87904" w:rsidRPr="002C2F68">
        <w:t xml:space="preserve"> </w:t>
      </w:r>
      <w:r w:rsidR="008B3B34" w:rsidRPr="002C2F68">
        <w:rPr>
          <w:color w:val="231F20"/>
        </w:rPr>
        <w:t>[541,542,545].</w:t>
      </w:r>
    </w:p>
    <w:p w14:paraId="08E63E79" w14:textId="7D25E26E" w:rsidR="008B3B34" w:rsidRPr="002C2F68" w:rsidRDefault="008B3B34" w:rsidP="002C2F68">
      <w:pPr>
        <w:pStyle w:val="11"/>
        <w:ind w:firstLine="600"/>
        <w:jc w:val="both"/>
        <w:rPr>
          <w:sz w:val="24"/>
          <w:szCs w:val="24"/>
        </w:rPr>
      </w:pPr>
      <w:r w:rsidRPr="002C2F68">
        <w:rPr>
          <w:rStyle w:val="ac"/>
          <w:rFonts w:eastAsiaTheme="majorEastAsia"/>
          <w:b/>
          <w:bCs/>
          <w:sz w:val="24"/>
          <w:szCs w:val="24"/>
        </w:rPr>
        <w:t xml:space="preserve">Уровень убедительности рекомендаций </w:t>
      </w:r>
      <w:r w:rsidRPr="002C2F68">
        <w:rPr>
          <w:rStyle w:val="ac"/>
          <w:rFonts w:eastAsiaTheme="majorEastAsia"/>
          <w:b/>
          <w:bCs/>
          <w:sz w:val="24"/>
          <w:szCs w:val="24"/>
          <w:lang w:val="en-US"/>
        </w:rPr>
        <w:t>C</w:t>
      </w:r>
      <w:r w:rsidRPr="002C2F68">
        <w:rPr>
          <w:rStyle w:val="ac"/>
          <w:rFonts w:eastAsiaTheme="majorEastAsia"/>
          <w:b/>
          <w:bCs/>
          <w:sz w:val="24"/>
          <w:szCs w:val="24"/>
        </w:rPr>
        <w:t xml:space="preserve">, </w:t>
      </w:r>
      <w:r w:rsidRPr="002C2F68">
        <w:rPr>
          <w:rStyle w:val="ac"/>
          <w:rFonts w:eastAsiaTheme="majorEastAsia"/>
          <w:sz w:val="24"/>
          <w:szCs w:val="24"/>
        </w:rPr>
        <w:t>(</w:t>
      </w:r>
      <w:r w:rsidRPr="002C2F68">
        <w:rPr>
          <w:rStyle w:val="ac"/>
          <w:rFonts w:eastAsiaTheme="majorEastAsia"/>
          <w:b/>
          <w:bCs/>
          <w:sz w:val="24"/>
          <w:szCs w:val="24"/>
        </w:rPr>
        <w:t>Уровень достоверности доказательств 5); ЕОК/ЕОАГ нет</w:t>
      </w:r>
      <w:r w:rsidR="008A2AFD">
        <w:rPr>
          <w:rStyle w:val="ac"/>
          <w:rFonts w:eastAsiaTheme="majorEastAsia"/>
          <w:b/>
          <w:bCs/>
          <w:sz w:val="24"/>
          <w:szCs w:val="24"/>
        </w:rPr>
        <w:t>.</w:t>
      </w:r>
    </w:p>
    <w:p w14:paraId="11635E00" w14:textId="77777777" w:rsidR="00557A49" w:rsidRPr="002B51F0" w:rsidRDefault="008B3B34" w:rsidP="002C2F68">
      <w:pPr>
        <w:shd w:val="clear" w:color="auto" w:fill="FFFFFF"/>
        <w:spacing w:before="60" w:after="0" w:line="360" w:lineRule="auto"/>
        <w:jc w:val="both"/>
        <w:rPr>
          <w:rFonts w:eastAsia="Times New Roman" w:cs="Times New Roman"/>
          <w:i/>
          <w:iCs/>
          <w:color w:val="000000" w:themeColor="text1"/>
          <w:kern w:val="0"/>
          <w:sz w:val="24"/>
          <w:szCs w:val="24"/>
          <w:lang w:eastAsia="ru-RU"/>
        </w:rPr>
      </w:pPr>
      <w:r w:rsidRPr="002B51F0">
        <w:rPr>
          <w:rFonts w:cs="Times New Roman"/>
          <w:b/>
          <w:bCs/>
          <w:color w:val="000000" w:themeColor="text1"/>
          <w:sz w:val="24"/>
          <w:szCs w:val="24"/>
        </w:rPr>
        <w:t>Комментарий:</w:t>
      </w:r>
      <w:r w:rsidR="004E609E" w:rsidRPr="002B51F0">
        <w:rPr>
          <w:rFonts w:eastAsia="Times New Roman" w:cs="Times New Roman"/>
          <w:color w:val="000000" w:themeColor="text1"/>
          <w:kern w:val="0"/>
          <w:sz w:val="24"/>
          <w:szCs w:val="24"/>
          <w:lang w:eastAsia="ru-RU"/>
        </w:rPr>
        <w:t> </w:t>
      </w:r>
      <w:r w:rsidR="004E609E" w:rsidRPr="002B51F0">
        <w:rPr>
          <w:rFonts w:eastAsia="Times New Roman" w:cs="Times New Roman"/>
          <w:i/>
          <w:iCs/>
          <w:color w:val="000000" w:themeColor="text1"/>
          <w:kern w:val="0"/>
          <w:sz w:val="24"/>
          <w:szCs w:val="24"/>
          <w:lang w:eastAsia="ru-RU"/>
        </w:rPr>
        <w:t>Метопролол - кардиоселективный (блокирует в основном β1-рецепторы сердца) бета-адреноблокатор. Он идеально подходит для этой ситуации, так как снижает ЧСС</w:t>
      </w:r>
      <w:r w:rsidR="004E609E" w:rsidRPr="002B51F0">
        <w:rPr>
          <w:rFonts w:eastAsia="Times New Roman" w:cs="Times New Roman"/>
          <w:b/>
          <w:bCs/>
          <w:i/>
          <w:iCs/>
          <w:color w:val="000000" w:themeColor="text1"/>
          <w:kern w:val="0"/>
          <w:sz w:val="24"/>
          <w:szCs w:val="24"/>
          <w:lang w:eastAsia="ru-RU"/>
        </w:rPr>
        <w:t xml:space="preserve"> </w:t>
      </w:r>
      <w:r w:rsidR="004E609E" w:rsidRPr="002B51F0">
        <w:rPr>
          <w:rFonts w:eastAsia="Times New Roman" w:cs="Times New Roman"/>
          <w:i/>
          <w:iCs/>
          <w:color w:val="000000" w:themeColor="text1"/>
          <w:kern w:val="0"/>
          <w:sz w:val="24"/>
          <w:szCs w:val="24"/>
          <w:lang w:eastAsia="ru-RU"/>
        </w:rPr>
        <w:t>(Уменьшает частоту и силу сердечных сокращений.), снижает АД (Уменьшает сердечный выброс). В низких и средних дозах обладает минимальным влиянием на β2-рецепторы бронхов и сосудов. Важно: Указана доза 2.5–</w:t>
      </w:r>
      <w:r w:rsidR="00557A49" w:rsidRPr="002B51F0">
        <w:rPr>
          <w:rFonts w:eastAsia="Times New Roman" w:cs="Times New Roman"/>
          <w:i/>
          <w:iCs/>
          <w:color w:val="000000" w:themeColor="text1"/>
          <w:kern w:val="0"/>
          <w:sz w:val="24"/>
          <w:szCs w:val="24"/>
          <w:lang w:eastAsia="ru-RU"/>
        </w:rPr>
        <w:t>10</w:t>
      </w:r>
      <w:r w:rsidR="004E609E" w:rsidRPr="002B51F0">
        <w:rPr>
          <w:rFonts w:eastAsia="Times New Roman" w:cs="Times New Roman"/>
          <w:i/>
          <w:iCs/>
          <w:color w:val="000000" w:themeColor="text1"/>
          <w:kern w:val="0"/>
          <w:sz w:val="24"/>
          <w:szCs w:val="24"/>
          <w:lang w:eastAsia="ru-RU"/>
        </w:rPr>
        <w:t xml:space="preserve"> мг. Это доза для внутривенного струйного медленного введения (вводят 5 мг за 2 мин, контролируя АД и ЧСС). Это не доза для приема внутрь.</w:t>
      </w:r>
    </w:p>
    <w:p w14:paraId="7553A1D2" w14:textId="2650D555" w:rsidR="004E609E" w:rsidRPr="002B51F0" w:rsidRDefault="00896495" w:rsidP="002C2F68">
      <w:pPr>
        <w:shd w:val="clear" w:color="auto" w:fill="FFFFFF"/>
        <w:spacing w:before="60" w:after="0" w:line="360" w:lineRule="auto"/>
        <w:jc w:val="both"/>
        <w:rPr>
          <w:rFonts w:eastAsia="Times New Roman" w:cs="Times New Roman"/>
          <w:i/>
          <w:iCs/>
          <w:color w:val="000000" w:themeColor="text1"/>
          <w:kern w:val="0"/>
          <w:sz w:val="24"/>
          <w:szCs w:val="24"/>
          <w:lang w:eastAsia="ru-RU"/>
        </w:rPr>
      </w:pPr>
      <w:r w:rsidRPr="002B51F0">
        <w:rPr>
          <w:rFonts w:eastAsia="Times New Roman" w:cs="Times New Roman"/>
          <w:i/>
          <w:iCs/>
          <w:color w:val="000000" w:themeColor="text1"/>
          <w:kern w:val="0"/>
          <w:sz w:val="24"/>
          <w:szCs w:val="24"/>
          <w:lang w:eastAsia="ru-RU"/>
        </w:rPr>
        <w:tab/>
      </w:r>
      <w:r w:rsidR="004E609E" w:rsidRPr="002B51F0">
        <w:rPr>
          <w:rFonts w:eastAsia="Times New Roman" w:cs="Times New Roman"/>
          <w:i/>
          <w:iCs/>
          <w:color w:val="000000" w:themeColor="text1"/>
          <w:kern w:val="0"/>
          <w:sz w:val="24"/>
          <w:szCs w:val="24"/>
          <w:lang w:eastAsia="ru-RU"/>
        </w:rPr>
        <w:t xml:space="preserve">Пропранолол </w:t>
      </w:r>
      <w:r w:rsidR="00557A49" w:rsidRPr="002B51F0">
        <w:rPr>
          <w:rFonts w:eastAsia="Times New Roman" w:cs="Times New Roman"/>
          <w:i/>
          <w:iCs/>
          <w:color w:val="000000" w:themeColor="text1"/>
          <w:kern w:val="0"/>
          <w:sz w:val="24"/>
          <w:szCs w:val="24"/>
          <w:lang w:eastAsia="ru-RU"/>
        </w:rPr>
        <w:t xml:space="preserve">- </w:t>
      </w:r>
      <w:r w:rsidR="004E609E" w:rsidRPr="002B51F0">
        <w:rPr>
          <w:rFonts w:eastAsia="Times New Roman" w:cs="Times New Roman"/>
          <w:i/>
          <w:iCs/>
          <w:color w:val="000000" w:themeColor="text1"/>
          <w:kern w:val="0"/>
          <w:sz w:val="24"/>
          <w:szCs w:val="24"/>
          <w:lang w:eastAsia="ru-RU"/>
        </w:rPr>
        <w:t>неселективный бета-блокатор (блокирует и β1, и β2-рецепторы).</w:t>
      </w:r>
      <w:r w:rsidR="00557A49" w:rsidRPr="002B51F0">
        <w:rPr>
          <w:rFonts w:eastAsia="Times New Roman" w:cs="Times New Roman"/>
          <w:i/>
          <w:iCs/>
          <w:color w:val="000000" w:themeColor="text1"/>
          <w:kern w:val="0"/>
          <w:sz w:val="24"/>
          <w:szCs w:val="24"/>
          <w:lang w:eastAsia="ru-RU"/>
        </w:rPr>
        <w:t xml:space="preserve"> </w:t>
      </w:r>
      <w:r w:rsidR="004E609E" w:rsidRPr="002B51F0">
        <w:rPr>
          <w:rFonts w:eastAsia="Times New Roman" w:cs="Times New Roman"/>
          <w:i/>
          <w:iCs/>
          <w:color w:val="000000" w:themeColor="text1"/>
          <w:kern w:val="0"/>
          <w:sz w:val="24"/>
          <w:szCs w:val="24"/>
          <w:lang w:eastAsia="ru-RU"/>
        </w:rPr>
        <w:t xml:space="preserve">Эффективно снижает и ЧСС, </w:t>
      </w:r>
      <w:r w:rsidR="00557A49" w:rsidRPr="002B51F0">
        <w:rPr>
          <w:rFonts w:eastAsia="Times New Roman" w:cs="Times New Roman"/>
          <w:i/>
          <w:iCs/>
          <w:color w:val="000000" w:themeColor="text1"/>
          <w:kern w:val="0"/>
          <w:sz w:val="24"/>
          <w:szCs w:val="24"/>
          <w:lang w:eastAsia="ru-RU"/>
        </w:rPr>
        <w:t xml:space="preserve">может вызвать </w:t>
      </w:r>
      <w:r w:rsidR="004E609E" w:rsidRPr="002B51F0">
        <w:rPr>
          <w:rFonts w:eastAsia="Times New Roman" w:cs="Times New Roman"/>
          <w:i/>
          <w:iCs/>
          <w:color w:val="000000" w:themeColor="text1"/>
          <w:kern w:val="0"/>
          <w:sz w:val="24"/>
          <w:szCs w:val="24"/>
          <w:lang w:eastAsia="ru-RU"/>
        </w:rPr>
        <w:t>бронхоспазм (абсолютно противопоказан при бронхиальной астме и ХОБЛ</w:t>
      </w:r>
      <w:r w:rsidR="00557A49" w:rsidRPr="002B51F0">
        <w:rPr>
          <w:rFonts w:eastAsia="Times New Roman" w:cs="Times New Roman"/>
          <w:i/>
          <w:iCs/>
          <w:color w:val="000000" w:themeColor="text1"/>
          <w:kern w:val="0"/>
          <w:sz w:val="24"/>
          <w:szCs w:val="24"/>
          <w:lang w:eastAsia="ru-RU"/>
        </w:rPr>
        <w:t>). Сильнее</w:t>
      </w:r>
      <w:r w:rsidR="004E609E" w:rsidRPr="002B51F0">
        <w:rPr>
          <w:rFonts w:eastAsia="Times New Roman" w:cs="Times New Roman"/>
          <w:i/>
          <w:iCs/>
          <w:color w:val="000000" w:themeColor="text1"/>
          <w:kern w:val="0"/>
          <w:sz w:val="24"/>
          <w:szCs w:val="24"/>
          <w:lang w:eastAsia="ru-RU"/>
        </w:rPr>
        <w:t xml:space="preserve"> снижает сократительную способность миокарда.</w:t>
      </w:r>
      <w:r w:rsidR="00557A49" w:rsidRPr="002B51F0">
        <w:rPr>
          <w:rFonts w:eastAsia="Times New Roman" w:cs="Times New Roman"/>
          <w:i/>
          <w:iCs/>
          <w:color w:val="000000" w:themeColor="text1"/>
          <w:kern w:val="0"/>
          <w:sz w:val="24"/>
          <w:szCs w:val="24"/>
          <w:lang w:eastAsia="ru-RU"/>
        </w:rPr>
        <w:t xml:space="preserve"> </w:t>
      </w:r>
      <w:r w:rsidR="004E609E" w:rsidRPr="002B51F0">
        <w:rPr>
          <w:rFonts w:eastAsia="Times New Roman" w:cs="Times New Roman"/>
          <w:i/>
          <w:iCs/>
          <w:color w:val="000000" w:themeColor="text1"/>
          <w:kern w:val="0"/>
          <w:sz w:val="24"/>
          <w:szCs w:val="24"/>
          <w:lang w:eastAsia="ru-RU"/>
        </w:rPr>
        <w:t>Может вызывать спазм периферических сосудов. Для купирования криза его применяют перорально, так как он хорошо и достаточно быстро всасывается. Начало эффекта через 30-60 мин.</w:t>
      </w:r>
    </w:p>
    <w:p w14:paraId="3D3E99C7" w14:textId="77777777" w:rsidR="00557A49" w:rsidRPr="002B51F0" w:rsidRDefault="00557A49" w:rsidP="002C2F68">
      <w:pPr>
        <w:autoSpaceDE w:val="0"/>
        <w:autoSpaceDN w:val="0"/>
        <w:adjustRightInd w:val="0"/>
        <w:spacing w:after="0" w:line="360" w:lineRule="auto"/>
        <w:jc w:val="both"/>
        <w:rPr>
          <w:rFonts w:cs="Times New Roman"/>
          <w:i/>
          <w:iCs/>
          <w:color w:val="000000" w:themeColor="text1"/>
          <w:kern w:val="0"/>
          <w:sz w:val="24"/>
          <w:szCs w:val="24"/>
        </w:rPr>
      </w:pPr>
      <w:r w:rsidRPr="002B51F0">
        <w:rPr>
          <w:rFonts w:cs="Times New Roman"/>
          <w:i/>
          <w:iCs/>
          <w:color w:val="000000" w:themeColor="text1"/>
          <w:kern w:val="0"/>
          <w:sz w:val="24"/>
          <w:szCs w:val="24"/>
        </w:rPr>
        <w:lastRenderedPageBreak/>
        <w:t>При противопоказании БАБ используют Верапамил</w:t>
      </w:r>
    </w:p>
    <w:p w14:paraId="129DC55F" w14:textId="33B77543" w:rsidR="00345D59" w:rsidRPr="00AE77A3" w:rsidRDefault="00DC7A5D" w:rsidP="002C2F68">
      <w:pPr>
        <w:autoSpaceDE w:val="0"/>
        <w:autoSpaceDN w:val="0"/>
        <w:adjustRightInd w:val="0"/>
        <w:spacing w:after="0" w:line="360" w:lineRule="auto"/>
        <w:jc w:val="both"/>
        <w:rPr>
          <w:rStyle w:val="aff9"/>
          <w:rFonts w:cs="Times New Roman"/>
          <w:b w:val="0"/>
          <w:bCs w:val="0"/>
          <w:i/>
          <w:iCs/>
          <w:sz w:val="24"/>
          <w:szCs w:val="24"/>
        </w:rPr>
      </w:pPr>
      <w:r>
        <w:rPr>
          <w:rFonts w:cs="Times New Roman"/>
          <w:i/>
          <w:iCs/>
          <w:color w:val="404040"/>
          <w:sz w:val="24"/>
          <w:szCs w:val="24"/>
        </w:rPr>
        <w:tab/>
      </w:r>
      <w:r w:rsidR="00557A49" w:rsidRPr="00AE77A3">
        <w:rPr>
          <w:rFonts w:cs="Times New Roman"/>
          <w:i/>
          <w:iCs/>
          <w:sz w:val="24"/>
          <w:szCs w:val="24"/>
        </w:rPr>
        <w:t>Верапамил — блокатор медленных кальциевых каналов (БМКК) недигидропиридинового ряда.</w:t>
      </w:r>
      <w:r w:rsidR="00E01F7B" w:rsidRPr="00AE77A3">
        <w:rPr>
          <w:rFonts w:cs="Times New Roman"/>
          <w:i/>
          <w:iCs/>
          <w:sz w:val="24"/>
          <w:szCs w:val="24"/>
        </w:rPr>
        <w:t xml:space="preserve"> </w:t>
      </w:r>
      <w:r w:rsidR="00557A49" w:rsidRPr="00AE77A3">
        <w:rPr>
          <w:rFonts w:cs="Times New Roman"/>
          <w:i/>
          <w:iCs/>
          <w:sz w:val="24"/>
          <w:szCs w:val="24"/>
        </w:rPr>
        <w:t>Расширяет сосуды и урежает ЧСС (за счет угнетения проведения в AV-узле</w:t>
      </w:r>
      <w:r w:rsidR="00896495" w:rsidRPr="00AE77A3">
        <w:rPr>
          <w:rFonts w:cs="Times New Roman"/>
          <w:i/>
          <w:iCs/>
          <w:sz w:val="24"/>
          <w:szCs w:val="24"/>
        </w:rPr>
        <w:t>). используют</w:t>
      </w:r>
      <w:r w:rsidR="00345D59" w:rsidRPr="00AE77A3">
        <w:rPr>
          <w:rFonts w:cs="Times New Roman"/>
          <w:i/>
          <w:iCs/>
          <w:sz w:val="24"/>
          <w:szCs w:val="24"/>
        </w:rPr>
        <w:t xml:space="preserve"> в том случае </w:t>
      </w:r>
      <w:r w:rsidR="00557A49" w:rsidRPr="00AE77A3">
        <w:rPr>
          <w:rFonts w:cs="Times New Roman"/>
          <w:i/>
          <w:iCs/>
          <w:sz w:val="24"/>
          <w:szCs w:val="24"/>
        </w:rPr>
        <w:t>если есть </w:t>
      </w:r>
      <w:r w:rsidR="00557A49" w:rsidRPr="00AE77A3">
        <w:rPr>
          <w:rStyle w:val="aff9"/>
          <w:rFonts w:cs="Times New Roman"/>
          <w:b w:val="0"/>
          <w:bCs w:val="0"/>
          <w:i/>
          <w:iCs/>
          <w:sz w:val="24"/>
          <w:szCs w:val="24"/>
        </w:rPr>
        <w:t>противопоказания к бета</w:t>
      </w:r>
      <w:r w:rsidR="00345D59" w:rsidRPr="00AE77A3">
        <w:rPr>
          <w:rStyle w:val="aff9"/>
          <w:rFonts w:cs="Times New Roman"/>
          <w:b w:val="0"/>
          <w:bCs w:val="0"/>
          <w:i/>
          <w:iCs/>
          <w:sz w:val="24"/>
          <w:szCs w:val="24"/>
        </w:rPr>
        <w:t>-</w:t>
      </w:r>
      <w:r w:rsidR="00896495" w:rsidRPr="00AE77A3">
        <w:rPr>
          <w:rStyle w:val="aff9"/>
          <w:rFonts w:cs="Times New Roman"/>
          <w:b w:val="0"/>
          <w:bCs w:val="0"/>
          <w:i/>
          <w:iCs/>
          <w:sz w:val="24"/>
          <w:szCs w:val="24"/>
        </w:rPr>
        <w:t>блокаторам</w:t>
      </w:r>
      <w:r w:rsidR="00896495" w:rsidRPr="00AE77A3">
        <w:rPr>
          <w:rFonts w:cs="Times New Roman"/>
          <w:i/>
          <w:iCs/>
          <w:sz w:val="24"/>
          <w:szCs w:val="24"/>
        </w:rPr>
        <w:t xml:space="preserve"> (</w:t>
      </w:r>
      <w:r w:rsidR="00557A49" w:rsidRPr="00AE77A3">
        <w:rPr>
          <w:rFonts w:cs="Times New Roman"/>
          <w:i/>
          <w:iCs/>
          <w:sz w:val="24"/>
          <w:szCs w:val="24"/>
        </w:rPr>
        <w:t>Бронхиальная астма, ХОБЛ</w:t>
      </w:r>
      <w:r w:rsidR="00345D59" w:rsidRPr="00AE77A3">
        <w:rPr>
          <w:rFonts w:cs="Times New Roman"/>
          <w:i/>
          <w:iCs/>
          <w:sz w:val="24"/>
          <w:szCs w:val="24"/>
        </w:rPr>
        <w:t>,</w:t>
      </w:r>
      <w:r w:rsidR="00896495" w:rsidRPr="00AE77A3">
        <w:rPr>
          <w:rFonts w:cs="Times New Roman"/>
          <w:i/>
          <w:iCs/>
          <w:sz w:val="24"/>
          <w:szCs w:val="24"/>
        </w:rPr>
        <w:t xml:space="preserve"> </w:t>
      </w:r>
      <w:r w:rsidR="00557A49" w:rsidRPr="00AE77A3">
        <w:rPr>
          <w:rFonts w:cs="Times New Roman"/>
          <w:i/>
          <w:iCs/>
          <w:sz w:val="24"/>
          <w:szCs w:val="24"/>
        </w:rPr>
        <w:t>Выраженная брадикардия, AV-блокада.</w:t>
      </w:r>
      <w:r w:rsidR="00AE77A3">
        <w:rPr>
          <w:rFonts w:cs="Times New Roman"/>
          <w:i/>
          <w:iCs/>
          <w:sz w:val="24"/>
          <w:szCs w:val="24"/>
        </w:rPr>
        <w:t xml:space="preserve"> </w:t>
      </w:r>
      <w:r w:rsidR="00557A49" w:rsidRPr="00AE77A3">
        <w:rPr>
          <w:rFonts w:cs="Times New Roman"/>
          <w:i/>
          <w:iCs/>
          <w:sz w:val="24"/>
          <w:szCs w:val="24"/>
        </w:rPr>
        <w:t>Острая сердечная недостаточность.</w:t>
      </w:r>
      <w:r w:rsidR="00345D59" w:rsidRPr="00AE77A3">
        <w:rPr>
          <w:rFonts w:cs="Times New Roman"/>
          <w:i/>
          <w:iCs/>
          <w:sz w:val="24"/>
          <w:szCs w:val="24"/>
        </w:rPr>
        <w:t>)</w:t>
      </w:r>
      <w:r w:rsidR="00557A49" w:rsidRPr="00AE77A3">
        <w:rPr>
          <w:rFonts w:cs="Times New Roman"/>
          <w:i/>
          <w:iCs/>
          <w:sz w:val="24"/>
          <w:szCs w:val="24"/>
        </w:rPr>
        <w:t xml:space="preserve">. </w:t>
      </w:r>
      <w:r w:rsidR="00557A49" w:rsidRPr="00AE77A3">
        <w:rPr>
          <w:rStyle w:val="aff9"/>
          <w:rFonts w:cs="Times New Roman"/>
          <w:b w:val="0"/>
          <w:bCs w:val="0"/>
          <w:i/>
          <w:iCs/>
          <w:sz w:val="24"/>
          <w:szCs w:val="24"/>
          <w:u w:val="single"/>
        </w:rPr>
        <w:t>Категорически запрещено</w:t>
      </w:r>
      <w:r w:rsidR="00557A49" w:rsidRPr="00AE77A3">
        <w:rPr>
          <w:rFonts w:cs="Times New Roman"/>
          <w:i/>
          <w:iCs/>
          <w:sz w:val="24"/>
          <w:szCs w:val="24"/>
        </w:rPr>
        <w:t> совместное применение Верапамила и Бета-</w:t>
      </w:r>
      <w:r w:rsidR="00AE77A3">
        <w:rPr>
          <w:rFonts w:cs="Times New Roman"/>
          <w:i/>
          <w:iCs/>
          <w:sz w:val="24"/>
          <w:szCs w:val="24"/>
        </w:rPr>
        <w:t>блокаторов</w:t>
      </w:r>
      <w:r w:rsidR="00345D59" w:rsidRPr="00AE77A3">
        <w:rPr>
          <w:rFonts w:cs="Times New Roman"/>
          <w:i/>
          <w:iCs/>
          <w:sz w:val="24"/>
          <w:szCs w:val="24"/>
        </w:rPr>
        <w:t>,</w:t>
      </w:r>
      <w:r w:rsidR="00557A49" w:rsidRPr="00AE77A3">
        <w:rPr>
          <w:rFonts w:cs="Times New Roman"/>
          <w:i/>
          <w:iCs/>
          <w:sz w:val="24"/>
          <w:szCs w:val="24"/>
        </w:rPr>
        <w:t xml:space="preserve"> из-за высокого риска развития </w:t>
      </w:r>
      <w:r w:rsidR="00557A49" w:rsidRPr="00AE77A3">
        <w:rPr>
          <w:rStyle w:val="aff9"/>
          <w:rFonts w:cs="Times New Roman"/>
          <w:b w:val="0"/>
          <w:bCs w:val="0"/>
          <w:i/>
          <w:iCs/>
          <w:sz w:val="24"/>
          <w:szCs w:val="24"/>
        </w:rPr>
        <w:t>выраженной брадикардии, AV-блокады III степени, асистолии и острой сердечной недостаточности.</w:t>
      </w:r>
    </w:p>
    <w:p w14:paraId="58D686CC" w14:textId="7EBC90F5" w:rsidR="00557A49" w:rsidRPr="00AE77A3" w:rsidRDefault="00345D59" w:rsidP="00DC7A5D">
      <w:pPr>
        <w:autoSpaceDE w:val="0"/>
        <w:autoSpaceDN w:val="0"/>
        <w:adjustRightInd w:val="0"/>
        <w:spacing w:after="0" w:line="360" w:lineRule="auto"/>
        <w:ind w:firstLine="708"/>
        <w:jc w:val="both"/>
        <w:rPr>
          <w:rFonts w:cs="Times New Roman"/>
          <w:b/>
          <w:bCs/>
          <w:i/>
          <w:iCs/>
          <w:kern w:val="0"/>
          <w:sz w:val="24"/>
          <w:szCs w:val="24"/>
        </w:rPr>
      </w:pPr>
      <w:r w:rsidRPr="00AE77A3">
        <w:rPr>
          <w:rStyle w:val="aff9"/>
          <w:rFonts w:cs="Times New Roman"/>
          <w:b w:val="0"/>
          <w:bCs w:val="0"/>
          <w:i/>
          <w:iCs/>
          <w:sz w:val="24"/>
          <w:szCs w:val="24"/>
        </w:rPr>
        <w:t xml:space="preserve">Верапамил не применим при синдроме </w:t>
      </w:r>
      <w:r w:rsidRPr="00AE77A3">
        <w:rPr>
          <w:rStyle w:val="aff9"/>
          <w:rFonts w:cs="Times New Roman"/>
          <w:b w:val="0"/>
          <w:bCs w:val="0"/>
          <w:i/>
          <w:iCs/>
          <w:sz w:val="24"/>
          <w:szCs w:val="24"/>
          <w:shd w:val="clear" w:color="auto" w:fill="FFFFFF"/>
        </w:rPr>
        <w:t>Вольфа-Паркинсона-Уайта (WPW)</w:t>
      </w:r>
      <w:r w:rsidRPr="00AE77A3">
        <w:rPr>
          <w:rFonts w:cs="Times New Roman"/>
          <w:b/>
          <w:bCs/>
          <w:i/>
          <w:iCs/>
          <w:sz w:val="24"/>
          <w:szCs w:val="24"/>
          <w:shd w:val="clear" w:color="auto" w:fill="FFFFFF"/>
        </w:rPr>
        <w:t> </w:t>
      </w:r>
      <w:r w:rsidRPr="00AE77A3">
        <w:rPr>
          <w:rFonts w:cs="Times New Roman"/>
          <w:i/>
          <w:iCs/>
          <w:sz w:val="24"/>
          <w:szCs w:val="24"/>
          <w:shd w:val="clear" w:color="auto" w:fill="FFFFFF"/>
        </w:rPr>
        <w:t>или</w:t>
      </w:r>
      <w:r w:rsidRPr="00AE77A3">
        <w:rPr>
          <w:rFonts w:cs="Times New Roman"/>
          <w:b/>
          <w:bCs/>
          <w:i/>
          <w:iCs/>
          <w:sz w:val="24"/>
          <w:szCs w:val="24"/>
          <w:shd w:val="clear" w:color="auto" w:fill="FFFFFF"/>
        </w:rPr>
        <w:t> </w:t>
      </w:r>
      <w:r w:rsidRPr="00AE77A3">
        <w:rPr>
          <w:rStyle w:val="aff9"/>
          <w:rFonts w:cs="Times New Roman"/>
          <w:b w:val="0"/>
          <w:bCs w:val="0"/>
          <w:i/>
          <w:iCs/>
          <w:sz w:val="24"/>
          <w:szCs w:val="24"/>
          <w:shd w:val="clear" w:color="auto" w:fill="FFFFFF"/>
        </w:rPr>
        <w:t>LGL (Лауна-Ганон</w:t>
      </w:r>
      <w:r w:rsidR="00FB3E16" w:rsidRPr="00AE77A3">
        <w:rPr>
          <w:rStyle w:val="aff9"/>
          <w:rFonts w:cs="Times New Roman"/>
          <w:b w:val="0"/>
          <w:bCs w:val="0"/>
          <w:i/>
          <w:iCs/>
          <w:sz w:val="24"/>
          <w:szCs w:val="24"/>
          <w:shd w:val="clear" w:color="auto" w:fill="FFFFFF"/>
        </w:rPr>
        <w:t>га</w:t>
      </w:r>
      <w:r w:rsidRPr="00AE77A3">
        <w:rPr>
          <w:rStyle w:val="aff9"/>
          <w:rFonts w:cs="Times New Roman"/>
          <w:b w:val="0"/>
          <w:bCs w:val="0"/>
          <w:i/>
          <w:iCs/>
          <w:sz w:val="24"/>
          <w:szCs w:val="24"/>
          <w:shd w:val="clear" w:color="auto" w:fill="FFFFFF"/>
        </w:rPr>
        <w:t>-Лев</w:t>
      </w:r>
      <w:r w:rsidR="00FB3E16" w:rsidRPr="00AE77A3">
        <w:rPr>
          <w:rStyle w:val="aff9"/>
          <w:rFonts w:cs="Times New Roman"/>
          <w:b w:val="0"/>
          <w:bCs w:val="0"/>
          <w:i/>
          <w:iCs/>
          <w:sz w:val="24"/>
          <w:szCs w:val="24"/>
          <w:shd w:val="clear" w:color="auto" w:fill="FFFFFF"/>
        </w:rPr>
        <w:t>айна</w:t>
      </w:r>
      <w:r w:rsidRPr="00AE77A3">
        <w:rPr>
          <w:rStyle w:val="aff9"/>
          <w:rFonts w:cs="Times New Roman"/>
          <w:b w:val="0"/>
          <w:bCs w:val="0"/>
          <w:i/>
          <w:iCs/>
          <w:sz w:val="24"/>
          <w:szCs w:val="24"/>
          <w:shd w:val="clear" w:color="auto" w:fill="FFFFFF"/>
        </w:rPr>
        <w:t>)</w:t>
      </w:r>
      <w:r w:rsidR="00B03386">
        <w:rPr>
          <w:rFonts w:cs="Times New Roman"/>
          <w:b/>
          <w:bCs/>
          <w:i/>
          <w:iCs/>
          <w:sz w:val="24"/>
          <w:szCs w:val="24"/>
          <w:shd w:val="clear" w:color="auto" w:fill="FFFFFF"/>
        </w:rPr>
        <w:t xml:space="preserve"> </w:t>
      </w:r>
      <w:r w:rsidRPr="00AE77A3">
        <w:rPr>
          <w:rFonts w:cs="Times New Roman"/>
          <w:i/>
          <w:iCs/>
          <w:sz w:val="24"/>
          <w:szCs w:val="24"/>
          <w:shd w:val="clear" w:color="auto" w:fill="FFFFFF"/>
        </w:rPr>
        <w:t>с</w:t>
      </w:r>
      <w:r w:rsidR="00B03386">
        <w:rPr>
          <w:rFonts w:cs="Times New Roman"/>
          <w:b/>
          <w:bCs/>
          <w:i/>
          <w:iCs/>
          <w:sz w:val="24"/>
          <w:szCs w:val="24"/>
          <w:shd w:val="clear" w:color="auto" w:fill="FFFFFF"/>
        </w:rPr>
        <w:t xml:space="preserve"> </w:t>
      </w:r>
      <w:r w:rsidRPr="00AE77A3">
        <w:rPr>
          <w:rStyle w:val="aff9"/>
          <w:rFonts w:cs="Times New Roman"/>
          <w:b w:val="0"/>
          <w:bCs w:val="0"/>
          <w:i/>
          <w:iCs/>
          <w:sz w:val="24"/>
          <w:szCs w:val="24"/>
          <w:shd w:val="clear" w:color="auto" w:fill="FFFFFF"/>
        </w:rPr>
        <w:t>мерцательной аритмией/трепетанием предсердий (</w:t>
      </w:r>
      <w:r w:rsidRPr="00AE77A3">
        <w:rPr>
          <w:rFonts w:cs="Times New Roman"/>
          <w:i/>
          <w:iCs/>
          <w:sz w:val="24"/>
          <w:szCs w:val="24"/>
          <w:shd w:val="clear" w:color="auto" w:fill="FFFFFF"/>
        </w:rPr>
        <w:t>Верапамил, блокируя AV-узел, может способствовать проведению импульсов через дополнительный (аномальный) проводящий путь (пучок Кента), что ведет к резкому учащению желудочкового ритма (вплоть до 300-400 уд/мин) и высокому риску перехода в фибрилляцию желудочков.)</w:t>
      </w:r>
      <w:r w:rsidR="00A56B9B" w:rsidRPr="00AE77A3">
        <w:rPr>
          <w:rFonts w:cs="Times New Roman"/>
          <w:i/>
          <w:iCs/>
          <w:sz w:val="24"/>
          <w:szCs w:val="24"/>
          <w:shd w:val="clear" w:color="auto" w:fill="FFFFFF"/>
        </w:rPr>
        <w:t xml:space="preserve">,так же </w:t>
      </w:r>
      <w:r w:rsidR="00B03386">
        <w:rPr>
          <w:rFonts w:cs="Times New Roman"/>
          <w:i/>
          <w:iCs/>
          <w:sz w:val="24"/>
          <w:szCs w:val="24"/>
          <w:shd w:val="clear" w:color="auto" w:fill="FFFFFF"/>
        </w:rPr>
        <w:t>и</w:t>
      </w:r>
      <w:r w:rsidR="00A56B9B" w:rsidRPr="00AE77A3">
        <w:rPr>
          <w:rFonts w:cs="Times New Roman"/>
          <w:i/>
          <w:iCs/>
          <w:sz w:val="24"/>
          <w:szCs w:val="24"/>
          <w:shd w:val="clear" w:color="auto" w:fill="FFFFFF"/>
        </w:rPr>
        <w:t>спользование верапамила при тахикардии с широкими комплексами QRS (≥ 0.12 сек) без точной диагностики ее типа является одной из самых частых и грубых ошибок в неотложной кардиологии, которая может привести к фатальным последствиям.</w:t>
      </w:r>
    </w:p>
    <w:p w14:paraId="4E019961" w14:textId="77777777" w:rsidR="00E87904" w:rsidRPr="002C2F68" w:rsidRDefault="00DF5B59" w:rsidP="002C2F68">
      <w:pPr>
        <w:pStyle w:val="affa"/>
        <w:spacing w:before="0" w:beforeAutospacing="0" w:after="0" w:afterAutospacing="0" w:line="360" w:lineRule="auto"/>
        <w:jc w:val="both"/>
      </w:pPr>
      <w:r w:rsidRPr="002C2F68">
        <w:rPr>
          <w:b/>
          <w:bCs/>
          <w:color w:val="231F20"/>
        </w:rPr>
        <w:t xml:space="preserve">2.2– </w:t>
      </w:r>
      <w:r w:rsidR="00E87904" w:rsidRPr="00FB3E16">
        <w:rPr>
          <w:b/>
          <w:bCs/>
        </w:rPr>
        <w:t>При хронической почечной недостаточности рекомендуется:</w:t>
      </w:r>
    </w:p>
    <w:p w14:paraId="7968A1EA" w14:textId="4C378BCF" w:rsidR="00E87904" w:rsidRPr="002C2F68" w:rsidRDefault="00E87904" w:rsidP="002C2F68">
      <w:pPr>
        <w:pStyle w:val="affa"/>
        <w:spacing w:before="0" w:beforeAutospacing="0" w:after="0" w:afterAutospacing="0" w:line="360" w:lineRule="auto"/>
        <w:jc w:val="both"/>
      </w:pPr>
      <w:r w:rsidRPr="00DA64F2">
        <w:rPr>
          <w:rStyle w:val="aff9"/>
          <w:rFonts w:eastAsiaTheme="majorEastAsia"/>
          <w:b w:val="0"/>
          <w:bCs w:val="0"/>
        </w:rPr>
        <w:t>Таб. Моксонидин</w:t>
      </w:r>
      <w:r w:rsidRPr="002C2F68">
        <w:t xml:space="preserve"> 0,2 мг внутрь</w:t>
      </w:r>
    </w:p>
    <w:p w14:paraId="51D46A54" w14:textId="2FAC17E6" w:rsidR="00051DDF" w:rsidRPr="002C2F68" w:rsidRDefault="00E87904" w:rsidP="002C2F68">
      <w:pPr>
        <w:pStyle w:val="affa"/>
        <w:spacing w:before="0" w:beforeAutospacing="0" w:after="0" w:afterAutospacing="0" w:line="360" w:lineRule="auto"/>
        <w:jc w:val="both"/>
      </w:pPr>
      <w:r w:rsidRPr="002C2F68">
        <w:rPr>
          <w:rStyle w:val="aff9"/>
          <w:rFonts w:eastAsiaTheme="majorEastAsia"/>
        </w:rPr>
        <w:t>Противопоказаны:</w:t>
      </w:r>
      <w:r w:rsidRPr="002C2F68">
        <w:t xml:space="preserve"> ингибиторы АПФ и диуретики </w:t>
      </w:r>
      <w:r w:rsidR="00051DDF" w:rsidRPr="002C2F68">
        <w:rPr>
          <w:color w:val="231F20"/>
        </w:rPr>
        <w:t>[541,542,545]</w:t>
      </w:r>
    </w:p>
    <w:p w14:paraId="6B3E488B" w14:textId="36639F73" w:rsidR="004C7FAC" w:rsidRPr="004C73E8" w:rsidRDefault="004C7FAC" w:rsidP="004C7FAC">
      <w:pPr>
        <w:pStyle w:val="11"/>
        <w:ind w:firstLine="600"/>
        <w:jc w:val="center"/>
        <w:rPr>
          <w:b/>
          <w:bCs/>
          <w:sz w:val="24"/>
          <w:szCs w:val="24"/>
          <w:u w:val="single"/>
        </w:rPr>
      </w:pPr>
      <w:r w:rsidRPr="004C73E8">
        <w:rPr>
          <w:rStyle w:val="ac"/>
          <w:rFonts w:eastAsiaTheme="majorEastAsia"/>
          <w:b/>
          <w:bCs/>
          <w:sz w:val="24"/>
          <w:szCs w:val="24"/>
          <w:u w:val="single"/>
        </w:rPr>
        <w:t xml:space="preserve">Альтернативная помощь на ДГЭ </w:t>
      </w:r>
      <w:r w:rsidRPr="004C73E8">
        <w:rPr>
          <w:b/>
          <w:bCs/>
          <w:sz w:val="24"/>
          <w:szCs w:val="24"/>
          <w:u w:val="single"/>
        </w:rPr>
        <w:t>при хронической почечной недостаточности</w:t>
      </w:r>
    </w:p>
    <w:p w14:paraId="588BF440" w14:textId="1744F18F" w:rsidR="004C7FAC" w:rsidRPr="004C7FAC" w:rsidRDefault="004C7FAC" w:rsidP="00236060">
      <w:pPr>
        <w:pStyle w:val="11"/>
        <w:numPr>
          <w:ilvl w:val="0"/>
          <w:numId w:val="69"/>
        </w:numPr>
        <w:jc w:val="both"/>
        <w:rPr>
          <w:rFonts w:eastAsiaTheme="majorEastAsia"/>
          <w:sz w:val="24"/>
          <w:szCs w:val="24"/>
        </w:rPr>
      </w:pPr>
      <w:r w:rsidRPr="004C7FAC">
        <w:rPr>
          <w:rFonts w:eastAsiaTheme="majorEastAsia"/>
          <w:sz w:val="24"/>
          <w:szCs w:val="24"/>
        </w:rPr>
        <w:t>Блокаторы кальциевых каналов (БКК)</w:t>
      </w:r>
      <w:r w:rsidR="004C73E8">
        <w:rPr>
          <w:rFonts w:eastAsiaTheme="majorEastAsia"/>
          <w:sz w:val="24"/>
          <w:szCs w:val="24"/>
        </w:rPr>
        <w:t xml:space="preserve"> -</w:t>
      </w:r>
      <w:r w:rsidRPr="004C7FAC">
        <w:rPr>
          <w:rFonts w:eastAsiaTheme="majorEastAsia"/>
          <w:sz w:val="24"/>
          <w:szCs w:val="24"/>
        </w:rPr>
        <w:t>Нифедипин</w:t>
      </w:r>
      <w:r w:rsidR="004C73E8">
        <w:rPr>
          <w:rFonts w:eastAsiaTheme="majorEastAsia"/>
          <w:sz w:val="24"/>
          <w:szCs w:val="24"/>
        </w:rPr>
        <w:t xml:space="preserve"> </w:t>
      </w:r>
      <w:r w:rsidRPr="004C7FAC">
        <w:rPr>
          <w:rFonts w:eastAsiaTheme="majorEastAsia"/>
          <w:sz w:val="24"/>
          <w:szCs w:val="24"/>
        </w:rPr>
        <w:t>(10–20 мг перорально) — с осторожностью, под контролем АД.</w:t>
      </w:r>
      <w:r w:rsidR="004C73E8">
        <w:rPr>
          <w:rFonts w:eastAsiaTheme="majorEastAsia"/>
          <w:sz w:val="24"/>
          <w:szCs w:val="24"/>
        </w:rPr>
        <w:t xml:space="preserve"> </w:t>
      </w:r>
      <w:r w:rsidRPr="004C7FAC">
        <w:rPr>
          <w:rFonts w:eastAsiaTheme="majorEastAsia"/>
          <w:sz w:val="24"/>
          <w:szCs w:val="24"/>
        </w:rPr>
        <w:t>Амлодипин (5–10 мг перорально) — предпочтителен при ХПН благодаря длительному действию и низкому риску нефротоксичности.</w:t>
      </w:r>
    </w:p>
    <w:p w14:paraId="72FF180C" w14:textId="5CD8C3CD" w:rsidR="004C7FAC" w:rsidRPr="004C7FAC" w:rsidRDefault="004C7FAC" w:rsidP="00236060">
      <w:pPr>
        <w:pStyle w:val="11"/>
        <w:numPr>
          <w:ilvl w:val="0"/>
          <w:numId w:val="69"/>
        </w:numPr>
        <w:jc w:val="both"/>
        <w:rPr>
          <w:rFonts w:eastAsiaTheme="majorEastAsia"/>
          <w:sz w:val="24"/>
          <w:szCs w:val="24"/>
        </w:rPr>
      </w:pPr>
      <w:r w:rsidRPr="004C7FAC">
        <w:rPr>
          <w:rFonts w:eastAsiaTheme="majorEastAsia"/>
          <w:sz w:val="24"/>
          <w:szCs w:val="24"/>
        </w:rPr>
        <w:t>Клонидин (Клофелин) — 0,075–0,15 мг перорально</w:t>
      </w:r>
      <w:r w:rsidR="004C73E8">
        <w:rPr>
          <w:rFonts w:eastAsiaTheme="majorEastAsia"/>
          <w:sz w:val="24"/>
          <w:szCs w:val="24"/>
        </w:rPr>
        <w:t xml:space="preserve"> - </w:t>
      </w:r>
      <w:r w:rsidRPr="004C7FAC">
        <w:rPr>
          <w:rFonts w:eastAsiaTheme="majorEastAsia"/>
          <w:sz w:val="24"/>
          <w:szCs w:val="24"/>
        </w:rPr>
        <w:t>Центральный α₂-агонист, аналогичный моксонидину.</w:t>
      </w:r>
      <w:r w:rsidR="004C73E8">
        <w:rPr>
          <w:rFonts w:eastAsiaTheme="majorEastAsia"/>
          <w:sz w:val="24"/>
          <w:szCs w:val="24"/>
        </w:rPr>
        <w:t xml:space="preserve"> </w:t>
      </w:r>
      <w:r w:rsidRPr="004C7FAC">
        <w:rPr>
          <w:rFonts w:eastAsiaTheme="majorEastAsia"/>
          <w:sz w:val="24"/>
          <w:szCs w:val="24"/>
        </w:rPr>
        <w:t>Может использоваться с осторожностью (риск седации, брадикардии).</w:t>
      </w:r>
    </w:p>
    <w:p w14:paraId="450B2A4C" w14:textId="63315436" w:rsidR="004C7FAC" w:rsidRPr="004C7FAC" w:rsidRDefault="004C7FAC" w:rsidP="00236060">
      <w:pPr>
        <w:pStyle w:val="11"/>
        <w:numPr>
          <w:ilvl w:val="0"/>
          <w:numId w:val="69"/>
        </w:numPr>
        <w:jc w:val="both"/>
        <w:rPr>
          <w:rFonts w:eastAsiaTheme="majorEastAsia"/>
          <w:sz w:val="24"/>
          <w:szCs w:val="24"/>
        </w:rPr>
      </w:pPr>
      <w:r w:rsidRPr="004C7FAC">
        <w:rPr>
          <w:rFonts w:eastAsiaTheme="majorEastAsia"/>
          <w:sz w:val="24"/>
          <w:szCs w:val="24"/>
        </w:rPr>
        <w:t>Вазодилататоры</w:t>
      </w:r>
      <w:r w:rsidR="00515B90">
        <w:rPr>
          <w:rFonts w:eastAsiaTheme="majorEastAsia"/>
          <w:sz w:val="24"/>
          <w:szCs w:val="24"/>
        </w:rPr>
        <w:t xml:space="preserve"> (</w:t>
      </w:r>
      <w:proofErr w:type="gramStart"/>
      <w:r w:rsidRPr="004C7FAC">
        <w:rPr>
          <w:rFonts w:eastAsiaTheme="majorEastAsia"/>
          <w:sz w:val="24"/>
          <w:szCs w:val="24"/>
        </w:rPr>
        <w:t>Урапидил </w:t>
      </w:r>
      <w:r w:rsidR="00515B90">
        <w:rPr>
          <w:rFonts w:eastAsiaTheme="majorEastAsia"/>
          <w:sz w:val="24"/>
          <w:szCs w:val="24"/>
        </w:rPr>
        <w:t>)</w:t>
      </w:r>
      <w:proofErr w:type="gramEnd"/>
      <w:r w:rsidRPr="004C7FAC">
        <w:rPr>
          <w:rFonts w:eastAsiaTheme="majorEastAsia"/>
          <w:sz w:val="24"/>
          <w:szCs w:val="24"/>
        </w:rPr>
        <w:t>— предпочтителен при тяжелых кризах.</w:t>
      </w:r>
    </w:p>
    <w:p w14:paraId="281993C5" w14:textId="6EEEB6C4" w:rsidR="004C7FAC" w:rsidRPr="00515B90" w:rsidRDefault="004C7FAC" w:rsidP="00236060">
      <w:pPr>
        <w:pStyle w:val="11"/>
        <w:numPr>
          <w:ilvl w:val="0"/>
          <w:numId w:val="69"/>
        </w:numPr>
        <w:jc w:val="both"/>
        <w:rPr>
          <w:rStyle w:val="ac"/>
          <w:rFonts w:eastAsiaTheme="majorEastAsia"/>
          <w:sz w:val="24"/>
          <w:szCs w:val="24"/>
        </w:rPr>
      </w:pPr>
      <w:r w:rsidRPr="004C7FAC">
        <w:rPr>
          <w:rFonts w:eastAsiaTheme="majorEastAsia"/>
          <w:sz w:val="24"/>
          <w:szCs w:val="24"/>
        </w:rPr>
        <w:t>При угрозе осложнений (отек легких):</w:t>
      </w:r>
      <w:r w:rsidR="00C9572A">
        <w:rPr>
          <w:rFonts w:eastAsiaTheme="majorEastAsia"/>
          <w:sz w:val="24"/>
          <w:szCs w:val="24"/>
        </w:rPr>
        <w:t xml:space="preserve"> </w:t>
      </w:r>
      <w:r w:rsidRPr="004C7FAC">
        <w:rPr>
          <w:rFonts w:eastAsiaTheme="majorEastAsia"/>
          <w:sz w:val="24"/>
          <w:szCs w:val="24"/>
        </w:rPr>
        <w:t>Нитроглицерин (в/в капельно) — при сердечной недостаточности</w:t>
      </w:r>
      <w:r w:rsidR="00C9572A">
        <w:rPr>
          <w:rFonts w:eastAsiaTheme="majorEastAsia"/>
          <w:sz w:val="24"/>
          <w:szCs w:val="24"/>
        </w:rPr>
        <w:t>, либо Нитроминт сублингвально</w:t>
      </w:r>
      <w:r w:rsidRPr="004C7FAC">
        <w:rPr>
          <w:rFonts w:eastAsiaTheme="majorEastAsia"/>
          <w:sz w:val="24"/>
          <w:szCs w:val="24"/>
        </w:rPr>
        <w:t>.</w:t>
      </w:r>
      <w:r w:rsidR="00C9572A">
        <w:rPr>
          <w:rFonts w:eastAsiaTheme="majorEastAsia"/>
          <w:sz w:val="24"/>
          <w:szCs w:val="24"/>
        </w:rPr>
        <w:t xml:space="preserve"> </w:t>
      </w:r>
      <w:r w:rsidR="009C63CF" w:rsidRPr="00F95388">
        <w:rPr>
          <w:color w:val="0F1115"/>
        </w:rPr>
        <w:t>[547]</w:t>
      </w:r>
    </w:p>
    <w:p w14:paraId="60E07D99" w14:textId="316CA0BB" w:rsidR="009C63CF" w:rsidRPr="009C63CF" w:rsidRDefault="009C63CF" w:rsidP="009C63CF">
      <w:pPr>
        <w:pStyle w:val="11"/>
        <w:ind w:left="360" w:firstLine="0"/>
        <w:jc w:val="both"/>
        <w:rPr>
          <w:rFonts w:eastAsiaTheme="majorEastAsia"/>
          <w:b/>
          <w:bCs/>
          <w:sz w:val="24"/>
          <w:szCs w:val="24"/>
        </w:rPr>
      </w:pPr>
      <w:r w:rsidRPr="002C2F68">
        <w:rPr>
          <w:rStyle w:val="ac"/>
          <w:rFonts w:eastAsiaTheme="majorEastAsia"/>
          <w:b/>
          <w:bCs/>
          <w:sz w:val="24"/>
          <w:szCs w:val="24"/>
        </w:rPr>
        <w:t xml:space="preserve">Уровень убедительности рекомендаций </w:t>
      </w:r>
      <w:r w:rsidRPr="002C2F68">
        <w:rPr>
          <w:rStyle w:val="ac"/>
          <w:rFonts w:eastAsiaTheme="majorEastAsia"/>
          <w:b/>
          <w:bCs/>
          <w:sz w:val="24"/>
          <w:szCs w:val="24"/>
          <w:lang w:val="en-US"/>
        </w:rPr>
        <w:t>C</w:t>
      </w:r>
      <w:r w:rsidRPr="002C2F68">
        <w:rPr>
          <w:rStyle w:val="ac"/>
          <w:rFonts w:eastAsiaTheme="majorEastAsia"/>
          <w:b/>
          <w:bCs/>
          <w:sz w:val="24"/>
          <w:szCs w:val="24"/>
        </w:rPr>
        <w:t xml:space="preserve">, </w:t>
      </w:r>
      <w:r w:rsidRPr="002C2F68">
        <w:rPr>
          <w:rStyle w:val="ac"/>
          <w:rFonts w:eastAsiaTheme="majorEastAsia"/>
          <w:sz w:val="24"/>
          <w:szCs w:val="24"/>
        </w:rPr>
        <w:t>(</w:t>
      </w:r>
      <w:r w:rsidRPr="002C2F68">
        <w:rPr>
          <w:rStyle w:val="ac"/>
          <w:rFonts w:eastAsiaTheme="majorEastAsia"/>
          <w:b/>
          <w:bCs/>
          <w:sz w:val="24"/>
          <w:szCs w:val="24"/>
        </w:rPr>
        <w:t>Уровень достоверности доказательств 5); ЕОК/ЕОАГ нет</w:t>
      </w:r>
      <w:r w:rsidR="008A2AFD">
        <w:rPr>
          <w:rStyle w:val="ac"/>
          <w:rFonts w:eastAsiaTheme="majorEastAsia"/>
          <w:b/>
          <w:bCs/>
          <w:sz w:val="24"/>
          <w:szCs w:val="24"/>
        </w:rPr>
        <w:t>.</w:t>
      </w:r>
    </w:p>
    <w:p w14:paraId="51608C29" w14:textId="56E66C95" w:rsidR="00DF5B59" w:rsidRDefault="00363059" w:rsidP="002C2F68">
      <w:pPr>
        <w:pStyle w:val="11"/>
        <w:ind w:firstLine="600"/>
        <w:jc w:val="both"/>
        <w:rPr>
          <w:i/>
          <w:iCs/>
          <w:color w:val="404040"/>
          <w:sz w:val="24"/>
          <w:szCs w:val="24"/>
          <w:shd w:val="clear" w:color="auto" w:fill="FFFFFF"/>
        </w:rPr>
      </w:pPr>
      <w:r w:rsidRPr="002C2F68">
        <w:rPr>
          <w:b/>
          <w:bCs/>
          <w:color w:val="231F20"/>
          <w:sz w:val="24"/>
          <w:szCs w:val="24"/>
        </w:rPr>
        <w:t>Комментарий:</w:t>
      </w:r>
      <w:r w:rsidRPr="002C2F68">
        <w:rPr>
          <w:color w:val="404040"/>
          <w:kern w:val="0"/>
          <w:sz w:val="24"/>
          <w:szCs w:val="24"/>
          <w:lang w:eastAsia="ru-RU"/>
        </w:rPr>
        <w:t> </w:t>
      </w:r>
      <w:r w:rsidRPr="002C2F68">
        <w:rPr>
          <w:i/>
          <w:iCs/>
          <w:color w:val="404040"/>
          <w:kern w:val="0"/>
          <w:sz w:val="24"/>
          <w:szCs w:val="24"/>
          <w:lang w:eastAsia="ru-RU"/>
        </w:rPr>
        <w:t xml:space="preserve">Моксонидин - </w:t>
      </w:r>
      <w:r w:rsidRPr="002C2F68">
        <w:rPr>
          <w:i/>
          <w:iCs/>
          <w:color w:val="404040"/>
          <w:sz w:val="24"/>
          <w:szCs w:val="24"/>
          <w:shd w:val="clear" w:color="auto" w:fill="FFFFFF"/>
        </w:rPr>
        <w:t xml:space="preserve">Центральный агонист имидазолиновых рецепторов. </w:t>
      </w:r>
      <w:r w:rsidRPr="002C2F68">
        <w:rPr>
          <w:i/>
          <w:iCs/>
          <w:color w:val="404040"/>
          <w:sz w:val="24"/>
          <w:szCs w:val="24"/>
          <w:shd w:val="clear" w:color="auto" w:fill="FFFFFF"/>
        </w:rPr>
        <w:lastRenderedPageBreak/>
        <w:t>Он снижает активность симпатической нервной системы, что ведет к снижению общего периферического сосудистого сопротивления (ОПСС) и, как следствие, к снижению АД.</w:t>
      </w:r>
      <w:r w:rsidRPr="002C2F68">
        <w:rPr>
          <w:rStyle w:val="10"/>
          <w:rFonts w:ascii="Times New Roman" w:hAnsi="Times New Roman" w:cs="Times New Roman"/>
          <w:i/>
          <w:iCs/>
          <w:color w:val="404040"/>
          <w:sz w:val="24"/>
          <w:szCs w:val="24"/>
          <w:shd w:val="clear" w:color="auto" w:fill="FFFFFF"/>
        </w:rPr>
        <w:t xml:space="preserve"> </w:t>
      </w:r>
      <w:r w:rsidRPr="002C2F68">
        <w:rPr>
          <w:rStyle w:val="aff9"/>
          <w:rFonts w:eastAsiaTheme="majorEastAsia"/>
          <w:b w:val="0"/>
          <w:bCs w:val="0"/>
          <w:i/>
          <w:iCs/>
          <w:color w:val="404040"/>
          <w:sz w:val="24"/>
          <w:szCs w:val="24"/>
          <w:shd w:val="clear" w:color="auto" w:fill="FFFFFF"/>
        </w:rPr>
        <w:t>Не влияет на почечный кровоток и скорость клубочковой фильтрации (СКФ).</w:t>
      </w:r>
      <w:r w:rsidRPr="002C2F68">
        <w:rPr>
          <w:b/>
          <w:bCs/>
          <w:i/>
          <w:iCs/>
          <w:color w:val="404040"/>
          <w:sz w:val="24"/>
          <w:szCs w:val="24"/>
          <w:shd w:val="clear" w:color="auto" w:fill="FFFFFF"/>
        </w:rPr>
        <w:t> </w:t>
      </w:r>
      <w:r w:rsidRPr="002C2F68">
        <w:rPr>
          <w:rStyle w:val="aff9"/>
          <w:rFonts w:eastAsiaTheme="majorEastAsia"/>
          <w:b w:val="0"/>
          <w:bCs w:val="0"/>
          <w:i/>
          <w:iCs/>
          <w:color w:val="404040"/>
          <w:sz w:val="24"/>
          <w:szCs w:val="24"/>
          <w:shd w:val="clear" w:color="auto" w:fill="FFFFFF"/>
        </w:rPr>
        <w:t>Не вызывает электролитных нарушений</w:t>
      </w:r>
      <w:r w:rsidRPr="002C2F68">
        <w:rPr>
          <w:rStyle w:val="aff9"/>
          <w:rFonts w:eastAsiaTheme="majorEastAsia"/>
          <w:i/>
          <w:iCs/>
          <w:color w:val="404040"/>
          <w:sz w:val="24"/>
          <w:szCs w:val="24"/>
          <w:shd w:val="clear" w:color="auto" w:fill="FFFFFF"/>
        </w:rPr>
        <w:t>.</w:t>
      </w:r>
      <w:r w:rsidRPr="002C2F68">
        <w:rPr>
          <w:i/>
          <w:iCs/>
          <w:color w:val="404040"/>
          <w:sz w:val="24"/>
          <w:szCs w:val="24"/>
          <w:shd w:val="clear" w:color="auto" w:fill="FFFFFF"/>
        </w:rPr>
        <w:t xml:space="preserve"> (при сублингвальном приеме — через 10-20 мин), что важно для купирования криза.</w:t>
      </w:r>
    </w:p>
    <w:p w14:paraId="747D8B98" w14:textId="474E2CBC" w:rsidR="008D4831" w:rsidRPr="009C63CF" w:rsidRDefault="008D4831" w:rsidP="009C63CF">
      <w:pPr>
        <w:pStyle w:val="ds-markdown-paragraph"/>
        <w:shd w:val="clear" w:color="auto" w:fill="FFFFFF"/>
        <w:spacing w:before="0" w:beforeAutospacing="0" w:after="0" w:afterAutospacing="0" w:line="360" w:lineRule="auto"/>
        <w:ind w:firstLine="360"/>
        <w:jc w:val="both"/>
        <w:rPr>
          <w:i/>
          <w:iCs/>
          <w:color w:val="0F1115"/>
        </w:rPr>
      </w:pPr>
      <w:r w:rsidRPr="008D4831">
        <w:rPr>
          <w:rStyle w:val="aff9"/>
          <w:rFonts w:eastAsiaTheme="majorEastAsia"/>
          <w:b w:val="0"/>
          <w:bCs w:val="0"/>
          <w:i/>
          <w:iCs/>
          <w:color w:val="0F1115"/>
          <w:shd w:val="clear" w:color="auto" w:fill="FFFFFF"/>
        </w:rPr>
        <w:t>Применение Нитроминта (нитроглицерина) сублингвально у пациентов с хронической почечной недостаточностью (ХПН) прямое нефротоксическое действие не оказывает,</w:t>
      </w:r>
      <w:r w:rsidRPr="008D4831">
        <w:rPr>
          <w:i/>
          <w:iCs/>
          <w:color w:val="0F1115"/>
          <w:shd w:val="clear" w:color="auto" w:fill="FFFFFF"/>
        </w:rPr>
        <w:t xml:space="preserve"> преимущественно метаболизируется в печени, а его метаболиты (ди- и мононитраты) выводятся почками.</w:t>
      </w:r>
      <w:r w:rsidRPr="008D4831">
        <w:rPr>
          <w:i/>
          <w:iCs/>
          <w:color w:val="0F1115"/>
        </w:rPr>
        <w:t xml:space="preserve"> При ХПН возможно </w:t>
      </w:r>
      <w:r w:rsidRPr="008D4831">
        <w:rPr>
          <w:rStyle w:val="aff9"/>
          <w:rFonts w:eastAsiaTheme="majorEastAsia"/>
          <w:b w:val="0"/>
          <w:bCs w:val="0"/>
          <w:i/>
          <w:iCs/>
          <w:color w:val="0F1115"/>
        </w:rPr>
        <w:t>накопление метаболитов</w:t>
      </w:r>
      <w:r w:rsidRPr="008D4831">
        <w:rPr>
          <w:i/>
          <w:iCs/>
          <w:color w:val="0F1115"/>
        </w:rPr>
        <w:t>, однако они обладают значительно меньшей (примерно в 10 раз) сосудорасширяющей активностью по сравнению с исходным веществом.</w:t>
      </w:r>
      <w:r w:rsidRPr="008D4831">
        <w:rPr>
          <w:rStyle w:val="aff9"/>
          <w:rFonts w:eastAsiaTheme="majorEastAsia"/>
          <w:b w:val="0"/>
          <w:bCs w:val="0"/>
          <w:i/>
          <w:iCs/>
          <w:color w:val="0F1115"/>
        </w:rPr>
        <w:t xml:space="preserve"> Основной риск связан не с поражением почек, а с системными </w:t>
      </w:r>
      <w:r w:rsidRPr="006B20D7">
        <w:rPr>
          <w:rStyle w:val="aff9"/>
          <w:rFonts w:eastAsiaTheme="majorEastAsia"/>
          <w:b w:val="0"/>
          <w:bCs w:val="0"/>
          <w:i/>
          <w:iCs/>
          <w:color w:val="0F1115"/>
        </w:rPr>
        <w:t>гемодинамическими эффектами</w:t>
      </w:r>
      <w:r w:rsidRPr="006B20D7">
        <w:rPr>
          <w:i/>
          <w:iCs/>
          <w:color w:val="0F1115"/>
        </w:rPr>
        <w:t> (резкое падение артериального давления), которые могут усугубить состояние пациента с ХПН.</w:t>
      </w:r>
      <w:r w:rsidR="005774C4" w:rsidRPr="006B20D7">
        <w:rPr>
          <w:i/>
          <w:iCs/>
          <w:color w:val="0F1115"/>
        </w:rPr>
        <w:t xml:space="preserve"> Показания при ХПН: ОКС, ОЛЖН на фоне гипертонического криза.</w:t>
      </w:r>
      <w:r w:rsidR="006B20D7" w:rsidRPr="006B20D7">
        <w:rPr>
          <w:i/>
          <w:iCs/>
          <w:color w:val="0F1115"/>
        </w:rPr>
        <w:t xml:space="preserve"> Меры предосторожности у </w:t>
      </w:r>
      <w:r w:rsidR="006B20D7" w:rsidRPr="006B20D7">
        <w:rPr>
          <w:i/>
          <w:iCs/>
          <w:color w:val="0F1115"/>
          <w:shd w:val="clear" w:color="auto" w:fill="FFFFFF"/>
        </w:rPr>
        <w:t>пациентов с ХПН, особенно на диализе, часто имеют сопутствующую сердечную недостаточность, вегетативную нейропатию и нарушения водно-электролитного баланса. Это повышает их чувствительность к гипотензивному эффекту нитроглицерина и риск резкого падения АД. Применение нитроглицерина непосредственно перед или во время сеанса гемодиализа может потенцировать гипотензию, связанную с самой процедурой. Нитроглицерин может повышать внутричерепное давление, что требует осторожности у пациентов с сопутствующей патологией мозга. Выраженная анемия, часто сопровождающая ХПН, может усугублять ишемию миокарда и повышать потребность в нитратах, но также увеличивает риск коллапса. Рекомендуется начинать с </w:t>
      </w:r>
      <w:r w:rsidR="006B20D7" w:rsidRPr="006B20D7">
        <w:rPr>
          <w:rStyle w:val="aff9"/>
          <w:rFonts w:eastAsiaTheme="majorEastAsia"/>
          <w:b w:val="0"/>
          <w:bCs w:val="0"/>
          <w:i/>
          <w:iCs/>
          <w:color w:val="0F1115"/>
          <w:shd w:val="clear" w:color="auto" w:fill="FFFFFF"/>
        </w:rPr>
        <w:t>минимальной дозы (0,4 мг или 1 доза спрея)</w:t>
      </w:r>
      <w:r w:rsidR="006B20D7" w:rsidRPr="006B20D7">
        <w:rPr>
          <w:i/>
          <w:iCs/>
          <w:color w:val="0F1115"/>
          <w:shd w:val="clear" w:color="auto" w:fill="FFFFFF"/>
        </w:rPr>
        <w:t>. При необходимости повторный прием возможен не ранее, чем через 5-10 минут, под контролем АД. Препарат необходимо применять </w:t>
      </w:r>
      <w:r w:rsidR="006B20D7" w:rsidRPr="000F47FB">
        <w:rPr>
          <w:rStyle w:val="aff9"/>
          <w:rFonts w:eastAsiaTheme="majorEastAsia"/>
          <w:b w:val="0"/>
          <w:bCs w:val="0"/>
          <w:i/>
          <w:iCs/>
          <w:color w:val="0F1115"/>
          <w:shd w:val="clear" w:color="auto" w:fill="FFFFFF"/>
        </w:rPr>
        <w:t>сидя или лёжа</w:t>
      </w:r>
      <w:r w:rsidR="006B20D7" w:rsidRPr="006B20D7">
        <w:rPr>
          <w:i/>
          <w:iCs/>
          <w:color w:val="0F1115"/>
          <w:shd w:val="clear" w:color="auto" w:fill="FFFFFF"/>
        </w:rPr>
        <w:t> для профилактики ортостатической гипотензии и обморока.</w:t>
      </w:r>
    </w:p>
    <w:p w14:paraId="45BF474B" w14:textId="77777777" w:rsidR="00DC7A5D" w:rsidRDefault="00DF5B59" w:rsidP="00424F51">
      <w:pPr>
        <w:pStyle w:val="affa"/>
        <w:numPr>
          <w:ilvl w:val="1"/>
          <w:numId w:val="65"/>
        </w:numPr>
        <w:spacing w:before="0" w:beforeAutospacing="0" w:after="0" w:afterAutospacing="0" w:line="360" w:lineRule="auto"/>
        <w:jc w:val="both"/>
      </w:pPr>
      <w:r w:rsidRPr="002C2F68">
        <w:rPr>
          <w:b/>
          <w:bCs/>
          <w:color w:val="231F20"/>
        </w:rPr>
        <w:t xml:space="preserve">– </w:t>
      </w:r>
      <w:r w:rsidR="00752B8B" w:rsidRPr="00FB3E16">
        <w:rPr>
          <w:b/>
          <w:bCs/>
        </w:rPr>
        <w:t xml:space="preserve">При гипертоническом кризе, </w:t>
      </w:r>
      <w:r w:rsidR="00752B8B" w:rsidRPr="00FB3E16">
        <w:rPr>
          <w:rStyle w:val="aff9"/>
          <w:rFonts w:eastAsiaTheme="majorEastAsia"/>
        </w:rPr>
        <w:t>связанном с отменой клонидина</w:t>
      </w:r>
      <w:r w:rsidR="00752B8B" w:rsidRPr="00FB3E16">
        <w:rPr>
          <w:b/>
          <w:bCs/>
        </w:rPr>
        <w:t>,</w:t>
      </w:r>
      <w:r w:rsidR="00752B8B" w:rsidRPr="002C2F68">
        <w:t xml:space="preserve"> рекомендуется:</w:t>
      </w:r>
    </w:p>
    <w:p w14:paraId="0832C311" w14:textId="44BB6BE0" w:rsidR="00C173B6" w:rsidRDefault="00752B8B" w:rsidP="00C173B6">
      <w:pPr>
        <w:pStyle w:val="affa"/>
        <w:spacing w:before="0" w:beforeAutospacing="0" w:after="0" w:afterAutospacing="0" w:line="360" w:lineRule="auto"/>
        <w:jc w:val="both"/>
        <w:rPr>
          <w:color w:val="231F20"/>
        </w:rPr>
      </w:pPr>
      <w:r w:rsidRPr="00DC7A5D">
        <w:rPr>
          <w:rStyle w:val="aff9"/>
          <w:rFonts w:eastAsiaTheme="majorEastAsia"/>
        </w:rPr>
        <w:t>Раствор Клонидин</w:t>
      </w:r>
      <w:r w:rsidRPr="002C2F68">
        <w:t xml:space="preserve"> 0,1 </w:t>
      </w:r>
      <w:r w:rsidR="008D4831" w:rsidRPr="002C2F68">
        <w:t>мг (1 мл),</w:t>
      </w:r>
      <w:r w:rsidRPr="002C2F68">
        <w:t xml:space="preserve"> внутривенно разведенный на физиологическом растворе</w:t>
      </w:r>
      <w:r w:rsidR="008D4831">
        <w:t xml:space="preserve"> </w:t>
      </w:r>
      <w:r w:rsidR="00051DDF" w:rsidRPr="00DC7A5D">
        <w:rPr>
          <w:color w:val="231F20"/>
        </w:rPr>
        <w:t>[541,542,545]</w:t>
      </w:r>
      <w:r w:rsidR="00C173B6">
        <w:rPr>
          <w:color w:val="231F20"/>
        </w:rPr>
        <w:t>.</w:t>
      </w:r>
      <w:r w:rsidR="00C173B6" w:rsidRPr="00C173B6">
        <w:rPr>
          <w:color w:val="231F20"/>
        </w:rPr>
        <w:t xml:space="preserve"> </w:t>
      </w:r>
      <w:r w:rsidR="00C173B6">
        <w:rPr>
          <w:color w:val="231F20"/>
        </w:rPr>
        <w:t xml:space="preserve">Или р-р. </w:t>
      </w:r>
      <w:r w:rsidR="00C173B6" w:rsidRPr="00515B90">
        <w:rPr>
          <w:color w:val="231F20"/>
        </w:rPr>
        <w:t>Урапидил (Эбрантил)</w:t>
      </w:r>
      <w:r w:rsidR="00C173B6">
        <w:rPr>
          <w:color w:val="231F20"/>
        </w:rPr>
        <w:t xml:space="preserve"> </w:t>
      </w:r>
      <w:r w:rsidR="00C173B6" w:rsidRPr="00515B90">
        <w:rPr>
          <w:color w:val="231F20"/>
        </w:rPr>
        <w:t>25–50 мг в/в медленно (можно повторить через 5–10 мин), затем инфузия 2–4 мг/мин.</w:t>
      </w:r>
      <w:r w:rsidR="00C173B6">
        <w:rPr>
          <w:color w:val="231F20"/>
        </w:rPr>
        <w:t>(</w:t>
      </w:r>
      <w:r w:rsidR="00C173B6" w:rsidRPr="00515B90">
        <w:rPr>
          <w:color w:val="231F20"/>
        </w:rPr>
        <w:t>Не вызывает тахикардии, безопасен при ХПН.</w:t>
      </w:r>
      <w:r w:rsidR="00C173B6">
        <w:rPr>
          <w:color w:val="231F20"/>
        </w:rPr>
        <w:t>).</w:t>
      </w:r>
    </w:p>
    <w:p w14:paraId="59E19EB2" w14:textId="547DD8EE" w:rsidR="00DF5B59" w:rsidRDefault="009C63CF" w:rsidP="009C63CF">
      <w:pPr>
        <w:pStyle w:val="affa"/>
        <w:spacing w:before="0" w:beforeAutospacing="0" w:after="0" w:afterAutospacing="0" w:line="360" w:lineRule="auto"/>
        <w:ind w:firstLine="600"/>
        <w:jc w:val="both"/>
        <w:rPr>
          <w:color w:val="231F20"/>
        </w:rPr>
      </w:pPr>
      <w:r>
        <w:rPr>
          <w:color w:val="231F20"/>
        </w:rPr>
        <w:t xml:space="preserve">Либо р-р. </w:t>
      </w:r>
      <w:r w:rsidR="00C173B6" w:rsidRPr="00C173B6">
        <w:rPr>
          <w:color w:val="231F20"/>
        </w:rPr>
        <w:t>Фентоламин (при подозрении на феохромоцитому)</w:t>
      </w:r>
      <w:r w:rsidR="00C173B6">
        <w:rPr>
          <w:color w:val="231F20"/>
        </w:rPr>
        <w:t xml:space="preserve"> </w:t>
      </w:r>
      <w:r w:rsidR="00C173B6" w:rsidRPr="00C173B6">
        <w:rPr>
          <w:color w:val="231F20"/>
        </w:rPr>
        <w:t>5–10 мг в/в медленно. (</w:t>
      </w:r>
      <w:r w:rsidR="00C173B6" w:rsidRPr="00C173B6">
        <w:rPr>
          <w:rFonts w:eastAsiaTheme="minorHAnsi"/>
          <w:color w:val="0F1115"/>
          <w:kern w:val="2"/>
          <w:shd w:val="clear" w:color="auto" w:fill="FFFFFF"/>
          <w:lang w:eastAsia="en-US"/>
        </w:rPr>
        <w:t>При</w:t>
      </w:r>
      <w:r w:rsidR="00C173B6" w:rsidRPr="00C173B6">
        <w:rPr>
          <w:color w:val="231F20"/>
        </w:rPr>
        <w:t xml:space="preserve"> кризах, вызванных избытком катехоламинов.)</w:t>
      </w:r>
    </w:p>
    <w:p w14:paraId="219A8B22" w14:textId="77777777" w:rsidR="009C63CF" w:rsidRDefault="009C63CF" w:rsidP="009C63CF">
      <w:pPr>
        <w:pStyle w:val="affa"/>
        <w:spacing w:before="0" w:beforeAutospacing="0" w:after="0" w:afterAutospacing="0" w:line="360" w:lineRule="auto"/>
        <w:ind w:firstLine="600"/>
        <w:jc w:val="center"/>
        <w:rPr>
          <w:b/>
          <w:bCs/>
          <w:u w:val="single"/>
        </w:rPr>
      </w:pPr>
      <w:r w:rsidRPr="009C63CF">
        <w:rPr>
          <w:rStyle w:val="ac"/>
          <w:rFonts w:eastAsiaTheme="majorEastAsia"/>
          <w:b/>
          <w:bCs/>
          <w:u w:val="single"/>
        </w:rPr>
        <w:t>Альтернативная помощь на ДГЭ</w:t>
      </w:r>
      <w:r w:rsidRPr="009C63CF">
        <w:rPr>
          <w:b/>
          <w:bCs/>
          <w:u w:val="single"/>
        </w:rPr>
        <w:t xml:space="preserve"> </w:t>
      </w:r>
      <w:r>
        <w:rPr>
          <w:b/>
          <w:bCs/>
          <w:u w:val="single"/>
        </w:rPr>
        <w:t>п</w:t>
      </w:r>
      <w:r w:rsidRPr="009C63CF">
        <w:rPr>
          <w:b/>
          <w:bCs/>
          <w:u w:val="single"/>
        </w:rPr>
        <w:t xml:space="preserve">ри гипертоническом кризе, </w:t>
      </w:r>
      <w:r w:rsidRPr="009C63CF">
        <w:rPr>
          <w:rStyle w:val="aff9"/>
          <w:rFonts w:eastAsiaTheme="majorEastAsia"/>
          <w:u w:val="single"/>
        </w:rPr>
        <w:t>связанном с отменой клонидина</w:t>
      </w:r>
      <w:r>
        <w:rPr>
          <w:b/>
          <w:bCs/>
          <w:u w:val="single"/>
        </w:rPr>
        <w:t>.</w:t>
      </w:r>
    </w:p>
    <w:p w14:paraId="08287714" w14:textId="5692D08E" w:rsidR="00AA4985" w:rsidRDefault="009C63CF" w:rsidP="00AA4985">
      <w:pPr>
        <w:pStyle w:val="affa"/>
        <w:spacing w:before="0" w:beforeAutospacing="0" w:after="0" w:afterAutospacing="0" w:line="360" w:lineRule="auto"/>
        <w:ind w:firstLine="600"/>
        <w:jc w:val="both"/>
        <w:rPr>
          <w:color w:val="0F1115"/>
          <w:shd w:val="clear" w:color="auto" w:fill="FFFFFF"/>
        </w:rPr>
      </w:pPr>
      <w:r w:rsidRPr="009C63CF">
        <w:rPr>
          <w:color w:val="0F1115"/>
        </w:rPr>
        <w:lastRenderedPageBreak/>
        <w:t>Пентамин (Азаметония бромид)</w:t>
      </w:r>
      <w:r>
        <w:rPr>
          <w:color w:val="0F1115"/>
        </w:rPr>
        <w:t xml:space="preserve"> </w:t>
      </w:r>
      <w:r w:rsidRPr="009C63CF">
        <w:rPr>
          <w:color w:val="0F1115"/>
        </w:rPr>
        <w:t xml:space="preserve">- </w:t>
      </w:r>
      <w:r w:rsidR="00AA4985">
        <w:rPr>
          <w:color w:val="0F1115"/>
          <w:shd w:val="clear" w:color="auto" w:fill="FFFFFF"/>
        </w:rPr>
        <w:t>г</w:t>
      </w:r>
      <w:r w:rsidRPr="009C63CF">
        <w:rPr>
          <w:color w:val="0F1115"/>
          <w:shd w:val="clear" w:color="auto" w:fill="FFFFFF"/>
        </w:rPr>
        <w:t>англиоблокатор. Блокирует передачу нервных импульсов в симпатических и парасимпатических ганглиях, что приводит к резкому снижению тонуса артериол и венул, уменьшению периферического сопротивления и венозного возврата к сердцу. Может быть эффективен, так как полностью выключает симпатическую регуляцию, что актуально при избытке катехоламинов.</w:t>
      </w:r>
    </w:p>
    <w:p w14:paraId="66D6BFB4" w14:textId="249C14B6" w:rsidR="00AA4985" w:rsidRPr="00AA4985" w:rsidRDefault="00AA4985" w:rsidP="00AA4985">
      <w:pPr>
        <w:pStyle w:val="affa"/>
        <w:spacing w:before="0" w:beforeAutospacing="0" w:after="0" w:afterAutospacing="0" w:line="360" w:lineRule="auto"/>
        <w:ind w:firstLine="600"/>
        <w:jc w:val="both"/>
        <w:rPr>
          <w:color w:val="0F1115"/>
          <w:shd w:val="clear" w:color="auto" w:fill="FFFFFF"/>
        </w:rPr>
      </w:pPr>
      <w:r w:rsidRPr="00AA4985">
        <w:rPr>
          <w:color w:val="0F1115"/>
        </w:rPr>
        <w:t xml:space="preserve">Магния сульфат - </w:t>
      </w:r>
      <w:r>
        <w:rPr>
          <w:color w:val="0F1115"/>
          <w:shd w:val="clear" w:color="auto" w:fill="FFFFFF"/>
        </w:rPr>
        <w:t>ц</w:t>
      </w:r>
      <w:r w:rsidRPr="00AA4985">
        <w:rPr>
          <w:color w:val="0F1115"/>
          <w:shd w:val="clear" w:color="auto" w:fill="FFFFFF"/>
        </w:rPr>
        <w:t xml:space="preserve">ентральное седативное и противосудорожное действие, периферическая вазодилатация (антагонист кальция), подавление высвобождения катехоламинов из надпочечников. Эффект есть, но слабый и непредсказуемый для быстрого купирования криза. Основное преимущество — </w:t>
      </w:r>
      <w:r>
        <w:rPr>
          <w:color w:val="0F1115"/>
          <w:shd w:val="clear" w:color="auto" w:fill="FFFFFF"/>
        </w:rPr>
        <w:t>нейропротекция</w:t>
      </w:r>
      <w:r w:rsidRPr="00AA4985">
        <w:rPr>
          <w:color w:val="0F1115"/>
          <w:shd w:val="clear" w:color="auto" w:fill="FFFFFF"/>
        </w:rPr>
        <w:t>.</w:t>
      </w:r>
    </w:p>
    <w:p w14:paraId="59A4BCB4" w14:textId="2F5EE8B2" w:rsidR="00363059" w:rsidRPr="002C2F68" w:rsidRDefault="00363059" w:rsidP="002C2F68">
      <w:pPr>
        <w:pStyle w:val="11"/>
        <w:ind w:firstLine="600"/>
        <w:jc w:val="both"/>
        <w:rPr>
          <w:rStyle w:val="ac"/>
          <w:rFonts w:eastAsiaTheme="majorEastAsia"/>
          <w:b/>
          <w:bCs/>
          <w:sz w:val="24"/>
          <w:szCs w:val="24"/>
        </w:rPr>
      </w:pPr>
      <w:r w:rsidRPr="002C2F68">
        <w:rPr>
          <w:rStyle w:val="ac"/>
          <w:rFonts w:eastAsiaTheme="majorEastAsia"/>
          <w:b/>
          <w:bCs/>
          <w:sz w:val="24"/>
          <w:szCs w:val="24"/>
        </w:rPr>
        <w:t xml:space="preserve">Уровень убедительности рекомендаций </w:t>
      </w:r>
      <w:r w:rsidRPr="002C2F68">
        <w:rPr>
          <w:rStyle w:val="ac"/>
          <w:rFonts w:eastAsiaTheme="majorEastAsia"/>
          <w:b/>
          <w:bCs/>
          <w:sz w:val="24"/>
          <w:szCs w:val="24"/>
          <w:lang w:val="en-US"/>
        </w:rPr>
        <w:t>C</w:t>
      </w:r>
      <w:r w:rsidRPr="002C2F68">
        <w:rPr>
          <w:rStyle w:val="ac"/>
          <w:rFonts w:eastAsiaTheme="majorEastAsia"/>
          <w:b/>
          <w:bCs/>
          <w:sz w:val="24"/>
          <w:szCs w:val="24"/>
        </w:rPr>
        <w:t xml:space="preserve">, </w:t>
      </w:r>
      <w:r w:rsidRPr="002C2F68">
        <w:rPr>
          <w:rStyle w:val="ac"/>
          <w:rFonts w:eastAsiaTheme="majorEastAsia"/>
          <w:sz w:val="24"/>
          <w:szCs w:val="24"/>
        </w:rPr>
        <w:t>(</w:t>
      </w:r>
      <w:r w:rsidRPr="002C2F68">
        <w:rPr>
          <w:rStyle w:val="ac"/>
          <w:rFonts w:eastAsiaTheme="majorEastAsia"/>
          <w:b/>
          <w:bCs/>
          <w:sz w:val="24"/>
          <w:szCs w:val="24"/>
        </w:rPr>
        <w:t>Уровень достоверности доказательств 5); ЕОК/ЕОАГ нет</w:t>
      </w:r>
      <w:r w:rsidR="008A2AFD">
        <w:rPr>
          <w:rStyle w:val="ac"/>
          <w:rFonts w:eastAsiaTheme="majorEastAsia"/>
          <w:b/>
          <w:bCs/>
          <w:sz w:val="24"/>
          <w:szCs w:val="24"/>
        </w:rPr>
        <w:t>.</w:t>
      </w:r>
    </w:p>
    <w:p w14:paraId="554A39EB" w14:textId="23E40026" w:rsidR="00363059" w:rsidRPr="00B03386" w:rsidRDefault="00363059" w:rsidP="002C2F68">
      <w:pPr>
        <w:pStyle w:val="ds-markdown-paragraph"/>
        <w:shd w:val="clear" w:color="auto" w:fill="FFFFFF"/>
        <w:spacing w:before="0" w:beforeAutospacing="0" w:after="0" w:afterAutospacing="0" w:line="360" w:lineRule="auto"/>
        <w:jc w:val="both"/>
        <w:rPr>
          <w:b/>
          <w:bCs/>
          <w:i/>
          <w:iCs/>
        </w:rPr>
      </w:pPr>
      <w:r w:rsidRPr="002C2F68">
        <w:rPr>
          <w:b/>
          <w:bCs/>
          <w:color w:val="231F20"/>
        </w:rPr>
        <w:t>Комментарий:</w:t>
      </w:r>
      <w:r w:rsidR="00B03386">
        <w:rPr>
          <w:color w:val="404040"/>
        </w:rPr>
        <w:t xml:space="preserve"> </w:t>
      </w:r>
      <w:r w:rsidRPr="00B03386">
        <w:rPr>
          <w:rStyle w:val="aff9"/>
          <w:rFonts w:eastAsiaTheme="majorEastAsia"/>
          <w:b w:val="0"/>
          <w:bCs w:val="0"/>
          <w:i/>
          <w:iCs/>
        </w:rPr>
        <w:t>Клонидин (Клофелин)</w:t>
      </w:r>
      <w:r w:rsidRPr="00B03386">
        <w:rPr>
          <w:i/>
          <w:iCs/>
        </w:rPr>
        <w:t>— центральный α₂-адреномиметик. Он стимулирует рецепторы в сосудодвигательном центре головного мозга, что приводит к снижению симпатической активности, расширению сосудов и падению АД. При </w:t>
      </w:r>
      <w:r w:rsidRPr="00B03386">
        <w:rPr>
          <w:rStyle w:val="aff9"/>
          <w:rFonts w:eastAsiaTheme="majorEastAsia"/>
          <w:b w:val="0"/>
          <w:bCs w:val="0"/>
          <w:i/>
          <w:iCs/>
        </w:rPr>
        <w:t>внезапном прекращении приема</w:t>
      </w:r>
      <w:r w:rsidRPr="00B03386">
        <w:rPr>
          <w:i/>
          <w:iCs/>
        </w:rPr>
        <w:t> (особенно после длительного применения высоких доз) происходит мощная </w:t>
      </w:r>
      <w:r w:rsidRPr="00B03386">
        <w:rPr>
          <w:rStyle w:val="aff9"/>
          <w:rFonts w:eastAsiaTheme="majorEastAsia"/>
          <w:b w:val="0"/>
          <w:bCs w:val="0"/>
          <w:i/>
          <w:iCs/>
        </w:rPr>
        <w:t>"рикошетная"</w:t>
      </w:r>
      <w:r w:rsidRPr="00B03386">
        <w:rPr>
          <w:rStyle w:val="aff9"/>
          <w:rFonts w:eastAsiaTheme="majorEastAsia"/>
          <w:i/>
          <w:iCs/>
        </w:rPr>
        <w:t xml:space="preserve"> </w:t>
      </w:r>
      <w:r w:rsidRPr="00B03386">
        <w:rPr>
          <w:rStyle w:val="aff9"/>
          <w:rFonts w:eastAsiaTheme="majorEastAsia"/>
          <w:b w:val="0"/>
          <w:bCs w:val="0"/>
          <w:i/>
          <w:iCs/>
        </w:rPr>
        <w:t>активация</w:t>
      </w:r>
      <w:r w:rsidRPr="00B03386">
        <w:rPr>
          <w:i/>
          <w:iCs/>
        </w:rPr>
        <w:t> симпатической нервной системы. Организм, при отмене клонидина, резко высвобождает огромное количество катехоламинов (норадреналина), что приводит к резкому и сильному подъему АД, тахикардии, возбуждению, тревоге, потливости. Это состояние и есть </w:t>
      </w:r>
      <w:r w:rsidRPr="00B03386">
        <w:rPr>
          <w:rStyle w:val="aff9"/>
          <w:rFonts w:eastAsiaTheme="majorEastAsia"/>
          <w:b w:val="0"/>
          <w:bCs w:val="0"/>
          <w:i/>
          <w:iCs/>
        </w:rPr>
        <w:t>гипертензивный криз, связанный с отменой клонидина</w:t>
      </w:r>
      <w:r w:rsidRPr="00B03386">
        <w:rPr>
          <w:b/>
          <w:bCs/>
          <w:i/>
          <w:iCs/>
        </w:rPr>
        <w:t>.</w:t>
      </w:r>
    </w:p>
    <w:p w14:paraId="458DE870" w14:textId="10CBD99E" w:rsidR="006D518C" w:rsidRPr="00B03386" w:rsidRDefault="006D518C" w:rsidP="002C2F68">
      <w:pPr>
        <w:pStyle w:val="ds-markdown-paragraph"/>
        <w:shd w:val="clear" w:color="auto" w:fill="FFFFFF"/>
        <w:spacing w:before="0" w:beforeAutospacing="0" w:after="0" w:afterAutospacing="0" w:line="360" w:lineRule="auto"/>
        <w:ind w:firstLine="708"/>
        <w:jc w:val="both"/>
        <w:rPr>
          <w:i/>
          <w:iCs/>
          <w:shd w:val="clear" w:color="auto" w:fill="FFFFFF"/>
        </w:rPr>
      </w:pPr>
      <w:r w:rsidRPr="00B03386">
        <w:rPr>
          <w:i/>
          <w:iCs/>
          <w:shd w:val="clear" w:color="auto" w:fill="FFFFFF"/>
        </w:rPr>
        <w:t xml:space="preserve">Прием </w:t>
      </w:r>
      <w:r w:rsidR="00A04D11" w:rsidRPr="00B03386">
        <w:rPr>
          <w:i/>
          <w:iCs/>
          <w:shd w:val="clear" w:color="auto" w:fill="FFFFFF"/>
        </w:rPr>
        <w:t>к</w:t>
      </w:r>
      <w:r w:rsidRPr="00B03386">
        <w:rPr>
          <w:i/>
          <w:iCs/>
          <w:shd w:val="clear" w:color="auto" w:fill="FFFFFF"/>
        </w:rPr>
        <w:t>лонидина гарантированно и быстро купирует симптомы, так как он напрямую воздействует на центральное звено патогенеза. Попытка купировать этот криз другими препаратами (например, периферическими вазодилататорами типа нифедипина или даже бета-блокаторами) может быть не только неэффективной, но и опасной.</w:t>
      </w:r>
    </w:p>
    <w:p w14:paraId="43141126" w14:textId="611EEAEB" w:rsidR="00363059" w:rsidRDefault="006D518C" w:rsidP="00DC7A5D">
      <w:pPr>
        <w:pStyle w:val="ds-markdown-paragraph"/>
        <w:shd w:val="clear" w:color="auto" w:fill="FFFFFF"/>
        <w:spacing w:before="0" w:beforeAutospacing="0" w:after="0" w:afterAutospacing="0" w:line="360" w:lineRule="auto"/>
        <w:ind w:firstLine="708"/>
        <w:jc w:val="both"/>
        <w:rPr>
          <w:i/>
          <w:iCs/>
          <w:shd w:val="clear" w:color="auto" w:fill="FFFFFF"/>
        </w:rPr>
      </w:pPr>
      <w:r w:rsidRPr="00B03386">
        <w:rPr>
          <w:rStyle w:val="aff9"/>
          <w:rFonts w:eastAsiaTheme="majorEastAsia"/>
          <w:b w:val="0"/>
          <w:bCs w:val="0"/>
          <w:i/>
          <w:iCs/>
          <w:shd w:val="clear" w:color="auto" w:fill="FFFFFF"/>
        </w:rPr>
        <w:t>К примеру,</w:t>
      </w:r>
      <w:r w:rsidR="00A04D11" w:rsidRPr="00B03386">
        <w:rPr>
          <w:rStyle w:val="aff9"/>
          <w:rFonts w:eastAsiaTheme="majorEastAsia"/>
          <w:b w:val="0"/>
          <w:bCs w:val="0"/>
          <w:i/>
          <w:iCs/>
          <w:shd w:val="clear" w:color="auto" w:fill="FFFFFF"/>
        </w:rPr>
        <w:t xml:space="preserve"> </w:t>
      </w:r>
      <w:r w:rsidRPr="00B03386">
        <w:rPr>
          <w:rStyle w:val="aff9"/>
          <w:rFonts w:eastAsiaTheme="majorEastAsia"/>
          <w:b w:val="0"/>
          <w:bCs w:val="0"/>
          <w:i/>
          <w:iCs/>
          <w:shd w:val="clear" w:color="auto" w:fill="FFFFFF"/>
        </w:rPr>
        <w:t>бета-блокаторы</w:t>
      </w:r>
      <w:r w:rsidRPr="00B03386">
        <w:rPr>
          <w:rStyle w:val="aff9"/>
          <w:rFonts w:eastAsiaTheme="majorEastAsia"/>
          <w:i/>
          <w:iCs/>
          <w:shd w:val="clear" w:color="auto" w:fill="FFFFFF"/>
        </w:rPr>
        <w:t xml:space="preserve"> </w:t>
      </w:r>
      <w:r w:rsidRPr="00B03386">
        <w:rPr>
          <w:i/>
          <w:iCs/>
          <w:shd w:val="clear" w:color="auto" w:fill="FFFFFF"/>
        </w:rPr>
        <w:t>блокируя периферические β-рецепторы, оставят α-рецепторы без антагонистического влияния. Это приведет к неконтролируемому α-эффекту катехоламинов — </w:t>
      </w:r>
      <w:r w:rsidRPr="00B03386">
        <w:rPr>
          <w:rStyle w:val="aff9"/>
          <w:rFonts w:eastAsiaTheme="majorEastAsia"/>
          <w:b w:val="0"/>
          <w:bCs w:val="0"/>
          <w:i/>
          <w:iCs/>
          <w:shd w:val="clear" w:color="auto" w:fill="FFFFFF"/>
        </w:rPr>
        <w:t>еще большему спазму сосудов и катастрофическому росту АД</w:t>
      </w:r>
      <w:r w:rsidRPr="00B03386">
        <w:rPr>
          <w:i/>
          <w:iCs/>
          <w:shd w:val="clear" w:color="auto" w:fill="FFFFFF"/>
        </w:rPr>
        <w:t> (риск инсульта, отека легких).</w:t>
      </w:r>
    </w:p>
    <w:p w14:paraId="7A273633" w14:textId="1700BCD3" w:rsidR="009C63CF" w:rsidRDefault="009C63CF" w:rsidP="00DC7A5D">
      <w:pPr>
        <w:pStyle w:val="ds-markdown-paragraph"/>
        <w:shd w:val="clear" w:color="auto" w:fill="FFFFFF"/>
        <w:spacing w:before="0" w:beforeAutospacing="0" w:after="0" w:afterAutospacing="0" w:line="360" w:lineRule="auto"/>
        <w:ind w:firstLine="708"/>
        <w:jc w:val="both"/>
        <w:rPr>
          <w:rStyle w:val="aff9"/>
          <w:rFonts w:eastAsiaTheme="majorEastAsia"/>
          <w:b w:val="0"/>
          <w:bCs w:val="0"/>
          <w:i/>
          <w:iCs/>
          <w:color w:val="0F1115"/>
          <w:shd w:val="clear" w:color="auto" w:fill="FFFFFF"/>
        </w:rPr>
      </w:pPr>
      <w:r w:rsidRPr="00AA4985">
        <w:rPr>
          <w:rStyle w:val="aff9"/>
          <w:rFonts w:eastAsiaTheme="majorEastAsia"/>
          <w:b w:val="0"/>
          <w:bCs w:val="0"/>
          <w:i/>
          <w:iCs/>
          <w:color w:val="0F1115"/>
          <w:shd w:val="clear" w:color="auto" w:fill="FFFFFF"/>
        </w:rPr>
        <w:t>Недостатки и риски приема азаметония бромида</w:t>
      </w:r>
      <w:r w:rsidRPr="00AA4985">
        <w:rPr>
          <w:rStyle w:val="aff9"/>
          <w:rFonts w:eastAsiaTheme="majorEastAsia"/>
          <w:i/>
          <w:iCs/>
          <w:color w:val="0F1115"/>
          <w:shd w:val="clear" w:color="auto" w:fill="FFFFFF"/>
        </w:rPr>
        <w:t xml:space="preserve"> </w:t>
      </w:r>
      <w:r w:rsidR="008F2710" w:rsidRPr="00AA4985">
        <w:rPr>
          <w:rStyle w:val="aff9"/>
          <w:rFonts w:eastAsiaTheme="majorEastAsia"/>
          <w:i/>
          <w:iCs/>
          <w:color w:val="0F1115"/>
          <w:shd w:val="clear" w:color="auto" w:fill="FFFFFF"/>
        </w:rPr>
        <w:t xml:space="preserve">- </w:t>
      </w:r>
      <w:r w:rsidR="008F2710" w:rsidRPr="00AA4985">
        <w:rPr>
          <w:i/>
          <w:iCs/>
          <w:color w:val="0F1115"/>
          <w:shd w:val="clear" w:color="auto" w:fill="FFFFFF"/>
        </w:rPr>
        <w:t>доза</w:t>
      </w:r>
      <w:r w:rsidRPr="00AA4985">
        <w:rPr>
          <w:i/>
          <w:iCs/>
          <w:color w:val="0F1115"/>
          <w:shd w:val="clear" w:color="auto" w:fill="FFFFFF"/>
        </w:rPr>
        <w:t xml:space="preserve"> титруется, высок риск резкой неконтролируемой гипотензии с</w:t>
      </w:r>
      <w:r w:rsidR="003B37B6">
        <w:rPr>
          <w:i/>
          <w:iCs/>
          <w:color w:val="0F1115"/>
          <w:shd w:val="clear" w:color="auto" w:fill="FFFFFF"/>
        </w:rPr>
        <w:t xml:space="preserve"> развитием</w:t>
      </w:r>
      <w:r w:rsidRPr="00AA4985">
        <w:rPr>
          <w:i/>
          <w:iCs/>
          <w:color w:val="0F1115"/>
          <w:shd w:val="clear" w:color="auto" w:fill="FFFFFF"/>
        </w:rPr>
        <w:t xml:space="preserve"> коллапс</w:t>
      </w:r>
      <w:r w:rsidR="003B37B6">
        <w:rPr>
          <w:i/>
          <w:iCs/>
          <w:color w:val="0F1115"/>
          <w:shd w:val="clear" w:color="auto" w:fill="FFFFFF"/>
        </w:rPr>
        <w:t>а</w:t>
      </w:r>
      <w:r w:rsidRPr="00AA4985">
        <w:rPr>
          <w:i/>
          <w:iCs/>
          <w:color w:val="0F1115"/>
          <w:shd w:val="clear" w:color="auto" w:fill="FFFFFF"/>
        </w:rPr>
        <w:t xml:space="preserve">. Блокирует и парасимпатическую систему, что приводит к тахикардии, паралитической непроходимости кишечника, атонии мочевого пузыря, нарушению аккомодации, выраженной сухости во рту. Резкое падение АД при переходе в вертикальное положение. </w:t>
      </w:r>
      <w:r w:rsidRPr="00AA4985">
        <w:rPr>
          <w:i/>
          <w:iCs/>
          <w:color w:val="0F1115"/>
          <w:shd w:val="clear" w:color="auto" w:fill="FFFFFF"/>
        </w:rPr>
        <w:lastRenderedPageBreak/>
        <w:t>В современной кардиологии используется крайне редко из-за наличия более безопасных и управляемых средств.</w:t>
      </w:r>
      <w:r w:rsidR="00AA4985">
        <w:rPr>
          <w:i/>
          <w:iCs/>
          <w:color w:val="0F1115"/>
          <w:shd w:val="clear" w:color="auto" w:fill="FFFFFF"/>
        </w:rPr>
        <w:t xml:space="preserve"> </w:t>
      </w:r>
      <w:r w:rsidR="00AA4985" w:rsidRPr="00AA4985">
        <w:rPr>
          <w:i/>
          <w:iCs/>
          <w:color w:val="0F1115"/>
          <w:shd w:val="clear" w:color="auto" w:fill="FFFFFF"/>
        </w:rPr>
        <w:t xml:space="preserve">Пентамин </w:t>
      </w:r>
      <w:r w:rsidR="00AA4985" w:rsidRPr="00AA4985">
        <w:rPr>
          <w:rStyle w:val="aff9"/>
          <w:rFonts w:eastAsiaTheme="majorEastAsia"/>
          <w:b w:val="0"/>
          <w:bCs w:val="0"/>
          <w:i/>
          <w:iCs/>
          <w:color w:val="0F1115"/>
          <w:shd w:val="clear" w:color="auto" w:fill="FFFFFF"/>
        </w:rPr>
        <w:t>не является препаратом выбора.</w:t>
      </w:r>
      <w:r w:rsidR="00AA4985" w:rsidRPr="00AA4985">
        <w:rPr>
          <w:b/>
          <w:bCs/>
          <w:i/>
          <w:iCs/>
          <w:color w:val="0F1115"/>
          <w:shd w:val="clear" w:color="auto" w:fill="FFFFFF"/>
        </w:rPr>
        <w:t> </w:t>
      </w:r>
      <w:r w:rsidR="00AA4985" w:rsidRPr="00AA4985">
        <w:rPr>
          <w:i/>
          <w:iCs/>
          <w:color w:val="0F1115"/>
          <w:shd w:val="clear" w:color="auto" w:fill="FFFFFF"/>
        </w:rPr>
        <w:t>Может рассматриваться как крайняя мера в условиях реанимационного отделения при неэффективности всех других вариантов, </w:t>
      </w:r>
      <w:r w:rsidR="00AA4985" w:rsidRPr="00AA4985">
        <w:rPr>
          <w:rStyle w:val="aff9"/>
          <w:rFonts w:eastAsiaTheme="majorEastAsia"/>
          <w:b w:val="0"/>
          <w:bCs w:val="0"/>
          <w:i/>
          <w:iCs/>
          <w:color w:val="0F1115"/>
          <w:shd w:val="clear" w:color="auto" w:fill="FFFFFF"/>
        </w:rPr>
        <w:t>только при возможности инвазивного мониторинга АД.</w:t>
      </w:r>
    </w:p>
    <w:p w14:paraId="5850F5A1" w14:textId="1BC06309" w:rsidR="00AA4985" w:rsidRPr="00AA4985" w:rsidRDefault="00AA4985" w:rsidP="00AA4985">
      <w:pPr>
        <w:pStyle w:val="ds-markdown-paragraph"/>
        <w:shd w:val="clear" w:color="auto" w:fill="FFFFFF"/>
        <w:spacing w:before="0" w:beforeAutospacing="0" w:after="0" w:afterAutospacing="0" w:line="360" w:lineRule="auto"/>
        <w:ind w:firstLine="708"/>
        <w:jc w:val="both"/>
        <w:rPr>
          <w:i/>
          <w:iCs/>
          <w:color w:val="0F1115"/>
        </w:rPr>
      </w:pPr>
      <w:r w:rsidRPr="00AA4985">
        <w:rPr>
          <w:rStyle w:val="aff9"/>
          <w:rFonts w:eastAsiaTheme="majorEastAsia"/>
          <w:b w:val="0"/>
          <w:bCs w:val="0"/>
          <w:i/>
          <w:iCs/>
          <w:color w:val="0F1115"/>
          <w:shd w:val="clear" w:color="auto" w:fill="FFFFFF"/>
        </w:rPr>
        <w:t xml:space="preserve">Недостатки магния сульфат - </w:t>
      </w:r>
      <w:r>
        <w:rPr>
          <w:i/>
          <w:iCs/>
          <w:color w:val="0F1115"/>
        </w:rPr>
        <w:t>не</w:t>
      </w:r>
      <w:r w:rsidRPr="00AA4985">
        <w:rPr>
          <w:i/>
          <w:iCs/>
          <w:color w:val="0F1115"/>
        </w:rPr>
        <w:t xml:space="preserve"> является препаратом первого ряда для купирования гипертонических кризов (за исключением криза при эклампсии</w:t>
      </w:r>
      <w:r w:rsidR="008F2710" w:rsidRPr="00AA4985">
        <w:rPr>
          <w:i/>
          <w:iCs/>
          <w:color w:val="0F1115"/>
        </w:rPr>
        <w:t>).</w:t>
      </w:r>
      <w:r w:rsidR="008F2710">
        <w:rPr>
          <w:i/>
          <w:iCs/>
          <w:color w:val="0F1115"/>
        </w:rPr>
        <w:t xml:space="preserve"> При</w:t>
      </w:r>
      <w:r w:rsidRPr="00AA4985">
        <w:rPr>
          <w:i/>
          <w:iCs/>
          <w:color w:val="0F1115"/>
        </w:rPr>
        <w:t xml:space="preserve"> передозировке или нарушении функции почек (а она часто сопутствует гипертензии) возможны угнетение дыхания, аритмии, остановка сердца.</w:t>
      </w:r>
      <w:r>
        <w:rPr>
          <w:i/>
          <w:iCs/>
          <w:color w:val="0F1115"/>
        </w:rPr>
        <w:t xml:space="preserve"> Т</w:t>
      </w:r>
      <w:r w:rsidRPr="00AA4985">
        <w:rPr>
          <w:i/>
          <w:iCs/>
          <w:color w:val="0F1115"/>
        </w:rPr>
        <w:t>ребует контроля сухожильных рефлексов, ЧДД, диуреза.</w:t>
      </w:r>
      <w:r w:rsidRPr="00AA4985">
        <w:rPr>
          <w:rFonts w:ascii="Segoe UI" w:hAnsi="Segoe UI" w:cs="Segoe UI"/>
          <w:color w:val="0F1115"/>
          <w:shd w:val="clear" w:color="auto" w:fill="FFFFFF"/>
        </w:rPr>
        <w:t xml:space="preserve"> </w:t>
      </w:r>
      <w:r w:rsidRPr="00AA4985">
        <w:rPr>
          <w:i/>
          <w:iCs/>
          <w:color w:val="0F1115"/>
          <w:shd w:val="clear" w:color="auto" w:fill="FFFFFF"/>
        </w:rPr>
        <w:t>Может применяться </w:t>
      </w:r>
      <w:r w:rsidRPr="00AA4985">
        <w:rPr>
          <w:rStyle w:val="aff9"/>
          <w:rFonts w:eastAsiaTheme="majorEastAsia"/>
          <w:b w:val="0"/>
          <w:bCs w:val="0"/>
          <w:i/>
          <w:iCs/>
          <w:color w:val="0F1115"/>
          <w:shd w:val="clear" w:color="auto" w:fill="FFFFFF"/>
        </w:rPr>
        <w:t>в комбинации</w:t>
      </w:r>
      <w:r w:rsidRPr="00AA4985">
        <w:rPr>
          <w:i/>
          <w:iCs/>
          <w:color w:val="0F1115"/>
          <w:shd w:val="clear" w:color="auto" w:fill="FFFFFF"/>
        </w:rPr>
        <w:t> с основными гипотензивными средствами (например, с урапидилом) у пациентов с признаками гипертонической энцефалопатии, судорожной готовности для нейропротекции.</w:t>
      </w:r>
    </w:p>
    <w:p w14:paraId="20EEFDF7" w14:textId="5E3E777E" w:rsidR="00AA4985" w:rsidRPr="00AA4985" w:rsidRDefault="00AA4985" w:rsidP="00AA4985">
      <w:pPr>
        <w:pStyle w:val="ds-markdown-paragraph"/>
        <w:shd w:val="clear" w:color="auto" w:fill="FFFFFF"/>
        <w:spacing w:before="0" w:beforeAutospacing="0" w:after="0" w:afterAutospacing="0" w:line="360" w:lineRule="auto"/>
        <w:ind w:firstLine="708"/>
        <w:jc w:val="both"/>
        <w:rPr>
          <w:b/>
          <w:bCs/>
          <w:i/>
          <w:iCs/>
        </w:rPr>
      </w:pPr>
      <w:r w:rsidRPr="00AA4985">
        <w:rPr>
          <w:i/>
          <w:iCs/>
          <w:color w:val="0F1115"/>
          <w:shd w:val="clear" w:color="auto" w:fill="FFFFFF"/>
        </w:rPr>
        <w:t>Из предложенных альтернатив </w:t>
      </w:r>
      <w:r w:rsidRPr="00AA4985">
        <w:rPr>
          <w:rStyle w:val="aff9"/>
          <w:rFonts w:eastAsiaTheme="majorEastAsia"/>
          <w:b w:val="0"/>
          <w:bCs w:val="0"/>
          <w:i/>
          <w:iCs/>
          <w:color w:val="0F1115"/>
          <w:shd w:val="clear" w:color="auto" w:fill="FFFFFF"/>
        </w:rPr>
        <w:t>ни Пентамин, ни Магния сульфат не являются адекватной заменой</w:t>
      </w:r>
      <w:r w:rsidRPr="00AA4985">
        <w:rPr>
          <w:b/>
          <w:bCs/>
          <w:i/>
          <w:iCs/>
          <w:color w:val="0F1115"/>
          <w:shd w:val="clear" w:color="auto" w:fill="FFFFFF"/>
        </w:rPr>
        <w:t> </w:t>
      </w:r>
      <w:r w:rsidRPr="00AA4985">
        <w:rPr>
          <w:i/>
          <w:iCs/>
          <w:color w:val="0F1115"/>
          <w:shd w:val="clear" w:color="auto" w:fill="FFFFFF"/>
        </w:rPr>
        <w:t>клонидину или урапидилу для купирования криза, связанного с отменой клонидина. Их применение оправдано лишь в специфических условиях и с четким пониманием рисков. </w:t>
      </w:r>
      <w:r w:rsidRPr="00AA4985">
        <w:rPr>
          <w:rStyle w:val="aff9"/>
          <w:rFonts w:eastAsiaTheme="majorEastAsia"/>
          <w:b w:val="0"/>
          <w:bCs w:val="0"/>
          <w:i/>
          <w:iCs/>
          <w:color w:val="0F1115"/>
          <w:shd w:val="clear" w:color="auto" w:fill="FFFFFF"/>
        </w:rPr>
        <w:t>Урапидил остается наиболее сбалансированным и безопасным выбором.</w:t>
      </w:r>
    </w:p>
    <w:p w14:paraId="5530CDE4" w14:textId="62A0FF71" w:rsidR="00752B8B" w:rsidRPr="002C2F68" w:rsidRDefault="00DF5B59" w:rsidP="00DC7A5D">
      <w:pPr>
        <w:pStyle w:val="affa"/>
        <w:spacing w:before="0" w:beforeAutospacing="0" w:after="0" w:afterAutospacing="0" w:line="360" w:lineRule="auto"/>
        <w:jc w:val="both"/>
      </w:pPr>
      <w:r w:rsidRPr="002C2F68">
        <w:rPr>
          <w:b/>
          <w:bCs/>
          <w:color w:val="231F20"/>
        </w:rPr>
        <w:t>2.4</w:t>
      </w:r>
      <w:r w:rsidR="00B03386">
        <w:rPr>
          <w:b/>
          <w:bCs/>
          <w:color w:val="231F20"/>
        </w:rPr>
        <w:t xml:space="preserve"> </w:t>
      </w:r>
      <w:r w:rsidRPr="002C2F68">
        <w:rPr>
          <w:b/>
          <w:bCs/>
          <w:color w:val="231F20"/>
        </w:rPr>
        <w:t xml:space="preserve">– </w:t>
      </w:r>
      <w:r w:rsidR="00752B8B" w:rsidRPr="00FB3E16">
        <w:rPr>
          <w:b/>
          <w:bCs/>
        </w:rPr>
        <w:t>При психомоторном возбуждении рекомендуется:</w:t>
      </w:r>
    </w:p>
    <w:p w14:paraId="41709680" w14:textId="6B22BC47" w:rsidR="00DC7A5D" w:rsidRDefault="00FB3E16" w:rsidP="00DC7A5D">
      <w:pPr>
        <w:pStyle w:val="affa"/>
        <w:spacing w:before="0" w:beforeAutospacing="0" w:after="0" w:afterAutospacing="0" w:line="360" w:lineRule="auto"/>
        <w:jc w:val="both"/>
      </w:pPr>
      <w:r w:rsidRPr="00FB3E16">
        <w:rPr>
          <w:rStyle w:val="aff9"/>
          <w:rFonts w:eastAsiaTheme="majorEastAsia"/>
          <w:b w:val="0"/>
          <w:bCs w:val="0"/>
        </w:rPr>
        <w:t xml:space="preserve">Р-р. </w:t>
      </w:r>
      <w:r w:rsidR="00752B8B" w:rsidRPr="00FB3E16">
        <w:rPr>
          <w:rStyle w:val="aff9"/>
          <w:rFonts w:eastAsiaTheme="majorEastAsia"/>
          <w:b w:val="0"/>
          <w:bCs w:val="0"/>
        </w:rPr>
        <w:t>Дроперидол</w:t>
      </w:r>
      <w:r w:rsidR="00752B8B" w:rsidRPr="002C2F68">
        <w:t xml:space="preserve"> 5 мг (1 мл) внутривенно</w:t>
      </w:r>
      <w:r w:rsidR="00626547">
        <w:t>.</w:t>
      </w:r>
    </w:p>
    <w:p w14:paraId="133EB302" w14:textId="77777777" w:rsidR="00C173B6" w:rsidRDefault="00752B8B" w:rsidP="00515B90">
      <w:pPr>
        <w:pStyle w:val="affa"/>
        <w:spacing w:before="0" w:beforeAutospacing="0" w:after="0" w:afterAutospacing="0" w:line="360" w:lineRule="auto"/>
        <w:jc w:val="both"/>
        <w:rPr>
          <w:color w:val="231F20"/>
        </w:rPr>
      </w:pPr>
      <w:r w:rsidRPr="002C2F68">
        <w:rPr>
          <w:rStyle w:val="aff9"/>
          <w:rFonts w:eastAsiaTheme="majorEastAsia"/>
        </w:rPr>
        <w:t>Примечание:</w:t>
      </w:r>
      <w:r w:rsidRPr="002C2F68">
        <w:t xml:space="preserve"> введение следует проводить медленно, контролируя во время введения артериальное давление и частоту сердечных </w:t>
      </w:r>
      <w:r w:rsidR="00B03386" w:rsidRPr="002C2F68">
        <w:t>сокращений.</w:t>
      </w:r>
      <w:r w:rsidR="00B03386" w:rsidRPr="002C2F68">
        <w:rPr>
          <w:color w:val="231F20"/>
        </w:rPr>
        <w:t xml:space="preserve"> [</w:t>
      </w:r>
      <w:r w:rsidR="00051DDF" w:rsidRPr="002C2F68">
        <w:rPr>
          <w:color w:val="231F20"/>
        </w:rPr>
        <w:t>541,542,545]</w:t>
      </w:r>
    </w:p>
    <w:p w14:paraId="3D847337" w14:textId="77777777" w:rsidR="00C173B6" w:rsidRDefault="00C173B6" w:rsidP="00C173B6">
      <w:pPr>
        <w:pStyle w:val="affa"/>
        <w:spacing w:before="0" w:beforeAutospacing="0" w:after="0" w:afterAutospacing="0" w:line="360" w:lineRule="auto"/>
        <w:jc w:val="center"/>
        <w:rPr>
          <w:b/>
          <w:bCs/>
          <w:u w:val="single"/>
        </w:rPr>
      </w:pPr>
      <w:r w:rsidRPr="00C173B6">
        <w:rPr>
          <w:rStyle w:val="ac"/>
          <w:rFonts w:eastAsiaTheme="majorEastAsia"/>
          <w:b/>
          <w:bCs/>
          <w:u w:val="single"/>
        </w:rPr>
        <w:t>Альтернативная помощь на ДГЭ</w:t>
      </w:r>
      <w:r w:rsidRPr="00C173B6">
        <w:rPr>
          <w:b/>
          <w:bCs/>
          <w:u w:val="single"/>
        </w:rPr>
        <w:t xml:space="preserve"> при психомоторном возбуждении</w:t>
      </w:r>
    </w:p>
    <w:p w14:paraId="56C917A0" w14:textId="4AC1AB70" w:rsidR="00C173B6" w:rsidRDefault="00C173B6" w:rsidP="008F2710">
      <w:pPr>
        <w:pStyle w:val="affa"/>
        <w:spacing w:before="0" w:beforeAutospacing="0" w:after="0" w:afterAutospacing="0" w:line="360" w:lineRule="auto"/>
        <w:ind w:firstLine="600"/>
        <w:jc w:val="both"/>
        <w:rPr>
          <w:color w:val="231F20"/>
        </w:rPr>
      </w:pPr>
      <w:r w:rsidRPr="00C173B6">
        <w:rPr>
          <w:color w:val="231F20"/>
        </w:rPr>
        <w:t>Бензодиазепины</w:t>
      </w:r>
      <w:r>
        <w:rPr>
          <w:color w:val="231F20"/>
        </w:rPr>
        <w:t xml:space="preserve"> </w:t>
      </w:r>
      <w:r w:rsidRPr="00C173B6">
        <w:rPr>
          <w:color w:val="231F20"/>
        </w:rPr>
        <w:t>(например,</w:t>
      </w:r>
      <w:r>
        <w:rPr>
          <w:color w:val="231F20"/>
        </w:rPr>
        <w:t xml:space="preserve"> </w:t>
      </w:r>
      <w:r w:rsidRPr="00C173B6">
        <w:rPr>
          <w:color w:val="231F20"/>
        </w:rPr>
        <w:t>диазепам,</w:t>
      </w:r>
      <w:r>
        <w:rPr>
          <w:color w:val="231F20"/>
        </w:rPr>
        <w:t xml:space="preserve"> </w:t>
      </w:r>
      <w:r w:rsidRPr="00C173B6">
        <w:rPr>
          <w:color w:val="231F20"/>
        </w:rPr>
        <w:t>лоразепам</w:t>
      </w:r>
      <w:r w:rsidR="00B26752" w:rsidRPr="00C173B6">
        <w:rPr>
          <w:color w:val="231F20"/>
        </w:rPr>
        <w:t>)</w:t>
      </w:r>
      <w:r w:rsidR="00B26752" w:rsidRPr="00C173B6">
        <w:t>:</w:t>
      </w:r>
      <w:r w:rsidR="00B26752">
        <w:t xml:space="preserve"> р-р.</w:t>
      </w:r>
      <w:r w:rsidR="00B26752" w:rsidRPr="00C173B6">
        <w:rPr>
          <w:color w:val="231F20"/>
        </w:rPr>
        <w:t xml:space="preserve"> Диазепам</w:t>
      </w:r>
      <w:r w:rsidRPr="00C173B6">
        <w:rPr>
          <w:color w:val="231F20"/>
        </w:rPr>
        <w:t>: 10–20 мг внутримышечно.</w:t>
      </w:r>
      <w:r w:rsidR="00B26752">
        <w:rPr>
          <w:color w:val="231F20"/>
        </w:rPr>
        <w:t xml:space="preserve"> р-р. </w:t>
      </w:r>
      <w:r w:rsidRPr="00C173B6">
        <w:rPr>
          <w:color w:val="231F20"/>
        </w:rPr>
        <w:t xml:space="preserve">Лоразепам: 2–4 мг внутримышечно. Особенно эффективны при возбуждении на фоне тревоги, абстиненции. </w:t>
      </w:r>
    </w:p>
    <w:p w14:paraId="313F9632" w14:textId="77777777" w:rsidR="00A038C1" w:rsidRDefault="008F2710" w:rsidP="00A038C1">
      <w:pPr>
        <w:pStyle w:val="affa"/>
        <w:spacing w:before="0" w:beforeAutospacing="0" w:after="0" w:afterAutospacing="0" w:line="360" w:lineRule="auto"/>
        <w:ind w:firstLine="600"/>
        <w:jc w:val="both"/>
        <w:rPr>
          <w:color w:val="0F1115"/>
          <w:shd w:val="clear" w:color="auto" w:fill="FFFFFF"/>
        </w:rPr>
      </w:pPr>
      <w:r w:rsidRPr="008F2710">
        <w:rPr>
          <w:color w:val="0F1115"/>
        </w:rPr>
        <w:t xml:space="preserve">Магния сульфат - </w:t>
      </w:r>
      <w:r w:rsidRPr="008F2710">
        <w:rPr>
          <w:color w:val="0F1115"/>
          <w:shd w:val="clear" w:color="auto" w:fill="FFFFFF"/>
        </w:rPr>
        <w:t>Оказывает седативное, противосудорожное, токолитическое и умеренное гипотензивное действие (за счёт блокады кальциевых каналов и подавления выделения катехоламинов).</w:t>
      </w:r>
      <w:r w:rsidR="00A038C1">
        <w:rPr>
          <w:color w:val="0F1115"/>
          <w:shd w:val="clear" w:color="auto" w:fill="FFFFFF"/>
        </w:rPr>
        <w:t xml:space="preserve"> О</w:t>
      </w:r>
      <w:r w:rsidR="00A038C1" w:rsidRPr="00A038C1">
        <w:rPr>
          <w:color w:val="0F1115"/>
          <w:shd w:val="clear" w:color="auto" w:fill="FFFFFF"/>
        </w:rPr>
        <w:t>сновное и практически единственное показание в неотложной неврологии/терапии — </w:t>
      </w:r>
      <w:r w:rsidR="00A038C1" w:rsidRPr="00A038C1">
        <w:rPr>
          <w:rStyle w:val="aff9"/>
          <w:rFonts w:eastAsiaTheme="majorEastAsia"/>
          <w:b w:val="0"/>
          <w:bCs w:val="0"/>
          <w:color w:val="0F1115"/>
          <w:shd w:val="clear" w:color="auto" w:fill="FFFFFF"/>
        </w:rPr>
        <w:t>судорожный синдром на фоне эклампсии</w:t>
      </w:r>
      <w:r w:rsidR="00A038C1" w:rsidRPr="00A038C1">
        <w:rPr>
          <w:color w:val="0F1115"/>
          <w:shd w:val="clear" w:color="auto" w:fill="FFFFFF"/>
        </w:rPr>
        <w:t> или подозрение на него.</w:t>
      </w:r>
    </w:p>
    <w:p w14:paraId="75A49A28" w14:textId="63BD8B4E" w:rsidR="00A038C1" w:rsidRDefault="00A038C1" w:rsidP="00A038C1">
      <w:pPr>
        <w:pStyle w:val="affa"/>
        <w:spacing w:before="0" w:beforeAutospacing="0" w:after="0" w:afterAutospacing="0" w:line="360" w:lineRule="auto"/>
        <w:jc w:val="both"/>
        <w:rPr>
          <w:color w:val="0F1115"/>
        </w:rPr>
      </w:pPr>
      <w:r w:rsidRPr="00A038C1">
        <w:rPr>
          <w:color w:val="0F1115"/>
        </w:rPr>
        <w:t>Седативный эффект развивается медленно и выражен слабо для быстрого купирования острого возбуждения.</w:t>
      </w:r>
    </w:p>
    <w:p w14:paraId="13E1027E" w14:textId="55170467" w:rsidR="009C5527" w:rsidRPr="009C5527" w:rsidRDefault="009C591B" w:rsidP="009C5527">
      <w:pPr>
        <w:pStyle w:val="ds-markdown-paragraph"/>
        <w:shd w:val="clear" w:color="auto" w:fill="FFFFFF"/>
        <w:spacing w:before="0" w:beforeAutospacing="0" w:after="0" w:afterAutospacing="0" w:line="360" w:lineRule="auto"/>
        <w:ind w:firstLine="600"/>
        <w:jc w:val="both"/>
        <w:rPr>
          <w:color w:val="0F1115"/>
        </w:rPr>
      </w:pPr>
      <w:r w:rsidRPr="009C5527">
        <w:rPr>
          <w:color w:val="0F1115"/>
        </w:rPr>
        <w:t>Анаприлин (Пропранолол)</w:t>
      </w:r>
      <w:r w:rsidR="005D0643" w:rsidRPr="009C5527">
        <w:rPr>
          <w:color w:val="0F1115"/>
        </w:rPr>
        <w:t xml:space="preserve"> </w:t>
      </w:r>
      <w:r w:rsidRPr="009C5527">
        <w:rPr>
          <w:color w:val="0F1115"/>
        </w:rPr>
        <w:t>-</w:t>
      </w:r>
      <w:r w:rsidRPr="009C5527">
        <w:rPr>
          <w:color w:val="0F1115"/>
          <w:shd w:val="clear" w:color="auto" w:fill="FFFFFF"/>
        </w:rPr>
        <w:t xml:space="preserve"> Неселективный бета-адреноблокатор. Уменьшает тахикардию, артериальное давление, тремор. Влияет только на </w:t>
      </w:r>
      <w:r w:rsidRPr="009C5527">
        <w:rPr>
          <w:rStyle w:val="affd"/>
          <w:rFonts w:eastAsiaTheme="majorEastAsia"/>
          <w:i w:val="0"/>
          <w:iCs w:val="0"/>
          <w:color w:val="0F1115"/>
          <w:shd w:val="clear" w:color="auto" w:fill="FFFFFF"/>
        </w:rPr>
        <w:t>вегетативные</w:t>
      </w:r>
      <w:r w:rsidRPr="009C5527">
        <w:rPr>
          <w:color w:val="0F1115"/>
          <w:shd w:val="clear" w:color="auto" w:fill="FFFFFF"/>
        </w:rPr>
        <w:t xml:space="preserve"> (соматические) проявления стресса и возбуждения (учащённое сердцебиение, потливость, </w:t>
      </w:r>
      <w:r w:rsidRPr="009C5527">
        <w:rPr>
          <w:color w:val="0F1115"/>
          <w:shd w:val="clear" w:color="auto" w:fill="FFFFFF"/>
        </w:rPr>
        <w:lastRenderedPageBreak/>
        <w:t>тремор).</w:t>
      </w:r>
      <w:r w:rsidRPr="009C5527">
        <w:rPr>
          <w:color w:val="0F1115"/>
        </w:rPr>
        <w:t xml:space="preserve"> Может быть использован только как вспомогательное средство в комбинации с настоящим седативным препаратом (бензодиазепином, дроперидолом), если возбуждение сопровождается выраженной тахикардией и гипертензией.</w:t>
      </w:r>
      <w:r w:rsidR="00C74D4D" w:rsidRPr="009C5527">
        <w:rPr>
          <w:rStyle w:val="aff9"/>
          <w:rFonts w:eastAsiaTheme="majorEastAsia"/>
          <w:color w:val="0F1115"/>
        </w:rPr>
        <w:t xml:space="preserve"> </w:t>
      </w:r>
      <w:r w:rsidR="009C5527" w:rsidRPr="009C5527">
        <w:rPr>
          <w:color w:val="0F1115"/>
        </w:rPr>
        <w:t>Диазепам 10-20 мг в/м +</w:t>
      </w:r>
    </w:p>
    <w:p w14:paraId="79961F80" w14:textId="3A295685" w:rsidR="009C591B" w:rsidRPr="00A038C1" w:rsidRDefault="00C74D4D" w:rsidP="009C5527">
      <w:pPr>
        <w:pStyle w:val="ds-markdown-paragraph"/>
        <w:shd w:val="clear" w:color="auto" w:fill="FFFFFF"/>
        <w:spacing w:before="0" w:beforeAutospacing="0" w:after="0" w:afterAutospacing="0" w:line="360" w:lineRule="auto"/>
        <w:ind w:firstLine="600"/>
        <w:jc w:val="both"/>
        <w:rPr>
          <w:color w:val="0F1115"/>
        </w:rPr>
      </w:pPr>
      <w:r w:rsidRPr="009C5527">
        <w:rPr>
          <w:color w:val="0F1115"/>
        </w:rPr>
        <w:t>Пропранолол 20-40 мг перорально (для урежения ЧСС и снижения АД). Внимание: такую комбинацию можно применять только при уверенности в отсутствии алкогольной/наркотической интоксикации и бронхиальной астмы.</w:t>
      </w:r>
    </w:p>
    <w:p w14:paraId="3519E89A" w14:textId="6711C86F" w:rsidR="00051DDF" w:rsidRPr="002C2F68" w:rsidRDefault="00051DDF" w:rsidP="002C2F68">
      <w:pPr>
        <w:pStyle w:val="11"/>
        <w:ind w:firstLine="600"/>
        <w:jc w:val="both"/>
        <w:rPr>
          <w:rStyle w:val="ac"/>
          <w:rFonts w:eastAsiaTheme="majorEastAsia"/>
          <w:b/>
          <w:bCs/>
          <w:sz w:val="24"/>
          <w:szCs w:val="24"/>
        </w:rPr>
      </w:pPr>
      <w:r w:rsidRPr="002C2F68">
        <w:rPr>
          <w:rStyle w:val="ac"/>
          <w:rFonts w:eastAsiaTheme="majorEastAsia"/>
          <w:b/>
          <w:bCs/>
          <w:sz w:val="24"/>
          <w:szCs w:val="24"/>
        </w:rPr>
        <w:t xml:space="preserve">Уровень убедительности рекомендаций </w:t>
      </w:r>
      <w:r w:rsidRPr="002C2F68">
        <w:rPr>
          <w:rStyle w:val="ac"/>
          <w:rFonts w:eastAsiaTheme="majorEastAsia"/>
          <w:b/>
          <w:bCs/>
          <w:sz w:val="24"/>
          <w:szCs w:val="24"/>
          <w:lang w:val="en-US"/>
        </w:rPr>
        <w:t>C</w:t>
      </w:r>
      <w:r w:rsidRPr="002C2F68">
        <w:rPr>
          <w:rStyle w:val="ac"/>
          <w:rFonts w:eastAsiaTheme="majorEastAsia"/>
          <w:b/>
          <w:bCs/>
          <w:sz w:val="24"/>
          <w:szCs w:val="24"/>
        </w:rPr>
        <w:t xml:space="preserve">, </w:t>
      </w:r>
      <w:r w:rsidRPr="002C2F68">
        <w:rPr>
          <w:rStyle w:val="ac"/>
          <w:rFonts w:eastAsiaTheme="majorEastAsia"/>
          <w:sz w:val="24"/>
          <w:szCs w:val="24"/>
        </w:rPr>
        <w:t>(</w:t>
      </w:r>
      <w:r w:rsidRPr="002C2F68">
        <w:rPr>
          <w:rStyle w:val="ac"/>
          <w:rFonts w:eastAsiaTheme="majorEastAsia"/>
          <w:b/>
          <w:bCs/>
          <w:sz w:val="24"/>
          <w:szCs w:val="24"/>
        </w:rPr>
        <w:t>Уровень достоверности доказательств 5); ЕОК/ЕОАГ нет</w:t>
      </w:r>
      <w:r w:rsidR="008A2AFD">
        <w:rPr>
          <w:rStyle w:val="ac"/>
          <w:rFonts w:eastAsiaTheme="majorEastAsia"/>
          <w:b/>
          <w:bCs/>
          <w:sz w:val="24"/>
          <w:szCs w:val="24"/>
        </w:rPr>
        <w:t>.</w:t>
      </w:r>
    </w:p>
    <w:p w14:paraId="1D3241DC" w14:textId="77777777" w:rsidR="00B03386" w:rsidRDefault="00051DDF" w:rsidP="00B03386">
      <w:pPr>
        <w:pStyle w:val="ds-markdown-paragraph"/>
        <w:shd w:val="clear" w:color="auto" w:fill="FFFFFF"/>
        <w:spacing w:before="0" w:beforeAutospacing="0" w:after="0" w:afterAutospacing="0" w:line="360" w:lineRule="auto"/>
        <w:jc w:val="both"/>
        <w:rPr>
          <w:i/>
          <w:iCs/>
        </w:rPr>
      </w:pPr>
      <w:r w:rsidRPr="002C2F68">
        <w:rPr>
          <w:b/>
          <w:bCs/>
          <w:color w:val="231F20"/>
        </w:rPr>
        <w:t xml:space="preserve">Комментарий: </w:t>
      </w:r>
      <w:r w:rsidRPr="00B03386">
        <w:rPr>
          <w:i/>
          <w:iCs/>
          <w:shd w:val="clear" w:color="auto" w:fill="FFFFFF"/>
        </w:rPr>
        <w:t>Дроперидол является нейролептиком с выраженным седативным и противорвотным действием. Он снижает психомоторное возбуждение, тревогу, агрессию, а также обладает умеренным гипотензивным эффектом за счёт α-адреноблокирующего действия.</w:t>
      </w:r>
      <w:r w:rsidRPr="00B03386">
        <w:rPr>
          <w:i/>
          <w:iCs/>
        </w:rPr>
        <w:t xml:space="preserve"> Подходит для купирования возбуждения на фоне гипертонического криза, особенно при симпатикотонии. Противопоказан при гипотонии, коме, паркинсонизме, беременности.</w:t>
      </w:r>
      <w:r w:rsidR="0095335D" w:rsidRPr="00B03386">
        <w:rPr>
          <w:i/>
          <w:iCs/>
        </w:rPr>
        <w:t xml:space="preserve"> Следует контролировать АД и ЧСС во время и после введения.</w:t>
      </w:r>
    </w:p>
    <w:p w14:paraId="489B3650" w14:textId="4D383DC8" w:rsidR="00B03386" w:rsidRDefault="00A038C1" w:rsidP="005D0643">
      <w:pPr>
        <w:pStyle w:val="ds-markdown-paragraph"/>
        <w:shd w:val="clear" w:color="auto" w:fill="FFFFFF"/>
        <w:spacing w:before="0" w:beforeAutospacing="0" w:after="0" w:afterAutospacing="0" w:line="360" w:lineRule="auto"/>
        <w:ind w:firstLine="360"/>
        <w:jc w:val="both"/>
        <w:rPr>
          <w:i/>
          <w:iCs/>
          <w:color w:val="0F1115"/>
          <w:shd w:val="clear" w:color="auto" w:fill="FFFFFF"/>
        </w:rPr>
      </w:pPr>
      <w:r w:rsidRPr="00A038C1">
        <w:rPr>
          <w:i/>
          <w:iCs/>
          <w:color w:val="0F1115"/>
        </w:rPr>
        <w:t>Магния сульфат -</w:t>
      </w:r>
      <w:r w:rsidRPr="00A038C1">
        <w:rPr>
          <w:rFonts w:ascii="Segoe UI" w:hAnsi="Segoe UI" w:cs="Segoe UI"/>
          <w:color w:val="0F1115"/>
        </w:rPr>
        <w:t xml:space="preserve"> </w:t>
      </w:r>
      <w:r w:rsidR="009C591B">
        <w:rPr>
          <w:i/>
          <w:iCs/>
          <w:color w:val="0F1115"/>
        </w:rPr>
        <w:t>п</w:t>
      </w:r>
      <w:r w:rsidRPr="00A038C1">
        <w:rPr>
          <w:i/>
          <w:iCs/>
          <w:color w:val="0F1115"/>
        </w:rPr>
        <w:t xml:space="preserve">ри быстром </w:t>
      </w:r>
      <w:r w:rsidR="009C591B">
        <w:rPr>
          <w:i/>
          <w:iCs/>
          <w:color w:val="0F1115"/>
        </w:rPr>
        <w:t xml:space="preserve">внутривенном </w:t>
      </w:r>
      <w:r w:rsidRPr="00A038C1">
        <w:rPr>
          <w:i/>
          <w:iCs/>
          <w:color w:val="0F1115"/>
        </w:rPr>
        <w:t xml:space="preserve">введении </w:t>
      </w:r>
      <w:r w:rsidR="009C591B">
        <w:rPr>
          <w:i/>
          <w:iCs/>
          <w:color w:val="0F1115"/>
        </w:rPr>
        <w:t>возможен</w:t>
      </w:r>
      <w:r w:rsidRPr="00A038C1">
        <w:rPr>
          <w:i/>
          <w:iCs/>
          <w:color w:val="0F1115"/>
        </w:rPr>
        <w:t xml:space="preserve"> риск угнетения дыхательного центра, брадикардии, АВ-блокады.</w:t>
      </w:r>
      <w:r>
        <w:rPr>
          <w:i/>
          <w:iCs/>
          <w:color w:val="0F1115"/>
        </w:rPr>
        <w:t xml:space="preserve"> </w:t>
      </w:r>
      <w:r w:rsidRPr="00A038C1">
        <w:rPr>
          <w:i/>
          <w:iCs/>
          <w:color w:val="0F1115"/>
        </w:rPr>
        <w:t>При передозировке (или нарушении функции почек) — риск остановки сердца.</w:t>
      </w:r>
      <w:r>
        <w:rPr>
          <w:i/>
          <w:iCs/>
          <w:color w:val="0F1115"/>
        </w:rPr>
        <w:t xml:space="preserve"> </w:t>
      </w:r>
      <w:r w:rsidRPr="00A038C1">
        <w:rPr>
          <w:i/>
          <w:iCs/>
          <w:color w:val="0F1115"/>
        </w:rPr>
        <w:t>Требует постоянного контроля неврологического статуса, АД, ЧДД, ЭКГ.</w:t>
      </w:r>
      <w:r w:rsidRPr="00A038C1">
        <w:rPr>
          <w:rStyle w:val="10"/>
          <w:rFonts w:ascii="Segoe UI" w:hAnsi="Segoe UI" w:cs="Segoe UI"/>
          <w:color w:val="0F1115"/>
          <w:shd w:val="clear" w:color="auto" w:fill="FFFFFF"/>
        </w:rPr>
        <w:t xml:space="preserve"> </w:t>
      </w:r>
      <w:r w:rsidRPr="00A038C1">
        <w:rPr>
          <w:rStyle w:val="aff9"/>
          <w:rFonts w:eastAsiaTheme="majorEastAsia"/>
          <w:b w:val="0"/>
          <w:bCs w:val="0"/>
          <w:i/>
          <w:iCs/>
          <w:color w:val="0F1115"/>
          <w:shd w:val="clear" w:color="auto" w:fill="FFFFFF"/>
        </w:rPr>
        <w:t>Не рекомендуется</w:t>
      </w:r>
      <w:r w:rsidRPr="00A038C1">
        <w:rPr>
          <w:i/>
          <w:iCs/>
          <w:color w:val="0F1115"/>
          <w:shd w:val="clear" w:color="auto" w:fill="FFFFFF"/>
        </w:rPr>
        <w:t> для рутинного купирования психомоторного возбуждения. Может быть рассмотрен только в крайнем случае, если возбуждение связано с </w:t>
      </w:r>
      <w:r w:rsidRPr="00A038C1">
        <w:rPr>
          <w:rStyle w:val="aff9"/>
          <w:rFonts w:eastAsiaTheme="majorEastAsia"/>
          <w:b w:val="0"/>
          <w:bCs w:val="0"/>
          <w:i/>
          <w:iCs/>
          <w:color w:val="0F1115"/>
          <w:shd w:val="clear" w:color="auto" w:fill="FFFFFF"/>
        </w:rPr>
        <w:t>алкогольной абстиненцией и судорожной активностью</w:t>
      </w:r>
      <w:r w:rsidRPr="00A038C1">
        <w:rPr>
          <w:i/>
          <w:iCs/>
          <w:color w:val="0F1115"/>
          <w:shd w:val="clear" w:color="auto" w:fill="FFFFFF"/>
        </w:rPr>
        <w:t>, и нет других препаратов. Введение — только </w:t>
      </w:r>
      <w:r w:rsidRPr="00A038C1">
        <w:rPr>
          <w:rStyle w:val="aff9"/>
          <w:rFonts w:eastAsiaTheme="majorEastAsia"/>
          <w:b w:val="0"/>
          <w:bCs w:val="0"/>
          <w:i/>
          <w:iCs/>
          <w:color w:val="0F1115"/>
          <w:shd w:val="clear" w:color="auto" w:fill="FFFFFF"/>
        </w:rPr>
        <w:t>внутривенно медленно</w:t>
      </w:r>
      <w:r w:rsidRPr="00A038C1">
        <w:rPr>
          <w:i/>
          <w:iCs/>
          <w:color w:val="0F1115"/>
          <w:shd w:val="clear" w:color="auto" w:fill="FFFFFF"/>
        </w:rPr>
        <w:t>, под контролем.</w:t>
      </w:r>
    </w:p>
    <w:p w14:paraId="01A7108E" w14:textId="476754F8" w:rsidR="005D0643" w:rsidRPr="005D0643" w:rsidRDefault="005D0643" w:rsidP="00C74D4D">
      <w:pPr>
        <w:pStyle w:val="ds-markdown-paragraph"/>
        <w:shd w:val="clear" w:color="auto" w:fill="FFFFFF"/>
        <w:spacing w:before="0" w:beforeAutospacing="0" w:after="0" w:afterAutospacing="0" w:line="360" w:lineRule="auto"/>
        <w:ind w:firstLine="360"/>
        <w:jc w:val="both"/>
        <w:rPr>
          <w:i/>
          <w:iCs/>
          <w:color w:val="0F1115"/>
        </w:rPr>
      </w:pPr>
      <w:r w:rsidRPr="005D0643">
        <w:rPr>
          <w:i/>
          <w:iCs/>
          <w:color w:val="0F1115"/>
        </w:rPr>
        <w:t>Анаприлин (Пропранолол)- противопоказан при возбуждении на фоне алкогольного или наркотического опьянения/абстиненции, а также при подозрении на них. Резкое угнетение симпатической системы на фоне интоксикации ЦНС может привести к непредсказуемому угнетению сознания, дыхания и коллапсу. Противопоказан при бронхообструктивных заболеваниях (БА, ХОБЛ), сердечных блокадах, брадикардии.</w:t>
      </w:r>
      <w:r w:rsidR="00C51194" w:rsidRPr="00C51194">
        <w:rPr>
          <w:rStyle w:val="10"/>
          <w:rFonts w:ascii="Segoe UI" w:hAnsi="Segoe UI" w:cs="Segoe UI"/>
          <w:color w:val="0F1115"/>
          <w:shd w:val="clear" w:color="auto" w:fill="FFFFFF"/>
        </w:rPr>
        <w:t xml:space="preserve"> </w:t>
      </w:r>
      <w:r w:rsidR="00C51194" w:rsidRPr="00C51194">
        <w:rPr>
          <w:rStyle w:val="aff9"/>
          <w:rFonts w:eastAsiaTheme="majorEastAsia"/>
          <w:b w:val="0"/>
          <w:bCs w:val="0"/>
          <w:i/>
          <w:iCs/>
          <w:color w:val="0F1115"/>
          <w:shd w:val="clear" w:color="auto" w:fill="FFFFFF"/>
        </w:rPr>
        <w:t>Не является препаратом для купирования психомоторного возбуждения.</w:t>
      </w:r>
      <w:r w:rsidR="00C51194" w:rsidRPr="00C51194">
        <w:rPr>
          <w:i/>
          <w:iCs/>
          <w:color w:val="0F1115"/>
          <w:shd w:val="clear" w:color="auto" w:fill="FFFFFF"/>
        </w:rPr>
        <w:t> Его применение изолированно — </w:t>
      </w:r>
      <w:r w:rsidR="00C51194" w:rsidRPr="00C51194">
        <w:rPr>
          <w:rStyle w:val="aff9"/>
          <w:rFonts w:eastAsiaTheme="majorEastAsia"/>
          <w:b w:val="0"/>
          <w:bCs w:val="0"/>
          <w:i/>
          <w:iCs/>
          <w:color w:val="0F1115"/>
          <w:shd w:val="clear" w:color="auto" w:fill="FFFFFF"/>
        </w:rPr>
        <w:t>ошибка</w:t>
      </w:r>
      <w:r w:rsidR="00C51194" w:rsidRPr="00C51194">
        <w:rPr>
          <w:i/>
          <w:iCs/>
          <w:color w:val="0F1115"/>
          <w:shd w:val="clear" w:color="auto" w:fill="FFFFFF"/>
        </w:rPr>
        <w:t xml:space="preserve">, так как он не действует на причину </w:t>
      </w:r>
      <w:r w:rsidR="00C74D4D" w:rsidRPr="00C51194">
        <w:rPr>
          <w:i/>
          <w:iCs/>
          <w:color w:val="0F1115"/>
          <w:shd w:val="clear" w:color="auto" w:fill="FFFFFF"/>
        </w:rPr>
        <w:t>возбуждения,</w:t>
      </w:r>
      <w:r w:rsidR="00C51194" w:rsidRPr="00C51194">
        <w:rPr>
          <w:i/>
          <w:iCs/>
          <w:color w:val="0F1115"/>
          <w:shd w:val="clear" w:color="auto" w:fill="FFFFFF"/>
        </w:rPr>
        <w:t xml:space="preserve"> а лишь маскирует часть симптомов, что может смазать клиническую картину и привести к диагностической ошибке.</w:t>
      </w:r>
    </w:p>
    <w:p w14:paraId="37F7EDE7" w14:textId="0FE7FA75" w:rsidR="002B34D1" w:rsidRPr="00B03386" w:rsidRDefault="00B03386" w:rsidP="00B03386">
      <w:pPr>
        <w:pStyle w:val="ds-markdown-paragraph"/>
        <w:shd w:val="clear" w:color="auto" w:fill="FFFFFF"/>
        <w:spacing w:before="0" w:beforeAutospacing="0" w:after="0" w:afterAutospacing="0" w:line="360" w:lineRule="auto"/>
        <w:jc w:val="both"/>
        <w:rPr>
          <w:i/>
          <w:iCs/>
        </w:rPr>
      </w:pPr>
      <w:r w:rsidRPr="00B03386">
        <w:rPr>
          <w:b/>
          <w:bCs/>
        </w:rPr>
        <w:t>2.5</w:t>
      </w:r>
      <w:r>
        <w:rPr>
          <w:b/>
          <w:bCs/>
        </w:rPr>
        <w:t xml:space="preserve"> </w:t>
      </w:r>
      <w:r w:rsidR="00DF5B59" w:rsidRPr="00752B8B">
        <w:rPr>
          <w:b/>
          <w:bCs/>
        </w:rPr>
        <w:t xml:space="preserve">– </w:t>
      </w:r>
      <w:r w:rsidR="00752B8B" w:rsidRPr="00752B8B">
        <w:rPr>
          <w:b/>
          <w:bCs/>
        </w:rPr>
        <w:t>Артериальная гипертензия у беременных и родильниц</w:t>
      </w:r>
      <w:r w:rsidR="00FB3E16">
        <w:rPr>
          <w:b/>
          <w:bCs/>
        </w:rPr>
        <w:t>.</w:t>
      </w:r>
    </w:p>
    <w:p w14:paraId="4F4F794C" w14:textId="73B3E411" w:rsidR="00A6041D" w:rsidRDefault="002B34D1" w:rsidP="001C0E5E">
      <w:pPr>
        <w:jc w:val="both"/>
        <w:rPr>
          <w:color w:val="231F20"/>
          <w:sz w:val="24"/>
          <w:szCs w:val="24"/>
        </w:rPr>
      </w:pPr>
      <w:r w:rsidRPr="00A6041D">
        <w:rPr>
          <w:rStyle w:val="aff9"/>
          <w:rFonts w:eastAsiaTheme="majorEastAsia"/>
          <w:sz w:val="24"/>
          <w:szCs w:val="24"/>
        </w:rPr>
        <w:t xml:space="preserve">Оказание помощи при артериальной гипертензии у </w:t>
      </w:r>
      <w:r w:rsidR="00CA4AA9" w:rsidRPr="00A6041D">
        <w:rPr>
          <w:rStyle w:val="aff9"/>
          <w:rFonts w:eastAsiaTheme="majorEastAsia"/>
          <w:sz w:val="24"/>
          <w:szCs w:val="24"/>
        </w:rPr>
        <w:t>беременных.</w:t>
      </w:r>
      <w:r w:rsidR="00CA4AA9" w:rsidRPr="00A6041D">
        <w:rPr>
          <w:color w:val="231F20"/>
          <w:sz w:val="24"/>
          <w:szCs w:val="24"/>
        </w:rPr>
        <w:t xml:space="preserve"> [</w:t>
      </w:r>
      <w:r w:rsidRPr="00A6041D">
        <w:rPr>
          <w:color w:val="231F20"/>
          <w:sz w:val="24"/>
          <w:szCs w:val="24"/>
        </w:rPr>
        <w:t>541,542,545</w:t>
      </w:r>
      <w:r w:rsidR="001436D6">
        <w:rPr>
          <w:color w:val="231F20"/>
          <w:sz w:val="24"/>
          <w:szCs w:val="24"/>
        </w:rPr>
        <w:t>,546</w:t>
      </w:r>
      <w:r w:rsidRPr="00A6041D">
        <w:rPr>
          <w:color w:val="231F20"/>
          <w:sz w:val="24"/>
          <w:szCs w:val="24"/>
        </w:rPr>
        <w:t>]</w:t>
      </w:r>
    </w:p>
    <w:p w14:paraId="0F8A161C" w14:textId="003E006F" w:rsidR="00A6041D" w:rsidRPr="00A6041D" w:rsidRDefault="00A6041D" w:rsidP="002B34D1">
      <w:pPr>
        <w:jc w:val="both"/>
        <w:rPr>
          <w:rStyle w:val="aff9"/>
          <w:b w:val="0"/>
          <w:bCs w:val="0"/>
          <w:color w:val="231F20"/>
          <w:sz w:val="24"/>
          <w:szCs w:val="24"/>
        </w:rPr>
      </w:pPr>
      <w:r w:rsidRPr="00A6041D">
        <w:rPr>
          <w:color w:val="231F20"/>
          <w:sz w:val="24"/>
          <w:szCs w:val="24"/>
        </w:rPr>
        <w:t xml:space="preserve">(таблица </w:t>
      </w:r>
      <w:r w:rsidR="001B7D39">
        <w:rPr>
          <w:color w:val="231F20"/>
          <w:sz w:val="24"/>
          <w:szCs w:val="24"/>
        </w:rPr>
        <w:t>0</w:t>
      </w:r>
      <w:r w:rsidRPr="00A6041D">
        <w:rPr>
          <w:color w:val="231F20"/>
          <w:sz w:val="24"/>
          <w:szCs w:val="24"/>
        </w:rPr>
        <w:t>)</w:t>
      </w:r>
    </w:p>
    <w:tbl>
      <w:tblPr>
        <w:tblStyle w:val="afe"/>
        <w:tblW w:w="0" w:type="auto"/>
        <w:tblLook w:val="04A0" w:firstRow="1" w:lastRow="0" w:firstColumn="1" w:lastColumn="0" w:noHBand="0" w:noVBand="1"/>
      </w:tblPr>
      <w:tblGrid>
        <w:gridCol w:w="4669"/>
        <w:gridCol w:w="4670"/>
      </w:tblGrid>
      <w:tr w:rsidR="00592856" w14:paraId="46419A36" w14:textId="77777777" w:rsidTr="002B34D1">
        <w:tc>
          <w:tcPr>
            <w:tcW w:w="4669" w:type="dxa"/>
            <w:shd w:val="clear" w:color="auto" w:fill="E7E6E6" w:themeFill="background2"/>
          </w:tcPr>
          <w:p w14:paraId="5C03C93F" w14:textId="49706AB8" w:rsidR="00592856" w:rsidRPr="002B34D1" w:rsidRDefault="002B34D1" w:rsidP="002B34D1">
            <w:pPr>
              <w:pStyle w:val="affa"/>
              <w:jc w:val="center"/>
              <w:rPr>
                <w:b/>
                <w:bCs/>
                <w:lang w:val="ru-RU"/>
              </w:rPr>
            </w:pPr>
            <w:r w:rsidRPr="002B34D1">
              <w:rPr>
                <w:b/>
                <w:bCs/>
                <w:lang w:val="ru-RU"/>
              </w:rPr>
              <w:lastRenderedPageBreak/>
              <w:t>Патологическое состояние</w:t>
            </w:r>
          </w:p>
        </w:tc>
        <w:tc>
          <w:tcPr>
            <w:tcW w:w="4670" w:type="dxa"/>
            <w:shd w:val="clear" w:color="auto" w:fill="E7E6E6" w:themeFill="background2"/>
          </w:tcPr>
          <w:p w14:paraId="184C6815" w14:textId="2BA73D11" w:rsidR="00592856" w:rsidRPr="002B34D1" w:rsidRDefault="002B34D1" w:rsidP="002B34D1">
            <w:pPr>
              <w:pStyle w:val="affa"/>
              <w:jc w:val="center"/>
              <w:rPr>
                <w:b/>
                <w:bCs/>
                <w:lang w:val="ru-RU"/>
              </w:rPr>
            </w:pPr>
            <w:r w:rsidRPr="002B34D1">
              <w:rPr>
                <w:b/>
                <w:bCs/>
                <w:lang w:val="ru-RU"/>
              </w:rPr>
              <w:t>Оказание помощи</w:t>
            </w:r>
          </w:p>
        </w:tc>
      </w:tr>
      <w:tr w:rsidR="00592856" w14:paraId="5CC33984" w14:textId="77777777" w:rsidTr="00F53D43">
        <w:tc>
          <w:tcPr>
            <w:tcW w:w="4669" w:type="dxa"/>
          </w:tcPr>
          <w:p w14:paraId="2D1EE306" w14:textId="77777777" w:rsidR="004878F8" w:rsidRDefault="00592856" w:rsidP="004878F8">
            <w:pPr>
              <w:pStyle w:val="affa"/>
              <w:spacing w:before="0" w:beforeAutospacing="0" w:after="0" w:afterAutospacing="0"/>
              <w:jc w:val="both"/>
              <w:rPr>
                <w:rStyle w:val="aff9"/>
                <w:rFonts w:eastAsiaTheme="majorEastAsia"/>
                <w:b w:val="0"/>
                <w:bCs w:val="0"/>
                <w:lang w:val="ru-RU"/>
              </w:rPr>
            </w:pPr>
            <w:r w:rsidRPr="00592856">
              <w:rPr>
                <w:rStyle w:val="aff9"/>
                <w:rFonts w:eastAsiaTheme="majorEastAsia"/>
                <w:b w:val="0"/>
                <w:bCs w:val="0"/>
                <w:lang w:val="ru-RU"/>
              </w:rPr>
              <w:t xml:space="preserve">Умеренное повышение </w:t>
            </w:r>
          </w:p>
          <w:p w14:paraId="618790D1" w14:textId="023101CE" w:rsidR="00592856" w:rsidRPr="00592856" w:rsidRDefault="00592856" w:rsidP="004878F8">
            <w:pPr>
              <w:pStyle w:val="affa"/>
              <w:spacing w:before="0" w:beforeAutospacing="0"/>
              <w:jc w:val="both"/>
              <w:rPr>
                <w:lang w:val="ru-RU"/>
              </w:rPr>
            </w:pPr>
            <w:r w:rsidRPr="00592856">
              <w:rPr>
                <w:rStyle w:val="aff9"/>
                <w:rFonts w:eastAsiaTheme="majorEastAsia"/>
                <w:b w:val="0"/>
                <w:bCs w:val="0"/>
                <w:lang w:val="ru-RU"/>
              </w:rPr>
              <w:t>АД (&gt;140/90 мм рт. ст.)</w:t>
            </w:r>
          </w:p>
          <w:p w14:paraId="42C8893B" w14:textId="77777777" w:rsidR="00592856" w:rsidRPr="00592856" w:rsidRDefault="00592856" w:rsidP="00F53D43">
            <w:pPr>
              <w:pStyle w:val="affa"/>
              <w:jc w:val="both"/>
              <w:rPr>
                <w:lang w:val="ru-RU"/>
              </w:rPr>
            </w:pPr>
          </w:p>
        </w:tc>
        <w:tc>
          <w:tcPr>
            <w:tcW w:w="4670" w:type="dxa"/>
          </w:tcPr>
          <w:p w14:paraId="3136FF44" w14:textId="5180092F" w:rsidR="00F53D43" w:rsidRDefault="00F53D43" w:rsidP="00F53D43">
            <w:pPr>
              <w:pStyle w:val="affa"/>
              <w:spacing w:after="0" w:afterAutospacing="0"/>
              <w:ind w:hanging="108"/>
              <w:jc w:val="both"/>
              <w:rPr>
                <w:lang w:val="ru-RU"/>
              </w:rPr>
            </w:pPr>
            <w:r>
              <w:rPr>
                <w:rStyle w:val="aff9"/>
                <w:rFonts w:eastAsiaTheme="majorEastAsia"/>
                <w:b w:val="0"/>
                <w:bCs w:val="0"/>
                <w:lang w:val="ru-RU"/>
              </w:rPr>
              <w:t>-</w:t>
            </w:r>
            <w:r w:rsidR="00592856" w:rsidRPr="00F53D43">
              <w:rPr>
                <w:rStyle w:val="aff9"/>
                <w:rFonts w:eastAsiaTheme="majorEastAsia"/>
                <w:b w:val="0"/>
                <w:bCs w:val="0"/>
                <w:lang w:val="ru-RU"/>
              </w:rPr>
              <w:t>Таб.</w:t>
            </w:r>
            <w:r w:rsidR="00B03386">
              <w:rPr>
                <w:rStyle w:val="aff9"/>
                <w:rFonts w:eastAsiaTheme="majorEastAsia"/>
                <w:b w:val="0"/>
                <w:bCs w:val="0"/>
                <w:lang w:val="ru-RU"/>
              </w:rPr>
              <w:t xml:space="preserve"> </w:t>
            </w:r>
            <w:r w:rsidR="00592856" w:rsidRPr="00F53D43">
              <w:rPr>
                <w:rStyle w:val="aff9"/>
                <w:rFonts w:eastAsiaTheme="majorEastAsia"/>
                <w:b w:val="0"/>
                <w:bCs w:val="0"/>
                <w:lang w:val="ru-RU"/>
              </w:rPr>
              <w:t>Нифедипин</w:t>
            </w:r>
            <w:r w:rsidR="00592856" w:rsidRPr="00F53D43">
              <w:rPr>
                <w:lang w:val="ru-RU"/>
              </w:rPr>
              <w:t xml:space="preserve"> 10 мг внутрь.</w:t>
            </w:r>
          </w:p>
          <w:p w14:paraId="731C92A3" w14:textId="77777777" w:rsidR="004878F8" w:rsidRDefault="00592856" w:rsidP="00F53D43">
            <w:pPr>
              <w:pStyle w:val="affa"/>
              <w:spacing w:before="0" w:beforeAutospacing="0" w:after="0" w:afterAutospacing="0"/>
              <w:ind w:hanging="108"/>
              <w:jc w:val="both"/>
              <w:rPr>
                <w:lang w:val="ru-RU"/>
              </w:rPr>
            </w:pPr>
            <w:r w:rsidRPr="00F53D43">
              <w:rPr>
                <w:rStyle w:val="aff9"/>
                <w:rFonts w:eastAsiaTheme="majorEastAsia"/>
                <w:b w:val="0"/>
                <w:bCs w:val="0"/>
                <w:lang w:val="ru-RU"/>
              </w:rPr>
              <w:t>Важно:</w:t>
            </w:r>
            <w:r w:rsidRPr="00F53D43">
              <w:rPr>
                <w:lang w:val="ru-RU"/>
              </w:rPr>
              <w:t xml:space="preserve"> </w:t>
            </w:r>
          </w:p>
          <w:p w14:paraId="06D42638" w14:textId="62A1C557" w:rsidR="00592856" w:rsidRPr="00F53D43" w:rsidRDefault="00592856" w:rsidP="00F53D43">
            <w:pPr>
              <w:pStyle w:val="affa"/>
              <w:spacing w:before="0" w:beforeAutospacing="0" w:after="0" w:afterAutospacing="0"/>
              <w:ind w:hanging="108"/>
              <w:jc w:val="both"/>
              <w:rPr>
                <w:b/>
                <w:bCs/>
                <w:lang w:val="ru-RU"/>
              </w:rPr>
            </w:pPr>
            <w:r w:rsidRPr="0003320C">
              <w:rPr>
                <w:b/>
                <w:bCs/>
                <w:u w:val="single"/>
                <w:lang w:val="ru-RU"/>
              </w:rPr>
              <w:t xml:space="preserve">сублингвальный приём </w:t>
            </w:r>
            <w:r w:rsidR="00F53D43" w:rsidRPr="0003320C">
              <w:rPr>
                <w:b/>
                <w:bCs/>
                <w:u w:val="single"/>
                <w:lang w:val="ru-RU"/>
              </w:rPr>
              <w:t>противопоказан</w:t>
            </w:r>
            <w:r w:rsidRPr="00F53D43">
              <w:rPr>
                <w:b/>
                <w:bCs/>
                <w:lang w:val="ru-RU"/>
              </w:rPr>
              <w:t>.</w:t>
            </w:r>
          </w:p>
          <w:p w14:paraId="22456F15" w14:textId="77777777" w:rsidR="00592856" w:rsidRPr="00592856" w:rsidRDefault="00592856" w:rsidP="00F53D43">
            <w:pPr>
              <w:pStyle w:val="affa"/>
              <w:jc w:val="both"/>
              <w:rPr>
                <w:lang w:val="ru-RU"/>
              </w:rPr>
            </w:pPr>
          </w:p>
        </w:tc>
      </w:tr>
      <w:tr w:rsidR="00592856" w14:paraId="5EAA14AC" w14:textId="77777777" w:rsidTr="00FA5F74">
        <w:trPr>
          <w:trHeight w:val="2723"/>
        </w:trPr>
        <w:tc>
          <w:tcPr>
            <w:tcW w:w="4669" w:type="dxa"/>
          </w:tcPr>
          <w:p w14:paraId="1160C3A0" w14:textId="77777777" w:rsidR="004878F8" w:rsidRDefault="00592856" w:rsidP="004878F8">
            <w:pPr>
              <w:pStyle w:val="affa"/>
              <w:spacing w:before="0" w:beforeAutospacing="0" w:after="0" w:afterAutospacing="0"/>
              <w:ind w:left="-114"/>
              <w:jc w:val="both"/>
              <w:rPr>
                <w:rStyle w:val="aff9"/>
                <w:rFonts w:eastAsiaTheme="majorEastAsia"/>
                <w:b w:val="0"/>
                <w:bCs w:val="0"/>
                <w:lang w:val="ru-RU"/>
              </w:rPr>
            </w:pPr>
            <w:r w:rsidRPr="00592856">
              <w:rPr>
                <w:rStyle w:val="aff9"/>
                <w:rFonts w:eastAsiaTheme="majorEastAsia"/>
                <w:b w:val="0"/>
                <w:bCs w:val="0"/>
                <w:lang w:val="ru-RU"/>
              </w:rPr>
              <w:t xml:space="preserve">Тяжёлая гипертензия </w:t>
            </w:r>
          </w:p>
          <w:p w14:paraId="0BFEF174" w14:textId="14F836F3" w:rsidR="00592856" w:rsidRPr="00F53D43" w:rsidRDefault="00592856" w:rsidP="004878F8">
            <w:pPr>
              <w:pStyle w:val="affa"/>
              <w:spacing w:before="0" w:beforeAutospacing="0"/>
              <w:ind w:left="-114"/>
              <w:jc w:val="both"/>
              <w:rPr>
                <w:rStyle w:val="aff9"/>
                <w:b w:val="0"/>
                <w:bCs w:val="0"/>
                <w:lang w:val="ru-RU"/>
              </w:rPr>
            </w:pPr>
            <w:r w:rsidRPr="00592856">
              <w:rPr>
                <w:rStyle w:val="aff9"/>
                <w:rFonts w:eastAsiaTheme="majorEastAsia"/>
                <w:b w:val="0"/>
                <w:bCs w:val="0"/>
                <w:lang w:val="ru-RU"/>
              </w:rPr>
              <w:t>(АД &gt;160/110 мм рт. ст.)</w:t>
            </w:r>
          </w:p>
        </w:tc>
        <w:tc>
          <w:tcPr>
            <w:tcW w:w="4670" w:type="dxa"/>
          </w:tcPr>
          <w:p w14:paraId="552A7AFE" w14:textId="48F630E9" w:rsidR="00592856" w:rsidRPr="00592856" w:rsidRDefault="00F53D43" w:rsidP="00F53D43">
            <w:pPr>
              <w:pStyle w:val="affa"/>
              <w:ind w:left="-108"/>
              <w:jc w:val="both"/>
              <w:rPr>
                <w:lang w:val="ru-RU"/>
              </w:rPr>
            </w:pPr>
            <w:r>
              <w:rPr>
                <w:rStyle w:val="aff9"/>
                <w:rFonts w:eastAsiaTheme="majorEastAsia"/>
                <w:b w:val="0"/>
                <w:bCs w:val="0"/>
                <w:lang w:val="ru-RU"/>
              </w:rPr>
              <w:t>-</w:t>
            </w:r>
            <w:r w:rsidR="00592856" w:rsidRPr="00592856">
              <w:rPr>
                <w:rStyle w:val="aff9"/>
                <w:rFonts w:eastAsiaTheme="majorEastAsia"/>
                <w:b w:val="0"/>
                <w:bCs w:val="0"/>
                <w:lang w:val="ru-RU"/>
              </w:rPr>
              <w:t>Таб.Нифедипин</w:t>
            </w:r>
            <w:r w:rsidR="00592856" w:rsidRPr="00592856">
              <w:rPr>
                <w:lang w:val="ru-RU"/>
              </w:rPr>
              <w:t xml:space="preserve"> 10 мг внутрь, </w:t>
            </w:r>
            <w:r w:rsidR="00592856" w:rsidRPr="0003320C">
              <w:rPr>
                <w:b/>
                <w:bCs/>
                <w:u w:val="single"/>
                <w:lang w:val="ru-RU"/>
              </w:rPr>
              <w:t>сублингвальный приём противопоказан.</w:t>
            </w:r>
          </w:p>
          <w:p w14:paraId="4E81A52A" w14:textId="38BD36BA" w:rsidR="00592856" w:rsidRPr="00FA5F74" w:rsidRDefault="00F53D43" w:rsidP="002B51F0">
            <w:pPr>
              <w:pStyle w:val="affa"/>
              <w:spacing w:after="0" w:afterAutospacing="0"/>
              <w:ind w:left="-108"/>
              <w:jc w:val="both"/>
              <w:rPr>
                <w:rStyle w:val="aff9"/>
                <w:b w:val="0"/>
                <w:bCs w:val="0"/>
                <w:lang w:val="ru-RU"/>
              </w:rPr>
            </w:pPr>
            <w:r>
              <w:rPr>
                <w:rStyle w:val="aff9"/>
                <w:rFonts w:eastAsiaTheme="majorEastAsia"/>
                <w:b w:val="0"/>
                <w:bCs w:val="0"/>
                <w:lang w:val="ru-RU"/>
              </w:rPr>
              <w:t>-</w:t>
            </w:r>
            <w:r w:rsidR="00592856" w:rsidRPr="00F53D43">
              <w:rPr>
                <w:rStyle w:val="aff9"/>
                <w:rFonts w:eastAsiaTheme="majorEastAsia"/>
                <w:b w:val="0"/>
                <w:bCs w:val="0"/>
                <w:lang w:val="ru-RU"/>
              </w:rPr>
              <w:t>Р-р. Магния сульфат</w:t>
            </w:r>
            <w:r>
              <w:rPr>
                <w:rStyle w:val="aff9"/>
                <w:rFonts w:eastAsiaTheme="majorEastAsia"/>
                <w:b w:val="0"/>
                <w:bCs w:val="0"/>
                <w:lang w:val="ru-RU"/>
              </w:rPr>
              <w:t xml:space="preserve"> </w:t>
            </w:r>
            <w:r w:rsidRPr="00F53D43">
              <w:rPr>
                <w:rStyle w:val="aff9"/>
                <w:rFonts w:eastAsiaTheme="majorEastAsia"/>
                <w:b w:val="0"/>
                <w:bCs w:val="0"/>
                <w:lang w:val="ru-RU"/>
              </w:rPr>
              <w:t>25%</w:t>
            </w:r>
            <w:r w:rsidR="002B51F0">
              <w:rPr>
                <w:rStyle w:val="aff9"/>
                <w:rFonts w:eastAsiaTheme="majorEastAsia"/>
                <w:b w:val="0"/>
                <w:bCs w:val="0"/>
                <w:lang w:val="ru-RU"/>
              </w:rPr>
              <w:t xml:space="preserve"> - </w:t>
            </w:r>
            <w:r w:rsidR="00592856" w:rsidRPr="00F53D43">
              <w:rPr>
                <w:lang w:val="ru-RU"/>
              </w:rPr>
              <w:t>4000 мг (16 мл) внутривенно медленно в течение 10–15 минут,</w:t>
            </w:r>
            <w:r w:rsidR="0003320C">
              <w:rPr>
                <w:lang w:val="ru-RU"/>
              </w:rPr>
              <w:t xml:space="preserve"> </w:t>
            </w:r>
            <w:r w:rsidR="00592856" w:rsidRPr="00F53D43">
              <w:rPr>
                <w:lang w:val="ru-RU"/>
              </w:rPr>
              <w:t xml:space="preserve">затем 5000 мг (20 мл) в разведении 0,9% раствора натрия хлорида — 250 мл внутривенно капельно со скоростью </w:t>
            </w:r>
            <w:r w:rsidR="00592856" w:rsidRPr="00752B8B">
              <w:t>18 капель в минуту.</w:t>
            </w:r>
          </w:p>
        </w:tc>
      </w:tr>
      <w:tr w:rsidR="00592856" w14:paraId="29791141" w14:textId="77777777" w:rsidTr="00A6041D">
        <w:trPr>
          <w:trHeight w:val="3043"/>
        </w:trPr>
        <w:tc>
          <w:tcPr>
            <w:tcW w:w="4669" w:type="dxa"/>
          </w:tcPr>
          <w:p w14:paraId="771316CF" w14:textId="77777777" w:rsidR="00592856" w:rsidRPr="00752B8B" w:rsidRDefault="00592856" w:rsidP="0003320C">
            <w:pPr>
              <w:pStyle w:val="affa"/>
              <w:ind w:left="-114"/>
            </w:pPr>
            <w:r w:rsidRPr="00752B8B">
              <w:rPr>
                <w:rStyle w:val="aff9"/>
                <w:rFonts w:eastAsiaTheme="majorEastAsia"/>
                <w:b w:val="0"/>
                <w:bCs w:val="0"/>
              </w:rPr>
              <w:t>Отёк лёгких</w:t>
            </w:r>
          </w:p>
          <w:p w14:paraId="1D7B7E86" w14:textId="77777777" w:rsidR="00592856" w:rsidRPr="00592856" w:rsidRDefault="00592856" w:rsidP="00592856">
            <w:pPr>
              <w:pStyle w:val="affa"/>
              <w:ind w:left="720"/>
              <w:rPr>
                <w:rStyle w:val="aff9"/>
                <w:rFonts w:eastAsiaTheme="majorEastAsia"/>
                <w:b w:val="0"/>
                <w:bCs w:val="0"/>
              </w:rPr>
            </w:pPr>
          </w:p>
        </w:tc>
        <w:tc>
          <w:tcPr>
            <w:tcW w:w="4670" w:type="dxa"/>
          </w:tcPr>
          <w:p w14:paraId="20D62ABA" w14:textId="77777777" w:rsidR="00592856" w:rsidRPr="00592856" w:rsidRDefault="00592856" w:rsidP="00A6041D">
            <w:pPr>
              <w:pStyle w:val="affa"/>
              <w:spacing w:before="0" w:beforeAutospacing="0" w:after="0" w:afterAutospacing="0"/>
              <w:ind w:left="-108" w:firstLine="142"/>
              <w:jc w:val="both"/>
              <w:rPr>
                <w:lang w:val="ru-RU"/>
              </w:rPr>
            </w:pPr>
            <w:r w:rsidRPr="00592856">
              <w:rPr>
                <w:rStyle w:val="aff9"/>
                <w:rFonts w:eastAsiaTheme="majorEastAsia"/>
                <w:b w:val="0"/>
                <w:bCs w:val="0"/>
                <w:lang w:val="ru-RU"/>
              </w:rPr>
              <w:t>Р-р. Изосорбид динитрат</w:t>
            </w:r>
            <w:r w:rsidRPr="00592856">
              <w:rPr>
                <w:lang w:val="ru-RU"/>
              </w:rPr>
              <w:t xml:space="preserve"> 10 мг в разведении 0,9% раствора натрия хлорида — 250 мл внутривенно капельно (от 0,3 до 6 мг/час),</w:t>
            </w:r>
          </w:p>
          <w:p w14:paraId="72CCD5E5" w14:textId="77777777" w:rsidR="00FB3E16" w:rsidRDefault="0003320C" w:rsidP="00FB3E16">
            <w:pPr>
              <w:pStyle w:val="affa"/>
              <w:spacing w:before="0" w:beforeAutospacing="0" w:after="0" w:afterAutospacing="0"/>
              <w:ind w:left="-108" w:firstLine="108"/>
              <w:jc w:val="both"/>
              <w:rPr>
                <w:lang w:val="ru-RU"/>
              </w:rPr>
            </w:pPr>
            <w:r>
              <w:rPr>
                <w:rStyle w:val="aff9"/>
                <w:rFonts w:eastAsiaTheme="majorEastAsia"/>
                <w:b w:val="0"/>
                <w:bCs w:val="0"/>
                <w:lang w:val="ru-RU"/>
              </w:rPr>
              <w:t xml:space="preserve"> </w:t>
            </w:r>
            <w:r w:rsidR="00592856" w:rsidRPr="00FB3E16">
              <w:rPr>
                <w:rStyle w:val="aff9"/>
                <w:rFonts w:eastAsiaTheme="majorEastAsia"/>
                <w:b w:val="0"/>
                <w:bCs w:val="0"/>
                <w:lang w:val="ru-RU"/>
              </w:rPr>
              <w:t>Или р-р. Нитроглицерин</w:t>
            </w:r>
            <w:r w:rsidR="00592856" w:rsidRPr="00FB3E16">
              <w:rPr>
                <w:lang w:val="ru-RU"/>
              </w:rPr>
              <w:t xml:space="preserve"> 10 мг в 0,9% растворе натрия хлорида — 250 мл внутривенно капельно (от 0,3 до 6 мг/час).</w:t>
            </w:r>
          </w:p>
          <w:p w14:paraId="2DC6F6C9" w14:textId="37ED3022" w:rsidR="00FB3E16" w:rsidRPr="00FB3E16" w:rsidRDefault="00FB3E16" w:rsidP="00A6041D">
            <w:pPr>
              <w:pStyle w:val="affa"/>
              <w:spacing w:before="0" w:beforeAutospacing="0" w:after="0" w:afterAutospacing="0"/>
              <w:ind w:left="-108" w:firstLine="108"/>
              <w:jc w:val="both"/>
              <w:rPr>
                <w:lang w:val="ru-RU"/>
              </w:rPr>
            </w:pPr>
            <w:r w:rsidRPr="00FB3E16">
              <w:rPr>
                <w:rStyle w:val="aff9"/>
                <w:rFonts w:eastAsiaTheme="majorEastAsia"/>
                <w:b w:val="0"/>
                <w:bCs w:val="0"/>
                <w:lang w:val="ru-RU"/>
              </w:rPr>
              <w:t>Или нитроспрей</w:t>
            </w:r>
            <w:r w:rsidRPr="00FB3E16">
              <w:rPr>
                <w:lang w:val="ru-RU"/>
              </w:rPr>
              <w:t xml:space="preserve"> 0.4</w:t>
            </w:r>
            <w:r w:rsidR="00B03386">
              <w:rPr>
                <w:lang w:val="ru-RU"/>
              </w:rPr>
              <w:t xml:space="preserve"> </w:t>
            </w:r>
            <w:r>
              <w:rPr>
                <w:lang w:val="ru-RU"/>
              </w:rPr>
              <w:t>мг</w:t>
            </w:r>
            <w:r w:rsidRPr="00FB3E16">
              <w:rPr>
                <w:lang w:val="ru-RU"/>
              </w:rPr>
              <w:t xml:space="preserve"> сублингвально</w:t>
            </w:r>
            <w:r>
              <w:rPr>
                <w:lang w:val="ru-RU"/>
              </w:rPr>
              <w:t>.</w:t>
            </w:r>
          </w:p>
          <w:p w14:paraId="606350B6" w14:textId="77777777" w:rsidR="001C0E5E" w:rsidRDefault="00A6041D" w:rsidP="001C0E5E">
            <w:pPr>
              <w:pStyle w:val="affa"/>
              <w:spacing w:before="0" w:beforeAutospacing="0" w:after="0" w:afterAutospacing="0"/>
              <w:ind w:left="-108" w:firstLine="108"/>
              <w:jc w:val="both"/>
              <w:rPr>
                <w:lang w:val="ru-RU"/>
              </w:rPr>
            </w:pPr>
            <w:r>
              <w:rPr>
                <w:lang w:val="ru-RU"/>
              </w:rPr>
              <w:t>Фуросемид. Отек</w:t>
            </w:r>
            <w:r w:rsidRPr="00A6041D">
              <w:rPr>
                <w:lang w:val="ru-RU"/>
              </w:rPr>
              <w:t xml:space="preserve"> легких на фоне преэклампсии и эклампсии — един</w:t>
            </w:r>
            <w:r w:rsidRPr="00A6041D">
              <w:rPr>
                <w:lang w:val="ru-RU"/>
              </w:rPr>
              <w:softHyphen/>
              <w:t>ственное показание для введения фуросемида при беремен</w:t>
            </w:r>
            <w:r w:rsidRPr="00A6041D">
              <w:rPr>
                <w:lang w:val="ru-RU"/>
              </w:rPr>
              <w:softHyphen/>
              <w:t>ности!</w:t>
            </w:r>
          </w:p>
          <w:p w14:paraId="171D0089" w14:textId="5D1C2FA8" w:rsidR="001C0E5E" w:rsidRPr="001C0E5E" w:rsidRDefault="001C0E5E" w:rsidP="001C0E5E">
            <w:pPr>
              <w:pStyle w:val="affa"/>
              <w:spacing w:before="0" w:beforeAutospacing="0" w:after="0" w:afterAutospacing="0"/>
              <w:ind w:left="-108" w:firstLine="108"/>
              <w:jc w:val="both"/>
              <w:rPr>
                <w:lang w:val="ru-RU"/>
              </w:rPr>
            </w:pPr>
            <w:r w:rsidRPr="00752B8B">
              <w:t>При сатурации &lt;94% — ингаляция</w:t>
            </w:r>
            <w:r>
              <w:rPr>
                <w:lang w:val="ru-RU"/>
              </w:rPr>
              <w:t xml:space="preserve"> </w:t>
            </w:r>
            <w:r w:rsidRPr="00752B8B">
              <w:t>кислорода.</w:t>
            </w:r>
          </w:p>
          <w:p w14:paraId="25B19A4C" w14:textId="451564E1" w:rsidR="001C0E5E" w:rsidRPr="00A6041D" w:rsidRDefault="001C0E5E" w:rsidP="00A6041D">
            <w:pPr>
              <w:pStyle w:val="affa"/>
              <w:spacing w:before="0" w:beforeAutospacing="0"/>
              <w:ind w:left="-108" w:firstLine="108"/>
              <w:jc w:val="both"/>
              <w:rPr>
                <w:rStyle w:val="aff9"/>
                <w:b w:val="0"/>
                <w:bCs w:val="0"/>
                <w:lang w:val="ru-RU"/>
              </w:rPr>
            </w:pPr>
          </w:p>
        </w:tc>
      </w:tr>
      <w:tr w:rsidR="00592856" w14:paraId="0C144016" w14:textId="77777777" w:rsidTr="00F53D43">
        <w:tc>
          <w:tcPr>
            <w:tcW w:w="4669" w:type="dxa"/>
          </w:tcPr>
          <w:p w14:paraId="7016B997" w14:textId="145DF969" w:rsidR="00592856" w:rsidRPr="0003320C" w:rsidRDefault="00592856" w:rsidP="0003320C">
            <w:pPr>
              <w:pStyle w:val="affa"/>
              <w:ind w:left="-114"/>
              <w:rPr>
                <w:rStyle w:val="aff9"/>
                <w:b w:val="0"/>
                <w:bCs w:val="0"/>
                <w:lang w:val="ru-RU"/>
              </w:rPr>
            </w:pPr>
            <w:r w:rsidRPr="00752B8B">
              <w:rPr>
                <w:rStyle w:val="aff9"/>
                <w:rFonts w:eastAsiaTheme="majorEastAsia"/>
                <w:b w:val="0"/>
                <w:bCs w:val="0"/>
              </w:rPr>
              <w:t>Резистентная артериальная гипертензия</w:t>
            </w:r>
          </w:p>
        </w:tc>
        <w:tc>
          <w:tcPr>
            <w:tcW w:w="4670" w:type="dxa"/>
          </w:tcPr>
          <w:p w14:paraId="7E62B2E1" w14:textId="77777777" w:rsidR="00592856" w:rsidRPr="008E7E6A" w:rsidRDefault="00592856" w:rsidP="00E33FE8">
            <w:pPr>
              <w:pStyle w:val="affa"/>
              <w:ind w:left="-108"/>
              <w:jc w:val="both"/>
              <w:rPr>
                <w:lang w:val="ru-RU"/>
              </w:rPr>
            </w:pPr>
            <w:r w:rsidRPr="00592856">
              <w:rPr>
                <w:rStyle w:val="aff9"/>
                <w:rFonts w:eastAsiaTheme="majorEastAsia"/>
                <w:b w:val="0"/>
                <w:bCs w:val="0"/>
                <w:lang w:val="ru-RU"/>
              </w:rPr>
              <w:t>Р-р. Урапидил</w:t>
            </w:r>
            <w:r w:rsidRPr="00592856">
              <w:rPr>
                <w:lang w:val="ru-RU"/>
              </w:rPr>
              <w:t xml:space="preserve"> 25 мг (5 мл) разводят 10 мл 0,9% раствора натрия хлорида. </w:t>
            </w:r>
            <w:r w:rsidRPr="008E7E6A">
              <w:rPr>
                <w:lang w:val="ru-RU"/>
              </w:rPr>
              <w:t>В течение 5 минут внутривенно вводится половина раствора (12,5 мг).</w:t>
            </w:r>
          </w:p>
          <w:p w14:paraId="2B7560AB" w14:textId="77777777" w:rsidR="00592856" w:rsidRPr="008E7E6A" w:rsidRDefault="00592856" w:rsidP="00E33FE8">
            <w:pPr>
              <w:pStyle w:val="affa"/>
              <w:ind w:left="176" w:hanging="284"/>
              <w:jc w:val="both"/>
              <w:rPr>
                <w:lang w:val="ru-RU"/>
              </w:rPr>
            </w:pPr>
            <w:r w:rsidRPr="008E7E6A">
              <w:rPr>
                <w:rStyle w:val="aff9"/>
                <w:rFonts w:eastAsiaTheme="majorEastAsia"/>
                <w:b w:val="0"/>
                <w:bCs w:val="0"/>
                <w:lang w:val="ru-RU"/>
              </w:rPr>
              <w:t>Р-р. Эналаприлат</w:t>
            </w:r>
            <w:r w:rsidRPr="008E7E6A">
              <w:rPr>
                <w:lang w:val="ru-RU"/>
              </w:rPr>
              <w:t xml:space="preserve"> 1,25 мг внутривенно — альтернатива.</w:t>
            </w:r>
          </w:p>
          <w:p w14:paraId="510A4E92" w14:textId="30843881" w:rsidR="00592856" w:rsidRPr="00A6041D" w:rsidRDefault="00592856" w:rsidP="00E33FE8">
            <w:pPr>
              <w:pStyle w:val="affa"/>
              <w:ind w:left="34" w:hanging="142"/>
              <w:jc w:val="both"/>
              <w:rPr>
                <w:lang w:val="ru-RU"/>
              </w:rPr>
            </w:pPr>
            <w:r w:rsidRPr="00A6041D">
              <w:rPr>
                <w:lang w:val="ru-RU"/>
              </w:rPr>
              <w:t>При достижении снижения АД на 15% от исходного уровня введение Урапидила прекращается.</w:t>
            </w:r>
          </w:p>
          <w:p w14:paraId="32DAB9BC" w14:textId="5D4473E5" w:rsidR="00592856" w:rsidRPr="0003320C" w:rsidRDefault="00592856" w:rsidP="00E33FE8">
            <w:pPr>
              <w:pStyle w:val="affa"/>
              <w:ind w:left="176" w:hanging="284"/>
              <w:jc w:val="both"/>
              <w:rPr>
                <w:rStyle w:val="aff9"/>
                <w:b w:val="0"/>
                <w:bCs w:val="0"/>
                <w:lang w:val="ru-RU"/>
              </w:rPr>
            </w:pPr>
            <w:r w:rsidRPr="008E7E6A">
              <w:rPr>
                <w:lang w:val="ru-RU"/>
              </w:rPr>
              <w:t>Если через 5–7 минут снижение АД менее 15%, вводится вторая половина раствора.</w:t>
            </w:r>
          </w:p>
        </w:tc>
      </w:tr>
      <w:tr w:rsidR="00592856" w14:paraId="2F6999CB" w14:textId="77777777" w:rsidTr="00F53D43">
        <w:tc>
          <w:tcPr>
            <w:tcW w:w="4669" w:type="dxa"/>
          </w:tcPr>
          <w:p w14:paraId="577E75B7" w14:textId="77777777" w:rsidR="00592856" w:rsidRPr="00752B8B" w:rsidRDefault="00592856" w:rsidP="0003320C">
            <w:pPr>
              <w:pStyle w:val="affa"/>
              <w:ind w:left="-114" w:firstLine="114"/>
            </w:pPr>
            <w:r w:rsidRPr="00752B8B">
              <w:rPr>
                <w:rStyle w:val="aff9"/>
                <w:rFonts w:eastAsiaTheme="majorEastAsia"/>
                <w:b w:val="0"/>
                <w:bCs w:val="0"/>
              </w:rPr>
              <w:t>Преэклампсия и эклампсия</w:t>
            </w:r>
          </w:p>
          <w:p w14:paraId="4E39DA72" w14:textId="77777777" w:rsidR="00592856" w:rsidRPr="00752B8B" w:rsidRDefault="00592856" w:rsidP="0003320C">
            <w:pPr>
              <w:pStyle w:val="affa"/>
              <w:ind w:left="720"/>
              <w:rPr>
                <w:rStyle w:val="aff9"/>
                <w:rFonts w:eastAsiaTheme="majorEastAsia"/>
                <w:b w:val="0"/>
                <w:bCs w:val="0"/>
              </w:rPr>
            </w:pPr>
          </w:p>
        </w:tc>
        <w:tc>
          <w:tcPr>
            <w:tcW w:w="4670" w:type="dxa"/>
          </w:tcPr>
          <w:p w14:paraId="2F6C5930" w14:textId="77777777" w:rsidR="00592856" w:rsidRPr="00592856" w:rsidRDefault="00592856" w:rsidP="00E33FE8">
            <w:pPr>
              <w:pStyle w:val="affa"/>
              <w:ind w:left="-108" w:firstLine="284"/>
              <w:jc w:val="both"/>
              <w:rPr>
                <w:lang w:val="ru-RU"/>
              </w:rPr>
            </w:pPr>
            <w:r w:rsidRPr="00592856">
              <w:rPr>
                <w:rStyle w:val="aff9"/>
                <w:rFonts w:eastAsiaTheme="majorEastAsia"/>
                <w:b w:val="0"/>
                <w:bCs w:val="0"/>
                <w:lang w:val="ru-RU"/>
              </w:rPr>
              <w:t>Таб.Нифедипин</w:t>
            </w:r>
            <w:r w:rsidRPr="00592856">
              <w:rPr>
                <w:lang w:val="ru-RU"/>
              </w:rPr>
              <w:t xml:space="preserve"> 10 мг внутрь, </w:t>
            </w:r>
            <w:r w:rsidRPr="00592856">
              <w:rPr>
                <w:b/>
                <w:bCs/>
                <w:u w:val="single"/>
                <w:lang w:val="ru-RU"/>
              </w:rPr>
              <w:t>сублингвальный приём противопоказан.</w:t>
            </w:r>
          </w:p>
          <w:p w14:paraId="6AA663DF" w14:textId="77777777" w:rsidR="00592856" w:rsidRPr="008E7E6A" w:rsidRDefault="00592856" w:rsidP="00E33FE8">
            <w:pPr>
              <w:pStyle w:val="affa"/>
              <w:ind w:left="34" w:hanging="142"/>
              <w:jc w:val="both"/>
              <w:rPr>
                <w:lang w:val="ru-RU"/>
              </w:rPr>
            </w:pPr>
            <w:r w:rsidRPr="008E7E6A">
              <w:rPr>
                <w:rStyle w:val="aff9"/>
                <w:rFonts w:eastAsiaTheme="majorEastAsia"/>
                <w:b w:val="0"/>
                <w:bCs w:val="0"/>
                <w:lang w:val="ru-RU"/>
              </w:rPr>
              <w:t>Р-р. Магния сульфат:</w:t>
            </w:r>
            <w:r w:rsidRPr="008E7E6A">
              <w:rPr>
                <w:lang w:val="ru-RU"/>
              </w:rPr>
              <w:t xml:space="preserve"> 4000 мг (16 мл) внутривенно медленно 10–15 минут, затем 5000 мг (20 мл) в 0,9% растворе натрия </w:t>
            </w:r>
            <w:r w:rsidRPr="008E7E6A">
              <w:rPr>
                <w:lang w:val="ru-RU"/>
              </w:rPr>
              <w:lastRenderedPageBreak/>
              <w:t>хлорида — 250 мл внутривенно капельно со скоростью 18 капель в минуту.</w:t>
            </w:r>
          </w:p>
          <w:p w14:paraId="0C524F43" w14:textId="77777777" w:rsidR="00592856" w:rsidRPr="008E7E6A" w:rsidRDefault="00592856" w:rsidP="00E33FE8">
            <w:pPr>
              <w:pStyle w:val="affa"/>
              <w:ind w:left="34" w:hanging="142"/>
              <w:jc w:val="both"/>
              <w:rPr>
                <w:lang w:val="ru-RU"/>
              </w:rPr>
            </w:pPr>
            <w:r w:rsidRPr="008E7E6A">
              <w:rPr>
                <w:lang w:val="ru-RU"/>
              </w:rPr>
              <w:t>При сатурации &lt;94% — ингаляция кислорода.</w:t>
            </w:r>
          </w:p>
          <w:p w14:paraId="1C7E2BF8" w14:textId="4CB76A5F" w:rsidR="00592856" w:rsidRPr="00592856" w:rsidRDefault="00592856" w:rsidP="00E33FE8">
            <w:pPr>
              <w:pStyle w:val="affa"/>
              <w:ind w:left="34" w:hanging="142"/>
              <w:jc w:val="both"/>
              <w:rPr>
                <w:rStyle w:val="aff9"/>
                <w:rFonts w:eastAsiaTheme="majorEastAsia"/>
                <w:b w:val="0"/>
                <w:bCs w:val="0"/>
              </w:rPr>
            </w:pPr>
            <w:r w:rsidRPr="008E7E6A">
              <w:rPr>
                <w:lang w:val="ru-RU"/>
              </w:rPr>
              <w:t xml:space="preserve">При повторяющихся судорогах, если инфузия </w:t>
            </w:r>
            <w:r w:rsidRPr="008E7E6A">
              <w:rPr>
                <w:rStyle w:val="aff9"/>
                <w:rFonts w:eastAsiaTheme="majorEastAsia"/>
                <w:b w:val="0"/>
                <w:bCs w:val="0"/>
                <w:lang w:val="ru-RU"/>
              </w:rPr>
              <w:t xml:space="preserve">р-р. </w:t>
            </w:r>
            <w:r w:rsidRPr="008E7E6A">
              <w:rPr>
                <w:lang w:val="ru-RU"/>
              </w:rPr>
              <w:t xml:space="preserve">магния сульфата неэффективна, вводят </w:t>
            </w:r>
            <w:r w:rsidRPr="008E7E6A">
              <w:rPr>
                <w:rStyle w:val="aff9"/>
                <w:rFonts w:eastAsiaTheme="majorEastAsia"/>
                <w:b w:val="0"/>
                <w:bCs w:val="0"/>
                <w:lang w:val="ru-RU"/>
              </w:rPr>
              <w:t xml:space="preserve">р-р. </w:t>
            </w:r>
            <w:r w:rsidRPr="00752B8B">
              <w:rPr>
                <w:rStyle w:val="aff9"/>
                <w:rFonts w:eastAsiaTheme="majorEastAsia"/>
                <w:b w:val="0"/>
                <w:bCs w:val="0"/>
              </w:rPr>
              <w:t>Диазепам</w:t>
            </w:r>
            <w:r w:rsidRPr="00752B8B">
              <w:t xml:space="preserve"> 10–20 мг (2–4 мл) внутривенно.</w:t>
            </w:r>
          </w:p>
        </w:tc>
      </w:tr>
    </w:tbl>
    <w:p w14:paraId="2A6327D6" w14:textId="30432703" w:rsidR="00BC7A16" w:rsidRDefault="00BC7A16" w:rsidP="00BC7A16">
      <w:pPr>
        <w:pStyle w:val="11"/>
        <w:ind w:firstLine="600"/>
        <w:jc w:val="both"/>
        <w:rPr>
          <w:rStyle w:val="ac"/>
          <w:rFonts w:eastAsiaTheme="majorEastAsia"/>
          <w:b/>
          <w:bCs/>
          <w:sz w:val="24"/>
          <w:szCs w:val="24"/>
        </w:rPr>
      </w:pPr>
      <w:r>
        <w:rPr>
          <w:rStyle w:val="ac"/>
          <w:rFonts w:eastAsiaTheme="majorEastAsia"/>
          <w:b/>
          <w:bCs/>
          <w:sz w:val="24"/>
          <w:szCs w:val="24"/>
        </w:rPr>
        <w:lastRenderedPageBreak/>
        <w:t xml:space="preserve">Уровень убедительности рекомендаций </w:t>
      </w:r>
      <w:r w:rsidRPr="00737ECE">
        <w:rPr>
          <w:rStyle w:val="ac"/>
          <w:rFonts w:eastAsiaTheme="majorEastAsia"/>
          <w:b/>
          <w:bCs/>
          <w:sz w:val="24"/>
          <w:szCs w:val="24"/>
          <w:lang w:val="en-US"/>
        </w:rPr>
        <w:t>C</w:t>
      </w:r>
      <w:r w:rsidRPr="00737ECE">
        <w:rPr>
          <w:rStyle w:val="ac"/>
          <w:rFonts w:eastAsiaTheme="majorEastAsia"/>
          <w:b/>
          <w:bCs/>
          <w:sz w:val="24"/>
          <w:szCs w:val="24"/>
        </w:rPr>
        <w:t xml:space="preserve">, </w:t>
      </w:r>
      <w:r w:rsidRPr="00737ECE">
        <w:rPr>
          <w:rStyle w:val="ac"/>
          <w:rFonts w:eastAsiaTheme="majorEastAsia"/>
          <w:sz w:val="24"/>
          <w:szCs w:val="24"/>
        </w:rPr>
        <w:t>(</w:t>
      </w:r>
      <w:r>
        <w:rPr>
          <w:rStyle w:val="ac"/>
          <w:rFonts w:eastAsiaTheme="majorEastAsia"/>
          <w:b/>
          <w:bCs/>
          <w:sz w:val="24"/>
          <w:szCs w:val="24"/>
        </w:rPr>
        <w:t>Уровень достоверности доказательств</w:t>
      </w:r>
      <w:r w:rsidRPr="00737ECE">
        <w:rPr>
          <w:rStyle w:val="ac"/>
          <w:rFonts w:eastAsiaTheme="majorEastAsia"/>
          <w:b/>
          <w:bCs/>
          <w:sz w:val="24"/>
          <w:szCs w:val="24"/>
        </w:rPr>
        <w:t xml:space="preserve"> 5)</w:t>
      </w:r>
      <w:r>
        <w:rPr>
          <w:rStyle w:val="ac"/>
          <w:rFonts w:eastAsiaTheme="majorEastAsia"/>
          <w:b/>
          <w:bCs/>
          <w:sz w:val="24"/>
          <w:szCs w:val="24"/>
        </w:rPr>
        <w:t>;</w:t>
      </w:r>
      <w:r w:rsidRPr="000A49F4">
        <w:rPr>
          <w:rStyle w:val="ac"/>
          <w:rFonts w:eastAsiaTheme="majorEastAsia"/>
          <w:b/>
          <w:bCs/>
          <w:sz w:val="24"/>
          <w:szCs w:val="24"/>
        </w:rPr>
        <w:t xml:space="preserve"> </w:t>
      </w:r>
      <w:r w:rsidRPr="00737ECE">
        <w:rPr>
          <w:rStyle w:val="ac"/>
          <w:rFonts w:eastAsiaTheme="majorEastAsia"/>
          <w:b/>
          <w:bCs/>
          <w:sz w:val="24"/>
          <w:szCs w:val="24"/>
        </w:rPr>
        <w:t>ЕОК/ЕОАГ нет</w:t>
      </w:r>
      <w:r w:rsidR="008A2AFD">
        <w:rPr>
          <w:rStyle w:val="ac"/>
          <w:rFonts w:eastAsiaTheme="majorEastAsia"/>
          <w:b/>
          <w:bCs/>
          <w:sz w:val="24"/>
          <w:szCs w:val="24"/>
        </w:rPr>
        <w:t>.</w:t>
      </w:r>
    </w:p>
    <w:p w14:paraId="1D4CE7BE" w14:textId="44143EB1" w:rsidR="00BC7A16" w:rsidRPr="00984563" w:rsidRDefault="00BC7A16" w:rsidP="00850317">
      <w:pPr>
        <w:pStyle w:val="affa"/>
        <w:spacing w:before="0" w:beforeAutospacing="0" w:after="0" w:afterAutospacing="0" w:line="360" w:lineRule="auto"/>
        <w:jc w:val="both"/>
        <w:rPr>
          <w:i/>
          <w:iCs/>
        </w:rPr>
      </w:pPr>
      <w:r w:rsidRPr="00BC7A16">
        <w:rPr>
          <w:b/>
          <w:bCs/>
        </w:rPr>
        <w:t>Комментарий:</w:t>
      </w:r>
      <w:r w:rsidRPr="00BC7A16">
        <w:rPr>
          <w:rStyle w:val="aff9"/>
          <w:rFonts w:ascii="Segoe UI" w:eastAsiaTheme="majorEastAsia" w:hAnsi="Segoe UI" w:cs="Segoe UI"/>
          <w:color w:val="404040"/>
        </w:rPr>
        <w:t xml:space="preserve"> </w:t>
      </w:r>
      <w:r w:rsidRPr="00BC7A16">
        <w:rPr>
          <w:i/>
          <w:iCs/>
        </w:rPr>
        <w:t>Снижение артериального давления при гипертензивных расстройствах беременности должно быть постепенным — не более чем на 15–25 % от исходного уровня, что необходимо для сохранения адекватной перфузии плаценты. Сублингвальный приём нифедипина может вызвать резкое и неконтролируемое падение давления, что повышает риск отслойки плаценты.</w:t>
      </w:r>
      <w:r w:rsidR="00A6041D">
        <w:rPr>
          <w:i/>
          <w:iCs/>
        </w:rPr>
        <w:t xml:space="preserve"> </w:t>
      </w:r>
      <w:r w:rsidRPr="00BC7A16">
        <w:rPr>
          <w:i/>
          <w:iCs/>
        </w:rPr>
        <w:t>Магния сульфат является препаратом выбора для профилактики и лечения судорог (эклампсии), а также используется для обеспечения нейропротекции плода.</w:t>
      </w:r>
    </w:p>
    <w:p w14:paraId="4F835D9A" w14:textId="3D9A170E" w:rsidR="00752B8B" w:rsidRPr="00752B8B" w:rsidRDefault="00752B8B" w:rsidP="00850317">
      <w:pPr>
        <w:pStyle w:val="3"/>
        <w:spacing w:line="360" w:lineRule="auto"/>
        <w:jc w:val="both"/>
        <w:rPr>
          <w:rFonts w:ascii="Times New Roman" w:hAnsi="Times New Roman" w:cs="Times New Roman"/>
          <w:b/>
          <w:bCs/>
          <w:color w:val="auto"/>
          <w:sz w:val="24"/>
          <w:szCs w:val="24"/>
        </w:rPr>
      </w:pPr>
      <w:r w:rsidRPr="00752B8B">
        <w:rPr>
          <w:rFonts w:ascii="Times New Roman" w:hAnsi="Times New Roman" w:cs="Times New Roman"/>
          <w:b/>
          <w:bCs/>
          <w:color w:val="auto"/>
          <w:kern w:val="0"/>
          <w:sz w:val="24"/>
          <w:szCs w:val="24"/>
        </w:rPr>
        <w:t>2.6</w:t>
      </w:r>
      <w:r w:rsidR="0007316C" w:rsidRPr="00752B8B">
        <w:rPr>
          <w:rFonts w:ascii="Times New Roman" w:hAnsi="Times New Roman" w:cs="Times New Roman"/>
          <w:b/>
          <w:bCs/>
          <w:color w:val="auto"/>
          <w:kern w:val="0"/>
          <w:sz w:val="24"/>
          <w:szCs w:val="24"/>
        </w:rPr>
        <w:t xml:space="preserve"> </w:t>
      </w:r>
      <w:r w:rsidRPr="00752B8B">
        <w:rPr>
          <w:rFonts w:ascii="Times New Roman" w:hAnsi="Times New Roman" w:cs="Times New Roman"/>
          <w:b/>
          <w:bCs/>
          <w:color w:val="auto"/>
          <w:sz w:val="24"/>
          <w:szCs w:val="24"/>
        </w:rPr>
        <w:t>Гипертонический криз с энцефалопатией</w:t>
      </w:r>
    </w:p>
    <w:p w14:paraId="72128322" w14:textId="77777777" w:rsidR="00A71D66" w:rsidRPr="00A71D66" w:rsidRDefault="00752B8B" w:rsidP="00850317">
      <w:pPr>
        <w:pStyle w:val="affa"/>
        <w:spacing w:before="0" w:beforeAutospacing="0" w:after="0" w:afterAutospacing="0" w:line="360" w:lineRule="auto"/>
        <w:ind w:firstLine="708"/>
        <w:jc w:val="both"/>
      </w:pPr>
      <w:r w:rsidRPr="00A71D66">
        <w:t xml:space="preserve">При гипертоническом кризе, осложнённом энцефалопатией, препаратом выбора является </w:t>
      </w:r>
      <w:r w:rsidRPr="00A71D66">
        <w:rPr>
          <w:rStyle w:val="aff9"/>
          <w:rFonts w:eastAsiaTheme="majorEastAsia"/>
          <w:b w:val="0"/>
          <w:bCs w:val="0"/>
        </w:rPr>
        <w:t>урапидил</w:t>
      </w:r>
      <w:r w:rsidRPr="00A71D66">
        <w:t xml:space="preserve"> в дозе 12,5–25 мг внутривенно с контролируемым снижением артериального давления на 15–25 % от исходного уровня.</w:t>
      </w:r>
    </w:p>
    <w:p w14:paraId="5459A5E5" w14:textId="77777777" w:rsidR="007A69D6" w:rsidRDefault="00752B8B" w:rsidP="007A69D6">
      <w:pPr>
        <w:pStyle w:val="affa"/>
        <w:spacing w:before="0" w:beforeAutospacing="0" w:after="0" w:afterAutospacing="0" w:line="360" w:lineRule="auto"/>
        <w:ind w:firstLine="708"/>
        <w:jc w:val="both"/>
      </w:pPr>
      <w:r w:rsidRPr="00A71D66">
        <w:t xml:space="preserve">Дополнительно назначается </w:t>
      </w:r>
      <w:r w:rsidRPr="00A71D66">
        <w:rPr>
          <w:rStyle w:val="aff9"/>
          <w:rFonts w:eastAsiaTheme="majorEastAsia"/>
          <w:b w:val="0"/>
          <w:bCs w:val="0"/>
        </w:rPr>
        <w:t>магния сульфат</w:t>
      </w:r>
      <w:r w:rsidRPr="00A71D66">
        <w:t xml:space="preserve"> 2500–5000 мг внутривенно для нейропротекции и профилактики судорог.</w:t>
      </w:r>
    </w:p>
    <w:p w14:paraId="3B1DACAA" w14:textId="283BF79D" w:rsidR="007A69D6" w:rsidRPr="007A69D6" w:rsidRDefault="007A69D6" w:rsidP="007A69D6">
      <w:pPr>
        <w:pStyle w:val="affa"/>
        <w:spacing w:before="0" w:beforeAutospacing="0" w:after="0" w:afterAutospacing="0" w:line="360" w:lineRule="auto"/>
        <w:ind w:firstLine="708"/>
        <w:jc w:val="both"/>
      </w:pPr>
      <w:r w:rsidRPr="007A69D6">
        <w:t>Купирование судорог (при их наличии): диазепам (сибазон, реланиум) 0,5% 2–4 мл в/в или вальпроат натрия (депакин) 400–800 мг в/в, при отсутствии эффекта — мидазолам (дормикум) 0,5% 1–3 мл в/в.</w:t>
      </w:r>
    </w:p>
    <w:p w14:paraId="408568E3" w14:textId="77777777" w:rsidR="00752B8B" w:rsidRPr="00A71D66" w:rsidRDefault="00752B8B" w:rsidP="00850317">
      <w:pPr>
        <w:pStyle w:val="affa"/>
        <w:spacing w:before="0" w:beforeAutospacing="0" w:after="0" w:afterAutospacing="0" w:line="360" w:lineRule="auto"/>
        <w:ind w:firstLine="708"/>
        <w:jc w:val="both"/>
      </w:pPr>
      <w:r w:rsidRPr="00A71D66">
        <w:t xml:space="preserve">При частоте сердечных сокращений более 100 ударов в минуту рекомендуется применение бета-адреноблокаторов: </w:t>
      </w:r>
      <w:r w:rsidRPr="00A71D66">
        <w:rPr>
          <w:rStyle w:val="aff9"/>
          <w:rFonts w:eastAsiaTheme="majorEastAsia"/>
          <w:b w:val="0"/>
          <w:bCs w:val="0"/>
        </w:rPr>
        <w:t>метопролола</w:t>
      </w:r>
      <w:r w:rsidRPr="00A71D66">
        <w:t xml:space="preserve"> 12,5–25 мг внутривенно или </w:t>
      </w:r>
      <w:r w:rsidRPr="00A71D66">
        <w:rPr>
          <w:rStyle w:val="aff9"/>
          <w:rFonts w:eastAsiaTheme="majorEastAsia"/>
          <w:b w:val="0"/>
          <w:bCs w:val="0"/>
        </w:rPr>
        <w:t>пропранолола</w:t>
      </w:r>
      <w:r w:rsidRPr="00A71D66">
        <w:t xml:space="preserve"> 20 мг сублингвально (при отсутствии противопоказаний).</w:t>
      </w:r>
    </w:p>
    <w:p w14:paraId="5915A614" w14:textId="77777777" w:rsidR="00752B8B" w:rsidRPr="00A71D66" w:rsidRDefault="00752B8B" w:rsidP="00850317">
      <w:pPr>
        <w:pStyle w:val="affa"/>
        <w:spacing w:before="0" w:beforeAutospacing="0" w:after="0" w:afterAutospacing="0" w:line="360" w:lineRule="auto"/>
        <w:ind w:firstLine="708"/>
        <w:jc w:val="both"/>
      </w:pPr>
      <w:r w:rsidRPr="00A71D66">
        <w:t xml:space="preserve">У пациентов с хронической почечной недостаточностью целесообразно использовать </w:t>
      </w:r>
      <w:r w:rsidRPr="00A71D66">
        <w:rPr>
          <w:rStyle w:val="aff9"/>
          <w:rFonts w:eastAsiaTheme="majorEastAsia"/>
          <w:b w:val="0"/>
          <w:bCs w:val="0"/>
        </w:rPr>
        <w:t>моксонидин</w:t>
      </w:r>
      <w:r w:rsidRPr="00A71D66">
        <w:t xml:space="preserve"> 0,2 мг сублингвально, так как доза не требует коррекции.</w:t>
      </w:r>
    </w:p>
    <w:p w14:paraId="7B3CD1DF" w14:textId="77777777" w:rsidR="001436D6" w:rsidRDefault="00752B8B" w:rsidP="001436D6">
      <w:pPr>
        <w:pStyle w:val="affa"/>
        <w:spacing w:before="0" w:beforeAutospacing="0" w:after="0" w:afterAutospacing="0" w:line="360" w:lineRule="auto"/>
        <w:ind w:firstLine="360"/>
        <w:jc w:val="both"/>
        <w:rPr>
          <w:color w:val="231F20"/>
        </w:rPr>
      </w:pPr>
      <w:r w:rsidRPr="00A71D66">
        <w:rPr>
          <w:rStyle w:val="aff9"/>
          <w:rFonts w:eastAsiaTheme="majorEastAsia"/>
          <w:b w:val="0"/>
          <w:bCs w:val="0"/>
        </w:rPr>
        <w:t>Противопоказаны:</w:t>
      </w:r>
      <w:r w:rsidRPr="00A71D66">
        <w:t xml:space="preserve"> ингибиторы АПФ и </w:t>
      </w:r>
      <w:r w:rsidR="00850317" w:rsidRPr="00A71D66">
        <w:t>диуретики</w:t>
      </w:r>
      <w:r w:rsidR="00850317" w:rsidRPr="00D70E83">
        <w:t>.</w:t>
      </w:r>
      <w:r w:rsidR="00850317" w:rsidRPr="00D70E83">
        <w:rPr>
          <w:color w:val="231F20"/>
        </w:rPr>
        <w:t xml:space="preserve"> </w:t>
      </w:r>
      <w:r w:rsidR="001436D6" w:rsidRPr="00D70E83">
        <w:rPr>
          <w:color w:val="231F20"/>
        </w:rPr>
        <w:t>[541,542,545</w:t>
      </w:r>
      <w:r w:rsidR="001436D6">
        <w:rPr>
          <w:color w:val="231F20"/>
        </w:rPr>
        <w:t>,546</w:t>
      </w:r>
      <w:r w:rsidR="001436D6" w:rsidRPr="00D70E83">
        <w:rPr>
          <w:color w:val="231F20"/>
        </w:rPr>
        <w:t>]</w:t>
      </w:r>
    </w:p>
    <w:p w14:paraId="23277DAF" w14:textId="1B3C6C05" w:rsidR="00984563" w:rsidRDefault="00984563" w:rsidP="001436D6">
      <w:pPr>
        <w:pStyle w:val="affa"/>
        <w:spacing w:before="0" w:beforeAutospacing="0" w:after="0" w:afterAutospacing="0" w:line="360" w:lineRule="auto"/>
        <w:ind w:firstLine="360"/>
        <w:jc w:val="both"/>
        <w:rPr>
          <w:rStyle w:val="ac"/>
          <w:rFonts w:eastAsiaTheme="majorEastAsia"/>
          <w:b/>
          <w:bCs/>
        </w:rPr>
      </w:pPr>
      <w:r>
        <w:rPr>
          <w:rStyle w:val="ac"/>
          <w:rFonts w:eastAsiaTheme="majorEastAsia"/>
          <w:b/>
          <w:bCs/>
        </w:rPr>
        <w:t xml:space="preserve">Уровень убедительности рекомендаций </w:t>
      </w:r>
      <w:r w:rsidRPr="00737ECE">
        <w:rPr>
          <w:rStyle w:val="ac"/>
          <w:rFonts w:eastAsiaTheme="majorEastAsia"/>
          <w:b/>
          <w:bCs/>
          <w:lang w:val="en-US"/>
        </w:rPr>
        <w:t>C</w:t>
      </w:r>
      <w:r w:rsidRPr="00737ECE">
        <w:rPr>
          <w:rStyle w:val="ac"/>
          <w:rFonts w:eastAsiaTheme="majorEastAsia"/>
          <w:b/>
          <w:bCs/>
        </w:rPr>
        <w:t xml:space="preserve">, </w:t>
      </w:r>
      <w:r w:rsidRPr="00737ECE">
        <w:rPr>
          <w:rStyle w:val="ac"/>
          <w:rFonts w:eastAsiaTheme="majorEastAsia"/>
        </w:rPr>
        <w:t>(</w:t>
      </w:r>
      <w:r>
        <w:rPr>
          <w:rStyle w:val="ac"/>
          <w:rFonts w:eastAsiaTheme="majorEastAsia"/>
          <w:b/>
          <w:bCs/>
        </w:rPr>
        <w:t>Уровень достоверности доказательств</w:t>
      </w:r>
      <w:r w:rsidRPr="00737ECE">
        <w:rPr>
          <w:rStyle w:val="ac"/>
          <w:rFonts w:eastAsiaTheme="majorEastAsia"/>
          <w:b/>
          <w:bCs/>
        </w:rPr>
        <w:t xml:space="preserve"> 5)</w:t>
      </w:r>
      <w:r>
        <w:rPr>
          <w:rStyle w:val="ac"/>
          <w:rFonts w:eastAsiaTheme="majorEastAsia"/>
          <w:b/>
          <w:bCs/>
        </w:rPr>
        <w:t>;</w:t>
      </w:r>
      <w:r w:rsidRPr="000A49F4">
        <w:rPr>
          <w:rStyle w:val="ac"/>
          <w:rFonts w:eastAsiaTheme="majorEastAsia"/>
          <w:b/>
          <w:bCs/>
        </w:rPr>
        <w:t xml:space="preserve"> </w:t>
      </w:r>
      <w:r w:rsidRPr="00737ECE">
        <w:rPr>
          <w:rStyle w:val="ac"/>
          <w:rFonts w:eastAsiaTheme="majorEastAsia"/>
          <w:b/>
          <w:bCs/>
        </w:rPr>
        <w:t>ЕОК/ЕОАГ нет</w:t>
      </w:r>
      <w:r w:rsidR="008A2AFD">
        <w:rPr>
          <w:rStyle w:val="ac"/>
          <w:rFonts w:eastAsiaTheme="majorEastAsia"/>
          <w:b/>
          <w:bCs/>
        </w:rPr>
        <w:t>.</w:t>
      </w:r>
    </w:p>
    <w:p w14:paraId="43416A96" w14:textId="7B7EFAA5" w:rsidR="00984563" w:rsidRPr="00984563" w:rsidRDefault="00984563" w:rsidP="00850317">
      <w:pPr>
        <w:pStyle w:val="affa"/>
        <w:spacing w:before="0" w:beforeAutospacing="0" w:after="0" w:afterAutospacing="0" w:line="360" w:lineRule="auto"/>
        <w:jc w:val="both"/>
        <w:rPr>
          <w:i/>
          <w:iCs/>
        </w:rPr>
      </w:pPr>
      <w:r w:rsidRPr="00BC7A16">
        <w:rPr>
          <w:b/>
          <w:bCs/>
        </w:rPr>
        <w:lastRenderedPageBreak/>
        <w:t>Комментарий:</w:t>
      </w:r>
      <w:r w:rsidRPr="00984563">
        <w:t xml:space="preserve"> </w:t>
      </w:r>
      <w:r w:rsidRPr="00984563">
        <w:rPr>
          <w:i/>
          <w:iCs/>
        </w:rPr>
        <w:t>Препаратом выбора при гипертонической энцефалопатии является урапидил (Эбрантил) 12,5–25 мг внутривенно. Его основными преимуществами являются возможность контролируемого снижения артериального давления благодаря удобной титрации дозы, отсутствие влияния на внутричерепное давление и улучшение мозгового кровотока без усугубления отёка мозга. Кроме того, урапидил не обладает седативным эффектом, что позволяет объективно оценивать неврологический статус пациента в динамике. При этом критически важно снижать артериальное давление постепенно — не более чем на 15–25 % от исходного уровня.</w:t>
      </w:r>
    </w:p>
    <w:p w14:paraId="67DB55CA" w14:textId="77777777" w:rsidR="00984563" w:rsidRDefault="00984563" w:rsidP="00850317">
      <w:pPr>
        <w:spacing w:after="0" w:line="360" w:lineRule="auto"/>
        <w:ind w:firstLine="708"/>
        <w:jc w:val="both"/>
        <w:rPr>
          <w:rFonts w:eastAsia="Times New Roman" w:cs="Times New Roman"/>
          <w:i/>
          <w:iCs/>
          <w:kern w:val="0"/>
          <w:sz w:val="24"/>
          <w:szCs w:val="24"/>
          <w:lang w:eastAsia="ru-RU"/>
        </w:rPr>
      </w:pPr>
      <w:r w:rsidRPr="00984563">
        <w:rPr>
          <w:rFonts w:eastAsia="Times New Roman" w:cs="Times New Roman"/>
          <w:i/>
          <w:iCs/>
          <w:kern w:val="0"/>
          <w:sz w:val="24"/>
          <w:szCs w:val="24"/>
          <w:lang w:eastAsia="ru-RU"/>
        </w:rPr>
        <w:t>Магния сульфат (2,5–5,0 г внутривенно) используется как дополнительный компонент терапии. Он оказывает нейропротективное действие за счёт блокады кальциевых каналов и NMDA-рецепторов, что уменьшает повреждение нейронов при ишемии и отёке. Кроме того, магний способствует мягкой вазодилатации, обладает противоотёчным эффектом и предотвращает развитие судорог, к которым может прогрессировать энцефалопатия.</w:t>
      </w:r>
    </w:p>
    <w:p w14:paraId="32F2CCAB" w14:textId="77777777" w:rsidR="00984563" w:rsidRDefault="00984563" w:rsidP="00850317">
      <w:pPr>
        <w:spacing w:after="0" w:line="360" w:lineRule="auto"/>
        <w:ind w:firstLine="708"/>
        <w:jc w:val="both"/>
        <w:rPr>
          <w:rFonts w:eastAsia="Times New Roman" w:cs="Times New Roman"/>
          <w:i/>
          <w:iCs/>
          <w:kern w:val="0"/>
          <w:sz w:val="24"/>
          <w:szCs w:val="24"/>
          <w:lang w:eastAsia="ru-RU"/>
        </w:rPr>
      </w:pPr>
      <w:r w:rsidRPr="00984563">
        <w:rPr>
          <w:rFonts w:eastAsia="Times New Roman" w:cs="Times New Roman"/>
          <w:i/>
          <w:iCs/>
          <w:kern w:val="0"/>
          <w:sz w:val="24"/>
          <w:szCs w:val="24"/>
          <w:lang w:eastAsia="ru-RU"/>
        </w:rPr>
        <w:t>При частоте сердечных сокращений более 100 ударов в минуту показано назначение метопролола (12,5–25 мг внутривенно) или пропранолола (20 мг сублингвально). Тахикардия в подобных случаях чаще всего связана с выраженной симпатикотонией. Бета-адреноблокаторы устраняют сам патогенетический механизм, снижая выброс катехоламинов, уменьшая ЧСС и сердечный выброс, а также усиливая гипотензивный эффект основной терапии. Метопролол, как кардиоселективный препарат, предпочтителен при риске бронхообструкции. Пропранолол эффективен, но требует осторожности у пациентов с хронической обструктивной болезнью лёгких и бронхиальной астмой.</w:t>
      </w:r>
      <w:r>
        <w:rPr>
          <w:rFonts w:eastAsia="Times New Roman" w:cs="Times New Roman"/>
          <w:i/>
          <w:iCs/>
          <w:kern w:val="0"/>
          <w:sz w:val="24"/>
          <w:szCs w:val="24"/>
          <w:lang w:eastAsia="ru-RU"/>
        </w:rPr>
        <w:t xml:space="preserve"> </w:t>
      </w:r>
      <w:r w:rsidRPr="00984563">
        <w:rPr>
          <w:rFonts w:eastAsia="Times New Roman" w:cs="Times New Roman"/>
          <w:i/>
          <w:iCs/>
          <w:kern w:val="0"/>
          <w:sz w:val="24"/>
          <w:szCs w:val="24"/>
          <w:lang w:eastAsia="ru-RU"/>
        </w:rPr>
        <w:t>Противопоказания для бета-блокаторов включают брадикардию, AV-блокаду, острую сердечную недостаточность и бронхиальную астму.</w:t>
      </w:r>
    </w:p>
    <w:p w14:paraId="1E287131" w14:textId="77777777" w:rsidR="00984563" w:rsidRDefault="00984563" w:rsidP="00850317">
      <w:pPr>
        <w:spacing w:after="0" w:line="360" w:lineRule="auto"/>
        <w:ind w:firstLine="708"/>
        <w:jc w:val="both"/>
        <w:rPr>
          <w:rFonts w:eastAsia="Times New Roman" w:cs="Times New Roman"/>
          <w:i/>
          <w:iCs/>
          <w:kern w:val="0"/>
          <w:sz w:val="24"/>
          <w:szCs w:val="24"/>
          <w:lang w:eastAsia="ru-RU"/>
        </w:rPr>
      </w:pPr>
      <w:r w:rsidRPr="00984563">
        <w:rPr>
          <w:rFonts w:eastAsia="Times New Roman" w:cs="Times New Roman"/>
          <w:i/>
          <w:iCs/>
          <w:kern w:val="0"/>
          <w:sz w:val="24"/>
          <w:szCs w:val="24"/>
          <w:lang w:eastAsia="ru-RU"/>
        </w:rPr>
        <w:t>В условиях хронической почечной недостаточности предпочтительным является назначение моксонидина 0,2 мг сублингвально. Его использование безопасно, так как препарат выводится преимущественно через желудочно-кишечный тракт, и доза не требует коррекции. Моксонидин действует на центральные механизмы регуляции давления, эффективно снижая АД.</w:t>
      </w:r>
    </w:p>
    <w:p w14:paraId="0B0F2374" w14:textId="77777777" w:rsidR="00984563" w:rsidRDefault="00984563" w:rsidP="00850317">
      <w:pPr>
        <w:spacing w:after="0" w:line="360" w:lineRule="auto"/>
        <w:ind w:firstLine="708"/>
        <w:jc w:val="both"/>
        <w:rPr>
          <w:rFonts w:eastAsia="Times New Roman" w:cs="Times New Roman"/>
          <w:i/>
          <w:iCs/>
          <w:kern w:val="0"/>
          <w:sz w:val="24"/>
          <w:szCs w:val="24"/>
          <w:lang w:eastAsia="ru-RU"/>
        </w:rPr>
      </w:pPr>
      <w:r w:rsidRPr="00984563">
        <w:rPr>
          <w:rFonts w:eastAsia="Times New Roman" w:cs="Times New Roman"/>
          <w:i/>
          <w:iCs/>
          <w:kern w:val="0"/>
          <w:sz w:val="24"/>
          <w:szCs w:val="24"/>
          <w:lang w:eastAsia="ru-RU"/>
        </w:rPr>
        <w:t>Ингибиторы АПФ (каптоприл, эналаприлат) противопоказаны при двустороннем стенозе почечных артерий или стенозе единственной почки из-за риска развития острой почечной недостаточности. При ХПН другой этиологии они могут обладать нефропротективным действием, однако в условиях криза их применение требует особой осторожности.</w:t>
      </w:r>
    </w:p>
    <w:p w14:paraId="0F008061" w14:textId="24076C8F" w:rsidR="00984563" w:rsidRPr="0007721A" w:rsidRDefault="00984563" w:rsidP="00850317">
      <w:pPr>
        <w:spacing w:after="0" w:line="360" w:lineRule="auto"/>
        <w:ind w:firstLine="708"/>
        <w:jc w:val="both"/>
        <w:rPr>
          <w:rStyle w:val="16"/>
          <w:rFonts w:eastAsia="Times New Roman"/>
          <w:i/>
          <w:iCs/>
          <w:color w:val="auto"/>
          <w:kern w:val="0"/>
          <w:sz w:val="24"/>
          <w:szCs w:val="24"/>
          <w:lang w:eastAsia="ru-RU"/>
        </w:rPr>
      </w:pPr>
      <w:r w:rsidRPr="00984563">
        <w:rPr>
          <w:rFonts w:eastAsia="Times New Roman" w:cs="Times New Roman"/>
          <w:i/>
          <w:iCs/>
          <w:kern w:val="0"/>
          <w:sz w:val="24"/>
          <w:szCs w:val="24"/>
          <w:lang w:eastAsia="ru-RU"/>
        </w:rPr>
        <w:lastRenderedPageBreak/>
        <w:t>Диуретики (например, фуросемид) обычно не показаны, поскольку у большинства пациентов с гипертоническим кризом уже имеется снижение объёма циркулирующей крови вследствие так называемого pressure-natriuresis. Дополнительное введение диуретиков усугубляет гиповолемию, может привести к коллапсу и ухудшению функции почек.</w:t>
      </w:r>
    </w:p>
    <w:p w14:paraId="2BC63181" w14:textId="77777777" w:rsidR="00DF6BAF" w:rsidRPr="00FB3E16" w:rsidRDefault="00EE2A45" w:rsidP="00850317">
      <w:pPr>
        <w:pStyle w:val="3"/>
        <w:spacing w:before="0" w:line="360" w:lineRule="auto"/>
        <w:jc w:val="both"/>
        <w:rPr>
          <w:rFonts w:ascii="Times New Roman" w:hAnsi="Times New Roman" w:cs="Times New Roman"/>
          <w:b/>
          <w:bCs/>
          <w:color w:val="auto"/>
          <w:sz w:val="24"/>
          <w:szCs w:val="24"/>
        </w:rPr>
      </w:pPr>
      <w:r w:rsidRPr="0063145B">
        <w:rPr>
          <w:rStyle w:val="16"/>
          <w:b/>
          <w:bCs/>
          <w:color w:val="26282F"/>
          <w:sz w:val="24"/>
          <w:szCs w:val="24"/>
        </w:rPr>
        <w:t xml:space="preserve">2.7 </w:t>
      </w:r>
      <w:r w:rsidR="00DF6BAF" w:rsidRPr="00FB3E16">
        <w:rPr>
          <w:rFonts w:ascii="Times New Roman" w:hAnsi="Times New Roman" w:cs="Times New Roman"/>
          <w:b/>
          <w:bCs/>
          <w:color w:val="auto"/>
          <w:sz w:val="24"/>
          <w:szCs w:val="24"/>
        </w:rPr>
        <w:t>Острая левожелудочковая недостаточность (сердечная астма, отёк лёгких)</w:t>
      </w:r>
    </w:p>
    <w:p w14:paraId="6D65DB42" w14:textId="24349072" w:rsidR="00DF6BAF" w:rsidRPr="003B2DA3" w:rsidRDefault="00DF6BAF" w:rsidP="00850317">
      <w:pPr>
        <w:pStyle w:val="affa"/>
        <w:spacing w:before="0" w:beforeAutospacing="0" w:after="0" w:afterAutospacing="0" w:line="360" w:lineRule="auto"/>
        <w:jc w:val="both"/>
      </w:pPr>
      <w:r w:rsidRPr="00DF6BAF">
        <w:rPr>
          <w:rStyle w:val="aff9"/>
          <w:rFonts w:eastAsiaTheme="majorEastAsia"/>
        </w:rPr>
        <w:t xml:space="preserve"> </w:t>
      </w:r>
      <w:r w:rsidRPr="003B2DA3">
        <w:rPr>
          <w:rStyle w:val="aff9"/>
          <w:rFonts w:eastAsiaTheme="majorEastAsia"/>
        </w:rPr>
        <w:t>При систолическом АД ≥90 мм рт. ст.:</w:t>
      </w:r>
    </w:p>
    <w:p w14:paraId="7799520F" w14:textId="765362A9" w:rsidR="00DF6BAF" w:rsidRPr="00DF6BAF" w:rsidRDefault="00B03386" w:rsidP="00424F51">
      <w:pPr>
        <w:pStyle w:val="affa"/>
        <w:numPr>
          <w:ilvl w:val="0"/>
          <w:numId w:val="66"/>
        </w:numPr>
        <w:spacing w:before="0" w:beforeAutospacing="0" w:line="360" w:lineRule="auto"/>
        <w:jc w:val="both"/>
      </w:pPr>
      <w:r>
        <w:rPr>
          <w:rStyle w:val="aff9"/>
          <w:rFonts w:eastAsiaTheme="majorEastAsia"/>
          <w:b w:val="0"/>
          <w:bCs w:val="0"/>
        </w:rPr>
        <w:t xml:space="preserve">р-р. </w:t>
      </w:r>
      <w:r w:rsidR="00DF6BAF" w:rsidRPr="00DF6BAF">
        <w:rPr>
          <w:rStyle w:val="aff9"/>
          <w:rFonts w:eastAsiaTheme="majorEastAsia"/>
          <w:b w:val="0"/>
          <w:bCs w:val="0"/>
        </w:rPr>
        <w:t>Изосорбид динитрат</w:t>
      </w:r>
      <w:r w:rsidR="00DF6BAF" w:rsidRPr="00DF6BAF">
        <w:t xml:space="preserve"> 10 мг в 0,9% растворе натрия хлорида — 250 мл в/в капельно (от 1 до 10 мг/ч)</w:t>
      </w:r>
    </w:p>
    <w:p w14:paraId="4FEDF69E" w14:textId="211D264F" w:rsidR="00DF6BAF" w:rsidRDefault="00DF6BAF" w:rsidP="00424F51">
      <w:pPr>
        <w:pStyle w:val="affa"/>
        <w:numPr>
          <w:ilvl w:val="0"/>
          <w:numId w:val="66"/>
        </w:numPr>
        <w:spacing w:before="0" w:beforeAutospacing="0" w:line="360" w:lineRule="auto"/>
        <w:jc w:val="both"/>
      </w:pPr>
      <w:r w:rsidRPr="00DF6BAF">
        <w:rPr>
          <w:rStyle w:val="aff9"/>
          <w:rFonts w:eastAsiaTheme="majorEastAsia"/>
          <w:b w:val="0"/>
          <w:bCs w:val="0"/>
        </w:rPr>
        <w:t xml:space="preserve">Или </w:t>
      </w:r>
      <w:r w:rsidR="00B03386">
        <w:rPr>
          <w:rStyle w:val="aff9"/>
          <w:rFonts w:eastAsiaTheme="majorEastAsia"/>
          <w:b w:val="0"/>
          <w:bCs w:val="0"/>
        </w:rPr>
        <w:t xml:space="preserve">р-р. </w:t>
      </w:r>
      <w:r w:rsidRPr="00DF6BAF">
        <w:rPr>
          <w:rStyle w:val="aff9"/>
          <w:rFonts w:eastAsiaTheme="majorEastAsia"/>
          <w:b w:val="0"/>
          <w:bCs w:val="0"/>
        </w:rPr>
        <w:t>нитроглицерин</w:t>
      </w:r>
      <w:r w:rsidRPr="00DF6BAF">
        <w:t xml:space="preserve"> 10 мг в 0,9% растворе натрия хлорида — 250 мл в/в капельно (от 1 до 10 мг/ч)</w:t>
      </w:r>
    </w:p>
    <w:p w14:paraId="40C75969" w14:textId="367C3A84" w:rsidR="00412C75" w:rsidRPr="00DF6BAF" w:rsidRDefault="00412C75" w:rsidP="00424F51">
      <w:pPr>
        <w:pStyle w:val="affa"/>
        <w:numPr>
          <w:ilvl w:val="0"/>
          <w:numId w:val="66"/>
        </w:numPr>
        <w:spacing w:before="0" w:beforeAutospacing="0" w:line="360" w:lineRule="auto"/>
        <w:jc w:val="both"/>
      </w:pPr>
      <w:r w:rsidRPr="00DF6BAF">
        <w:rPr>
          <w:rStyle w:val="aff9"/>
          <w:rFonts w:eastAsiaTheme="majorEastAsia"/>
          <w:b w:val="0"/>
          <w:bCs w:val="0"/>
        </w:rPr>
        <w:t xml:space="preserve">Или </w:t>
      </w:r>
      <w:r w:rsidR="00B03386">
        <w:rPr>
          <w:rStyle w:val="aff9"/>
          <w:rFonts w:eastAsiaTheme="majorEastAsia"/>
          <w:b w:val="0"/>
          <w:bCs w:val="0"/>
        </w:rPr>
        <w:t xml:space="preserve">р-р. </w:t>
      </w:r>
      <w:r w:rsidRPr="00DF6BAF">
        <w:rPr>
          <w:rStyle w:val="aff9"/>
          <w:rFonts w:eastAsiaTheme="majorEastAsia"/>
          <w:b w:val="0"/>
          <w:bCs w:val="0"/>
        </w:rPr>
        <w:t>нитро</w:t>
      </w:r>
      <w:r>
        <w:rPr>
          <w:rStyle w:val="aff9"/>
          <w:rFonts w:eastAsiaTheme="majorEastAsia"/>
          <w:b w:val="0"/>
          <w:bCs w:val="0"/>
        </w:rPr>
        <w:t>спрей</w:t>
      </w:r>
      <w:r w:rsidRPr="00DF6BAF">
        <w:t xml:space="preserve"> </w:t>
      </w:r>
      <w:r>
        <w:t>0.4 сублингвально, через 5 минут не более трех доз.</w:t>
      </w:r>
    </w:p>
    <w:p w14:paraId="771AFE43" w14:textId="35294D8A" w:rsidR="00DF6BAF" w:rsidRPr="00DF6BAF" w:rsidRDefault="00B03386" w:rsidP="00424F51">
      <w:pPr>
        <w:pStyle w:val="affa"/>
        <w:numPr>
          <w:ilvl w:val="0"/>
          <w:numId w:val="66"/>
        </w:numPr>
        <w:spacing w:before="0" w:beforeAutospacing="0" w:after="0" w:afterAutospacing="0" w:line="360" w:lineRule="auto"/>
        <w:jc w:val="both"/>
      </w:pPr>
      <w:r>
        <w:rPr>
          <w:rStyle w:val="aff9"/>
          <w:rFonts w:eastAsiaTheme="majorEastAsia"/>
          <w:b w:val="0"/>
          <w:bCs w:val="0"/>
        </w:rPr>
        <w:t xml:space="preserve">р-р. </w:t>
      </w:r>
      <w:r w:rsidR="00DF6BAF" w:rsidRPr="00DF6BAF">
        <w:rPr>
          <w:rStyle w:val="aff9"/>
          <w:rFonts w:eastAsiaTheme="majorEastAsia"/>
          <w:b w:val="0"/>
          <w:bCs w:val="0"/>
        </w:rPr>
        <w:t>Фуросемид</w:t>
      </w:r>
      <w:r w:rsidR="00DF6BAF" w:rsidRPr="00DF6BAF">
        <w:t xml:space="preserve"> 40 мг в/в болюсом (при проявлениях застойной сердечной недостаточности). При неэффективности и/или при постоянном приёме петлевых диуретиков — повторное введение Фуросемида 40 мг в/в болюсом</w:t>
      </w:r>
    </w:p>
    <w:p w14:paraId="61993BA3" w14:textId="4CF5789B" w:rsidR="00DF6BAF" w:rsidRPr="003B2DA3" w:rsidRDefault="00DF6BAF" w:rsidP="00850317">
      <w:pPr>
        <w:pStyle w:val="affa"/>
        <w:spacing w:before="0" w:beforeAutospacing="0" w:after="0" w:afterAutospacing="0" w:line="360" w:lineRule="auto"/>
        <w:jc w:val="both"/>
      </w:pPr>
      <w:r w:rsidRPr="003B2DA3">
        <w:rPr>
          <w:rStyle w:val="aff9"/>
          <w:rFonts w:eastAsiaTheme="majorEastAsia"/>
        </w:rPr>
        <w:t>При систолическом АД &lt;90 мм рт. ст.:</w:t>
      </w:r>
    </w:p>
    <w:p w14:paraId="4E91BA40" w14:textId="196EB05D" w:rsidR="00DF6BAF" w:rsidRPr="00DF6BAF" w:rsidRDefault="00B03386" w:rsidP="00424F51">
      <w:pPr>
        <w:pStyle w:val="affa"/>
        <w:numPr>
          <w:ilvl w:val="0"/>
          <w:numId w:val="67"/>
        </w:numPr>
        <w:spacing w:before="0" w:beforeAutospacing="0" w:line="360" w:lineRule="auto"/>
        <w:jc w:val="both"/>
      </w:pPr>
      <w:r>
        <w:rPr>
          <w:rStyle w:val="aff9"/>
          <w:rFonts w:eastAsiaTheme="majorEastAsia"/>
          <w:b w:val="0"/>
          <w:bCs w:val="0"/>
        </w:rPr>
        <w:t>р-р.</w:t>
      </w:r>
      <w:r w:rsidR="00DF6BAF" w:rsidRPr="00DF6BAF">
        <w:rPr>
          <w:rStyle w:val="aff9"/>
          <w:rFonts w:eastAsiaTheme="majorEastAsia"/>
          <w:b w:val="0"/>
          <w:bCs w:val="0"/>
        </w:rPr>
        <w:t>Допамин</w:t>
      </w:r>
      <w:r w:rsidR="00DF6BAF" w:rsidRPr="00DF6BAF">
        <w:t xml:space="preserve"> 200 мг в 0,9% растворе натрия хлорида — 250 мл в/в капельно (1,5–3,5 мкг/кг/мин, при необходимости &gt;5 мкг/кг/мин)</w:t>
      </w:r>
    </w:p>
    <w:p w14:paraId="47A30184" w14:textId="284771E1" w:rsidR="00DF6BAF" w:rsidRPr="00DF6BAF" w:rsidRDefault="00DF6BAF" w:rsidP="00424F51">
      <w:pPr>
        <w:pStyle w:val="affa"/>
        <w:numPr>
          <w:ilvl w:val="0"/>
          <w:numId w:val="67"/>
        </w:numPr>
        <w:spacing w:before="0" w:beforeAutospacing="0" w:after="0" w:afterAutospacing="0" w:line="360" w:lineRule="auto"/>
        <w:jc w:val="both"/>
      </w:pPr>
      <w:r w:rsidRPr="00DF6BAF">
        <w:rPr>
          <w:rStyle w:val="aff9"/>
          <w:rFonts w:eastAsiaTheme="majorEastAsia"/>
          <w:b w:val="0"/>
          <w:bCs w:val="0"/>
        </w:rPr>
        <w:t xml:space="preserve">Или </w:t>
      </w:r>
      <w:r w:rsidR="00B03386">
        <w:rPr>
          <w:rStyle w:val="aff9"/>
          <w:rFonts w:eastAsiaTheme="majorEastAsia"/>
          <w:b w:val="0"/>
          <w:bCs w:val="0"/>
        </w:rPr>
        <w:t>р-р.</w:t>
      </w:r>
      <w:r w:rsidRPr="00DF6BAF">
        <w:rPr>
          <w:rStyle w:val="aff9"/>
          <w:rFonts w:eastAsiaTheme="majorEastAsia"/>
          <w:b w:val="0"/>
          <w:bCs w:val="0"/>
        </w:rPr>
        <w:t>норэпинефрин</w:t>
      </w:r>
      <w:r w:rsidRPr="00DF6BAF">
        <w:t xml:space="preserve"> 16 мг</w:t>
      </w:r>
      <w:r w:rsidR="00B03386">
        <w:t xml:space="preserve"> </w:t>
      </w:r>
      <w:r w:rsidR="00B03386" w:rsidRPr="00DF6BAF">
        <w:t>в 0,9% растворе натрия хлорида — 250 мл в/в капельно</w:t>
      </w:r>
      <w:r w:rsidR="00B03386">
        <w:t>.</w:t>
      </w:r>
    </w:p>
    <w:p w14:paraId="537DFDBE" w14:textId="44C78F2E" w:rsidR="00DF6BAF" w:rsidRPr="003B2DA3" w:rsidRDefault="00DF6BAF" w:rsidP="00850317">
      <w:pPr>
        <w:pStyle w:val="affa"/>
        <w:spacing w:before="0" w:beforeAutospacing="0" w:after="0" w:afterAutospacing="0" w:line="360" w:lineRule="auto"/>
        <w:jc w:val="both"/>
      </w:pPr>
      <w:r w:rsidRPr="003B2DA3">
        <w:rPr>
          <w:rStyle w:val="aff9"/>
          <w:rFonts w:eastAsiaTheme="majorEastAsia"/>
        </w:rPr>
        <w:t>При выраженном психомоторном возбуждении:</w:t>
      </w:r>
    </w:p>
    <w:p w14:paraId="237C453B" w14:textId="3A0DFF7A" w:rsidR="00DF6BAF" w:rsidRPr="00DF6BAF" w:rsidRDefault="00B03386" w:rsidP="00424F51">
      <w:pPr>
        <w:pStyle w:val="affa"/>
        <w:numPr>
          <w:ilvl w:val="0"/>
          <w:numId w:val="68"/>
        </w:numPr>
        <w:spacing w:before="0" w:beforeAutospacing="0" w:after="0" w:afterAutospacing="0" w:line="360" w:lineRule="auto"/>
        <w:jc w:val="both"/>
      </w:pPr>
      <w:r>
        <w:rPr>
          <w:rStyle w:val="aff9"/>
          <w:rFonts w:eastAsiaTheme="majorEastAsia"/>
          <w:b w:val="0"/>
          <w:bCs w:val="0"/>
        </w:rPr>
        <w:t xml:space="preserve">р-р. </w:t>
      </w:r>
      <w:r w:rsidR="00DF6BAF" w:rsidRPr="00DF6BAF">
        <w:rPr>
          <w:rStyle w:val="aff9"/>
          <w:rFonts w:eastAsiaTheme="majorEastAsia"/>
          <w:b w:val="0"/>
          <w:bCs w:val="0"/>
        </w:rPr>
        <w:t>Морфин</w:t>
      </w:r>
      <w:r w:rsidR="00DF6BAF" w:rsidRPr="00DF6BAF">
        <w:t xml:space="preserve"> до 10 мг в 20 мл 0,9% раствора натрия хлорида, внутривенно дробно, минимальной эффективной дозой</w:t>
      </w:r>
    </w:p>
    <w:p w14:paraId="7178AECA" w14:textId="394E2A2F" w:rsidR="00DF6BAF" w:rsidRPr="00DF6BAF" w:rsidRDefault="00DF6BAF" w:rsidP="00850317">
      <w:pPr>
        <w:pStyle w:val="affa"/>
        <w:spacing w:before="0" w:beforeAutospacing="0" w:after="0" w:afterAutospacing="0" w:line="360" w:lineRule="auto"/>
        <w:jc w:val="both"/>
      </w:pPr>
      <w:r w:rsidRPr="00DF6BAF">
        <w:rPr>
          <w:rStyle w:val="aff9"/>
          <w:rFonts w:eastAsiaTheme="majorEastAsia"/>
          <w:b w:val="0"/>
          <w:bCs w:val="0"/>
        </w:rPr>
        <w:t>При сохранении SpO₂ &lt;90% на фоне ингаляции кислорода максимальным потоком:</w:t>
      </w:r>
    </w:p>
    <w:p w14:paraId="3DD66ABA" w14:textId="53BD0CB7" w:rsidR="00DF6BAF" w:rsidRDefault="00DF6BAF" w:rsidP="00850317">
      <w:pPr>
        <w:pStyle w:val="affa"/>
        <w:spacing w:before="0" w:beforeAutospacing="0" w:after="0" w:afterAutospacing="0" w:line="360" w:lineRule="auto"/>
        <w:ind w:firstLine="360"/>
        <w:jc w:val="both"/>
        <w:rPr>
          <w:color w:val="231F20"/>
        </w:rPr>
      </w:pPr>
      <w:r w:rsidRPr="00DF6BAF">
        <w:t xml:space="preserve">Масочная вентиляция (неинвазивная вентиляция лёгких / CPAP) с ПДКВ 5–10 см вод. </w:t>
      </w:r>
      <w:proofErr w:type="gramStart"/>
      <w:r w:rsidRPr="00DF6BAF">
        <w:t>ст.</w:t>
      </w:r>
      <w:r w:rsidR="00026531" w:rsidRPr="00026531">
        <w:t xml:space="preserve"> </w:t>
      </w:r>
      <w:r w:rsidR="00026531" w:rsidRPr="00D70E83">
        <w:t>.</w:t>
      </w:r>
      <w:proofErr w:type="gramEnd"/>
      <w:r w:rsidR="00026531" w:rsidRPr="00D70E83">
        <w:rPr>
          <w:color w:val="231F20"/>
        </w:rPr>
        <w:t>[541,542,545</w:t>
      </w:r>
      <w:r w:rsidR="001436D6">
        <w:rPr>
          <w:color w:val="231F20"/>
        </w:rPr>
        <w:t>,546</w:t>
      </w:r>
      <w:r w:rsidR="00026531" w:rsidRPr="00D70E83">
        <w:rPr>
          <w:color w:val="231F20"/>
        </w:rPr>
        <w:t>]</w:t>
      </w:r>
    </w:p>
    <w:p w14:paraId="3AA6D9FC" w14:textId="7808ABB1" w:rsidR="00412C75" w:rsidRDefault="00412C75" w:rsidP="00850317">
      <w:pPr>
        <w:pStyle w:val="11"/>
        <w:ind w:firstLine="600"/>
        <w:jc w:val="both"/>
        <w:rPr>
          <w:rStyle w:val="ac"/>
          <w:rFonts w:eastAsiaTheme="majorEastAsia"/>
          <w:b/>
          <w:bCs/>
          <w:sz w:val="24"/>
          <w:szCs w:val="24"/>
        </w:rPr>
      </w:pPr>
      <w:r>
        <w:rPr>
          <w:rStyle w:val="ac"/>
          <w:rFonts w:eastAsiaTheme="majorEastAsia"/>
          <w:b/>
          <w:bCs/>
          <w:sz w:val="24"/>
          <w:szCs w:val="24"/>
        </w:rPr>
        <w:t xml:space="preserve">Уровень убедительности рекомендаций </w:t>
      </w:r>
      <w:r w:rsidRPr="00737ECE">
        <w:rPr>
          <w:rStyle w:val="ac"/>
          <w:rFonts w:eastAsiaTheme="majorEastAsia"/>
          <w:b/>
          <w:bCs/>
          <w:sz w:val="24"/>
          <w:szCs w:val="24"/>
          <w:lang w:val="en-US"/>
        </w:rPr>
        <w:t>C</w:t>
      </w:r>
      <w:r w:rsidRPr="00737ECE">
        <w:rPr>
          <w:rStyle w:val="ac"/>
          <w:rFonts w:eastAsiaTheme="majorEastAsia"/>
          <w:b/>
          <w:bCs/>
          <w:sz w:val="24"/>
          <w:szCs w:val="24"/>
        </w:rPr>
        <w:t xml:space="preserve">, </w:t>
      </w:r>
      <w:r w:rsidRPr="00737ECE">
        <w:rPr>
          <w:rStyle w:val="ac"/>
          <w:rFonts w:eastAsiaTheme="majorEastAsia"/>
          <w:sz w:val="24"/>
          <w:szCs w:val="24"/>
        </w:rPr>
        <w:t>(</w:t>
      </w:r>
      <w:r>
        <w:rPr>
          <w:rStyle w:val="ac"/>
          <w:rFonts w:eastAsiaTheme="majorEastAsia"/>
          <w:b/>
          <w:bCs/>
          <w:sz w:val="24"/>
          <w:szCs w:val="24"/>
        </w:rPr>
        <w:t>Уровень достоверности доказательств</w:t>
      </w:r>
      <w:r w:rsidRPr="00737ECE">
        <w:rPr>
          <w:rStyle w:val="ac"/>
          <w:rFonts w:eastAsiaTheme="majorEastAsia"/>
          <w:b/>
          <w:bCs/>
          <w:sz w:val="24"/>
          <w:szCs w:val="24"/>
        </w:rPr>
        <w:t xml:space="preserve"> 5)</w:t>
      </w:r>
      <w:r>
        <w:rPr>
          <w:rStyle w:val="ac"/>
          <w:rFonts w:eastAsiaTheme="majorEastAsia"/>
          <w:b/>
          <w:bCs/>
          <w:sz w:val="24"/>
          <w:szCs w:val="24"/>
        </w:rPr>
        <w:t>;</w:t>
      </w:r>
      <w:r w:rsidRPr="000A49F4">
        <w:rPr>
          <w:rStyle w:val="ac"/>
          <w:rFonts w:eastAsiaTheme="majorEastAsia"/>
          <w:b/>
          <w:bCs/>
          <w:sz w:val="24"/>
          <w:szCs w:val="24"/>
        </w:rPr>
        <w:t xml:space="preserve"> </w:t>
      </w:r>
      <w:r w:rsidRPr="00737ECE">
        <w:rPr>
          <w:rStyle w:val="ac"/>
          <w:rFonts w:eastAsiaTheme="majorEastAsia"/>
          <w:b/>
          <w:bCs/>
          <w:sz w:val="24"/>
          <w:szCs w:val="24"/>
        </w:rPr>
        <w:t>ЕОК/ЕОАГ нет</w:t>
      </w:r>
      <w:r w:rsidR="008A2AFD">
        <w:rPr>
          <w:rStyle w:val="ac"/>
          <w:rFonts w:eastAsiaTheme="majorEastAsia"/>
          <w:b/>
          <w:bCs/>
          <w:sz w:val="24"/>
          <w:szCs w:val="24"/>
        </w:rPr>
        <w:t>.</w:t>
      </w:r>
    </w:p>
    <w:p w14:paraId="7E2A6669" w14:textId="6735A8D4" w:rsidR="004A099B" w:rsidRPr="004A099B" w:rsidRDefault="00412C75" w:rsidP="00FB3E16">
      <w:pPr>
        <w:pStyle w:val="ds-markdown-paragraph"/>
        <w:shd w:val="clear" w:color="auto" w:fill="FFFFFF"/>
        <w:spacing w:before="0" w:beforeAutospacing="0" w:after="0" w:afterAutospacing="0" w:line="360" w:lineRule="auto"/>
        <w:jc w:val="both"/>
        <w:rPr>
          <w:i/>
          <w:iCs/>
          <w:color w:val="404040"/>
        </w:rPr>
      </w:pPr>
      <w:r w:rsidRPr="00BC7A16">
        <w:rPr>
          <w:b/>
          <w:bCs/>
        </w:rPr>
        <w:t>Комментарий</w:t>
      </w:r>
      <w:r w:rsidR="00B03386" w:rsidRPr="00BC7A16">
        <w:rPr>
          <w:b/>
          <w:bCs/>
        </w:rPr>
        <w:t>:</w:t>
      </w:r>
      <w:r w:rsidR="00B03386" w:rsidRPr="00412C75">
        <w:t xml:space="preserve"> </w:t>
      </w:r>
      <w:r w:rsidR="00B03386" w:rsidRPr="004A099B">
        <w:rPr>
          <w:i/>
          <w:iCs/>
          <w:color w:val="404040"/>
        </w:rPr>
        <w:t>при</w:t>
      </w:r>
      <w:r w:rsidR="004A099B" w:rsidRPr="004A099B">
        <w:rPr>
          <w:i/>
          <w:iCs/>
          <w:color w:val="404040"/>
        </w:rPr>
        <w:t xml:space="preserve"> острой левожелудочковой недостаточности (ОЛЖН) сердце не справляется со своей насосной функцией. Это приводит к застою крови в малом круге кровообращения, что вызывает пропотевание жидкости в лёгочные альвеолы и гипоксемии — снижению насыщения крови кислородом из-за нарушения газообмена в заполненных жидкостью лёгких.</w:t>
      </w:r>
    </w:p>
    <w:p w14:paraId="1CAC088C" w14:textId="77777777" w:rsidR="00E020E2" w:rsidRDefault="004A099B" w:rsidP="00850317">
      <w:pPr>
        <w:shd w:val="clear" w:color="auto" w:fill="FFFFFF"/>
        <w:spacing w:after="0" w:line="360" w:lineRule="auto"/>
        <w:ind w:firstLine="708"/>
        <w:jc w:val="both"/>
        <w:rPr>
          <w:rFonts w:eastAsia="Times New Roman" w:cs="Times New Roman"/>
          <w:i/>
          <w:iCs/>
          <w:color w:val="404040"/>
          <w:kern w:val="0"/>
          <w:sz w:val="24"/>
          <w:szCs w:val="24"/>
          <w:lang w:eastAsia="ru-RU"/>
        </w:rPr>
      </w:pPr>
      <w:r w:rsidRPr="004A099B">
        <w:rPr>
          <w:rFonts w:eastAsia="Times New Roman" w:cs="Times New Roman"/>
          <w:i/>
          <w:iCs/>
          <w:color w:val="404040"/>
          <w:kern w:val="0"/>
          <w:sz w:val="24"/>
          <w:szCs w:val="24"/>
          <w:lang w:eastAsia="ru-RU"/>
        </w:rPr>
        <w:t xml:space="preserve">Нитраты (изосорбида динитрат или нитроглицерин) являются препаратами первого выбора. Они расширяют вены (снижая преднагрузку — объем крови, </w:t>
      </w:r>
      <w:r w:rsidRPr="004A099B">
        <w:rPr>
          <w:rFonts w:eastAsia="Times New Roman" w:cs="Times New Roman"/>
          <w:i/>
          <w:iCs/>
          <w:color w:val="404040"/>
          <w:kern w:val="0"/>
          <w:sz w:val="24"/>
          <w:szCs w:val="24"/>
          <w:lang w:eastAsia="ru-RU"/>
        </w:rPr>
        <w:lastRenderedPageBreak/>
        <w:t>возвращающийся к сердцу) и в меньшей степени артерии (снижая постнагрузку — сопротивление выбросу крови). Это разгружает левый желудочек и уменьшает переход жидкости в лёгкие.</w:t>
      </w:r>
    </w:p>
    <w:p w14:paraId="2D1B5D23" w14:textId="171DEDBC" w:rsidR="004A099B" w:rsidRPr="004A099B" w:rsidRDefault="004A099B" w:rsidP="00850317">
      <w:pPr>
        <w:shd w:val="clear" w:color="auto" w:fill="FFFFFF"/>
        <w:spacing w:after="0" w:line="360" w:lineRule="auto"/>
        <w:ind w:firstLine="708"/>
        <w:jc w:val="both"/>
        <w:rPr>
          <w:rFonts w:eastAsia="Times New Roman" w:cs="Times New Roman"/>
          <w:i/>
          <w:iCs/>
          <w:color w:val="404040"/>
          <w:kern w:val="0"/>
          <w:sz w:val="24"/>
          <w:szCs w:val="24"/>
          <w:lang w:eastAsia="ru-RU"/>
        </w:rPr>
      </w:pPr>
      <w:r w:rsidRPr="004A099B">
        <w:rPr>
          <w:rFonts w:eastAsia="Times New Roman" w:cs="Times New Roman"/>
          <w:i/>
          <w:iCs/>
          <w:color w:val="404040"/>
          <w:kern w:val="0"/>
          <w:sz w:val="24"/>
          <w:szCs w:val="24"/>
          <w:lang w:eastAsia="ru-RU"/>
        </w:rPr>
        <w:t>Фуросемид 40 мг в/в болюсом оказывает двойное действие:</w:t>
      </w:r>
      <w:r w:rsidR="00E020E2">
        <w:rPr>
          <w:rFonts w:eastAsia="Times New Roman" w:cs="Times New Roman"/>
          <w:i/>
          <w:iCs/>
          <w:color w:val="404040"/>
          <w:kern w:val="0"/>
          <w:sz w:val="24"/>
          <w:szCs w:val="24"/>
          <w:lang w:eastAsia="ru-RU"/>
        </w:rPr>
        <w:t xml:space="preserve"> </w:t>
      </w:r>
      <w:r w:rsidRPr="004A099B">
        <w:rPr>
          <w:rFonts w:eastAsia="Times New Roman" w:cs="Times New Roman"/>
          <w:i/>
          <w:iCs/>
          <w:color w:val="404040"/>
          <w:kern w:val="0"/>
          <w:sz w:val="24"/>
          <w:szCs w:val="24"/>
          <w:lang w:eastAsia="ru-RU"/>
        </w:rPr>
        <w:t>Быстрый венодилатационный эффект (в первые 5–15 минут) — снижает преднагрузку.</w:t>
      </w:r>
      <w:r w:rsidR="00E020E2">
        <w:rPr>
          <w:rFonts w:eastAsia="Times New Roman" w:cs="Times New Roman"/>
          <w:i/>
          <w:iCs/>
          <w:color w:val="404040"/>
          <w:kern w:val="0"/>
          <w:sz w:val="24"/>
          <w:szCs w:val="24"/>
          <w:lang w:eastAsia="ru-RU"/>
        </w:rPr>
        <w:t xml:space="preserve"> </w:t>
      </w:r>
      <w:r w:rsidRPr="004A099B">
        <w:rPr>
          <w:rFonts w:eastAsia="Times New Roman" w:cs="Times New Roman"/>
          <w:i/>
          <w:iCs/>
          <w:color w:val="404040"/>
          <w:kern w:val="0"/>
          <w:sz w:val="24"/>
          <w:szCs w:val="24"/>
          <w:lang w:eastAsia="ru-RU"/>
        </w:rPr>
        <w:t>Мочегонный эффект (через 20–60 минут) — уменьшает объем циркулирующей крови, предотвращая повторный отёк. Диуретик показан при признаках застоя (отеки, влажные хрипы в легких). Повторное введение показано при тяжёлой недостаточности или на фоне постоянной терапии диуретиками (из-за развития толерантности).</w:t>
      </w:r>
    </w:p>
    <w:p w14:paraId="10AB939D" w14:textId="77777777" w:rsidR="00E020E2" w:rsidRDefault="004A099B" w:rsidP="00850317">
      <w:pPr>
        <w:shd w:val="clear" w:color="auto" w:fill="FFFFFF"/>
        <w:spacing w:after="0" w:line="360" w:lineRule="auto"/>
        <w:ind w:firstLine="360"/>
        <w:jc w:val="both"/>
        <w:rPr>
          <w:rFonts w:eastAsia="Times New Roman" w:cs="Times New Roman"/>
          <w:i/>
          <w:iCs/>
          <w:color w:val="404040"/>
          <w:kern w:val="0"/>
          <w:sz w:val="24"/>
          <w:szCs w:val="24"/>
          <w:lang w:eastAsia="ru-RU"/>
        </w:rPr>
      </w:pPr>
      <w:r w:rsidRPr="004A099B">
        <w:rPr>
          <w:rFonts w:eastAsia="Times New Roman" w:cs="Times New Roman"/>
          <w:i/>
          <w:iCs/>
          <w:color w:val="404040"/>
          <w:kern w:val="0"/>
          <w:sz w:val="24"/>
          <w:szCs w:val="24"/>
          <w:lang w:eastAsia="ru-RU"/>
        </w:rPr>
        <w:t xml:space="preserve">При систолическом АД </w:t>
      </w:r>
      <w:proofErr w:type="gramStart"/>
      <w:r w:rsidRPr="004A099B">
        <w:rPr>
          <w:rFonts w:eastAsia="Times New Roman" w:cs="Times New Roman"/>
          <w:i/>
          <w:iCs/>
          <w:color w:val="404040"/>
          <w:kern w:val="0"/>
          <w:sz w:val="24"/>
          <w:szCs w:val="24"/>
          <w:lang w:eastAsia="ru-RU"/>
        </w:rPr>
        <w:t>&lt; 90</w:t>
      </w:r>
      <w:proofErr w:type="gramEnd"/>
      <w:r w:rsidRPr="004A099B">
        <w:rPr>
          <w:rFonts w:eastAsia="Times New Roman" w:cs="Times New Roman"/>
          <w:i/>
          <w:iCs/>
          <w:color w:val="404040"/>
          <w:kern w:val="0"/>
          <w:sz w:val="24"/>
          <w:szCs w:val="24"/>
          <w:lang w:eastAsia="ru-RU"/>
        </w:rPr>
        <w:t xml:space="preserve"> мм рт. ст. (нестабильная гемодинамика / кардиогенный шок) приоритетной задачей становится повышение АД для обеспечения кровоснабжения жизненно важных органов (мозга, сердца, почек). Для этого применяют</w:t>
      </w:r>
      <w:r w:rsidR="00E020E2">
        <w:rPr>
          <w:rFonts w:eastAsia="Times New Roman" w:cs="Times New Roman"/>
          <w:i/>
          <w:iCs/>
          <w:color w:val="404040"/>
          <w:kern w:val="0"/>
          <w:sz w:val="24"/>
          <w:szCs w:val="24"/>
          <w:lang w:eastAsia="ru-RU"/>
        </w:rPr>
        <w:t xml:space="preserve"> раствор </w:t>
      </w:r>
      <w:r w:rsidRPr="004A099B">
        <w:rPr>
          <w:rFonts w:eastAsia="Times New Roman" w:cs="Times New Roman"/>
          <w:i/>
          <w:iCs/>
          <w:color w:val="404040"/>
          <w:kern w:val="0"/>
          <w:sz w:val="24"/>
          <w:szCs w:val="24"/>
          <w:lang w:eastAsia="ru-RU"/>
        </w:rPr>
        <w:t>Допамин</w:t>
      </w:r>
      <w:r w:rsidR="00E020E2" w:rsidRPr="00E020E2">
        <w:rPr>
          <w:rFonts w:eastAsia="Times New Roman" w:cs="Times New Roman"/>
          <w:i/>
          <w:iCs/>
          <w:color w:val="404040"/>
          <w:kern w:val="0"/>
          <w:sz w:val="24"/>
          <w:szCs w:val="24"/>
          <w:lang w:eastAsia="ru-RU"/>
        </w:rPr>
        <w:t>а</w:t>
      </w:r>
      <w:r w:rsidRPr="004A099B">
        <w:rPr>
          <w:rFonts w:eastAsia="Times New Roman" w:cs="Times New Roman"/>
          <w:i/>
          <w:iCs/>
          <w:color w:val="404040"/>
          <w:kern w:val="0"/>
          <w:sz w:val="24"/>
          <w:szCs w:val="24"/>
          <w:lang w:eastAsia="ru-RU"/>
        </w:rPr>
        <w:t> в дозе 1,5–3,5 мкг/кг/мин стимулирует β1-рецепторы сердца, увеличивая силу и частоту его сокращений (положительное инотропное действие). В дозах &gt;5 мкг/кг/мин он вызывает вазоконстрикцию, подобно норэпинефрину.</w:t>
      </w:r>
    </w:p>
    <w:p w14:paraId="13D3C25A" w14:textId="3E616DD8" w:rsidR="004A099B" w:rsidRPr="004A099B" w:rsidRDefault="004A099B" w:rsidP="00850317">
      <w:pPr>
        <w:shd w:val="clear" w:color="auto" w:fill="FFFFFF"/>
        <w:spacing w:after="0" w:line="360" w:lineRule="auto"/>
        <w:ind w:firstLine="360"/>
        <w:jc w:val="both"/>
        <w:rPr>
          <w:rFonts w:eastAsia="Times New Roman" w:cs="Times New Roman"/>
          <w:i/>
          <w:iCs/>
          <w:color w:val="404040"/>
          <w:kern w:val="0"/>
          <w:sz w:val="24"/>
          <w:szCs w:val="24"/>
          <w:lang w:eastAsia="ru-RU"/>
        </w:rPr>
      </w:pPr>
      <w:r w:rsidRPr="004A099B">
        <w:rPr>
          <w:rFonts w:eastAsia="Times New Roman" w:cs="Times New Roman"/>
          <w:i/>
          <w:iCs/>
          <w:color w:val="404040"/>
          <w:kern w:val="0"/>
          <w:sz w:val="24"/>
          <w:szCs w:val="24"/>
          <w:lang w:eastAsia="ru-RU"/>
        </w:rPr>
        <w:t>Норэпинефрин является мощным α</w:t>
      </w:r>
      <w:r w:rsidR="00532863">
        <w:rPr>
          <w:rFonts w:eastAsia="Times New Roman" w:cs="Times New Roman"/>
          <w:i/>
          <w:iCs/>
          <w:color w:val="404040"/>
          <w:kern w:val="0"/>
          <w:sz w:val="24"/>
          <w:szCs w:val="24"/>
          <w:lang w:eastAsia="ru-RU"/>
        </w:rPr>
        <w:t xml:space="preserve"> </w:t>
      </w:r>
      <w:r w:rsidRPr="004A099B">
        <w:rPr>
          <w:rFonts w:eastAsia="Times New Roman" w:cs="Times New Roman"/>
          <w:i/>
          <w:iCs/>
          <w:color w:val="404040"/>
          <w:kern w:val="0"/>
          <w:sz w:val="24"/>
          <w:szCs w:val="24"/>
          <w:lang w:eastAsia="ru-RU"/>
        </w:rPr>
        <w:t>-</w:t>
      </w:r>
      <w:r w:rsidR="00532863">
        <w:rPr>
          <w:rFonts w:eastAsia="Times New Roman" w:cs="Times New Roman"/>
          <w:i/>
          <w:iCs/>
          <w:color w:val="404040"/>
          <w:kern w:val="0"/>
          <w:sz w:val="24"/>
          <w:szCs w:val="24"/>
          <w:lang w:eastAsia="ru-RU"/>
        </w:rPr>
        <w:t xml:space="preserve"> </w:t>
      </w:r>
      <w:r w:rsidRPr="004A099B">
        <w:rPr>
          <w:rFonts w:eastAsia="Times New Roman" w:cs="Times New Roman"/>
          <w:i/>
          <w:iCs/>
          <w:color w:val="404040"/>
          <w:kern w:val="0"/>
          <w:sz w:val="24"/>
          <w:szCs w:val="24"/>
          <w:lang w:eastAsia="ru-RU"/>
        </w:rPr>
        <w:t>адреностимулятором, повышающим сосудистый тонус и АД за счет увеличения постнагрузки. Он применяется при выраженном шоке, когда допамин неэффективен, но требует осторожности из-за риска увеличения нагрузки на сердце.</w:t>
      </w:r>
    </w:p>
    <w:p w14:paraId="482B1E12" w14:textId="77777777" w:rsidR="008D289A" w:rsidRDefault="004A099B" w:rsidP="008D289A">
      <w:pPr>
        <w:shd w:val="clear" w:color="auto" w:fill="FFFFFF"/>
        <w:spacing w:after="0" w:line="360" w:lineRule="auto"/>
        <w:ind w:firstLine="360"/>
        <w:jc w:val="both"/>
        <w:rPr>
          <w:rFonts w:eastAsia="Times New Roman" w:cs="Times New Roman"/>
          <w:i/>
          <w:iCs/>
          <w:color w:val="404040"/>
          <w:kern w:val="0"/>
          <w:sz w:val="24"/>
          <w:szCs w:val="24"/>
          <w:lang w:eastAsia="ru-RU"/>
        </w:rPr>
      </w:pPr>
      <w:r w:rsidRPr="004A099B">
        <w:rPr>
          <w:rFonts w:eastAsia="Times New Roman" w:cs="Times New Roman"/>
          <w:i/>
          <w:iCs/>
          <w:color w:val="404040"/>
          <w:kern w:val="0"/>
          <w:sz w:val="24"/>
          <w:szCs w:val="24"/>
          <w:lang w:eastAsia="ru-RU"/>
        </w:rPr>
        <w:t>При выраженном психомоторном возбуждении применяют морфин до 10 мг в/в дробно. Он обладает</w:t>
      </w:r>
      <w:r w:rsidR="00E020E2" w:rsidRPr="00E020E2">
        <w:rPr>
          <w:rFonts w:eastAsia="Times New Roman" w:cs="Times New Roman"/>
          <w:i/>
          <w:iCs/>
          <w:color w:val="404040"/>
          <w:kern w:val="0"/>
          <w:sz w:val="24"/>
          <w:szCs w:val="24"/>
          <w:lang w:eastAsia="ru-RU"/>
        </w:rPr>
        <w:t xml:space="preserve"> </w:t>
      </w:r>
      <w:r w:rsidR="00E020E2">
        <w:rPr>
          <w:rFonts w:eastAsia="Times New Roman" w:cs="Times New Roman"/>
          <w:i/>
          <w:iCs/>
          <w:color w:val="404040"/>
          <w:kern w:val="0"/>
          <w:sz w:val="24"/>
          <w:szCs w:val="24"/>
          <w:lang w:eastAsia="ru-RU"/>
        </w:rPr>
        <w:t>с</w:t>
      </w:r>
      <w:r w:rsidRPr="004A099B">
        <w:rPr>
          <w:rFonts w:eastAsia="Times New Roman" w:cs="Times New Roman"/>
          <w:i/>
          <w:iCs/>
          <w:color w:val="404040"/>
          <w:kern w:val="0"/>
          <w:sz w:val="24"/>
          <w:szCs w:val="24"/>
          <w:lang w:eastAsia="ru-RU"/>
        </w:rPr>
        <w:t xml:space="preserve">едативным и анксиолитическим эффектом — уменьшает </w:t>
      </w:r>
      <w:r w:rsidR="00E020E2">
        <w:rPr>
          <w:rFonts w:eastAsia="Times New Roman" w:cs="Times New Roman"/>
          <w:i/>
          <w:iCs/>
          <w:color w:val="404040"/>
          <w:kern w:val="0"/>
          <w:sz w:val="24"/>
          <w:szCs w:val="24"/>
          <w:lang w:eastAsia="ru-RU"/>
        </w:rPr>
        <w:t>дыхательную «</w:t>
      </w:r>
      <w:r w:rsidRPr="004A099B">
        <w:rPr>
          <w:rFonts w:eastAsia="Times New Roman" w:cs="Times New Roman"/>
          <w:i/>
          <w:iCs/>
          <w:color w:val="404040"/>
          <w:kern w:val="0"/>
          <w:sz w:val="24"/>
          <w:szCs w:val="24"/>
          <w:lang w:eastAsia="ru-RU"/>
        </w:rPr>
        <w:t>панику</w:t>
      </w:r>
      <w:r w:rsidR="00E020E2">
        <w:rPr>
          <w:rFonts w:eastAsia="Times New Roman" w:cs="Times New Roman"/>
          <w:i/>
          <w:iCs/>
          <w:color w:val="404040"/>
          <w:kern w:val="0"/>
          <w:sz w:val="24"/>
          <w:szCs w:val="24"/>
          <w:lang w:eastAsia="ru-RU"/>
        </w:rPr>
        <w:t>»</w:t>
      </w:r>
      <w:r w:rsidRPr="004A099B">
        <w:rPr>
          <w:rFonts w:eastAsia="Times New Roman" w:cs="Times New Roman"/>
          <w:i/>
          <w:iCs/>
          <w:color w:val="404040"/>
          <w:kern w:val="0"/>
          <w:sz w:val="24"/>
          <w:szCs w:val="24"/>
          <w:lang w:eastAsia="ru-RU"/>
        </w:rPr>
        <w:t xml:space="preserve"> и выброс катехоламинов.Венодилатирующим действием — снижает преднагрузку.</w:t>
      </w:r>
      <w:r w:rsidR="00E020E2">
        <w:rPr>
          <w:rFonts w:eastAsia="Times New Roman" w:cs="Times New Roman"/>
          <w:i/>
          <w:iCs/>
          <w:color w:val="404040"/>
          <w:kern w:val="0"/>
          <w:sz w:val="24"/>
          <w:szCs w:val="24"/>
          <w:lang w:eastAsia="ru-RU"/>
        </w:rPr>
        <w:t xml:space="preserve"> </w:t>
      </w:r>
      <w:r w:rsidRPr="004A099B">
        <w:rPr>
          <w:rFonts w:eastAsia="Times New Roman" w:cs="Times New Roman"/>
          <w:i/>
          <w:iCs/>
          <w:color w:val="404040"/>
          <w:kern w:val="0"/>
          <w:sz w:val="24"/>
          <w:szCs w:val="24"/>
          <w:lang w:eastAsia="ru-RU"/>
        </w:rPr>
        <w:t>Способностью угнетать дыхательный центр — уменьшает субъективное мучительное чувство одышки.</w:t>
      </w:r>
    </w:p>
    <w:p w14:paraId="344C898B" w14:textId="5FD526B6" w:rsidR="00026531" w:rsidRPr="008E7E6A" w:rsidRDefault="008D289A" w:rsidP="008D289A">
      <w:pPr>
        <w:shd w:val="clear" w:color="auto" w:fill="FFFFFF"/>
        <w:spacing w:after="0" w:line="360" w:lineRule="auto"/>
        <w:ind w:firstLine="360"/>
        <w:jc w:val="both"/>
        <w:rPr>
          <w:rFonts w:eastAsia="Times New Roman" w:cs="Times New Roman"/>
          <w:i/>
          <w:iCs/>
          <w:color w:val="404040"/>
          <w:kern w:val="0"/>
          <w:sz w:val="24"/>
          <w:szCs w:val="24"/>
          <w:lang w:eastAsia="ru-RU"/>
        </w:rPr>
      </w:pPr>
      <w:r w:rsidRPr="004A099B">
        <w:rPr>
          <w:rFonts w:eastAsia="Times New Roman" w:cs="Times New Roman"/>
          <w:b/>
          <w:bCs/>
          <w:i/>
          <w:iCs/>
          <w:color w:val="404040"/>
          <w:kern w:val="0"/>
          <w:sz w:val="24"/>
          <w:szCs w:val="24"/>
          <w:lang w:eastAsia="ru-RU"/>
        </w:rPr>
        <w:t xml:space="preserve"> </w:t>
      </w:r>
      <w:r w:rsidR="004A099B" w:rsidRPr="004A099B">
        <w:rPr>
          <w:rFonts w:eastAsia="Times New Roman" w:cs="Times New Roman"/>
          <w:b/>
          <w:bCs/>
          <w:i/>
          <w:iCs/>
          <w:color w:val="404040"/>
          <w:kern w:val="0"/>
          <w:sz w:val="24"/>
          <w:szCs w:val="24"/>
          <w:lang w:eastAsia="ru-RU"/>
        </w:rPr>
        <w:t>Важно:</w:t>
      </w:r>
      <w:r>
        <w:rPr>
          <w:rFonts w:eastAsia="Times New Roman" w:cs="Times New Roman"/>
          <w:i/>
          <w:iCs/>
          <w:color w:val="404040"/>
          <w:kern w:val="0"/>
          <w:sz w:val="24"/>
          <w:szCs w:val="24"/>
          <w:lang w:eastAsia="ru-RU"/>
        </w:rPr>
        <w:t xml:space="preserve"> </w:t>
      </w:r>
      <w:r w:rsidR="004A099B" w:rsidRPr="004A099B">
        <w:rPr>
          <w:rFonts w:eastAsia="Times New Roman" w:cs="Times New Roman"/>
          <w:i/>
          <w:iCs/>
          <w:color w:val="404040"/>
          <w:kern w:val="0"/>
          <w:sz w:val="24"/>
          <w:szCs w:val="24"/>
          <w:lang w:eastAsia="ru-RU"/>
        </w:rPr>
        <w:t>вводить препарат малыми дробными дозами (по 2–3 мг) под тщательным контролем дыхания пациента.</w:t>
      </w:r>
    </w:p>
    <w:p w14:paraId="5E8FE86F" w14:textId="2B2316A7" w:rsidR="00407CE0" w:rsidRDefault="00407CE0" w:rsidP="00850317">
      <w:pPr>
        <w:autoSpaceDE w:val="0"/>
        <w:autoSpaceDN w:val="0"/>
        <w:adjustRightInd w:val="0"/>
        <w:spacing w:after="0" w:line="360" w:lineRule="auto"/>
        <w:jc w:val="both"/>
        <w:rPr>
          <w:rStyle w:val="16"/>
          <w:b/>
          <w:bCs/>
          <w:sz w:val="24"/>
          <w:szCs w:val="24"/>
        </w:rPr>
      </w:pPr>
      <w:r w:rsidRPr="003B2DA3">
        <w:rPr>
          <w:rStyle w:val="16"/>
          <w:b/>
          <w:bCs/>
          <w:sz w:val="24"/>
          <w:szCs w:val="24"/>
        </w:rPr>
        <w:t xml:space="preserve">2.8 </w:t>
      </w:r>
      <w:r w:rsidR="00FB3E16">
        <w:rPr>
          <w:rStyle w:val="16"/>
          <w:b/>
          <w:bCs/>
          <w:sz w:val="24"/>
          <w:szCs w:val="24"/>
        </w:rPr>
        <w:t>–</w:t>
      </w:r>
      <w:r w:rsidRPr="003B2DA3">
        <w:rPr>
          <w:rStyle w:val="16"/>
          <w:b/>
          <w:bCs/>
          <w:sz w:val="24"/>
          <w:szCs w:val="24"/>
        </w:rPr>
        <w:t xml:space="preserve"> </w:t>
      </w:r>
      <w:r w:rsidR="00FB3E16">
        <w:rPr>
          <w:rStyle w:val="16"/>
          <w:b/>
          <w:bCs/>
          <w:sz w:val="24"/>
          <w:szCs w:val="24"/>
        </w:rPr>
        <w:t xml:space="preserve">Гипертонический криз </w:t>
      </w:r>
      <w:r w:rsidRPr="003B2DA3">
        <w:rPr>
          <w:rStyle w:val="16"/>
          <w:b/>
          <w:bCs/>
          <w:sz w:val="24"/>
          <w:szCs w:val="24"/>
        </w:rPr>
        <w:t>с расслаивающей аневризмой аорты</w:t>
      </w:r>
    </w:p>
    <w:p w14:paraId="290AA5FD" w14:textId="77777777" w:rsidR="00CA5E90" w:rsidRDefault="00CA5E90" w:rsidP="00CA5E90">
      <w:pPr>
        <w:autoSpaceDE w:val="0"/>
        <w:autoSpaceDN w:val="0"/>
        <w:adjustRightInd w:val="0"/>
        <w:spacing w:after="0" w:line="360" w:lineRule="auto"/>
        <w:jc w:val="both"/>
        <w:rPr>
          <w:rFonts w:cs="Times New Roman"/>
          <w:sz w:val="24"/>
          <w:szCs w:val="24"/>
        </w:rPr>
      </w:pPr>
      <w:r>
        <w:rPr>
          <w:rFonts w:cs="Times New Roman"/>
          <w:sz w:val="24"/>
          <w:szCs w:val="24"/>
        </w:rPr>
        <w:tab/>
      </w:r>
      <w:r w:rsidR="009A6469" w:rsidRPr="009A6469">
        <w:rPr>
          <w:rFonts w:cs="Times New Roman"/>
          <w:sz w:val="24"/>
          <w:szCs w:val="24"/>
        </w:rPr>
        <w:t>Обезболивание (важнейшее направление симптоматической терапии):</w:t>
      </w:r>
    </w:p>
    <w:p w14:paraId="321E44F0" w14:textId="77777777" w:rsidR="00CA5E90" w:rsidRDefault="009A6469" w:rsidP="00CA5E90">
      <w:pPr>
        <w:autoSpaceDE w:val="0"/>
        <w:autoSpaceDN w:val="0"/>
        <w:adjustRightInd w:val="0"/>
        <w:spacing w:after="0" w:line="360" w:lineRule="auto"/>
        <w:jc w:val="both"/>
        <w:rPr>
          <w:rFonts w:asciiTheme="minorHAnsi" w:hAnsiTheme="minorHAnsi" w:cs="Octava"/>
          <w:color w:val="161616"/>
          <w:kern w:val="0"/>
          <w:sz w:val="16"/>
          <w:szCs w:val="16"/>
        </w:rPr>
      </w:pPr>
      <w:r w:rsidRPr="009A6469">
        <w:rPr>
          <w:rFonts w:cs="Times New Roman"/>
          <w:sz w:val="24"/>
          <w:szCs w:val="24"/>
        </w:rPr>
        <w:t xml:space="preserve"> ― при АД </w:t>
      </w:r>
      <w:r w:rsidRPr="009A6469">
        <w:rPr>
          <w:rFonts w:cs="Times New Roman"/>
          <w:sz w:val="24"/>
          <w:szCs w:val="24"/>
          <w:vertAlign w:val="subscript"/>
        </w:rPr>
        <w:t xml:space="preserve">сист </w:t>
      </w:r>
      <w:r w:rsidRPr="009A6469">
        <w:rPr>
          <w:rFonts w:cs="Times New Roman"/>
          <w:sz w:val="24"/>
          <w:szCs w:val="24"/>
        </w:rPr>
        <w:t>выше 90 мм рт. ст. морфин 1% 0,5–1,0 мл в/в;</w:t>
      </w:r>
      <w:r w:rsidR="00CA5E90" w:rsidRPr="00CA5E90">
        <w:rPr>
          <w:rFonts w:ascii="Octava" w:hAnsi="Octava" w:cs="Octava"/>
          <w:color w:val="161616"/>
          <w:kern w:val="0"/>
          <w:sz w:val="16"/>
          <w:szCs w:val="16"/>
        </w:rPr>
        <w:t xml:space="preserve"> </w:t>
      </w:r>
    </w:p>
    <w:p w14:paraId="09914DA6" w14:textId="04F9EBC4" w:rsidR="00CA5E90" w:rsidRPr="00CA5E90" w:rsidRDefault="00CA5E90" w:rsidP="00CA5E90">
      <w:pPr>
        <w:autoSpaceDE w:val="0"/>
        <w:autoSpaceDN w:val="0"/>
        <w:adjustRightInd w:val="0"/>
        <w:spacing w:after="0" w:line="360" w:lineRule="auto"/>
        <w:jc w:val="both"/>
        <w:rPr>
          <w:rFonts w:cs="Times New Roman"/>
          <w:sz w:val="24"/>
          <w:szCs w:val="24"/>
        </w:rPr>
      </w:pPr>
      <w:r w:rsidRPr="00CA5E90">
        <w:rPr>
          <w:rFonts w:cs="Times New Roman"/>
          <w:sz w:val="24"/>
          <w:szCs w:val="24"/>
        </w:rPr>
        <w:t>― при наличии противопоказаний к введению морфина или при АД</w:t>
      </w:r>
      <w:r w:rsidR="00AF23A4">
        <w:rPr>
          <w:rFonts w:cs="Times New Roman"/>
          <w:sz w:val="24"/>
          <w:szCs w:val="24"/>
        </w:rPr>
        <w:t xml:space="preserve"> </w:t>
      </w:r>
      <w:r w:rsidRPr="00CA5E90">
        <w:rPr>
          <w:rFonts w:cs="Times New Roman"/>
          <w:sz w:val="24"/>
          <w:szCs w:val="24"/>
          <w:vertAlign w:val="subscript"/>
        </w:rPr>
        <w:t>сист</w:t>
      </w:r>
      <w:r w:rsidRPr="00CA5E90">
        <w:rPr>
          <w:rFonts w:cs="Times New Roman"/>
          <w:sz w:val="24"/>
          <w:szCs w:val="24"/>
        </w:rPr>
        <w:t xml:space="preserve"> ниже 90 мм рт. ст. фентанил 0,005% 2 мл в/в.</w:t>
      </w:r>
    </w:p>
    <w:p w14:paraId="25BC3244" w14:textId="77777777" w:rsidR="00CA5E90" w:rsidRDefault="00CA5E90" w:rsidP="00CA5E90">
      <w:pPr>
        <w:autoSpaceDE w:val="0"/>
        <w:autoSpaceDN w:val="0"/>
        <w:adjustRightInd w:val="0"/>
        <w:spacing w:after="0" w:line="360" w:lineRule="auto"/>
        <w:jc w:val="both"/>
        <w:rPr>
          <w:rFonts w:cs="Times New Roman"/>
          <w:sz w:val="24"/>
          <w:szCs w:val="24"/>
        </w:rPr>
      </w:pPr>
      <w:r>
        <w:rPr>
          <w:rFonts w:cs="Times New Roman"/>
          <w:sz w:val="24"/>
          <w:szCs w:val="24"/>
        </w:rPr>
        <w:tab/>
        <w:t xml:space="preserve">С </w:t>
      </w:r>
      <w:r w:rsidRPr="00CA5E90">
        <w:rPr>
          <w:rFonts w:cs="Times New Roman"/>
          <w:sz w:val="24"/>
          <w:szCs w:val="24"/>
        </w:rPr>
        <w:t xml:space="preserve">целью уменьшения ЧСС и величины пульсирующего давления: </w:t>
      </w:r>
    </w:p>
    <w:p w14:paraId="387C65CA" w14:textId="72EBBAD7" w:rsidR="00CA5E90" w:rsidRDefault="00CA5E90" w:rsidP="00CA5E90">
      <w:pPr>
        <w:autoSpaceDE w:val="0"/>
        <w:autoSpaceDN w:val="0"/>
        <w:adjustRightInd w:val="0"/>
        <w:spacing w:after="0" w:line="360" w:lineRule="auto"/>
        <w:jc w:val="both"/>
        <w:rPr>
          <w:rFonts w:cs="Times New Roman"/>
          <w:sz w:val="24"/>
          <w:szCs w:val="24"/>
        </w:rPr>
      </w:pPr>
      <w:r w:rsidRPr="00CA5E90">
        <w:rPr>
          <w:rFonts w:cs="Times New Roman"/>
          <w:sz w:val="24"/>
          <w:szCs w:val="24"/>
        </w:rPr>
        <w:t>― метопролол (беталок) 0,1%</w:t>
      </w:r>
      <w:r w:rsidR="00532863">
        <w:rPr>
          <w:rFonts w:cs="Times New Roman"/>
          <w:sz w:val="24"/>
          <w:szCs w:val="24"/>
        </w:rPr>
        <w:t xml:space="preserve"> -</w:t>
      </w:r>
      <w:r w:rsidRPr="00CA5E90">
        <w:rPr>
          <w:rFonts w:cs="Times New Roman"/>
          <w:sz w:val="24"/>
          <w:szCs w:val="24"/>
        </w:rPr>
        <w:t xml:space="preserve"> 5 мл (5 мг) в/в в течение 2 минут с повторением (после контроля АД и ЧСС) каждые 5 минут до общей дозы 0,1% </w:t>
      </w:r>
      <w:r w:rsidR="00532863">
        <w:rPr>
          <w:rFonts w:cs="Times New Roman"/>
          <w:sz w:val="24"/>
          <w:szCs w:val="24"/>
        </w:rPr>
        <w:t>-</w:t>
      </w:r>
      <w:r w:rsidRPr="00CA5E90">
        <w:rPr>
          <w:rFonts w:cs="Times New Roman"/>
          <w:sz w:val="24"/>
          <w:szCs w:val="24"/>
        </w:rPr>
        <w:t xml:space="preserve">15 мл (15 мг); </w:t>
      </w:r>
    </w:p>
    <w:p w14:paraId="49D3C31E" w14:textId="6A71C504" w:rsidR="00CA5E90" w:rsidRPr="00CA5E90" w:rsidRDefault="00CA5E90" w:rsidP="00CA5E90">
      <w:pPr>
        <w:autoSpaceDE w:val="0"/>
        <w:autoSpaceDN w:val="0"/>
        <w:adjustRightInd w:val="0"/>
        <w:spacing w:after="0" w:line="360" w:lineRule="auto"/>
        <w:jc w:val="both"/>
        <w:rPr>
          <w:rFonts w:cs="Times New Roman"/>
          <w:sz w:val="24"/>
          <w:szCs w:val="24"/>
        </w:rPr>
      </w:pPr>
      <w:r w:rsidRPr="00CA5E90">
        <w:rPr>
          <w:rFonts w:cs="Times New Roman"/>
          <w:sz w:val="24"/>
          <w:szCs w:val="24"/>
        </w:rPr>
        <w:lastRenderedPageBreak/>
        <w:t xml:space="preserve">― при наличии у больного противопоказаний к применению метопролола — верапамил (изоптин) 0,25% </w:t>
      </w:r>
      <w:r w:rsidR="00532863">
        <w:rPr>
          <w:rFonts w:cs="Times New Roman"/>
          <w:sz w:val="24"/>
          <w:szCs w:val="24"/>
        </w:rPr>
        <w:t xml:space="preserve">- </w:t>
      </w:r>
      <w:r w:rsidRPr="00CA5E90">
        <w:rPr>
          <w:rFonts w:cs="Times New Roman"/>
          <w:sz w:val="24"/>
          <w:szCs w:val="24"/>
        </w:rPr>
        <w:t>2 мл в/в.</w:t>
      </w:r>
    </w:p>
    <w:p w14:paraId="5BEE0A20" w14:textId="608A741C" w:rsidR="009A6469" w:rsidRDefault="00CA5E90" w:rsidP="00850317">
      <w:pPr>
        <w:autoSpaceDE w:val="0"/>
        <w:autoSpaceDN w:val="0"/>
        <w:adjustRightInd w:val="0"/>
        <w:spacing w:after="0" w:line="360" w:lineRule="auto"/>
        <w:jc w:val="both"/>
        <w:rPr>
          <w:rFonts w:cs="Times New Roman"/>
          <w:sz w:val="24"/>
          <w:szCs w:val="24"/>
        </w:rPr>
      </w:pPr>
      <w:r>
        <w:rPr>
          <w:rFonts w:cs="Times New Roman"/>
          <w:sz w:val="24"/>
          <w:szCs w:val="24"/>
        </w:rPr>
        <w:tab/>
      </w:r>
      <w:r w:rsidRPr="00CA5E90">
        <w:rPr>
          <w:rFonts w:cs="Times New Roman"/>
          <w:sz w:val="24"/>
          <w:szCs w:val="24"/>
        </w:rPr>
        <w:t>Гипотензивная терапия (при сохраняющейся артериальной гипертензии после введения вышеуказанных препаратов):</w:t>
      </w:r>
    </w:p>
    <w:p w14:paraId="7178B506" w14:textId="13E2BDD8" w:rsidR="00CA5E90" w:rsidRPr="00CA5E90" w:rsidRDefault="00CA5E90" w:rsidP="00850317">
      <w:pPr>
        <w:autoSpaceDE w:val="0"/>
        <w:autoSpaceDN w:val="0"/>
        <w:adjustRightInd w:val="0"/>
        <w:spacing w:after="0" w:line="360" w:lineRule="auto"/>
        <w:jc w:val="both"/>
        <w:rPr>
          <w:rFonts w:cs="Times New Roman"/>
          <w:sz w:val="24"/>
          <w:szCs w:val="24"/>
        </w:rPr>
      </w:pPr>
      <w:r>
        <w:rPr>
          <w:rFonts w:cs="Times New Roman"/>
          <w:sz w:val="24"/>
          <w:szCs w:val="24"/>
        </w:rPr>
        <w:tab/>
      </w:r>
      <w:r w:rsidRPr="00CA5E90">
        <w:rPr>
          <w:rFonts w:cs="Times New Roman"/>
          <w:sz w:val="24"/>
          <w:szCs w:val="24"/>
        </w:rPr>
        <w:t>Нитраты используют только после урежения ЧСС метопрололом или верапамилом, т.к. нитраты вызывает рефлекторную тахикардию.</w:t>
      </w:r>
    </w:p>
    <w:p w14:paraId="36BFA1DF" w14:textId="69E2A8DD" w:rsidR="00407CE0" w:rsidRPr="003B2DA3" w:rsidRDefault="00407CE0" w:rsidP="00850317">
      <w:pPr>
        <w:pStyle w:val="affb"/>
        <w:spacing w:line="360" w:lineRule="auto"/>
        <w:jc w:val="both"/>
        <w:rPr>
          <w:sz w:val="24"/>
          <w:szCs w:val="24"/>
        </w:rPr>
      </w:pPr>
      <w:r w:rsidRPr="003B2DA3">
        <w:rPr>
          <w:rStyle w:val="16"/>
          <w:sz w:val="24"/>
          <w:szCs w:val="24"/>
        </w:rPr>
        <w:t>-Поддержание медикаментозной гипотонии (САД на уровне не выше 90 мм рт. ст.</w:t>
      </w:r>
      <w:r w:rsidRPr="003B2DA3">
        <w:rPr>
          <w:sz w:val="24"/>
          <w:szCs w:val="24"/>
        </w:rPr>
        <w:t xml:space="preserve"> </w:t>
      </w:r>
      <w:r w:rsidRPr="003B2DA3">
        <w:rPr>
          <w:rStyle w:val="16"/>
          <w:sz w:val="24"/>
          <w:szCs w:val="24"/>
        </w:rPr>
        <w:t>при отсутствии признаков</w:t>
      </w:r>
      <w:r w:rsidRPr="003B2DA3">
        <w:rPr>
          <w:sz w:val="24"/>
          <w:szCs w:val="24"/>
        </w:rPr>
        <w:t xml:space="preserve"> </w:t>
      </w:r>
      <w:r w:rsidRPr="003B2DA3">
        <w:rPr>
          <w:rStyle w:val="16"/>
          <w:sz w:val="24"/>
          <w:szCs w:val="24"/>
        </w:rPr>
        <w:t>гипоперфузии):</w:t>
      </w:r>
    </w:p>
    <w:p w14:paraId="5B8E9D27" w14:textId="572027D6" w:rsidR="00407CE0" w:rsidRDefault="003B2DA3" w:rsidP="00850317">
      <w:pPr>
        <w:pStyle w:val="affb"/>
        <w:spacing w:line="360" w:lineRule="auto"/>
        <w:jc w:val="both"/>
        <w:rPr>
          <w:rStyle w:val="16"/>
          <w:sz w:val="24"/>
          <w:szCs w:val="24"/>
        </w:rPr>
      </w:pPr>
      <w:r w:rsidRPr="003B2DA3">
        <w:rPr>
          <w:rStyle w:val="16"/>
          <w:sz w:val="24"/>
          <w:szCs w:val="24"/>
        </w:rPr>
        <w:t>-</w:t>
      </w:r>
      <w:r w:rsidR="00407CE0" w:rsidRPr="003B2DA3">
        <w:rPr>
          <w:rStyle w:val="16"/>
          <w:sz w:val="24"/>
          <w:szCs w:val="24"/>
        </w:rPr>
        <w:t>Изосорбида динитрат 10 мг</w:t>
      </w:r>
      <w:r w:rsidR="00407CE0" w:rsidRPr="003B2DA3">
        <w:rPr>
          <w:sz w:val="24"/>
          <w:szCs w:val="24"/>
        </w:rPr>
        <w:t xml:space="preserve"> </w:t>
      </w:r>
      <w:r w:rsidR="00407CE0" w:rsidRPr="003B2DA3">
        <w:rPr>
          <w:rStyle w:val="16"/>
          <w:sz w:val="24"/>
          <w:szCs w:val="24"/>
        </w:rPr>
        <w:t>разведении Натрия хлорида 0,9% - 250 мл в/в капельно от 1 мг/ч до 10 мг/ч (8-80 кап/мин)</w:t>
      </w:r>
      <w:r w:rsidR="00407CE0" w:rsidRPr="003B2DA3">
        <w:rPr>
          <w:sz w:val="24"/>
          <w:szCs w:val="24"/>
        </w:rPr>
        <w:t xml:space="preserve"> </w:t>
      </w:r>
      <w:r w:rsidR="00407CE0" w:rsidRPr="003B2DA3">
        <w:rPr>
          <w:rStyle w:val="16"/>
          <w:sz w:val="24"/>
          <w:szCs w:val="24"/>
        </w:rPr>
        <w:t>или нитроглицерин 10 мг</w:t>
      </w:r>
      <w:r w:rsidR="00407CE0" w:rsidRPr="003B2DA3">
        <w:rPr>
          <w:sz w:val="24"/>
          <w:szCs w:val="24"/>
        </w:rPr>
        <w:t xml:space="preserve"> </w:t>
      </w:r>
      <w:r w:rsidR="00407CE0" w:rsidRPr="003B2DA3">
        <w:rPr>
          <w:rStyle w:val="16"/>
          <w:sz w:val="24"/>
          <w:szCs w:val="24"/>
        </w:rPr>
        <w:t>в разведении Натрия хлорида 0,9% - 250 мл в/в капельно от 1 мг/ч до 10 мг/ч (8-80 кап/мин).</w:t>
      </w:r>
    </w:p>
    <w:p w14:paraId="04E0CCE9" w14:textId="7C99CD73" w:rsidR="00CA5E90" w:rsidRPr="003B2DA3" w:rsidRDefault="00CA5E90" w:rsidP="00850317">
      <w:pPr>
        <w:pStyle w:val="affb"/>
        <w:spacing w:line="360" w:lineRule="auto"/>
        <w:jc w:val="both"/>
        <w:rPr>
          <w:sz w:val="24"/>
          <w:szCs w:val="24"/>
        </w:rPr>
      </w:pPr>
      <w:r>
        <w:rPr>
          <w:rStyle w:val="16"/>
          <w:sz w:val="24"/>
          <w:szCs w:val="24"/>
        </w:rPr>
        <w:t xml:space="preserve">Или р-р. </w:t>
      </w:r>
      <w:r w:rsidRPr="00CA5E90">
        <w:rPr>
          <w:sz w:val="24"/>
          <w:szCs w:val="24"/>
        </w:rPr>
        <w:t>нитроглицерин или изосорбида динитрат (изокет) 1–2 дозы аэрозоли под язык каждые 5 минут</w:t>
      </w:r>
      <w:r>
        <w:rPr>
          <w:sz w:val="24"/>
          <w:szCs w:val="24"/>
        </w:rPr>
        <w:t>.</w:t>
      </w:r>
    </w:p>
    <w:p w14:paraId="06BE920F" w14:textId="22D12083" w:rsidR="00407CE0" w:rsidRPr="003B2DA3" w:rsidRDefault="00407CE0" w:rsidP="00850317">
      <w:pPr>
        <w:pStyle w:val="affb"/>
        <w:spacing w:line="360" w:lineRule="auto"/>
        <w:jc w:val="both"/>
        <w:rPr>
          <w:sz w:val="24"/>
          <w:szCs w:val="24"/>
        </w:rPr>
      </w:pPr>
      <w:r w:rsidRPr="003B2DA3">
        <w:rPr>
          <w:rStyle w:val="16"/>
          <w:sz w:val="24"/>
          <w:szCs w:val="24"/>
        </w:rPr>
        <w:t>При возбуждении:</w:t>
      </w:r>
      <w:r w:rsidRPr="003B2DA3">
        <w:rPr>
          <w:sz w:val="24"/>
          <w:szCs w:val="24"/>
        </w:rPr>
        <w:t xml:space="preserve"> </w:t>
      </w:r>
      <w:r w:rsidRPr="003B2DA3">
        <w:rPr>
          <w:rStyle w:val="16"/>
          <w:sz w:val="24"/>
          <w:szCs w:val="24"/>
        </w:rPr>
        <w:t>Диазепам 10 мг в/в.</w:t>
      </w:r>
      <w:r w:rsidR="001436D6" w:rsidRPr="001436D6">
        <w:rPr>
          <w:color w:val="231F20"/>
        </w:rPr>
        <w:t xml:space="preserve"> </w:t>
      </w:r>
      <w:r w:rsidR="001436D6" w:rsidRPr="00D70E83">
        <w:rPr>
          <w:color w:val="231F20"/>
        </w:rPr>
        <w:t>[541,542,545</w:t>
      </w:r>
      <w:r w:rsidR="001436D6">
        <w:rPr>
          <w:color w:val="231F20"/>
          <w:sz w:val="24"/>
          <w:szCs w:val="24"/>
        </w:rPr>
        <w:t>,546</w:t>
      </w:r>
      <w:r w:rsidR="001436D6" w:rsidRPr="00D70E83">
        <w:rPr>
          <w:color w:val="231F20"/>
        </w:rPr>
        <w:t>]</w:t>
      </w:r>
    </w:p>
    <w:p w14:paraId="77EBE970" w14:textId="7FAFA81F" w:rsidR="003B2DA3" w:rsidRDefault="003B2DA3" w:rsidP="00850317">
      <w:pPr>
        <w:pStyle w:val="11"/>
        <w:ind w:firstLine="600"/>
        <w:jc w:val="both"/>
        <w:rPr>
          <w:rStyle w:val="ac"/>
          <w:rFonts w:eastAsiaTheme="majorEastAsia"/>
          <w:b/>
          <w:bCs/>
          <w:sz w:val="24"/>
          <w:szCs w:val="24"/>
        </w:rPr>
      </w:pPr>
      <w:r>
        <w:rPr>
          <w:rStyle w:val="ac"/>
          <w:rFonts w:eastAsiaTheme="majorEastAsia"/>
          <w:b/>
          <w:bCs/>
          <w:sz w:val="24"/>
          <w:szCs w:val="24"/>
        </w:rPr>
        <w:t xml:space="preserve">Уровень убедительности рекомендаций </w:t>
      </w:r>
      <w:r w:rsidRPr="00737ECE">
        <w:rPr>
          <w:rStyle w:val="ac"/>
          <w:rFonts w:eastAsiaTheme="majorEastAsia"/>
          <w:b/>
          <w:bCs/>
          <w:sz w:val="24"/>
          <w:szCs w:val="24"/>
          <w:lang w:val="en-US"/>
        </w:rPr>
        <w:t>C</w:t>
      </w:r>
      <w:r w:rsidRPr="00737ECE">
        <w:rPr>
          <w:rStyle w:val="ac"/>
          <w:rFonts w:eastAsiaTheme="majorEastAsia"/>
          <w:b/>
          <w:bCs/>
          <w:sz w:val="24"/>
          <w:szCs w:val="24"/>
        </w:rPr>
        <w:t xml:space="preserve">, </w:t>
      </w:r>
      <w:r w:rsidRPr="00737ECE">
        <w:rPr>
          <w:rStyle w:val="ac"/>
          <w:rFonts w:eastAsiaTheme="majorEastAsia"/>
          <w:sz w:val="24"/>
          <w:szCs w:val="24"/>
        </w:rPr>
        <w:t>(</w:t>
      </w:r>
      <w:r>
        <w:rPr>
          <w:rStyle w:val="ac"/>
          <w:rFonts w:eastAsiaTheme="majorEastAsia"/>
          <w:b/>
          <w:bCs/>
          <w:sz w:val="24"/>
          <w:szCs w:val="24"/>
        </w:rPr>
        <w:t>Уровень достоверности доказательств</w:t>
      </w:r>
      <w:r w:rsidRPr="00737ECE">
        <w:rPr>
          <w:rStyle w:val="ac"/>
          <w:rFonts w:eastAsiaTheme="majorEastAsia"/>
          <w:b/>
          <w:bCs/>
          <w:sz w:val="24"/>
          <w:szCs w:val="24"/>
        </w:rPr>
        <w:t xml:space="preserve"> 5)</w:t>
      </w:r>
      <w:r>
        <w:rPr>
          <w:rStyle w:val="ac"/>
          <w:rFonts w:eastAsiaTheme="majorEastAsia"/>
          <w:b/>
          <w:bCs/>
          <w:sz w:val="24"/>
          <w:szCs w:val="24"/>
        </w:rPr>
        <w:t>;</w:t>
      </w:r>
      <w:r w:rsidRPr="000A49F4">
        <w:rPr>
          <w:rStyle w:val="ac"/>
          <w:rFonts w:eastAsiaTheme="majorEastAsia"/>
          <w:b/>
          <w:bCs/>
          <w:sz w:val="24"/>
          <w:szCs w:val="24"/>
        </w:rPr>
        <w:t xml:space="preserve"> </w:t>
      </w:r>
      <w:r w:rsidRPr="00737ECE">
        <w:rPr>
          <w:rStyle w:val="ac"/>
          <w:rFonts w:eastAsiaTheme="majorEastAsia"/>
          <w:b/>
          <w:bCs/>
          <w:sz w:val="24"/>
          <w:szCs w:val="24"/>
        </w:rPr>
        <w:t>ЕОК/ЕОАГ нет</w:t>
      </w:r>
      <w:r w:rsidR="008A2AFD">
        <w:rPr>
          <w:rStyle w:val="ac"/>
          <w:rFonts w:eastAsiaTheme="majorEastAsia"/>
          <w:b/>
          <w:bCs/>
          <w:sz w:val="24"/>
          <w:szCs w:val="24"/>
        </w:rPr>
        <w:t>.</w:t>
      </w:r>
    </w:p>
    <w:p w14:paraId="4404EB6A" w14:textId="3D1E7E1D" w:rsidR="003B2DA3" w:rsidRPr="003B2DA3" w:rsidRDefault="003B2DA3" w:rsidP="00850317">
      <w:pPr>
        <w:pStyle w:val="affb"/>
        <w:spacing w:line="360" w:lineRule="auto"/>
        <w:jc w:val="both"/>
        <w:rPr>
          <w:i/>
          <w:iCs/>
          <w:sz w:val="24"/>
          <w:szCs w:val="24"/>
        </w:rPr>
      </w:pPr>
      <w:r w:rsidRPr="00BC7A16">
        <w:rPr>
          <w:b/>
          <w:bCs/>
        </w:rPr>
        <w:t>Комментарий</w:t>
      </w:r>
      <w:r w:rsidR="00532863" w:rsidRPr="00BC7A16">
        <w:rPr>
          <w:b/>
          <w:bCs/>
        </w:rPr>
        <w:t>:</w:t>
      </w:r>
      <w:r w:rsidR="00532863" w:rsidRPr="003B2DA3">
        <w:rPr>
          <w:rFonts w:eastAsia="Times New Roman"/>
          <w:kern w:val="0"/>
          <w:sz w:val="24"/>
          <w:szCs w:val="24"/>
          <w:lang w:eastAsia="ru-RU"/>
        </w:rPr>
        <w:t xml:space="preserve"> </w:t>
      </w:r>
      <w:r w:rsidR="00532863" w:rsidRPr="003B2DA3">
        <w:rPr>
          <w:i/>
          <w:iCs/>
          <w:sz w:val="24"/>
          <w:szCs w:val="24"/>
        </w:rPr>
        <w:t>при</w:t>
      </w:r>
      <w:r w:rsidRPr="003B2DA3">
        <w:rPr>
          <w:i/>
          <w:iCs/>
          <w:sz w:val="24"/>
          <w:szCs w:val="24"/>
        </w:rPr>
        <w:t xml:space="preserve"> расслаивающей аневризме аорты основная задача догоспитального этапа – быстро и контролируемо снизить артериальное давление и частоту сердечных сокращений, чтобы уменьшить разрывное напряжение на стенку аорты и замедлить прогрессирование расслоения. Целевой уровень – систолическое АД около 90 мм рт. ст. при условии отсутствия признаков гипоперфузии.</w:t>
      </w:r>
    </w:p>
    <w:p w14:paraId="0BC80B2A" w14:textId="3E65AEFB" w:rsidR="003B2DA3" w:rsidRPr="003B2DA3" w:rsidRDefault="003B2DA3" w:rsidP="00850317">
      <w:pPr>
        <w:pStyle w:val="affb"/>
        <w:spacing w:line="360" w:lineRule="auto"/>
        <w:jc w:val="both"/>
        <w:rPr>
          <w:i/>
          <w:iCs/>
          <w:sz w:val="24"/>
          <w:szCs w:val="24"/>
        </w:rPr>
      </w:pPr>
      <w:r>
        <w:rPr>
          <w:i/>
          <w:iCs/>
          <w:sz w:val="24"/>
          <w:szCs w:val="24"/>
        </w:rPr>
        <w:tab/>
        <w:t>Б</w:t>
      </w:r>
      <w:r w:rsidRPr="003B2DA3">
        <w:rPr>
          <w:i/>
          <w:iCs/>
          <w:sz w:val="24"/>
          <w:szCs w:val="24"/>
        </w:rPr>
        <w:t>азо</w:t>
      </w:r>
      <w:r>
        <w:rPr>
          <w:i/>
          <w:iCs/>
          <w:sz w:val="24"/>
          <w:szCs w:val="24"/>
        </w:rPr>
        <w:t>вой</w:t>
      </w:r>
      <w:r w:rsidRPr="003B2DA3">
        <w:rPr>
          <w:i/>
          <w:iCs/>
          <w:sz w:val="24"/>
          <w:szCs w:val="24"/>
        </w:rPr>
        <w:t xml:space="preserve"> терапи</w:t>
      </w:r>
      <w:r>
        <w:rPr>
          <w:i/>
          <w:iCs/>
          <w:sz w:val="24"/>
          <w:szCs w:val="24"/>
        </w:rPr>
        <w:t>ей</w:t>
      </w:r>
      <w:r w:rsidRPr="003B2DA3">
        <w:rPr>
          <w:i/>
          <w:iCs/>
          <w:sz w:val="24"/>
          <w:szCs w:val="24"/>
        </w:rPr>
        <w:t xml:space="preserve"> являются внутривенные нитраты (нитроглицерин или изосорбида динитрат), которые позволяют управляемо снижать давление. Обезболивание (морфин) и седация (диазепам) обязательны, так как боль и возбуждение стимулируют симпато</w:t>
      </w:r>
      <w:r w:rsidR="009A6469">
        <w:rPr>
          <w:i/>
          <w:iCs/>
          <w:sz w:val="24"/>
          <w:szCs w:val="24"/>
        </w:rPr>
        <w:t xml:space="preserve"> </w:t>
      </w:r>
      <w:r w:rsidRPr="003B2DA3">
        <w:rPr>
          <w:i/>
          <w:iCs/>
          <w:sz w:val="24"/>
          <w:szCs w:val="24"/>
        </w:rPr>
        <w:t>-</w:t>
      </w:r>
      <w:r w:rsidR="009A6469">
        <w:rPr>
          <w:i/>
          <w:iCs/>
          <w:sz w:val="24"/>
          <w:szCs w:val="24"/>
        </w:rPr>
        <w:t xml:space="preserve"> </w:t>
      </w:r>
      <w:r w:rsidRPr="003B2DA3">
        <w:rPr>
          <w:i/>
          <w:iCs/>
          <w:sz w:val="24"/>
          <w:szCs w:val="24"/>
        </w:rPr>
        <w:t>адреналовую систему и ведут к росту давления.</w:t>
      </w:r>
    </w:p>
    <w:p w14:paraId="146112F1" w14:textId="4A070692" w:rsidR="003B2DA3" w:rsidRPr="003B2DA3" w:rsidRDefault="003B2DA3" w:rsidP="00850317">
      <w:pPr>
        <w:pStyle w:val="affb"/>
        <w:spacing w:line="360" w:lineRule="auto"/>
        <w:jc w:val="both"/>
        <w:rPr>
          <w:i/>
          <w:iCs/>
          <w:sz w:val="24"/>
          <w:szCs w:val="24"/>
        </w:rPr>
      </w:pPr>
      <w:r>
        <w:rPr>
          <w:i/>
          <w:iCs/>
          <w:sz w:val="24"/>
          <w:szCs w:val="24"/>
        </w:rPr>
        <w:tab/>
        <w:t>А</w:t>
      </w:r>
      <w:r w:rsidRPr="003B2DA3">
        <w:rPr>
          <w:i/>
          <w:iCs/>
          <w:sz w:val="24"/>
          <w:szCs w:val="24"/>
        </w:rPr>
        <w:t>лгоритм дополняет схему использованием азаметония бромида, а в специализированных бригадах – β-адреноблокаторов (эсмолол) в комбинации с вазодилататорами (нитропруссид натрия). Такой подход считается более физиологичным, так как не только снижает давление, но и уменьшает скорость нарастания пульсовой волны за счёт урежения ЧСС.</w:t>
      </w:r>
    </w:p>
    <w:p w14:paraId="667C8B31" w14:textId="58AD4BEC" w:rsidR="006635CB" w:rsidRDefault="003B2DA3" w:rsidP="00850317">
      <w:pPr>
        <w:pStyle w:val="affb"/>
        <w:spacing w:line="360" w:lineRule="auto"/>
        <w:jc w:val="both"/>
        <w:rPr>
          <w:rStyle w:val="ac"/>
          <w:rFonts w:eastAsiaTheme="majorEastAsia"/>
          <w:sz w:val="24"/>
          <w:szCs w:val="24"/>
        </w:rPr>
      </w:pPr>
      <w:r>
        <w:rPr>
          <w:i/>
          <w:iCs/>
          <w:sz w:val="24"/>
          <w:szCs w:val="24"/>
        </w:rPr>
        <w:tab/>
      </w:r>
      <w:r w:rsidRPr="003B2DA3">
        <w:rPr>
          <w:i/>
          <w:iCs/>
          <w:sz w:val="24"/>
          <w:szCs w:val="24"/>
        </w:rPr>
        <w:t xml:space="preserve">Таким образом, предложенные меры (нитраты, морфин, диазепам) являются базовыми на догоспитальном этапе. При наличии специализированной бригады оптимальным считается комбинированный режим с применением β-блокатора и вазодилататора. </w:t>
      </w:r>
    </w:p>
    <w:p w14:paraId="7FB96D14" w14:textId="77777777" w:rsidR="002230C2" w:rsidRPr="002230C2" w:rsidRDefault="002230C2" w:rsidP="00C10BEC">
      <w:pPr>
        <w:pStyle w:val="11"/>
        <w:ind w:firstLine="0"/>
        <w:outlineLvl w:val="1"/>
        <w:rPr>
          <w:b/>
          <w:bCs/>
          <w:sz w:val="24"/>
          <w:szCs w:val="24"/>
          <w:u w:val="single"/>
        </w:rPr>
      </w:pPr>
      <w:bookmarkStart w:id="63" w:name="_Toc202877442"/>
      <w:r w:rsidRPr="002230C2">
        <w:rPr>
          <w:rStyle w:val="ac"/>
          <w:rFonts w:eastAsiaTheme="majorEastAsia"/>
          <w:b/>
          <w:bCs/>
          <w:sz w:val="24"/>
          <w:szCs w:val="24"/>
          <w:u w:val="single"/>
        </w:rPr>
        <w:lastRenderedPageBreak/>
        <w:t>3.2 Хирургическое лечение</w:t>
      </w:r>
      <w:bookmarkEnd w:id="63"/>
    </w:p>
    <w:p w14:paraId="079A8F1B" w14:textId="77777777" w:rsidR="002230C2" w:rsidRPr="002230C2" w:rsidRDefault="002230C2" w:rsidP="002230C2">
      <w:pPr>
        <w:pStyle w:val="11"/>
        <w:tabs>
          <w:tab w:val="left" w:pos="1106"/>
        </w:tabs>
        <w:ind w:firstLine="0"/>
        <w:jc w:val="center"/>
        <w:rPr>
          <w:sz w:val="24"/>
          <w:szCs w:val="24"/>
        </w:rPr>
      </w:pPr>
      <w:bookmarkStart w:id="64" w:name="bookmark25"/>
      <w:r w:rsidRPr="002230C2">
        <w:rPr>
          <w:rStyle w:val="ac"/>
          <w:rFonts w:eastAsiaTheme="majorEastAsia"/>
          <w:b/>
          <w:bCs/>
          <w:sz w:val="24"/>
          <w:szCs w:val="24"/>
        </w:rPr>
        <w:t>Аппаратное лечение артериальной гипертензии</w:t>
      </w:r>
      <w:bookmarkEnd w:id="64"/>
    </w:p>
    <w:p w14:paraId="4F70B595" w14:textId="77777777" w:rsidR="002230C2" w:rsidRPr="002230C2" w:rsidRDefault="00164EB7" w:rsidP="00164EB7">
      <w:pPr>
        <w:pStyle w:val="11"/>
        <w:tabs>
          <w:tab w:val="left" w:pos="709"/>
          <w:tab w:val="left" w:pos="1276"/>
          <w:tab w:val="left" w:pos="1701"/>
          <w:tab w:val="left" w:pos="1843"/>
        </w:tabs>
        <w:spacing w:line="389" w:lineRule="auto"/>
        <w:ind w:firstLine="0"/>
        <w:jc w:val="both"/>
        <w:rPr>
          <w:sz w:val="24"/>
          <w:szCs w:val="24"/>
        </w:rPr>
      </w:pPr>
      <w:r>
        <w:rPr>
          <w:rStyle w:val="ac"/>
          <w:rFonts w:eastAsia="Arial"/>
          <w:sz w:val="24"/>
          <w:szCs w:val="24"/>
        </w:rPr>
        <w:tab/>
      </w:r>
      <w:r w:rsidR="002230C2" w:rsidRPr="002230C2">
        <w:rPr>
          <w:rStyle w:val="ac"/>
          <w:rFonts w:eastAsia="Arial"/>
          <w:sz w:val="24"/>
          <w:szCs w:val="24"/>
        </w:rPr>
        <w:t xml:space="preserve">• </w:t>
      </w:r>
      <w:r>
        <w:rPr>
          <w:rStyle w:val="ac"/>
          <w:rFonts w:eastAsia="Arial"/>
          <w:sz w:val="24"/>
          <w:szCs w:val="24"/>
        </w:rPr>
        <w:tab/>
      </w:r>
      <w:r w:rsidR="002230C2" w:rsidRPr="002230C2">
        <w:rPr>
          <w:rStyle w:val="ac"/>
          <w:rFonts w:eastAsiaTheme="majorEastAsia"/>
          <w:sz w:val="24"/>
          <w:szCs w:val="24"/>
        </w:rPr>
        <w:t>Денервация почечных артерий (трансаортальная радиочастотная абляция почечных артерий) может быть рекомендована как дополнительный метод лечения у пациентов с резистентной АГ и СКФ &gt;40 мл/мин/1,73 м2 [210, 211, 212, 213, 214, 215].</w:t>
      </w:r>
    </w:p>
    <w:p w14:paraId="31F2E681" w14:textId="10D1B329" w:rsidR="002230C2" w:rsidRPr="008A2AFD" w:rsidRDefault="002230C2" w:rsidP="000A49F4">
      <w:pPr>
        <w:pStyle w:val="11"/>
        <w:ind w:firstLine="620"/>
        <w:jc w:val="both"/>
        <w:rPr>
          <w:sz w:val="24"/>
          <w:szCs w:val="24"/>
        </w:rPr>
      </w:pPr>
      <w:r w:rsidRPr="002230C2">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0A49F4">
        <w:rPr>
          <w:rStyle w:val="ac"/>
          <w:rFonts w:eastAsiaTheme="majorEastAsia"/>
          <w:b/>
          <w:bCs/>
          <w:sz w:val="24"/>
          <w:szCs w:val="24"/>
        </w:rPr>
        <w:t xml:space="preserve"> </w:t>
      </w:r>
      <w:r w:rsidRPr="002230C2">
        <w:rPr>
          <w:rStyle w:val="ac"/>
          <w:rFonts w:eastAsiaTheme="majorEastAsia"/>
          <w:b/>
          <w:bCs/>
          <w:sz w:val="24"/>
          <w:szCs w:val="24"/>
        </w:rPr>
        <w:t xml:space="preserve">А, </w:t>
      </w:r>
      <w:r w:rsidR="000A49F4" w:rsidRPr="002230C2">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2230C2">
        <w:rPr>
          <w:rStyle w:val="ac"/>
          <w:rFonts w:eastAsiaTheme="majorEastAsia"/>
          <w:b/>
          <w:bCs/>
          <w:sz w:val="24"/>
          <w:szCs w:val="24"/>
        </w:rPr>
        <w:t xml:space="preserve"> 2</w:t>
      </w:r>
      <w:r w:rsidR="00D2631A" w:rsidRPr="002230C2">
        <w:rPr>
          <w:rStyle w:val="ac"/>
          <w:rFonts w:eastAsiaTheme="majorEastAsia"/>
          <w:b/>
          <w:bCs/>
          <w:sz w:val="24"/>
          <w:szCs w:val="24"/>
        </w:rPr>
        <w:t>)</w:t>
      </w:r>
      <w:r w:rsidR="00D2631A" w:rsidRPr="000A49F4">
        <w:rPr>
          <w:rStyle w:val="ac"/>
          <w:rFonts w:eastAsiaTheme="majorEastAsia"/>
          <w:b/>
          <w:bCs/>
          <w:sz w:val="24"/>
          <w:szCs w:val="24"/>
        </w:rPr>
        <w:t>; ЕОАГ</w:t>
      </w:r>
      <w:r w:rsidR="000A49F4" w:rsidRPr="002230C2">
        <w:rPr>
          <w:rStyle w:val="ac"/>
          <w:rFonts w:eastAsiaTheme="majorEastAsia"/>
          <w:b/>
          <w:bCs/>
          <w:sz w:val="24"/>
          <w:szCs w:val="24"/>
        </w:rPr>
        <w:t xml:space="preserve"> </w:t>
      </w:r>
      <w:r w:rsidR="000A49F4" w:rsidRPr="002230C2">
        <w:rPr>
          <w:rStyle w:val="ac"/>
          <w:rFonts w:eastAsiaTheme="majorEastAsia"/>
          <w:b/>
          <w:bCs/>
          <w:sz w:val="24"/>
          <w:szCs w:val="24"/>
          <w:lang w:val="en-US"/>
        </w:rPr>
        <w:t>IIB</w:t>
      </w:r>
      <w:r w:rsidR="008A2AFD">
        <w:rPr>
          <w:rStyle w:val="ac"/>
          <w:rFonts w:eastAsiaTheme="majorEastAsia"/>
          <w:b/>
          <w:bCs/>
          <w:sz w:val="24"/>
          <w:szCs w:val="24"/>
        </w:rPr>
        <w:t>.</w:t>
      </w:r>
    </w:p>
    <w:p w14:paraId="4E81A061" w14:textId="77777777" w:rsidR="002230C2" w:rsidRPr="002230C2" w:rsidRDefault="002230C2" w:rsidP="000A49F4">
      <w:pPr>
        <w:pStyle w:val="11"/>
        <w:ind w:firstLine="620"/>
        <w:jc w:val="both"/>
        <w:rPr>
          <w:sz w:val="24"/>
          <w:szCs w:val="24"/>
        </w:rPr>
      </w:pPr>
      <w:r w:rsidRPr="002230C2">
        <w:rPr>
          <w:rStyle w:val="ac"/>
          <w:rFonts w:eastAsiaTheme="majorEastAsia"/>
          <w:b/>
          <w:bCs/>
          <w:sz w:val="24"/>
          <w:szCs w:val="24"/>
        </w:rPr>
        <w:t xml:space="preserve">Комментарии. </w:t>
      </w:r>
      <w:r w:rsidRPr="002230C2">
        <w:rPr>
          <w:rStyle w:val="ac"/>
          <w:rFonts w:eastAsiaTheme="majorEastAsia"/>
          <w:i/>
          <w:iCs/>
          <w:sz w:val="24"/>
          <w:szCs w:val="24"/>
        </w:rPr>
        <w:t>Денервация почечных артерий может выполняться для предотвращения влияния симпатической нервной системы на почечное сосудистое сопротивление, высвобождение ренина и реабсорбцию натрия</w:t>
      </w:r>
      <w:r w:rsidRPr="002230C2">
        <w:rPr>
          <w:rStyle w:val="ac"/>
          <w:rFonts w:eastAsiaTheme="majorEastAsia"/>
          <w:sz w:val="24"/>
          <w:szCs w:val="24"/>
        </w:rPr>
        <w:t xml:space="preserve"> [216, 217]</w:t>
      </w:r>
      <w:r w:rsidRPr="002230C2">
        <w:rPr>
          <w:rStyle w:val="ac"/>
          <w:rFonts w:eastAsiaTheme="majorEastAsia"/>
          <w:i/>
          <w:iCs/>
          <w:sz w:val="24"/>
          <w:szCs w:val="24"/>
        </w:rPr>
        <w:t>. Для лечения пациентов с резистентной АГ были предложены минимально инвазивные методы катетерной денервации почек с помощью радиочастотной стимуляции, ультразвука или периваскулярной инъекции нейротоксичных веществ, например, этанола</w:t>
      </w:r>
      <w:r w:rsidRPr="002230C2">
        <w:rPr>
          <w:rStyle w:val="ac"/>
          <w:rFonts w:eastAsiaTheme="majorEastAsia"/>
          <w:sz w:val="24"/>
          <w:szCs w:val="24"/>
        </w:rPr>
        <w:t xml:space="preserve"> [218]</w:t>
      </w:r>
      <w:r w:rsidRPr="002230C2">
        <w:rPr>
          <w:rStyle w:val="ac"/>
          <w:rFonts w:eastAsiaTheme="majorEastAsia"/>
          <w:i/>
          <w:iCs/>
          <w:sz w:val="24"/>
          <w:szCs w:val="24"/>
        </w:rPr>
        <w:t xml:space="preserve">. В рандомизированных исследованиях с фальш-процедурой </w:t>
      </w:r>
      <w:r w:rsidRPr="002230C2">
        <w:rPr>
          <w:rStyle w:val="ac"/>
          <w:rFonts w:eastAsiaTheme="majorEastAsia"/>
          <w:i/>
          <w:iCs/>
          <w:sz w:val="24"/>
          <w:szCs w:val="24"/>
          <w:lang w:val="en-US"/>
        </w:rPr>
        <w:t>Spyral</w:t>
      </w:r>
      <w:r w:rsidRPr="002230C2">
        <w:rPr>
          <w:rStyle w:val="ac"/>
          <w:rFonts w:eastAsiaTheme="majorEastAsia"/>
          <w:i/>
          <w:iCs/>
          <w:sz w:val="24"/>
          <w:szCs w:val="24"/>
        </w:rPr>
        <w:t xml:space="preserve"> </w:t>
      </w:r>
      <w:r w:rsidRPr="002230C2">
        <w:rPr>
          <w:rStyle w:val="ac"/>
          <w:rFonts w:eastAsiaTheme="majorEastAsia"/>
          <w:i/>
          <w:iCs/>
          <w:sz w:val="24"/>
          <w:szCs w:val="24"/>
          <w:lang w:val="en-US"/>
        </w:rPr>
        <w:t>HTN</w:t>
      </w:r>
      <w:r w:rsidRPr="002230C2">
        <w:rPr>
          <w:rStyle w:val="ac"/>
          <w:rFonts w:eastAsiaTheme="majorEastAsia"/>
          <w:i/>
          <w:iCs/>
          <w:sz w:val="24"/>
          <w:szCs w:val="24"/>
        </w:rPr>
        <w:t>-</w:t>
      </w:r>
      <w:r w:rsidRPr="002230C2">
        <w:rPr>
          <w:rStyle w:val="ac"/>
          <w:rFonts w:eastAsiaTheme="majorEastAsia"/>
          <w:i/>
          <w:iCs/>
          <w:sz w:val="24"/>
          <w:szCs w:val="24"/>
          <w:lang w:val="en-US"/>
        </w:rPr>
        <w:t>OFF</w:t>
      </w:r>
      <w:r w:rsidRPr="002230C2">
        <w:rPr>
          <w:rStyle w:val="ac"/>
          <w:rFonts w:eastAsiaTheme="majorEastAsia"/>
          <w:i/>
          <w:iCs/>
          <w:sz w:val="24"/>
          <w:szCs w:val="24"/>
        </w:rPr>
        <w:t xml:space="preserve"> </w:t>
      </w:r>
      <w:r w:rsidRPr="002230C2">
        <w:rPr>
          <w:rStyle w:val="ac"/>
          <w:rFonts w:eastAsiaTheme="majorEastAsia"/>
          <w:i/>
          <w:iCs/>
          <w:sz w:val="24"/>
          <w:szCs w:val="24"/>
          <w:lang w:val="en-US"/>
        </w:rPr>
        <w:t>Med</w:t>
      </w:r>
      <w:r w:rsidRPr="002230C2">
        <w:rPr>
          <w:rStyle w:val="ac"/>
          <w:rFonts w:eastAsiaTheme="majorEastAsia"/>
          <w:sz w:val="24"/>
          <w:szCs w:val="24"/>
        </w:rPr>
        <w:t xml:space="preserve"> [210]</w:t>
      </w:r>
      <w:r w:rsidRPr="002230C2">
        <w:rPr>
          <w:rStyle w:val="ac"/>
          <w:rFonts w:eastAsiaTheme="majorEastAsia"/>
          <w:i/>
          <w:iCs/>
          <w:sz w:val="24"/>
          <w:szCs w:val="24"/>
        </w:rPr>
        <w:t xml:space="preserve">, </w:t>
      </w:r>
      <w:r w:rsidRPr="002230C2">
        <w:rPr>
          <w:rStyle w:val="ac"/>
          <w:rFonts w:eastAsiaTheme="majorEastAsia"/>
          <w:i/>
          <w:iCs/>
          <w:sz w:val="24"/>
          <w:szCs w:val="24"/>
          <w:lang w:val="en-US"/>
        </w:rPr>
        <w:t>Radiance</w:t>
      </w:r>
      <w:r w:rsidRPr="002230C2">
        <w:rPr>
          <w:rStyle w:val="ac"/>
          <w:rFonts w:eastAsiaTheme="majorEastAsia"/>
          <w:i/>
          <w:iCs/>
          <w:sz w:val="24"/>
          <w:szCs w:val="24"/>
        </w:rPr>
        <w:t xml:space="preserve"> </w:t>
      </w:r>
      <w:r w:rsidRPr="002230C2">
        <w:rPr>
          <w:rStyle w:val="ac"/>
          <w:rFonts w:eastAsiaTheme="majorEastAsia"/>
          <w:i/>
          <w:iCs/>
          <w:sz w:val="24"/>
          <w:szCs w:val="24"/>
          <w:lang w:val="en-US"/>
        </w:rPr>
        <w:t>HTN</w:t>
      </w:r>
      <w:r w:rsidRPr="002230C2">
        <w:rPr>
          <w:rStyle w:val="ac"/>
          <w:rFonts w:eastAsiaTheme="majorEastAsia"/>
          <w:i/>
          <w:iCs/>
          <w:sz w:val="24"/>
          <w:szCs w:val="24"/>
        </w:rPr>
        <w:t xml:space="preserve"> </w:t>
      </w:r>
      <w:r w:rsidRPr="002230C2">
        <w:rPr>
          <w:rStyle w:val="ac"/>
          <w:rFonts w:eastAsiaTheme="majorEastAsia"/>
          <w:i/>
          <w:iCs/>
          <w:sz w:val="24"/>
          <w:szCs w:val="24"/>
          <w:lang w:val="en-US"/>
        </w:rPr>
        <w:t>Solo</w:t>
      </w:r>
      <w:r w:rsidRPr="002230C2">
        <w:rPr>
          <w:rStyle w:val="ac"/>
          <w:rFonts w:eastAsiaTheme="majorEastAsia"/>
          <w:sz w:val="24"/>
          <w:szCs w:val="24"/>
        </w:rPr>
        <w:t xml:space="preserve"> [211]</w:t>
      </w:r>
      <w:r w:rsidRPr="002230C2">
        <w:rPr>
          <w:rStyle w:val="ac"/>
          <w:rFonts w:eastAsiaTheme="majorEastAsia"/>
          <w:i/>
          <w:iCs/>
          <w:sz w:val="24"/>
          <w:szCs w:val="24"/>
        </w:rPr>
        <w:t xml:space="preserve">, </w:t>
      </w:r>
      <w:r w:rsidRPr="002230C2">
        <w:rPr>
          <w:rStyle w:val="ac"/>
          <w:rFonts w:eastAsiaTheme="majorEastAsia"/>
          <w:i/>
          <w:iCs/>
          <w:sz w:val="24"/>
          <w:szCs w:val="24"/>
          <w:lang w:val="en-US"/>
        </w:rPr>
        <w:t>Radiance</w:t>
      </w:r>
      <w:r w:rsidRPr="002230C2">
        <w:rPr>
          <w:rStyle w:val="ac"/>
          <w:rFonts w:eastAsiaTheme="majorEastAsia"/>
          <w:i/>
          <w:iCs/>
          <w:sz w:val="24"/>
          <w:szCs w:val="24"/>
        </w:rPr>
        <w:t xml:space="preserve"> </w:t>
      </w:r>
      <w:r w:rsidRPr="002230C2">
        <w:rPr>
          <w:rStyle w:val="ac"/>
          <w:rFonts w:eastAsiaTheme="majorEastAsia"/>
          <w:i/>
          <w:iCs/>
          <w:sz w:val="24"/>
          <w:szCs w:val="24"/>
          <w:lang w:val="en-US"/>
        </w:rPr>
        <w:t>HTN</w:t>
      </w:r>
      <w:r w:rsidRPr="002230C2">
        <w:rPr>
          <w:rStyle w:val="ac"/>
          <w:rFonts w:eastAsiaTheme="majorEastAsia"/>
          <w:i/>
          <w:iCs/>
          <w:sz w:val="24"/>
          <w:szCs w:val="24"/>
        </w:rPr>
        <w:t xml:space="preserve"> </w:t>
      </w:r>
      <w:r w:rsidRPr="002230C2">
        <w:rPr>
          <w:rStyle w:val="ac"/>
          <w:rFonts w:eastAsiaTheme="majorEastAsia"/>
          <w:i/>
          <w:iCs/>
          <w:sz w:val="24"/>
          <w:szCs w:val="24"/>
          <w:lang w:val="en-US"/>
        </w:rPr>
        <w:t>Trio</w:t>
      </w:r>
      <w:r w:rsidRPr="002230C2">
        <w:rPr>
          <w:rStyle w:val="ac"/>
          <w:rFonts w:eastAsiaTheme="majorEastAsia"/>
          <w:sz w:val="24"/>
          <w:szCs w:val="24"/>
        </w:rPr>
        <w:t xml:space="preserve"> [212]</w:t>
      </w:r>
      <w:r w:rsidRPr="002230C2">
        <w:rPr>
          <w:rStyle w:val="ac"/>
          <w:rFonts w:eastAsiaTheme="majorEastAsia"/>
          <w:i/>
          <w:iCs/>
          <w:sz w:val="24"/>
          <w:szCs w:val="24"/>
        </w:rPr>
        <w:t xml:space="preserve">, </w:t>
      </w:r>
      <w:r w:rsidRPr="002230C2">
        <w:rPr>
          <w:rStyle w:val="ac"/>
          <w:rFonts w:eastAsiaTheme="majorEastAsia"/>
          <w:i/>
          <w:iCs/>
          <w:sz w:val="24"/>
          <w:szCs w:val="24"/>
          <w:lang w:val="en-US"/>
        </w:rPr>
        <w:t>SPYRAL</w:t>
      </w:r>
      <w:r w:rsidRPr="002230C2">
        <w:rPr>
          <w:rStyle w:val="ac"/>
          <w:rFonts w:eastAsiaTheme="majorEastAsia"/>
          <w:i/>
          <w:iCs/>
          <w:sz w:val="24"/>
          <w:szCs w:val="24"/>
        </w:rPr>
        <w:t xml:space="preserve"> </w:t>
      </w:r>
      <w:r w:rsidRPr="002230C2">
        <w:rPr>
          <w:rStyle w:val="ac"/>
          <w:rFonts w:eastAsiaTheme="majorEastAsia"/>
          <w:i/>
          <w:iCs/>
          <w:sz w:val="24"/>
          <w:szCs w:val="24"/>
          <w:lang w:val="en-US"/>
        </w:rPr>
        <w:t>HTN</w:t>
      </w:r>
      <w:r w:rsidRPr="002230C2">
        <w:rPr>
          <w:rStyle w:val="ac"/>
          <w:rFonts w:eastAsiaTheme="majorEastAsia"/>
          <w:i/>
          <w:iCs/>
          <w:sz w:val="24"/>
          <w:szCs w:val="24"/>
        </w:rPr>
        <w:t>-</w:t>
      </w:r>
      <w:r w:rsidRPr="002230C2">
        <w:rPr>
          <w:rStyle w:val="ac"/>
          <w:rFonts w:eastAsiaTheme="majorEastAsia"/>
          <w:i/>
          <w:iCs/>
          <w:sz w:val="24"/>
          <w:szCs w:val="24"/>
          <w:lang w:val="en-US"/>
        </w:rPr>
        <w:t>ON</w:t>
      </w:r>
      <w:r w:rsidRPr="002230C2">
        <w:rPr>
          <w:rStyle w:val="ac"/>
          <w:rFonts w:eastAsiaTheme="majorEastAsia"/>
          <w:i/>
          <w:iCs/>
          <w:sz w:val="24"/>
          <w:szCs w:val="24"/>
        </w:rPr>
        <w:t xml:space="preserve"> </w:t>
      </w:r>
      <w:r w:rsidRPr="002230C2">
        <w:rPr>
          <w:rStyle w:val="ac"/>
          <w:rFonts w:eastAsiaTheme="majorEastAsia"/>
          <w:i/>
          <w:iCs/>
          <w:sz w:val="24"/>
          <w:szCs w:val="24"/>
          <w:lang w:val="en-US"/>
        </w:rPr>
        <w:t>Med</w:t>
      </w:r>
      <w:r w:rsidRPr="002230C2">
        <w:rPr>
          <w:rStyle w:val="ac"/>
          <w:rFonts w:eastAsiaTheme="majorEastAsia"/>
          <w:sz w:val="24"/>
          <w:szCs w:val="24"/>
        </w:rPr>
        <w:t xml:space="preserve"> [213]</w:t>
      </w:r>
      <w:r w:rsidRPr="002230C2">
        <w:rPr>
          <w:rStyle w:val="ac"/>
          <w:rFonts w:eastAsiaTheme="majorEastAsia"/>
          <w:i/>
          <w:iCs/>
          <w:sz w:val="24"/>
          <w:szCs w:val="24"/>
        </w:rPr>
        <w:t xml:space="preserve">, </w:t>
      </w:r>
      <w:r w:rsidRPr="002230C2">
        <w:rPr>
          <w:rStyle w:val="ac"/>
          <w:rFonts w:eastAsiaTheme="majorEastAsia"/>
          <w:i/>
          <w:iCs/>
          <w:sz w:val="24"/>
          <w:szCs w:val="24"/>
          <w:lang w:val="en-US"/>
        </w:rPr>
        <w:t>SPYRAL</w:t>
      </w:r>
      <w:r w:rsidRPr="002230C2">
        <w:rPr>
          <w:rStyle w:val="ac"/>
          <w:rFonts w:eastAsiaTheme="majorEastAsia"/>
          <w:i/>
          <w:iCs/>
          <w:sz w:val="24"/>
          <w:szCs w:val="24"/>
        </w:rPr>
        <w:t xml:space="preserve"> </w:t>
      </w:r>
      <w:r w:rsidRPr="002230C2">
        <w:rPr>
          <w:rStyle w:val="ac"/>
          <w:rFonts w:eastAsiaTheme="majorEastAsia"/>
          <w:i/>
          <w:iCs/>
          <w:sz w:val="24"/>
          <w:szCs w:val="24"/>
          <w:lang w:val="en-US"/>
        </w:rPr>
        <w:t>HTN</w:t>
      </w:r>
      <w:r w:rsidRPr="002230C2">
        <w:rPr>
          <w:rStyle w:val="ac"/>
          <w:rFonts w:eastAsiaTheme="majorEastAsia"/>
          <w:i/>
          <w:iCs/>
          <w:sz w:val="24"/>
          <w:szCs w:val="24"/>
        </w:rPr>
        <w:t>-</w:t>
      </w:r>
      <w:r w:rsidRPr="002230C2">
        <w:rPr>
          <w:rStyle w:val="ac"/>
          <w:rFonts w:eastAsiaTheme="majorEastAsia"/>
          <w:i/>
          <w:iCs/>
          <w:sz w:val="24"/>
          <w:szCs w:val="24"/>
          <w:lang w:val="en-US"/>
        </w:rPr>
        <w:t>ON</w:t>
      </w:r>
      <w:r w:rsidRPr="002230C2">
        <w:rPr>
          <w:rStyle w:val="ac"/>
          <w:rFonts w:eastAsiaTheme="majorEastAsia"/>
          <w:i/>
          <w:iCs/>
          <w:sz w:val="24"/>
          <w:szCs w:val="24"/>
        </w:rPr>
        <w:t xml:space="preserve"> </w:t>
      </w:r>
      <w:r w:rsidRPr="002230C2">
        <w:rPr>
          <w:rStyle w:val="ac"/>
          <w:rFonts w:eastAsiaTheme="majorEastAsia"/>
          <w:i/>
          <w:iCs/>
          <w:sz w:val="24"/>
          <w:szCs w:val="24"/>
          <w:lang w:val="en-US"/>
        </w:rPr>
        <w:t>Med</w:t>
      </w:r>
      <w:r w:rsidRPr="002230C2">
        <w:rPr>
          <w:rStyle w:val="ac"/>
          <w:rFonts w:eastAsiaTheme="majorEastAsia"/>
          <w:i/>
          <w:iCs/>
          <w:sz w:val="24"/>
          <w:szCs w:val="24"/>
        </w:rPr>
        <w:t xml:space="preserve"> </w:t>
      </w:r>
      <w:r w:rsidRPr="002230C2">
        <w:rPr>
          <w:rStyle w:val="ac"/>
          <w:rFonts w:eastAsiaTheme="majorEastAsia"/>
          <w:i/>
          <w:iCs/>
          <w:sz w:val="24"/>
          <w:szCs w:val="24"/>
          <w:lang w:val="en-US"/>
        </w:rPr>
        <w:t>Extension</w:t>
      </w:r>
      <w:r w:rsidRPr="002230C2">
        <w:rPr>
          <w:rStyle w:val="ac"/>
          <w:rFonts w:eastAsiaTheme="majorEastAsia"/>
          <w:sz w:val="24"/>
          <w:szCs w:val="24"/>
        </w:rPr>
        <w:t xml:space="preserve"> [214] </w:t>
      </w:r>
      <w:r w:rsidRPr="002230C2">
        <w:rPr>
          <w:rStyle w:val="ac"/>
          <w:rFonts w:eastAsiaTheme="majorEastAsia"/>
          <w:i/>
          <w:iCs/>
          <w:sz w:val="24"/>
          <w:szCs w:val="24"/>
        </w:rPr>
        <w:t>показано превосходство денервации почечных артерий перед фальш-процедурой. Таким образом, данные последних исследований и мета</w:t>
      </w:r>
      <w:r w:rsidRPr="002230C2">
        <w:rPr>
          <w:rStyle w:val="ac"/>
          <w:rFonts w:eastAsiaTheme="majorEastAsia"/>
          <w:i/>
          <w:iCs/>
          <w:sz w:val="24"/>
          <w:szCs w:val="24"/>
        </w:rPr>
        <w:softHyphen/>
        <w:t>анализов</w:t>
      </w:r>
      <w:r w:rsidRPr="002230C2">
        <w:rPr>
          <w:rStyle w:val="ac"/>
          <w:rFonts w:eastAsiaTheme="majorEastAsia"/>
          <w:sz w:val="24"/>
          <w:szCs w:val="24"/>
        </w:rPr>
        <w:t xml:space="preserve"> [215, 219] </w:t>
      </w:r>
      <w:r w:rsidRPr="002230C2">
        <w:rPr>
          <w:rStyle w:val="ac"/>
          <w:rFonts w:eastAsiaTheme="majorEastAsia"/>
          <w:i/>
          <w:iCs/>
          <w:sz w:val="24"/>
          <w:szCs w:val="24"/>
        </w:rPr>
        <w:t xml:space="preserve">свидетельствуют об эффективности процедуры у </w:t>
      </w:r>
      <w:r w:rsidR="00C63B09" w:rsidRPr="002230C2">
        <w:rPr>
          <w:rStyle w:val="ac"/>
          <w:rFonts w:eastAsiaTheme="majorEastAsia"/>
          <w:i/>
          <w:iCs/>
          <w:sz w:val="24"/>
          <w:szCs w:val="24"/>
        </w:rPr>
        <w:t>определённой</w:t>
      </w:r>
      <w:r w:rsidRPr="002230C2">
        <w:rPr>
          <w:rStyle w:val="ac"/>
          <w:rFonts w:eastAsiaTheme="majorEastAsia"/>
          <w:i/>
          <w:iCs/>
          <w:sz w:val="24"/>
          <w:szCs w:val="24"/>
        </w:rPr>
        <w:t xml:space="preserve"> категории пациентов. Безопасность в отношении риска повреждения эндотелия, интимы и медии, расслоения почечной артерии, контраст-индуцированного повреждения почек в раннем периоде и риска развития стеноза почечной артерии или ХБП в отсроченном исследована и подтверждена для популяции с СКФ &gt;40 мл/мин/1,73 м</w:t>
      </w:r>
      <w:r w:rsidRPr="002230C2">
        <w:rPr>
          <w:rStyle w:val="ac"/>
          <w:rFonts w:eastAsiaTheme="majorEastAsia"/>
          <w:i/>
          <w:iCs/>
          <w:sz w:val="24"/>
          <w:szCs w:val="24"/>
          <w:vertAlign w:val="superscript"/>
        </w:rPr>
        <w:t>2</w:t>
      </w:r>
      <w:r w:rsidRPr="002230C2">
        <w:rPr>
          <w:rStyle w:val="ac"/>
          <w:rFonts w:eastAsiaTheme="majorEastAsia"/>
          <w:sz w:val="24"/>
          <w:szCs w:val="24"/>
        </w:rPr>
        <w:t xml:space="preserve"> [215, 220]</w:t>
      </w:r>
      <w:r w:rsidRPr="002230C2">
        <w:rPr>
          <w:rStyle w:val="ac"/>
          <w:rFonts w:eastAsiaTheme="majorEastAsia"/>
          <w:i/>
          <w:iCs/>
          <w:sz w:val="24"/>
          <w:szCs w:val="24"/>
        </w:rPr>
        <w:t>.</w:t>
      </w:r>
    </w:p>
    <w:p w14:paraId="5DF287F2" w14:textId="77777777" w:rsidR="00A3212B" w:rsidRPr="00705360" w:rsidRDefault="002230C2" w:rsidP="00705360">
      <w:pPr>
        <w:pStyle w:val="11"/>
        <w:tabs>
          <w:tab w:val="left" w:pos="2014"/>
        </w:tabs>
        <w:ind w:firstLine="620"/>
        <w:jc w:val="both"/>
        <w:rPr>
          <w:rStyle w:val="ac"/>
          <w:sz w:val="24"/>
          <w:szCs w:val="24"/>
        </w:rPr>
      </w:pPr>
      <w:r w:rsidRPr="002230C2">
        <w:rPr>
          <w:rStyle w:val="ac"/>
          <w:rFonts w:eastAsiaTheme="majorEastAsia"/>
          <w:i/>
          <w:iCs/>
          <w:sz w:val="24"/>
          <w:szCs w:val="24"/>
        </w:rPr>
        <w:t xml:space="preserve">Таким образом, денервация почечных артерий может рассматриваться как дополнение или альтернатива наращиванию интенсивности АГТ у пациентов с неконтролируемой резистентной АГ, </w:t>
      </w:r>
      <w:r w:rsidR="00C63B09" w:rsidRPr="002230C2">
        <w:rPr>
          <w:rStyle w:val="ac"/>
          <w:rFonts w:eastAsiaTheme="majorEastAsia"/>
          <w:i/>
          <w:iCs/>
          <w:sz w:val="24"/>
          <w:szCs w:val="24"/>
        </w:rPr>
        <w:t>подтверждённой</w:t>
      </w:r>
      <w:r w:rsidRPr="002230C2">
        <w:rPr>
          <w:rStyle w:val="ac"/>
          <w:rFonts w:eastAsiaTheme="majorEastAsia"/>
          <w:i/>
          <w:iCs/>
          <w:sz w:val="24"/>
          <w:szCs w:val="24"/>
        </w:rPr>
        <w:t xml:space="preserve"> при СМАД и при исключении вторичных причин. Отбор пациентов, которым предлагается почечная денервация, должен осуществляться в рамках совместного процесса принятия решений после получения объективной и полной информации о пациенте</w:t>
      </w:r>
      <w:r w:rsidRPr="002230C2">
        <w:rPr>
          <w:rStyle w:val="ac"/>
          <w:rFonts w:eastAsiaTheme="majorEastAsia"/>
          <w:sz w:val="24"/>
          <w:szCs w:val="24"/>
        </w:rPr>
        <w:t xml:space="preserve"> [215,</w:t>
      </w:r>
      <w:r w:rsidR="00C63B09" w:rsidRPr="002230C2">
        <w:rPr>
          <w:rStyle w:val="ac"/>
          <w:rFonts w:eastAsiaTheme="majorEastAsia"/>
          <w:sz w:val="24"/>
          <w:szCs w:val="24"/>
        </w:rPr>
        <w:t xml:space="preserve"> </w:t>
      </w:r>
      <w:r w:rsidRPr="002230C2">
        <w:rPr>
          <w:rStyle w:val="ac"/>
          <w:rFonts w:eastAsiaTheme="majorEastAsia"/>
          <w:sz w:val="24"/>
          <w:szCs w:val="24"/>
        </w:rPr>
        <w:t>221]</w:t>
      </w:r>
      <w:r w:rsidRPr="002230C2">
        <w:rPr>
          <w:rStyle w:val="ac"/>
          <w:rFonts w:eastAsiaTheme="majorEastAsia"/>
          <w:i/>
          <w:iCs/>
          <w:sz w:val="24"/>
          <w:szCs w:val="24"/>
        </w:rPr>
        <w:t>. Денервацию</w:t>
      </w:r>
      <w:r w:rsidR="00C63B09">
        <w:rPr>
          <w:rStyle w:val="ac"/>
          <w:rFonts w:eastAsiaTheme="majorEastAsia"/>
          <w:i/>
          <w:iCs/>
          <w:sz w:val="24"/>
          <w:szCs w:val="24"/>
        </w:rPr>
        <w:t xml:space="preserve"> </w:t>
      </w:r>
      <w:r w:rsidRPr="002230C2">
        <w:rPr>
          <w:rStyle w:val="ac"/>
          <w:rFonts w:eastAsiaTheme="majorEastAsia"/>
          <w:i/>
          <w:iCs/>
          <w:sz w:val="24"/>
          <w:szCs w:val="24"/>
        </w:rPr>
        <w:t>почек следует проводить только в опытных</w:t>
      </w:r>
      <w:r w:rsidR="00C63B09">
        <w:rPr>
          <w:rStyle w:val="ac"/>
          <w:rFonts w:eastAsiaTheme="majorEastAsia"/>
          <w:i/>
          <w:iCs/>
          <w:sz w:val="24"/>
          <w:szCs w:val="24"/>
        </w:rPr>
        <w:t xml:space="preserve"> </w:t>
      </w:r>
      <w:r w:rsidRPr="002230C2">
        <w:rPr>
          <w:rStyle w:val="ac"/>
          <w:rFonts w:eastAsiaTheme="majorEastAsia"/>
          <w:i/>
          <w:iCs/>
          <w:sz w:val="24"/>
          <w:szCs w:val="24"/>
        </w:rPr>
        <w:t>специализированных центрах, чтобы гарантировать надлежащий отбор подходящих пациентов и полноту процедуры денервации</w:t>
      </w:r>
      <w:r w:rsidRPr="002230C2">
        <w:rPr>
          <w:rStyle w:val="ac"/>
          <w:rFonts w:eastAsiaTheme="majorEastAsia"/>
          <w:sz w:val="24"/>
          <w:szCs w:val="24"/>
        </w:rPr>
        <w:t xml:space="preserve"> [215, 221]</w:t>
      </w:r>
      <w:r w:rsidRPr="002230C2">
        <w:rPr>
          <w:rStyle w:val="ac"/>
          <w:rFonts w:eastAsiaTheme="majorEastAsia"/>
          <w:i/>
          <w:iCs/>
          <w:sz w:val="24"/>
          <w:szCs w:val="24"/>
        </w:rPr>
        <w:t>. Денервация почечных артерий должна проводиться только в специализированных центрах с опытом выполнения данной процедуры, с участием мультидисциплинарной команды</w:t>
      </w:r>
      <w:r w:rsidRPr="002230C2">
        <w:rPr>
          <w:rStyle w:val="ac"/>
          <w:rFonts w:eastAsiaTheme="majorEastAsia"/>
          <w:sz w:val="24"/>
          <w:szCs w:val="24"/>
        </w:rPr>
        <w:t xml:space="preserve"> [215]</w:t>
      </w:r>
      <w:r w:rsidRPr="002230C2">
        <w:rPr>
          <w:rStyle w:val="ac"/>
          <w:rFonts w:eastAsiaTheme="majorEastAsia"/>
          <w:i/>
          <w:iCs/>
          <w:sz w:val="24"/>
          <w:szCs w:val="24"/>
        </w:rPr>
        <w:t>.</w:t>
      </w:r>
    </w:p>
    <w:p w14:paraId="3C563F88" w14:textId="77777777" w:rsidR="00705360" w:rsidRPr="00705360" w:rsidRDefault="00705360" w:rsidP="00C10BEC">
      <w:pPr>
        <w:pStyle w:val="11"/>
        <w:spacing w:after="40"/>
        <w:ind w:firstLine="0"/>
        <w:outlineLvl w:val="1"/>
        <w:rPr>
          <w:rStyle w:val="ac"/>
          <w:rFonts w:eastAsiaTheme="majorEastAsia"/>
          <w:b/>
          <w:bCs/>
          <w:sz w:val="24"/>
          <w:szCs w:val="24"/>
          <w:u w:val="single"/>
        </w:rPr>
      </w:pPr>
      <w:bookmarkStart w:id="65" w:name="_Toc202877443"/>
      <w:bookmarkEnd w:id="22"/>
      <w:r w:rsidRPr="00705360">
        <w:rPr>
          <w:rStyle w:val="ac"/>
          <w:rFonts w:eastAsiaTheme="majorEastAsia"/>
          <w:b/>
          <w:bCs/>
          <w:sz w:val="24"/>
          <w:szCs w:val="24"/>
          <w:u w:val="single"/>
        </w:rPr>
        <w:t>3.3 Иное лечение</w:t>
      </w:r>
      <w:bookmarkEnd w:id="65"/>
    </w:p>
    <w:p w14:paraId="53D01E78" w14:textId="77777777" w:rsidR="00764BDE" w:rsidRPr="00705360" w:rsidRDefault="00764BDE" w:rsidP="00764BDE">
      <w:pPr>
        <w:pStyle w:val="11"/>
        <w:spacing w:after="40"/>
        <w:ind w:firstLine="620"/>
        <w:jc w:val="both"/>
        <w:rPr>
          <w:sz w:val="24"/>
          <w:szCs w:val="24"/>
        </w:rPr>
      </w:pPr>
      <w:r w:rsidRPr="00705360">
        <w:rPr>
          <w:rStyle w:val="ac"/>
          <w:rFonts w:eastAsiaTheme="majorEastAsia"/>
          <w:sz w:val="24"/>
          <w:szCs w:val="24"/>
        </w:rPr>
        <w:lastRenderedPageBreak/>
        <w:t>Мероприятия по изменению образа жизни рекомендуются всем пациентам с АГ. Немедикаментозные методы лечения АГ способствуют снижению АД, уменьшают потребность в антигипертензивных средствах (АГП) и повышают их эффективность, позволяют осуществлять коррекцию ФР, проводить первичную профилактику АГ у пациентов с высоким нормальным АД и имеющих ФР [138, 139].</w:t>
      </w:r>
    </w:p>
    <w:p w14:paraId="722DC82B" w14:textId="77777777" w:rsidR="00764BDE" w:rsidRPr="00764BDE" w:rsidRDefault="00764BDE">
      <w:pPr>
        <w:pStyle w:val="11"/>
        <w:numPr>
          <w:ilvl w:val="0"/>
          <w:numId w:val="17"/>
        </w:numPr>
        <w:tabs>
          <w:tab w:val="left" w:pos="1393"/>
        </w:tabs>
        <w:ind w:firstLine="620"/>
        <w:jc w:val="both"/>
        <w:rPr>
          <w:sz w:val="24"/>
          <w:szCs w:val="24"/>
        </w:rPr>
      </w:pPr>
      <w:r w:rsidRPr="00764BDE">
        <w:rPr>
          <w:rStyle w:val="ac"/>
          <w:rFonts w:eastAsiaTheme="majorEastAsia"/>
          <w:sz w:val="24"/>
          <w:szCs w:val="24"/>
        </w:rPr>
        <w:t>Всем пациентам с АГ для улучшения контроля заболевания рекомендуется</w:t>
      </w:r>
    </w:p>
    <w:p w14:paraId="61650D02" w14:textId="77777777" w:rsidR="00764BDE" w:rsidRPr="00764BDE" w:rsidRDefault="00764BDE" w:rsidP="00764BDE">
      <w:pPr>
        <w:pStyle w:val="11"/>
        <w:ind w:firstLine="0"/>
        <w:jc w:val="both"/>
        <w:rPr>
          <w:sz w:val="24"/>
          <w:szCs w:val="24"/>
        </w:rPr>
      </w:pPr>
      <w:r w:rsidRPr="00764BDE">
        <w:rPr>
          <w:rStyle w:val="ac"/>
          <w:rFonts w:eastAsiaTheme="majorEastAsia"/>
          <w:sz w:val="24"/>
          <w:szCs w:val="24"/>
        </w:rPr>
        <w:t>ограничение употребления соли до &lt;5 г в сутки [140, 141, 142, 143].</w:t>
      </w:r>
    </w:p>
    <w:p w14:paraId="7CB0FB6F" w14:textId="57D2F626" w:rsidR="00764BDE" w:rsidRPr="008A2AFD" w:rsidRDefault="003D51B3" w:rsidP="00764BDE">
      <w:pPr>
        <w:pStyle w:val="11"/>
        <w:ind w:firstLine="600"/>
        <w:jc w:val="both"/>
        <w:rPr>
          <w:sz w:val="24"/>
          <w:szCs w:val="24"/>
        </w:rPr>
      </w:pPr>
      <w:r>
        <w:rPr>
          <w:rStyle w:val="ac"/>
          <w:rFonts w:eastAsiaTheme="majorEastAsia"/>
          <w:b/>
          <w:bCs/>
          <w:sz w:val="24"/>
          <w:szCs w:val="24"/>
        </w:rPr>
        <w:t>Уровень убедительности рекомендаций</w:t>
      </w:r>
      <w:r w:rsidR="00D2631A">
        <w:rPr>
          <w:rStyle w:val="ac"/>
          <w:rFonts w:eastAsiaTheme="majorEastAsia"/>
          <w:b/>
          <w:bCs/>
          <w:sz w:val="24"/>
          <w:szCs w:val="24"/>
        </w:rPr>
        <w:t xml:space="preserve"> </w:t>
      </w:r>
      <w:r w:rsidR="00764BDE" w:rsidRPr="00764BDE">
        <w:rPr>
          <w:rStyle w:val="ac"/>
          <w:rFonts w:eastAsiaTheme="majorEastAsia"/>
          <w:b/>
          <w:bCs/>
          <w:sz w:val="24"/>
          <w:szCs w:val="24"/>
          <w:lang w:val="en-US"/>
        </w:rPr>
        <w:t>A</w:t>
      </w:r>
      <w:r w:rsidR="00764BDE" w:rsidRPr="00764BDE">
        <w:rPr>
          <w:rStyle w:val="ac"/>
          <w:rFonts w:eastAsiaTheme="majorEastAsia"/>
          <w:b/>
          <w:bCs/>
          <w:sz w:val="24"/>
          <w:szCs w:val="24"/>
        </w:rPr>
        <w:t xml:space="preserve">, </w:t>
      </w:r>
      <w:r w:rsidR="00D2631A" w:rsidRPr="00764BDE">
        <w:rPr>
          <w:rStyle w:val="ac"/>
          <w:rFonts w:eastAsiaTheme="majorEastAsia"/>
          <w:b/>
          <w:bCs/>
          <w:sz w:val="24"/>
          <w:szCs w:val="24"/>
        </w:rPr>
        <w:t>(</w:t>
      </w:r>
      <w:r>
        <w:rPr>
          <w:rStyle w:val="ac"/>
          <w:rFonts w:eastAsiaTheme="majorEastAsia"/>
          <w:b/>
          <w:bCs/>
          <w:sz w:val="24"/>
          <w:szCs w:val="24"/>
        </w:rPr>
        <w:t>Уровень достоверности доказательств</w:t>
      </w:r>
      <w:r w:rsidR="00764BDE" w:rsidRPr="00764BDE">
        <w:rPr>
          <w:rStyle w:val="ac"/>
          <w:rFonts w:eastAsiaTheme="majorEastAsia"/>
          <w:b/>
          <w:bCs/>
          <w:sz w:val="24"/>
          <w:szCs w:val="24"/>
        </w:rPr>
        <w:t xml:space="preserve"> 1)</w:t>
      </w:r>
      <w:r w:rsidR="00D2631A">
        <w:rPr>
          <w:rStyle w:val="ac"/>
          <w:rFonts w:eastAsiaTheme="majorEastAsia"/>
          <w:b/>
          <w:bCs/>
          <w:sz w:val="24"/>
          <w:szCs w:val="24"/>
        </w:rPr>
        <w:t xml:space="preserve">; </w:t>
      </w:r>
      <w:r w:rsidR="00D2631A" w:rsidRPr="00764BDE">
        <w:rPr>
          <w:rStyle w:val="ac"/>
          <w:rFonts w:eastAsiaTheme="majorEastAsia"/>
          <w:b/>
          <w:bCs/>
          <w:sz w:val="24"/>
          <w:szCs w:val="24"/>
        </w:rPr>
        <w:t xml:space="preserve">ЕОК/ЕОАГ </w:t>
      </w:r>
      <w:r w:rsidR="00D2631A" w:rsidRPr="00764BDE">
        <w:rPr>
          <w:rStyle w:val="ac"/>
          <w:rFonts w:eastAsiaTheme="majorEastAsia"/>
          <w:b/>
          <w:bCs/>
          <w:sz w:val="24"/>
          <w:szCs w:val="24"/>
          <w:lang w:val="en-US"/>
        </w:rPr>
        <w:t>IA</w:t>
      </w:r>
      <w:r w:rsidR="008A2AFD">
        <w:rPr>
          <w:rStyle w:val="ac"/>
          <w:rFonts w:eastAsiaTheme="majorEastAsia"/>
          <w:b/>
          <w:bCs/>
          <w:sz w:val="24"/>
          <w:szCs w:val="24"/>
        </w:rPr>
        <w:t>.</w:t>
      </w:r>
    </w:p>
    <w:p w14:paraId="2CAADF3D" w14:textId="77777777" w:rsidR="00764BDE" w:rsidRPr="00764BDE" w:rsidRDefault="00764BDE" w:rsidP="00705360">
      <w:pPr>
        <w:pStyle w:val="11"/>
        <w:ind w:firstLine="620"/>
        <w:jc w:val="both"/>
        <w:rPr>
          <w:sz w:val="24"/>
          <w:szCs w:val="24"/>
        </w:rPr>
      </w:pPr>
      <w:r w:rsidRPr="00764BDE">
        <w:rPr>
          <w:rStyle w:val="ac"/>
          <w:rFonts w:eastAsiaTheme="majorEastAsia"/>
          <w:b/>
          <w:bCs/>
          <w:sz w:val="24"/>
          <w:szCs w:val="24"/>
        </w:rPr>
        <w:t xml:space="preserve">Комментарии. </w:t>
      </w:r>
      <w:r w:rsidRPr="00764BDE">
        <w:rPr>
          <w:rStyle w:val="ac"/>
          <w:rFonts w:eastAsiaTheme="majorEastAsia"/>
          <w:i/>
          <w:iCs/>
          <w:sz w:val="24"/>
          <w:szCs w:val="24"/>
        </w:rPr>
        <w:t xml:space="preserve">Избыточное потребление соли может играть существенную неблагоприятную роль в развитии рефрактерной АГ. Стандартное потребление соли во многих странах составляет от 9 до 12 г/сутки (80% потребляемой соли приходится на так называемую «скрытую соль»), уменьшение ее потребления до 5 г/сутки у пациентов АГ ведет к снижению САД на 4–5 мм рт. ст. Влияние ограничения натрия более выражено у пациентов пожилого и старческого возраста, у пациентов с СД, МС и ХБП. В крупномасштабном, открытом, рандомизированном исследовании </w:t>
      </w:r>
      <w:r w:rsidRPr="00764BDE">
        <w:rPr>
          <w:rStyle w:val="ac"/>
          <w:rFonts w:eastAsiaTheme="majorEastAsia"/>
          <w:i/>
          <w:iCs/>
          <w:sz w:val="24"/>
          <w:szCs w:val="24"/>
          <w:lang w:val="en-US"/>
        </w:rPr>
        <w:t>SSaSS</w:t>
      </w:r>
      <w:r w:rsidRPr="00764BDE">
        <w:rPr>
          <w:rStyle w:val="ac"/>
          <w:rFonts w:eastAsiaTheme="majorEastAsia"/>
          <w:i/>
          <w:iCs/>
          <w:sz w:val="24"/>
          <w:szCs w:val="24"/>
        </w:rPr>
        <w:t xml:space="preserve"> (</w:t>
      </w:r>
      <w:r w:rsidRPr="00764BDE">
        <w:rPr>
          <w:rStyle w:val="ac"/>
          <w:rFonts w:eastAsiaTheme="majorEastAsia"/>
          <w:i/>
          <w:iCs/>
          <w:sz w:val="24"/>
          <w:szCs w:val="24"/>
          <w:lang w:val="en-US"/>
        </w:rPr>
        <w:t>Effects</w:t>
      </w:r>
      <w:r w:rsidRPr="00764BDE">
        <w:rPr>
          <w:rStyle w:val="ac"/>
          <w:rFonts w:eastAsiaTheme="majorEastAsia"/>
          <w:i/>
          <w:iCs/>
          <w:sz w:val="24"/>
          <w:szCs w:val="24"/>
        </w:rPr>
        <w:t xml:space="preserve"> </w:t>
      </w:r>
      <w:r w:rsidRPr="00764BDE">
        <w:rPr>
          <w:rStyle w:val="ac"/>
          <w:rFonts w:eastAsiaTheme="majorEastAsia"/>
          <w:i/>
          <w:iCs/>
          <w:sz w:val="24"/>
          <w:szCs w:val="24"/>
          <w:lang w:val="en-US"/>
        </w:rPr>
        <w:t>of</w:t>
      </w:r>
      <w:r w:rsidRPr="00764BDE">
        <w:rPr>
          <w:rStyle w:val="ac"/>
          <w:rFonts w:eastAsiaTheme="majorEastAsia"/>
          <w:i/>
          <w:iCs/>
          <w:sz w:val="24"/>
          <w:szCs w:val="24"/>
        </w:rPr>
        <w:t xml:space="preserve"> </w:t>
      </w:r>
      <w:r w:rsidRPr="00764BDE">
        <w:rPr>
          <w:rStyle w:val="ac"/>
          <w:rFonts w:eastAsiaTheme="majorEastAsia"/>
          <w:i/>
          <w:iCs/>
          <w:sz w:val="24"/>
          <w:szCs w:val="24"/>
          <w:lang w:val="en-US"/>
        </w:rPr>
        <w:t>reduced</w:t>
      </w:r>
      <w:r w:rsidRPr="00764BDE">
        <w:rPr>
          <w:rStyle w:val="ac"/>
          <w:rFonts w:eastAsiaTheme="majorEastAsia"/>
          <w:i/>
          <w:iCs/>
          <w:sz w:val="24"/>
          <w:szCs w:val="24"/>
        </w:rPr>
        <w:t>-</w:t>
      </w:r>
      <w:r w:rsidRPr="00764BDE">
        <w:rPr>
          <w:rStyle w:val="ac"/>
          <w:rFonts w:eastAsiaTheme="majorEastAsia"/>
          <w:i/>
          <w:iCs/>
          <w:sz w:val="24"/>
          <w:szCs w:val="24"/>
          <w:lang w:val="en-US"/>
        </w:rPr>
        <w:t>sodium</w:t>
      </w:r>
      <w:r w:rsidRPr="00764BDE">
        <w:rPr>
          <w:rStyle w:val="ac"/>
          <w:rFonts w:eastAsiaTheme="majorEastAsia"/>
          <w:i/>
          <w:iCs/>
          <w:sz w:val="24"/>
          <w:szCs w:val="24"/>
        </w:rPr>
        <w:t xml:space="preserve">, </w:t>
      </w:r>
      <w:r w:rsidRPr="00764BDE">
        <w:rPr>
          <w:rStyle w:val="ac"/>
          <w:rFonts w:eastAsiaTheme="majorEastAsia"/>
          <w:i/>
          <w:iCs/>
          <w:sz w:val="24"/>
          <w:szCs w:val="24"/>
          <w:lang w:val="en-US"/>
        </w:rPr>
        <w:t>added</w:t>
      </w:r>
      <w:r w:rsidRPr="00764BDE">
        <w:rPr>
          <w:rStyle w:val="ac"/>
          <w:rFonts w:eastAsiaTheme="majorEastAsia"/>
          <w:i/>
          <w:iCs/>
          <w:sz w:val="24"/>
          <w:szCs w:val="24"/>
        </w:rPr>
        <w:t>-</w:t>
      </w:r>
      <w:r w:rsidRPr="00764BDE">
        <w:rPr>
          <w:rStyle w:val="ac"/>
          <w:rFonts w:eastAsiaTheme="majorEastAsia"/>
          <w:i/>
          <w:iCs/>
          <w:sz w:val="24"/>
          <w:szCs w:val="24"/>
          <w:lang w:val="en-US"/>
        </w:rPr>
        <w:t>potassium</w:t>
      </w:r>
      <w:r w:rsidRPr="00764BDE">
        <w:rPr>
          <w:rStyle w:val="ac"/>
          <w:rFonts w:eastAsiaTheme="majorEastAsia"/>
          <w:i/>
          <w:iCs/>
          <w:sz w:val="24"/>
          <w:szCs w:val="24"/>
        </w:rPr>
        <w:t xml:space="preserve"> </w:t>
      </w:r>
      <w:r w:rsidRPr="00764BDE">
        <w:rPr>
          <w:rStyle w:val="ac"/>
          <w:rFonts w:eastAsiaTheme="majorEastAsia"/>
          <w:i/>
          <w:iCs/>
          <w:sz w:val="24"/>
          <w:szCs w:val="24"/>
          <w:lang w:val="en-US"/>
        </w:rPr>
        <w:t>salt</w:t>
      </w:r>
      <w:r w:rsidRPr="00764BDE">
        <w:rPr>
          <w:rStyle w:val="ac"/>
          <w:rFonts w:eastAsiaTheme="majorEastAsia"/>
          <w:i/>
          <w:iCs/>
          <w:sz w:val="24"/>
          <w:szCs w:val="24"/>
        </w:rPr>
        <w:t xml:space="preserve"> </w:t>
      </w:r>
      <w:r w:rsidRPr="00764BDE">
        <w:rPr>
          <w:rStyle w:val="ac"/>
          <w:rFonts w:eastAsiaTheme="majorEastAsia"/>
          <w:i/>
          <w:iCs/>
          <w:sz w:val="24"/>
          <w:szCs w:val="24"/>
          <w:lang w:val="en-US"/>
        </w:rPr>
        <w:t>substitute</w:t>
      </w:r>
      <w:r w:rsidRPr="00764BDE">
        <w:rPr>
          <w:rStyle w:val="ac"/>
          <w:rFonts w:eastAsiaTheme="majorEastAsia"/>
          <w:i/>
          <w:iCs/>
          <w:sz w:val="24"/>
          <w:szCs w:val="24"/>
        </w:rPr>
        <w:t xml:space="preserve"> </w:t>
      </w:r>
      <w:r w:rsidRPr="00764BDE">
        <w:rPr>
          <w:rStyle w:val="ac"/>
          <w:rFonts w:eastAsiaTheme="majorEastAsia"/>
          <w:i/>
          <w:iCs/>
          <w:sz w:val="24"/>
          <w:szCs w:val="24"/>
          <w:lang w:val="en-US"/>
        </w:rPr>
        <w:t>on</w:t>
      </w:r>
      <w:r w:rsidRPr="00764BDE">
        <w:rPr>
          <w:rStyle w:val="ac"/>
          <w:rFonts w:eastAsiaTheme="majorEastAsia"/>
          <w:i/>
          <w:iCs/>
          <w:sz w:val="24"/>
          <w:szCs w:val="24"/>
        </w:rPr>
        <w:t xml:space="preserve"> </w:t>
      </w:r>
      <w:r w:rsidRPr="00764BDE">
        <w:rPr>
          <w:rStyle w:val="ac"/>
          <w:rFonts w:eastAsiaTheme="majorEastAsia"/>
          <w:i/>
          <w:iCs/>
          <w:sz w:val="24"/>
          <w:szCs w:val="24"/>
          <w:lang w:val="en-US"/>
        </w:rPr>
        <w:t>stroke</w:t>
      </w:r>
      <w:r w:rsidRPr="00764BDE">
        <w:rPr>
          <w:rStyle w:val="ac"/>
          <w:rFonts w:eastAsiaTheme="majorEastAsia"/>
          <w:i/>
          <w:iCs/>
          <w:sz w:val="24"/>
          <w:szCs w:val="24"/>
        </w:rPr>
        <w:t xml:space="preserve"> – </w:t>
      </w:r>
      <w:r w:rsidRPr="00764BDE">
        <w:rPr>
          <w:rStyle w:val="ac"/>
          <w:rFonts w:eastAsiaTheme="majorEastAsia"/>
          <w:i/>
          <w:iCs/>
          <w:sz w:val="24"/>
          <w:szCs w:val="24"/>
          <w:lang w:val="en-US"/>
        </w:rPr>
        <w:t>the</w:t>
      </w:r>
      <w:r w:rsidRPr="00764BDE">
        <w:rPr>
          <w:rStyle w:val="ac"/>
          <w:rFonts w:eastAsiaTheme="majorEastAsia"/>
          <w:i/>
          <w:iCs/>
          <w:sz w:val="24"/>
          <w:szCs w:val="24"/>
        </w:rPr>
        <w:t xml:space="preserve"> </w:t>
      </w:r>
      <w:r w:rsidRPr="00764BDE">
        <w:rPr>
          <w:rStyle w:val="ac"/>
          <w:rFonts w:eastAsiaTheme="majorEastAsia"/>
          <w:i/>
          <w:iCs/>
          <w:sz w:val="24"/>
          <w:szCs w:val="24"/>
          <w:lang w:val="en-US"/>
        </w:rPr>
        <w:t>salt</w:t>
      </w:r>
      <w:r w:rsidRPr="00764BDE">
        <w:rPr>
          <w:rStyle w:val="ac"/>
          <w:rFonts w:eastAsiaTheme="majorEastAsia"/>
          <w:i/>
          <w:iCs/>
          <w:sz w:val="24"/>
          <w:szCs w:val="24"/>
        </w:rPr>
        <w:t xml:space="preserve"> </w:t>
      </w:r>
      <w:r w:rsidRPr="00764BDE">
        <w:rPr>
          <w:rStyle w:val="ac"/>
          <w:rFonts w:eastAsiaTheme="majorEastAsia"/>
          <w:i/>
          <w:iCs/>
          <w:sz w:val="24"/>
          <w:szCs w:val="24"/>
          <w:lang w:val="en-US"/>
        </w:rPr>
        <w:t>substitute</w:t>
      </w:r>
      <w:r w:rsidRPr="00764BDE">
        <w:rPr>
          <w:rStyle w:val="ac"/>
          <w:rFonts w:eastAsiaTheme="majorEastAsia"/>
          <w:i/>
          <w:iCs/>
          <w:sz w:val="24"/>
          <w:szCs w:val="24"/>
        </w:rPr>
        <w:t xml:space="preserve"> </w:t>
      </w:r>
      <w:r w:rsidRPr="00764BDE">
        <w:rPr>
          <w:rStyle w:val="ac"/>
          <w:rFonts w:eastAsiaTheme="majorEastAsia"/>
          <w:i/>
          <w:iCs/>
          <w:sz w:val="24"/>
          <w:szCs w:val="24"/>
          <w:lang w:val="en-US"/>
        </w:rPr>
        <w:t>and</w:t>
      </w:r>
      <w:r w:rsidRPr="00764BDE">
        <w:rPr>
          <w:rStyle w:val="ac"/>
          <w:rFonts w:eastAsiaTheme="majorEastAsia"/>
          <w:i/>
          <w:iCs/>
          <w:sz w:val="24"/>
          <w:szCs w:val="24"/>
        </w:rPr>
        <w:t xml:space="preserve"> </w:t>
      </w:r>
      <w:r w:rsidRPr="00764BDE">
        <w:rPr>
          <w:rStyle w:val="ac"/>
          <w:rFonts w:eastAsiaTheme="majorEastAsia"/>
          <w:i/>
          <w:iCs/>
          <w:sz w:val="24"/>
          <w:szCs w:val="24"/>
          <w:lang w:val="en-US"/>
        </w:rPr>
        <w:t>stroke</w:t>
      </w:r>
      <w:r w:rsidRPr="00764BDE">
        <w:rPr>
          <w:rStyle w:val="ac"/>
          <w:rFonts w:eastAsiaTheme="majorEastAsia"/>
          <w:i/>
          <w:iCs/>
          <w:sz w:val="24"/>
          <w:szCs w:val="24"/>
        </w:rPr>
        <w:t xml:space="preserve"> </w:t>
      </w:r>
      <w:r w:rsidRPr="00764BDE">
        <w:rPr>
          <w:rStyle w:val="ac"/>
          <w:rFonts w:eastAsiaTheme="majorEastAsia"/>
          <w:i/>
          <w:iCs/>
          <w:sz w:val="24"/>
          <w:szCs w:val="24"/>
          <w:lang w:val="en-US"/>
        </w:rPr>
        <w:t>study</w:t>
      </w:r>
      <w:r w:rsidRPr="00764BDE">
        <w:rPr>
          <w:rStyle w:val="ac"/>
          <w:rFonts w:eastAsiaTheme="majorEastAsia"/>
          <w:i/>
          <w:iCs/>
          <w:sz w:val="24"/>
          <w:szCs w:val="24"/>
        </w:rPr>
        <w:t>) оценивалось влияние заменителя соли с пониженным содержанием натрия и добавлением калия (62,5% натрия хлорида, 25% калия, 12,5% пищевые ароматизаторы и следы аминокислот) в сравнении с обычной солью (100% натрия хлорида) на риск основных серьёзных неблагоприятных сердечно-сосудистых событий (МАСЕ) и смерти. В исследование было включено 21 000 пациентов АГ очень высокого риска, средний возраст 65 лет, период наблюдения 4,7 лет. Продемонстрировано снижение основных серьёзных неблагоприятных сердечно-сосудистых событий (ОР 0,87 (0,80-0,94), р=0,001), инсульта (ОР 0,86 (0,77-0,96), р=0,006) и случаев смерти (ОР 0,88 (0,82-0,95), р=0,001) у пациентов, получающих заменитель соли</w:t>
      </w:r>
      <w:r w:rsidRPr="00764BDE">
        <w:rPr>
          <w:rStyle w:val="ac"/>
          <w:rFonts w:eastAsiaTheme="majorEastAsia"/>
          <w:sz w:val="24"/>
          <w:szCs w:val="24"/>
        </w:rPr>
        <w:t xml:space="preserve"> [144]</w:t>
      </w:r>
      <w:r w:rsidRPr="00764BDE">
        <w:rPr>
          <w:rStyle w:val="ac"/>
          <w:rFonts w:eastAsiaTheme="majorEastAsia"/>
          <w:i/>
          <w:iCs/>
          <w:sz w:val="24"/>
          <w:szCs w:val="24"/>
        </w:rPr>
        <w:t>.</w:t>
      </w:r>
    </w:p>
    <w:p w14:paraId="32430233" w14:textId="77777777" w:rsidR="00764BDE" w:rsidRPr="00764BDE" w:rsidRDefault="00764BDE" w:rsidP="008420E0">
      <w:pPr>
        <w:pStyle w:val="11"/>
        <w:numPr>
          <w:ilvl w:val="0"/>
          <w:numId w:val="17"/>
        </w:numPr>
        <w:tabs>
          <w:tab w:val="left" w:pos="1394"/>
        </w:tabs>
        <w:ind w:firstLine="620"/>
        <w:jc w:val="both"/>
        <w:rPr>
          <w:sz w:val="24"/>
          <w:szCs w:val="24"/>
        </w:rPr>
      </w:pPr>
      <w:r w:rsidRPr="00764BDE">
        <w:rPr>
          <w:rStyle w:val="ac"/>
          <w:rFonts w:eastAsiaTheme="majorEastAsia"/>
          <w:sz w:val="24"/>
          <w:szCs w:val="24"/>
        </w:rPr>
        <w:t>Всем пациентам с АГ для улучшения контроля заболевания рекомендуется</w:t>
      </w:r>
    </w:p>
    <w:p w14:paraId="4FB82C9A" w14:textId="77777777" w:rsidR="00764BDE" w:rsidRPr="00764BDE" w:rsidRDefault="00764BDE" w:rsidP="008420E0">
      <w:pPr>
        <w:pStyle w:val="11"/>
        <w:ind w:firstLine="0"/>
        <w:jc w:val="both"/>
        <w:rPr>
          <w:sz w:val="24"/>
          <w:szCs w:val="24"/>
        </w:rPr>
      </w:pPr>
      <w:r w:rsidRPr="00764BDE">
        <w:rPr>
          <w:rStyle w:val="ac"/>
          <w:rFonts w:eastAsiaTheme="majorEastAsia"/>
          <w:sz w:val="24"/>
          <w:szCs w:val="24"/>
        </w:rPr>
        <w:t>ограничить употребления алкоголя (менее 14 единиц в неделю для мужчин, менее 8 единиц в неделю для женщин) и избегать хронического злоупотребления алкоголем [27, 145].</w:t>
      </w:r>
    </w:p>
    <w:p w14:paraId="6793F41F" w14:textId="5339E9DE" w:rsidR="00764BDE" w:rsidRPr="008A2AFD" w:rsidRDefault="00764BDE" w:rsidP="00764BDE">
      <w:pPr>
        <w:pStyle w:val="11"/>
        <w:ind w:firstLine="620"/>
        <w:jc w:val="both"/>
        <w:rPr>
          <w:sz w:val="24"/>
          <w:szCs w:val="24"/>
        </w:rPr>
      </w:pPr>
      <w:r w:rsidRPr="00764BD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D2631A">
        <w:rPr>
          <w:rStyle w:val="ac"/>
          <w:rFonts w:eastAsiaTheme="majorEastAsia"/>
          <w:b/>
          <w:bCs/>
          <w:sz w:val="24"/>
          <w:szCs w:val="24"/>
        </w:rPr>
        <w:t xml:space="preserve"> </w:t>
      </w:r>
      <w:r w:rsidRPr="00764BDE">
        <w:rPr>
          <w:rStyle w:val="ac"/>
          <w:rFonts w:eastAsiaTheme="majorEastAsia"/>
          <w:b/>
          <w:bCs/>
          <w:sz w:val="24"/>
          <w:szCs w:val="24"/>
          <w:lang w:val="en-US"/>
        </w:rPr>
        <w:t>A</w:t>
      </w:r>
      <w:r w:rsidRPr="00764BDE">
        <w:rPr>
          <w:rStyle w:val="ac"/>
          <w:rFonts w:eastAsiaTheme="majorEastAsia"/>
          <w:b/>
          <w:bCs/>
          <w:sz w:val="24"/>
          <w:szCs w:val="24"/>
        </w:rPr>
        <w:t xml:space="preserve">, </w:t>
      </w:r>
      <w:r w:rsidR="00D2631A" w:rsidRPr="00764BDE">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764BDE">
        <w:rPr>
          <w:rStyle w:val="ac"/>
          <w:rFonts w:eastAsiaTheme="majorEastAsia"/>
          <w:b/>
          <w:bCs/>
          <w:sz w:val="24"/>
          <w:szCs w:val="24"/>
        </w:rPr>
        <w:t xml:space="preserve"> 1</w:t>
      </w:r>
      <w:r w:rsidR="008420E0" w:rsidRPr="00764BDE">
        <w:rPr>
          <w:rStyle w:val="ac"/>
          <w:rFonts w:eastAsiaTheme="majorEastAsia"/>
          <w:b/>
          <w:bCs/>
          <w:sz w:val="24"/>
          <w:szCs w:val="24"/>
        </w:rPr>
        <w:t>)</w:t>
      </w:r>
      <w:r w:rsidR="008420E0" w:rsidRPr="00D2631A">
        <w:rPr>
          <w:rStyle w:val="ac"/>
          <w:rFonts w:eastAsiaTheme="majorEastAsia"/>
          <w:b/>
          <w:bCs/>
          <w:sz w:val="24"/>
          <w:szCs w:val="24"/>
        </w:rPr>
        <w:t>;</w:t>
      </w:r>
      <w:r w:rsidR="00D2631A">
        <w:rPr>
          <w:rStyle w:val="ac"/>
          <w:rFonts w:eastAsiaTheme="majorEastAsia"/>
          <w:b/>
          <w:bCs/>
          <w:sz w:val="24"/>
          <w:szCs w:val="24"/>
        </w:rPr>
        <w:t xml:space="preserve"> </w:t>
      </w:r>
      <w:r w:rsidR="00D2631A" w:rsidRPr="00764BDE">
        <w:rPr>
          <w:rStyle w:val="ac"/>
          <w:rFonts w:eastAsiaTheme="majorEastAsia"/>
          <w:b/>
          <w:bCs/>
          <w:sz w:val="24"/>
          <w:szCs w:val="24"/>
        </w:rPr>
        <w:t xml:space="preserve">ЕОК/ЕОАГ </w:t>
      </w:r>
      <w:r w:rsidR="00D2631A" w:rsidRPr="00764BDE">
        <w:rPr>
          <w:rStyle w:val="ac"/>
          <w:rFonts w:eastAsiaTheme="majorEastAsia"/>
          <w:b/>
          <w:bCs/>
          <w:sz w:val="24"/>
          <w:szCs w:val="24"/>
          <w:lang w:val="en-US"/>
        </w:rPr>
        <w:t>IA</w:t>
      </w:r>
      <w:r w:rsidR="008A2AFD">
        <w:rPr>
          <w:rStyle w:val="ac"/>
          <w:rFonts w:eastAsiaTheme="majorEastAsia"/>
          <w:b/>
          <w:bCs/>
          <w:sz w:val="24"/>
          <w:szCs w:val="24"/>
        </w:rPr>
        <w:t>.</w:t>
      </w:r>
    </w:p>
    <w:p w14:paraId="320943D8" w14:textId="77777777" w:rsidR="00764BDE" w:rsidRPr="00764BDE" w:rsidRDefault="00764BDE" w:rsidP="00764BDE">
      <w:pPr>
        <w:pStyle w:val="11"/>
        <w:spacing w:after="40"/>
        <w:ind w:firstLine="620"/>
        <w:jc w:val="both"/>
        <w:rPr>
          <w:sz w:val="24"/>
          <w:szCs w:val="24"/>
        </w:rPr>
      </w:pPr>
      <w:r w:rsidRPr="00764BDE">
        <w:rPr>
          <w:rStyle w:val="ac"/>
          <w:rFonts w:eastAsiaTheme="majorEastAsia"/>
          <w:b/>
          <w:bCs/>
          <w:sz w:val="24"/>
          <w:szCs w:val="24"/>
        </w:rPr>
        <w:t xml:space="preserve">Комментарии. </w:t>
      </w:r>
      <w:r w:rsidRPr="00764BDE">
        <w:rPr>
          <w:rStyle w:val="ac"/>
          <w:rFonts w:eastAsiaTheme="majorEastAsia"/>
          <w:i/>
          <w:iCs/>
          <w:sz w:val="24"/>
          <w:szCs w:val="24"/>
        </w:rPr>
        <w:t>Одной единицей употребления алкоголя следует считать 10 мл или 8 г чистого спирта, что соответствует 125 мл вина или 250 мл пива. Оптимальным является полный отказ от употребления алкоголя.</w:t>
      </w:r>
    </w:p>
    <w:p w14:paraId="287C959A" w14:textId="77777777" w:rsidR="00764BDE" w:rsidRPr="00705360" w:rsidRDefault="00764BDE">
      <w:pPr>
        <w:pStyle w:val="11"/>
        <w:numPr>
          <w:ilvl w:val="0"/>
          <w:numId w:val="17"/>
        </w:numPr>
        <w:tabs>
          <w:tab w:val="left" w:pos="1394"/>
        </w:tabs>
        <w:ind w:firstLine="620"/>
        <w:jc w:val="both"/>
        <w:rPr>
          <w:sz w:val="24"/>
          <w:szCs w:val="24"/>
        </w:rPr>
      </w:pPr>
      <w:r w:rsidRPr="00764BDE">
        <w:rPr>
          <w:rStyle w:val="ac"/>
          <w:rFonts w:eastAsiaTheme="majorEastAsia"/>
          <w:sz w:val="24"/>
          <w:szCs w:val="24"/>
        </w:rPr>
        <w:lastRenderedPageBreak/>
        <w:t>Всем пациентам с АГ для улучшения метаболических показателей рекомендуется</w:t>
      </w:r>
      <w:r w:rsidR="00705360">
        <w:rPr>
          <w:sz w:val="24"/>
          <w:szCs w:val="24"/>
        </w:rPr>
        <w:t xml:space="preserve"> </w:t>
      </w:r>
      <w:r w:rsidRPr="00705360">
        <w:rPr>
          <w:rStyle w:val="ac"/>
          <w:rFonts w:eastAsiaTheme="majorEastAsia"/>
          <w:sz w:val="24"/>
          <w:szCs w:val="24"/>
        </w:rPr>
        <w:t>увеличить употребление овощей, свежих фруктов, рыбы, орехов и ненасыщенных жирных кислот (оливковое масло), молочных продуктов низкой жирности, уменьшить употребление мяса [146].</w:t>
      </w:r>
    </w:p>
    <w:p w14:paraId="4E841082" w14:textId="0DBBA46F" w:rsidR="00764BDE" w:rsidRPr="00764BDE" w:rsidRDefault="00764BDE" w:rsidP="00764BDE">
      <w:pPr>
        <w:pStyle w:val="11"/>
        <w:ind w:firstLine="620"/>
        <w:jc w:val="both"/>
        <w:rPr>
          <w:sz w:val="24"/>
          <w:szCs w:val="24"/>
        </w:rPr>
      </w:pPr>
      <w:r w:rsidRPr="00764BDE">
        <w:rPr>
          <w:rStyle w:val="ac"/>
          <w:rFonts w:eastAsiaTheme="majorEastAsia"/>
          <w:b/>
          <w:bCs/>
          <w:sz w:val="24"/>
          <w:szCs w:val="24"/>
        </w:rPr>
        <w:t xml:space="preserve">ЕОК/ЕОАГ </w:t>
      </w:r>
      <w:r w:rsidRPr="00764BDE">
        <w:rPr>
          <w:rStyle w:val="ac"/>
          <w:rFonts w:eastAsiaTheme="majorEastAsia"/>
          <w:b/>
          <w:bCs/>
          <w:sz w:val="24"/>
          <w:szCs w:val="24"/>
          <w:lang w:val="en-US"/>
        </w:rPr>
        <w:t>IA</w:t>
      </w:r>
      <w:r w:rsidRPr="00764BD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8A2AFD">
        <w:rPr>
          <w:rStyle w:val="ac"/>
          <w:rFonts w:eastAsiaTheme="majorEastAsia"/>
          <w:b/>
          <w:bCs/>
          <w:sz w:val="24"/>
          <w:szCs w:val="24"/>
        </w:rPr>
        <w:t xml:space="preserve"> </w:t>
      </w:r>
      <w:r w:rsidRPr="00764BDE">
        <w:rPr>
          <w:rStyle w:val="ac"/>
          <w:rFonts w:eastAsiaTheme="majorEastAsia"/>
          <w:b/>
          <w:bCs/>
          <w:sz w:val="24"/>
          <w:szCs w:val="24"/>
        </w:rPr>
        <w:t xml:space="preserve">А, </w:t>
      </w:r>
      <w:r w:rsidR="003D51B3">
        <w:rPr>
          <w:rStyle w:val="ac"/>
          <w:rFonts w:eastAsiaTheme="majorEastAsia"/>
          <w:b/>
          <w:bCs/>
          <w:sz w:val="24"/>
          <w:szCs w:val="24"/>
        </w:rPr>
        <w:t>Уровень достоверности доказательств</w:t>
      </w:r>
      <w:r w:rsidRPr="00764BDE">
        <w:rPr>
          <w:rStyle w:val="ac"/>
          <w:rFonts w:eastAsiaTheme="majorEastAsia"/>
          <w:b/>
          <w:bCs/>
          <w:sz w:val="24"/>
          <w:szCs w:val="24"/>
        </w:rPr>
        <w:t xml:space="preserve"> 1)</w:t>
      </w:r>
      <w:r w:rsidR="008A2AFD">
        <w:rPr>
          <w:rStyle w:val="ac"/>
          <w:rFonts w:eastAsiaTheme="majorEastAsia"/>
          <w:b/>
          <w:bCs/>
          <w:sz w:val="24"/>
          <w:szCs w:val="24"/>
        </w:rPr>
        <w:t>.</w:t>
      </w:r>
    </w:p>
    <w:p w14:paraId="3B7A23B8" w14:textId="77777777" w:rsidR="00764BDE" w:rsidRPr="00764BDE" w:rsidRDefault="00764BDE" w:rsidP="00764BDE">
      <w:pPr>
        <w:pStyle w:val="11"/>
        <w:spacing w:after="40"/>
        <w:ind w:firstLine="620"/>
        <w:jc w:val="both"/>
        <w:rPr>
          <w:sz w:val="24"/>
          <w:szCs w:val="24"/>
        </w:rPr>
      </w:pPr>
      <w:r w:rsidRPr="00764BDE">
        <w:rPr>
          <w:rStyle w:val="ac"/>
          <w:rFonts w:eastAsiaTheme="majorEastAsia"/>
          <w:b/>
          <w:bCs/>
          <w:sz w:val="24"/>
          <w:szCs w:val="24"/>
        </w:rPr>
        <w:t xml:space="preserve">Комментарии. </w:t>
      </w:r>
      <w:r w:rsidRPr="00764BDE">
        <w:rPr>
          <w:rStyle w:val="ac"/>
          <w:rFonts w:eastAsiaTheme="majorEastAsia"/>
          <w:i/>
          <w:iCs/>
          <w:sz w:val="24"/>
          <w:szCs w:val="24"/>
        </w:rPr>
        <w:t>Необходимо увеличение потребления растительной пищи, содержания в рационе калия, кальция (в овощах, фруктах, зерновых) и магния (в молочных продуктах), а также уменьшение потребления жиров животного происхождения. Пациентам с АГ следует рекомендовать употребление рыбы не реже двух раз в неделю и 300–400 г в сутки свежих овощей и фруктов.</w:t>
      </w:r>
    </w:p>
    <w:p w14:paraId="57B9112D" w14:textId="77777777" w:rsidR="00764BDE" w:rsidRPr="00764BDE" w:rsidRDefault="00764BDE">
      <w:pPr>
        <w:pStyle w:val="11"/>
        <w:numPr>
          <w:ilvl w:val="0"/>
          <w:numId w:val="17"/>
        </w:numPr>
        <w:tabs>
          <w:tab w:val="left" w:pos="1394"/>
        </w:tabs>
        <w:ind w:firstLine="620"/>
        <w:jc w:val="both"/>
        <w:rPr>
          <w:sz w:val="24"/>
          <w:szCs w:val="24"/>
        </w:rPr>
      </w:pPr>
      <w:r w:rsidRPr="00764BDE">
        <w:rPr>
          <w:rStyle w:val="ac"/>
          <w:rFonts w:eastAsiaTheme="majorEastAsia"/>
          <w:sz w:val="24"/>
          <w:szCs w:val="24"/>
        </w:rPr>
        <w:t>Всем пациентам с АГ для достижения целевых показателей АД рекомендуется</w:t>
      </w:r>
    </w:p>
    <w:p w14:paraId="71D4C230" w14:textId="77777777" w:rsidR="00764BDE" w:rsidRPr="00764BDE" w:rsidRDefault="00764BDE" w:rsidP="00764BDE">
      <w:pPr>
        <w:pStyle w:val="11"/>
        <w:ind w:firstLine="0"/>
        <w:jc w:val="both"/>
        <w:rPr>
          <w:sz w:val="24"/>
          <w:szCs w:val="24"/>
        </w:rPr>
      </w:pPr>
      <w:r w:rsidRPr="00764BDE">
        <w:rPr>
          <w:rStyle w:val="ac"/>
          <w:rFonts w:eastAsiaTheme="majorEastAsia"/>
          <w:sz w:val="24"/>
          <w:szCs w:val="24"/>
        </w:rPr>
        <w:t>потреблять калий в дозе около 3500 мг/сутки [147, 148, 149]</w:t>
      </w:r>
    </w:p>
    <w:p w14:paraId="0A2A9949" w14:textId="45BA0E19" w:rsidR="00764BDE" w:rsidRPr="00764BDE" w:rsidRDefault="003D51B3" w:rsidP="00C63B09">
      <w:pPr>
        <w:pStyle w:val="11"/>
        <w:ind w:firstLine="620"/>
        <w:jc w:val="both"/>
        <w:rPr>
          <w:sz w:val="24"/>
          <w:szCs w:val="24"/>
        </w:rPr>
      </w:pPr>
      <w:r>
        <w:rPr>
          <w:rStyle w:val="ac"/>
          <w:rFonts w:eastAsiaTheme="majorEastAsia"/>
          <w:b/>
          <w:bCs/>
          <w:sz w:val="24"/>
          <w:szCs w:val="24"/>
        </w:rPr>
        <w:t>Уровень убедительности рекомендаций</w:t>
      </w:r>
      <w:r w:rsidR="00E44A5B">
        <w:rPr>
          <w:rStyle w:val="ac"/>
          <w:rFonts w:eastAsiaTheme="majorEastAsia"/>
          <w:b/>
          <w:bCs/>
          <w:sz w:val="24"/>
          <w:szCs w:val="24"/>
        </w:rPr>
        <w:t xml:space="preserve"> </w:t>
      </w:r>
      <w:r w:rsidR="00764BDE" w:rsidRPr="00764BDE">
        <w:rPr>
          <w:rStyle w:val="ac"/>
          <w:rFonts w:eastAsiaTheme="majorEastAsia"/>
          <w:b/>
          <w:bCs/>
          <w:sz w:val="24"/>
          <w:szCs w:val="24"/>
        </w:rPr>
        <w:t xml:space="preserve">А, </w:t>
      </w:r>
      <w:r w:rsidR="00E44A5B" w:rsidRPr="00764BDE">
        <w:rPr>
          <w:rStyle w:val="ac"/>
          <w:rFonts w:eastAsiaTheme="majorEastAsia"/>
          <w:b/>
          <w:bCs/>
          <w:sz w:val="24"/>
          <w:szCs w:val="24"/>
        </w:rPr>
        <w:t>(</w:t>
      </w:r>
      <w:r>
        <w:rPr>
          <w:rStyle w:val="ac"/>
          <w:rFonts w:eastAsiaTheme="majorEastAsia"/>
          <w:b/>
          <w:bCs/>
          <w:sz w:val="24"/>
          <w:szCs w:val="24"/>
        </w:rPr>
        <w:t>Уровень достоверности доказательств</w:t>
      </w:r>
      <w:r w:rsidR="00764BDE" w:rsidRPr="00764BDE">
        <w:rPr>
          <w:rStyle w:val="ac"/>
          <w:rFonts w:eastAsiaTheme="majorEastAsia"/>
          <w:b/>
          <w:bCs/>
          <w:sz w:val="24"/>
          <w:szCs w:val="24"/>
        </w:rPr>
        <w:t xml:space="preserve"> 1)</w:t>
      </w:r>
      <w:r w:rsidR="00E44A5B">
        <w:rPr>
          <w:rStyle w:val="ac"/>
          <w:rFonts w:eastAsiaTheme="majorEastAsia"/>
          <w:b/>
          <w:bCs/>
          <w:sz w:val="24"/>
          <w:szCs w:val="24"/>
        </w:rPr>
        <w:t>;</w:t>
      </w:r>
      <w:r w:rsidR="00E44A5B" w:rsidRPr="00E44A5B">
        <w:rPr>
          <w:rStyle w:val="ac"/>
          <w:rFonts w:eastAsiaTheme="majorEastAsia"/>
          <w:b/>
          <w:bCs/>
          <w:sz w:val="24"/>
          <w:szCs w:val="24"/>
        </w:rPr>
        <w:t xml:space="preserve"> </w:t>
      </w:r>
      <w:r w:rsidR="00E44A5B" w:rsidRPr="00764BDE">
        <w:rPr>
          <w:rStyle w:val="ac"/>
          <w:rFonts w:eastAsiaTheme="majorEastAsia"/>
          <w:b/>
          <w:bCs/>
          <w:sz w:val="24"/>
          <w:szCs w:val="24"/>
        </w:rPr>
        <w:t>ЕОК/ЕОАГ нет</w:t>
      </w:r>
      <w:r w:rsidR="008A2AFD">
        <w:rPr>
          <w:rStyle w:val="ac"/>
          <w:rFonts w:eastAsiaTheme="majorEastAsia"/>
          <w:b/>
          <w:bCs/>
          <w:sz w:val="24"/>
          <w:szCs w:val="24"/>
        </w:rPr>
        <w:t>.</w:t>
      </w:r>
    </w:p>
    <w:p w14:paraId="1F474416" w14:textId="77777777" w:rsidR="00C63B09" w:rsidRPr="00764BDE" w:rsidRDefault="00764BDE" w:rsidP="00C63B09">
      <w:pPr>
        <w:pStyle w:val="11"/>
        <w:ind w:firstLine="0"/>
        <w:jc w:val="both"/>
        <w:rPr>
          <w:sz w:val="24"/>
          <w:szCs w:val="24"/>
        </w:rPr>
      </w:pPr>
      <w:r w:rsidRPr="00764BDE">
        <w:rPr>
          <w:rStyle w:val="ac"/>
          <w:rFonts w:eastAsiaTheme="majorEastAsia"/>
          <w:b/>
          <w:bCs/>
          <w:sz w:val="24"/>
          <w:szCs w:val="24"/>
        </w:rPr>
        <w:t xml:space="preserve">Комментарии. </w:t>
      </w:r>
      <w:r w:rsidRPr="00764BDE">
        <w:rPr>
          <w:rStyle w:val="ac"/>
          <w:rFonts w:eastAsiaTheme="majorEastAsia"/>
          <w:i/>
          <w:iCs/>
          <w:sz w:val="24"/>
          <w:szCs w:val="24"/>
        </w:rPr>
        <w:t>Адекватное потребление калия благоприятно влияет на достижение целевого АД, но следует избегать чрезмерного его потребления</w:t>
      </w:r>
      <w:r w:rsidRPr="00764BDE">
        <w:rPr>
          <w:rStyle w:val="ac"/>
          <w:rFonts w:eastAsiaTheme="majorEastAsia"/>
          <w:sz w:val="24"/>
          <w:szCs w:val="24"/>
        </w:rPr>
        <w:t xml:space="preserve"> [147]</w:t>
      </w:r>
      <w:r w:rsidRPr="00764BDE">
        <w:rPr>
          <w:rStyle w:val="ac"/>
          <w:rFonts w:eastAsiaTheme="majorEastAsia"/>
          <w:i/>
          <w:iCs/>
          <w:sz w:val="24"/>
          <w:szCs w:val="24"/>
        </w:rPr>
        <w:t>. Препараты калия (особенно при потреблении 75–125 ммоль в день) были эффективны для снижения АД у взрослых с АГ - при приеме 60 ммоль (1380 мг) хлорида калия снижение АД составляет около 2 и 4-5 мм рт. у пациентов с АГ с ограничением и без ограничения употребления соли, соотвественно</w:t>
      </w:r>
      <w:r w:rsidRPr="00764BDE">
        <w:rPr>
          <w:rStyle w:val="ac"/>
          <w:rFonts w:eastAsiaTheme="majorEastAsia"/>
          <w:sz w:val="24"/>
          <w:szCs w:val="24"/>
        </w:rPr>
        <w:t xml:space="preserve"> [148]</w:t>
      </w:r>
      <w:r w:rsidRPr="00764BDE">
        <w:rPr>
          <w:rStyle w:val="ac"/>
          <w:rFonts w:eastAsiaTheme="majorEastAsia"/>
          <w:i/>
          <w:iCs/>
          <w:sz w:val="24"/>
          <w:szCs w:val="24"/>
        </w:rPr>
        <w:t xml:space="preserve">. В рандомизированном контролируемом исследовании </w:t>
      </w:r>
      <w:r w:rsidRPr="00764BDE">
        <w:rPr>
          <w:rStyle w:val="ac"/>
          <w:rFonts w:eastAsiaTheme="majorEastAsia"/>
          <w:i/>
          <w:iCs/>
          <w:sz w:val="24"/>
          <w:szCs w:val="24"/>
          <w:lang w:val="en-US"/>
        </w:rPr>
        <w:t>Salt</w:t>
      </w:r>
      <w:r w:rsidRPr="00764BDE">
        <w:rPr>
          <w:rStyle w:val="ac"/>
          <w:rFonts w:eastAsiaTheme="majorEastAsia"/>
          <w:i/>
          <w:iCs/>
          <w:sz w:val="24"/>
          <w:szCs w:val="24"/>
        </w:rPr>
        <w:t xml:space="preserve"> </w:t>
      </w:r>
      <w:r w:rsidRPr="00764BDE">
        <w:rPr>
          <w:rStyle w:val="ac"/>
          <w:rFonts w:eastAsiaTheme="majorEastAsia"/>
          <w:i/>
          <w:iCs/>
          <w:sz w:val="24"/>
          <w:szCs w:val="24"/>
          <w:lang w:val="en-US"/>
        </w:rPr>
        <w:t>Substitution</w:t>
      </w:r>
      <w:r w:rsidRPr="00764BDE">
        <w:rPr>
          <w:rStyle w:val="ac"/>
          <w:rFonts w:eastAsiaTheme="majorEastAsia"/>
          <w:i/>
          <w:iCs/>
          <w:sz w:val="24"/>
          <w:szCs w:val="24"/>
        </w:rPr>
        <w:t xml:space="preserve"> </w:t>
      </w:r>
      <w:r w:rsidRPr="00764BDE">
        <w:rPr>
          <w:rStyle w:val="ac"/>
          <w:rFonts w:eastAsiaTheme="majorEastAsia"/>
          <w:i/>
          <w:iCs/>
          <w:sz w:val="24"/>
          <w:szCs w:val="24"/>
          <w:lang w:val="en-US"/>
        </w:rPr>
        <w:t>and</w:t>
      </w:r>
      <w:r w:rsidRPr="00764BDE">
        <w:rPr>
          <w:rStyle w:val="ac"/>
          <w:rFonts w:eastAsiaTheme="majorEastAsia"/>
          <w:i/>
          <w:iCs/>
          <w:sz w:val="24"/>
          <w:szCs w:val="24"/>
        </w:rPr>
        <w:t xml:space="preserve"> </w:t>
      </w:r>
      <w:r w:rsidRPr="00764BDE">
        <w:rPr>
          <w:rStyle w:val="ac"/>
          <w:rFonts w:eastAsiaTheme="majorEastAsia"/>
          <w:i/>
          <w:iCs/>
          <w:sz w:val="24"/>
          <w:szCs w:val="24"/>
          <w:lang w:val="en-US"/>
        </w:rPr>
        <w:t>Stroke</w:t>
      </w:r>
      <w:r w:rsidRPr="00764BDE">
        <w:rPr>
          <w:rStyle w:val="ac"/>
          <w:rFonts w:eastAsiaTheme="majorEastAsia"/>
          <w:i/>
          <w:iCs/>
          <w:sz w:val="24"/>
          <w:szCs w:val="24"/>
        </w:rPr>
        <w:t xml:space="preserve"> </w:t>
      </w:r>
      <w:r w:rsidRPr="00764BDE">
        <w:rPr>
          <w:rStyle w:val="ac"/>
          <w:rFonts w:eastAsiaTheme="majorEastAsia"/>
          <w:i/>
          <w:iCs/>
          <w:sz w:val="24"/>
          <w:szCs w:val="24"/>
          <w:lang w:val="en-US"/>
        </w:rPr>
        <w:t>Study</w:t>
      </w:r>
      <w:r w:rsidRPr="00764BDE">
        <w:rPr>
          <w:rStyle w:val="ac"/>
          <w:rFonts w:eastAsiaTheme="majorEastAsia"/>
          <w:i/>
          <w:iCs/>
          <w:sz w:val="24"/>
          <w:szCs w:val="24"/>
        </w:rPr>
        <w:t xml:space="preserve"> (</w:t>
      </w:r>
      <w:r w:rsidRPr="00764BDE">
        <w:rPr>
          <w:rStyle w:val="ac"/>
          <w:rFonts w:eastAsiaTheme="majorEastAsia"/>
          <w:i/>
          <w:iCs/>
          <w:sz w:val="24"/>
          <w:szCs w:val="24"/>
          <w:lang w:val="en-US"/>
        </w:rPr>
        <w:t>SSaSS</w:t>
      </w:r>
      <w:r w:rsidRPr="00764BDE">
        <w:rPr>
          <w:rStyle w:val="ac"/>
          <w:rFonts w:eastAsiaTheme="majorEastAsia"/>
          <w:i/>
          <w:iCs/>
          <w:sz w:val="24"/>
          <w:szCs w:val="24"/>
        </w:rPr>
        <w:t xml:space="preserve">) </w:t>
      </w:r>
      <w:r w:rsidR="00C63B09" w:rsidRPr="00764BDE">
        <w:rPr>
          <w:rStyle w:val="ac"/>
          <w:rFonts w:eastAsiaTheme="majorEastAsia"/>
          <w:i/>
          <w:iCs/>
          <w:sz w:val="24"/>
          <w:szCs w:val="24"/>
        </w:rPr>
        <w:t>сообщалось, что увеличение потребления калия в качестве заменителя натрия, то есть замена 25% хлорида натрия на хлорид калия в соли, снижает риск инсульта, заболевания и смерти у пациентов с повышенным СС риском</w:t>
      </w:r>
      <w:r w:rsidR="00C63B09" w:rsidRPr="00764BDE">
        <w:rPr>
          <w:rStyle w:val="ac"/>
          <w:rFonts w:eastAsiaTheme="majorEastAsia"/>
          <w:sz w:val="24"/>
          <w:szCs w:val="24"/>
        </w:rPr>
        <w:t xml:space="preserve"> [144]</w:t>
      </w:r>
      <w:r w:rsidR="00C63B09" w:rsidRPr="00764BDE">
        <w:rPr>
          <w:rStyle w:val="ac"/>
          <w:rFonts w:eastAsiaTheme="majorEastAsia"/>
          <w:i/>
          <w:iCs/>
          <w:sz w:val="24"/>
          <w:szCs w:val="24"/>
        </w:rPr>
        <w:t>. Недавний мета-анализ</w:t>
      </w:r>
      <w:r w:rsidR="00C63B09" w:rsidRPr="00764BDE">
        <w:rPr>
          <w:rStyle w:val="ac"/>
          <w:rFonts w:eastAsiaTheme="majorEastAsia"/>
          <w:sz w:val="24"/>
          <w:szCs w:val="24"/>
        </w:rPr>
        <w:t xml:space="preserve"> [147] </w:t>
      </w:r>
      <w:r w:rsidR="00C63B09" w:rsidRPr="00764BDE">
        <w:rPr>
          <w:rStyle w:val="ac"/>
          <w:rFonts w:eastAsiaTheme="majorEastAsia"/>
          <w:i/>
          <w:iCs/>
          <w:sz w:val="24"/>
          <w:szCs w:val="24"/>
        </w:rPr>
        <w:t>устанавливает среднюю цель потребления калия в 90 ммоль в сутки (3500 мг/сутки). В большинстве исследований калий назначался в виде таблеток хлорида калия, но эффект был аналогичным при использовании диетических модификаций</w:t>
      </w:r>
      <w:r w:rsidR="00C63B09" w:rsidRPr="00764BDE">
        <w:rPr>
          <w:rStyle w:val="ac"/>
          <w:rFonts w:eastAsiaTheme="majorEastAsia"/>
          <w:sz w:val="24"/>
          <w:szCs w:val="24"/>
        </w:rPr>
        <w:t xml:space="preserve"> [149]</w:t>
      </w:r>
      <w:r w:rsidR="00C63B09" w:rsidRPr="00764BDE">
        <w:rPr>
          <w:rStyle w:val="ac"/>
          <w:rFonts w:eastAsiaTheme="majorEastAsia"/>
          <w:i/>
          <w:iCs/>
          <w:sz w:val="24"/>
          <w:szCs w:val="24"/>
        </w:rPr>
        <w:t>. Поскольку диеты, богатые калием, как правило, полезны для ССС, они предпочтительнее использования таблеток калия. Хорошими источниками диетического калия являются фрукты и овощи, а также нежирные молочные продукты, отборная рыба и мясо, орехи и продукты из сои. Четыре-пять порций фруктов и овощей обычно содержат от 1500 до &gt;3000 мг калия. Этого можно достичь с помощью диеты</w:t>
      </w:r>
      <w:r w:rsidR="00380656">
        <w:rPr>
          <w:rStyle w:val="ac"/>
          <w:rFonts w:eastAsiaTheme="majorEastAsia"/>
          <w:i/>
          <w:iCs/>
          <w:sz w:val="24"/>
          <w:szCs w:val="24"/>
        </w:rPr>
        <w:t xml:space="preserve"> </w:t>
      </w:r>
      <w:r w:rsidR="00C63B09" w:rsidRPr="00764BDE">
        <w:rPr>
          <w:rStyle w:val="ac"/>
          <w:rFonts w:eastAsiaTheme="majorEastAsia"/>
          <w:i/>
          <w:iCs/>
          <w:sz w:val="24"/>
          <w:szCs w:val="24"/>
        </w:rPr>
        <w:t xml:space="preserve">с высоким содержанием калия, например, диета </w:t>
      </w:r>
      <w:r w:rsidR="00C63B09" w:rsidRPr="00764BDE">
        <w:rPr>
          <w:rStyle w:val="ac"/>
          <w:rFonts w:eastAsiaTheme="majorEastAsia"/>
          <w:i/>
          <w:iCs/>
          <w:sz w:val="24"/>
          <w:szCs w:val="24"/>
          <w:lang w:val="en-US"/>
        </w:rPr>
        <w:t>DASH</w:t>
      </w:r>
      <w:r w:rsidR="00C63B09" w:rsidRPr="00764BDE">
        <w:rPr>
          <w:rStyle w:val="ac"/>
          <w:rFonts w:eastAsiaTheme="majorEastAsia"/>
          <w:i/>
          <w:iCs/>
          <w:sz w:val="24"/>
          <w:szCs w:val="24"/>
        </w:rPr>
        <w:t>.</w:t>
      </w:r>
    </w:p>
    <w:p w14:paraId="0C0BCD2C" w14:textId="77777777" w:rsidR="00C63B09" w:rsidRPr="00764BDE" w:rsidRDefault="00C63B09">
      <w:pPr>
        <w:pStyle w:val="11"/>
        <w:numPr>
          <w:ilvl w:val="0"/>
          <w:numId w:val="17"/>
        </w:numPr>
        <w:tabs>
          <w:tab w:val="left" w:pos="1354"/>
        </w:tabs>
        <w:ind w:firstLine="580"/>
        <w:jc w:val="both"/>
        <w:rPr>
          <w:sz w:val="24"/>
          <w:szCs w:val="24"/>
        </w:rPr>
      </w:pPr>
      <w:r w:rsidRPr="00764BDE">
        <w:rPr>
          <w:rStyle w:val="ac"/>
          <w:rFonts w:eastAsiaTheme="majorEastAsia"/>
          <w:sz w:val="24"/>
          <w:szCs w:val="24"/>
        </w:rPr>
        <w:t xml:space="preserve">Всем пациентам с АГ рекомендуется контролировать массу тела для </w:t>
      </w:r>
      <w:r w:rsidRPr="00764BDE">
        <w:rPr>
          <w:rStyle w:val="ac"/>
          <w:rFonts w:eastAsiaTheme="majorEastAsia"/>
          <w:sz w:val="24"/>
          <w:szCs w:val="24"/>
        </w:rPr>
        <w:lastRenderedPageBreak/>
        <w:t>предупреждения развития ожирения (индекс массы тела (ИМТ) ≥30 кг/м</w:t>
      </w:r>
      <w:r w:rsidRPr="00764BDE">
        <w:rPr>
          <w:rStyle w:val="ac"/>
          <w:rFonts w:eastAsiaTheme="majorEastAsia"/>
          <w:sz w:val="24"/>
          <w:szCs w:val="24"/>
          <w:vertAlign w:val="superscript"/>
        </w:rPr>
        <w:t>2</w:t>
      </w:r>
      <w:r w:rsidRPr="00764BDE">
        <w:rPr>
          <w:rStyle w:val="ac"/>
          <w:rFonts w:eastAsiaTheme="majorEastAsia"/>
          <w:sz w:val="24"/>
          <w:szCs w:val="24"/>
        </w:rPr>
        <w:t xml:space="preserve"> или окружность талии &gt;94 см у мужчин и &gt;80 см у женщин) и достижение ИМТ в пределах 20–25 кг/м</w:t>
      </w:r>
      <w:r w:rsidRPr="00764BDE">
        <w:rPr>
          <w:rStyle w:val="ac"/>
          <w:rFonts w:eastAsiaTheme="majorEastAsia"/>
          <w:sz w:val="24"/>
          <w:szCs w:val="24"/>
          <w:vertAlign w:val="superscript"/>
        </w:rPr>
        <w:t>2</w:t>
      </w:r>
      <w:r w:rsidRPr="00764BDE">
        <w:rPr>
          <w:rStyle w:val="ac"/>
          <w:rFonts w:eastAsiaTheme="majorEastAsia"/>
          <w:sz w:val="24"/>
          <w:szCs w:val="24"/>
        </w:rPr>
        <w:t>; окружности талии &lt;94 см у мужчин и &lt;80 см у женщин с целью снижения АД и уменьшения СС риска [150, 151, 152].</w:t>
      </w:r>
    </w:p>
    <w:p w14:paraId="3BCAC7E8" w14:textId="7DE73779" w:rsidR="00C63B09" w:rsidRPr="008A2AFD" w:rsidRDefault="00C63B09" w:rsidP="00C63B09">
      <w:pPr>
        <w:pStyle w:val="11"/>
        <w:ind w:firstLine="580"/>
        <w:jc w:val="both"/>
        <w:rPr>
          <w:sz w:val="24"/>
          <w:szCs w:val="24"/>
        </w:rPr>
      </w:pPr>
      <w:r w:rsidRPr="00764BD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5F238F">
        <w:rPr>
          <w:rStyle w:val="ac"/>
          <w:rFonts w:eastAsiaTheme="majorEastAsia"/>
          <w:b/>
          <w:bCs/>
          <w:sz w:val="24"/>
          <w:szCs w:val="24"/>
        </w:rPr>
        <w:t xml:space="preserve"> </w:t>
      </w:r>
      <w:r w:rsidRPr="00764BDE">
        <w:rPr>
          <w:rStyle w:val="ac"/>
          <w:rFonts w:eastAsiaTheme="majorEastAsia"/>
          <w:b/>
          <w:bCs/>
          <w:sz w:val="24"/>
          <w:szCs w:val="24"/>
        </w:rPr>
        <w:t xml:space="preserve">А, </w:t>
      </w:r>
      <w:r w:rsidR="005F238F" w:rsidRPr="00764BDE">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764BDE">
        <w:rPr>
          <w:rStyle w:val="ac"/>
          <w:rFonts w:eastAsiaTheme="majorEastAsia"/>
          <w:b/>
          <w:bCs/>
          <w:sz w:val="24"/>
          <w:szCs w:val="24"/>
        </w:rPr>
        <w:t xml:space="preserve"> 1)</w:t>
      </w:r>
      <w:r w:rsidR="005F238F">
        <w:rPr>
          <w:rStyle w:val="ac"/>
          <w:rFonts w:eastAsiaTheme="majorEastAsia"/>
          <w:b/>
          <w:bCs/>
          <w:sz w:val="24"/>
          <w:szCs w:val="24"/>
        </w:rPr>
        <w:t xml:space="preserve">; </w:t>
      </w:r>
      <w:r w:rsidR="005F238F" w:rsidRPr="00764BDE">
        <w:rPr>
          <w:rStyle w:val="ac"/>
          <w:rFonts w:eastAsiaTheme="majorEastAsia"/>
          <w:b/>
          <w:bCs/>
          <w:sz w:val="24"/>
          <w:szCs w:val="24"/>
        </w:rPr>
        <w:t xml:space="preserve">ЕОК/ЕОАГ </w:t>
      </w:r>
      <w:r w:rsidR="005F238F" w:rsidRPr="00764BDE">
        <w:rPr>
          <w:rStyle w:val="ac"/>
          <w:rFonts w:eastAsiaTheme="majorEastAsia"/>
          <w:b/>
          <w:bCs/>
          <w:sz w:val="24"/>
          <w:szCs w:val="24"/>
          <w:lang w:val="en-US"/>
        </w:rPr>
        <w:t>IA</w:t>
      </w:r>
      <w:r w:rsidR="008A2AFD">
        <w:rPr>
          <w:rStyle w:val="ac"/>
          <w:rFonts w:eastAsiaTheme="majorEastAsia"/>
          <w:b/>
          <w:bCs/>
          <w:sz w:val="24"/>
          <w:szCs w:val="24"/>
        </w:rPr>
        <w:t>.</w:t>
      </w:r>
    </w:p>
    <w:p w14:paraId="6D63EE96" w14:textId="77777777" w:rsidR="00C63B09" w:rsidRPr="00764BDE" w:rsidRDefault="00C63B09" w:rsidP="00C63B09">
      <w:pPr>
        <w:pStyle w:val="11"/>
        <w:spacing w:after="40"/>
        <w:ind w:firstLine="580"/>
        <w:jc w:val="both"/>
        <w:rPr>
          <w:sz w:val="24"/>
          <w:szCs w:val="24"/>
        </w:rPr>
      </w:pPr>
      <w:r w:rsidRPr="00764BDE">
        <w:rPr>
          <w:rStyle w:val="ac"/>
          <w:rFonts w:eastAsiaTheme="majorEastAsia"/>
          <w:b/>
          <w:bCs/>
          <w:sz w:val="24"/>
          <w:szCs w:val="24"/>
        </w:rPr>
        <w:t xml:space="preserve">Комментарии. </w:t>
      </w:r>
      <w:r w:rsidRPr="00764BDE">
        <w:rPr>
          <w:rStyle w:val="ac"/>
          <w:rFonts w:eastAsiaTheme="majorEastAsia"/>
          <w:i/>
          <w:iCs/>
          <w:sz w:val="24"/>
          <w:szCs w:val="24"/>
        </w:rPr>
        <w:t>У лиц с ожирением уменьшение массы тела на 5-10% от исходной приводит к достоверному снижению риска развития ССО.</w:t>
      </w:r>
    </w:p>
    <w:p w14:paraId="2DC4F27F" w14:textId="77777777" w:rsidR="00C63B09" w:rsidRPr="00764BDE" w:rsidRDefault="00C63B09">
      <w:pPr>
        <w:pStyle w:val="11"/>
        <w:numPr>
          <w:ilvl w:val="0"/>
          <w:numId w:val="17"/>
        </w:numPr>
        <w:tabs>
          <w:tab w:val="left" w:pos="1354"/>
        </w:tabs>
        <w:ind w:firstLine="580"/>
        <w:jc w:val="both"/>
        <w:rPr>
          <w:sz w:val="24"/>
          <w:szCs w:val="24"/>
        </w:rPr>
      </w:pPr>
      <w:r w:rsidRPr="00764BDE">
        <w:rPr>
          <w:rStyle w:val="ac"/>
          <w:rFonts w:eastAsiaTheme="majorEastAsia"/>
          <w:sz w:val="24"/>
          <w:szCs w:val="24"/>
        </w:rPr>
        <w:t>Всем пациентам с АГ в связи с доказанным положительным эффектом на уровень СС смертности рекомендуются регулярные аэробные физические упражнения (не менее 30 минут динамических упражнений умеренной интенсивности 5–7 дней в неделю) [153, 154].</w:t>
      </w:r>
    </w:p>
    <w:p w14:paraId="7797AB4E" w14:textId="2D7C29A8" w:rsidR="00C63B09" w:rsidRPr="008A2AFD" w:rsidRDefault="00C63B09" w:rsidP="00C63B09">
      <w:pPr>
        <w:pStyle w:val="11"/>
        <w:ind w:firstLine="580"/>
        <w:jc w:val="both"/>
        <w:rPr>
          <w:sz w:val="24"/>
          <w:szCs w:val="24"/>
        </w:rPr>
      </w:pPr>
      <w:r w:rsidRPr="00764BD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5F238F">
        <w:rPr>
          <w:rStyle w:val="ac"/>
          <w:rFonts w:eastAsiaTheme="majorEastAsia"/>
          <w:b/>
          <w:bCs/>
          <w:sz w:val="24"/>
          <w:szCs w:val="24"/>
        </w:rPr>
        <w:t xml:space="preserve"> </w:t>
      </w:r>
      <w:r w:rsidRPr="00764BDE">
        <w:rPr>
          <w:rStyle w:val="ac"/>
          <w:rFonts w:eastAsiaTheme="majorEastAsia"/>
          <w:b/>
          <w:bCs/>
          <w:sz w:val="24"/>
          <w:szCs w:val="24"/>
        </w:rPr>
        <w:t xml:space="preserve">А, </w:t>
      </w:r>
      <w:r w:rsidR="005F238F" w:rsidRPr="00764BDE">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764BDE">
        <w:rPr>
          <w:rStyle w:val="ac"/>
          <w:rFonts w:eastAsiaTheme="majorEastAsia"/>
          <w:b/>
          <w:bCs/>
          <w:sz w:val="24"/>
          <w:szCs w:val="24"/>
        </w:rPr>
        <w:t xml:space="preserve"> 3)</w:t>
      </w:r>
      <w:r w:rsidR="005F238F">
        <w:rPr>
          <w:rStyle w:val="ac"/>
          <w:rFonts w:eastAsiaTheme="majorEastAsia"/>
          <w:b/>
          <w:bCs/>
          <w:sz w:val="24"/>
          <w:szCs w:val="24"/>
        </w:rPr>
        <w:t xml:space="preserve">; </w:t>
      </w:r>
      <w:r w:rsidR="005F238F" w:rsidRPr="00764BDE">
        <w:rPr>
          <w:rStyle w:val="ac"/>
          <w:rFonts w:eastAsiaTheme="majorEastAsia"/>
          <w:b/>
          <w:bCs/>
          <w:sz w:val="24"/>
          <w:szCs w:val="24"/>
        </w:rPr>
        <w:t xml:space="preserve">ЕОК/ЕОАГ </w:t>
      </w:r>
      <w:r w:rsidR="005F238F" w:rsidRPr="00764BDE">
        <w:rPr>
          <w:rStyle w:val="ac"/>
          <w:rFonts w:eastAsiaTheme="majorEastAsia"/>
          <w:b/>
          <w:bCs/>
          <w:sz w:val="24"/>
          <w:szCs w:val="24"/>
          <w:lang w:val="en-US"/>
        </w:rPr>
        <w:t>IA</w:t>
      </w:r>
      <w:r w:rsidR="008A2AFD">
        <w:rPr>
          <w:rStyle w:val="ac"/>
          <w:rFonts w:eastAsiaTheme="majorEastAsia"/>
          <w:b/>
          <w:bCs/>
          <w:sz w:val="24"/>
          <w:szCs w:val="24"/>
        </w:rPr>
        <w:t>.</w:t>
      </w:r>
    </w:p>
    <w:p w14:paraId="1093BFE2" w14:textId="77777777" w:rsidR="00C63B09" w:rsidRPr="00764BDE" w:rsidRDefault="00C63B09" w:rsidP="00C63B09">
      <w:pPr>
        <w:pStyle w:val="11"/>
        <w:spacing w:after="40"/>
        <w:ind w:firstLine="580"/>
        <w:jc w:val="both"/>
        <w:rPr>
          <w:sz w:val="24"/>
          <w:szCs w:val="24"/>
        </w:rPr>
      </w:pPr>
      <w:r w:rsidRPr="00764BDE">
        <w:rPr>
          <w:rStyle w:val="ac"/>
          <w:rFonts w:eastAsiaTheme="majorEastAsia"/>
          <w:b/>
          <w:bCs/>
          <w:sz w:val="24"/>
          <w:szCs w:val="24"/>
        </w:rPr>
        <w:t xml:space="preserve">Комментарии. </w:t>
      </w:r>
      <w:r w:rsidRPr="00764BDE">
        <w:rPr>
          <w:rStyle w:val="ac"/>
          <w:rFonts w:eastAsiaTheme="majorEastAsia"/>
          <w:i/>
          <w:iCs/>
          <w:sz w:val="24"/>
          <w:szCs w:val="24"/>
        </w:rPr>
        <w:t>Пациентам с АГ следует рекомендовать умеренные аэробные нагрузки (ходьба, скандинавская ходьба, езда на велосипеде, плавание, фитнес). Влияние изометрической силовой нагрузки на уровень АД и СС</w:t>
      </w:r>
      <w:r w:rsidR="00A60E6C">
        <w:rPr>
          <w:rStyle w:val="ac"/>
          <w:rFonts w:eastAsiaTheme="majorEastAsia"/>
          <w:i/>
          <w:iCs/>
          <w:sz w:val="24"/>
          <w:szCs w:val="24"/>
        </w:rPr>
        <w:t xml:space="preserve"> </w:t>
      </w:r>
      <w:r w:rsidRPr="00764BDE">
        <w:rPr>
          <w:rStyle w:val="ac"/>
          <w:rFonts w:eastAsiaTheme="majorEastAsia"/>
          <w:i/>
          <w:iCs/>
          <w:sz w:val="24"/>
          <w:szCs w:val="24"/>
        </w:rPr>
        <w:t>риск до конца не ясно.</w:t>
      </w:r>
    </w:p>
    <w:p w14:paraId="0F34EDFD" w14:textId="77777777" w:rsidR="00C63B09" w:rsidRPr="00764BDE" w:rsidRDefault="00C63B09">
      <w:pPr>
        <w:pStyle w:val="11"/>
        <w:numPr>
          <w:ilvl w:val="0"/>
          <w:numId w:val="17"/>
        </w:numPr>
        <w:tabs>
          <w:tab w:val="left" w:pos="1354"/>
        </w:tabs>
        <w:ind w:firstLine="580"/>
        <w:jc w:val="both"/>
        <w:rPr>
          <w:sz w:val="24"/>
          <w:szCs w:val="24"/>
        </w:rPr>
      </w:pPr>
      <w:r w:rsidRPr="00764BDE">
        <w:rPr>
          <w:rStyle w:val="ac"/>
          <w:rFonts w:eastAsiaTheme="majorEastAsia"/>
          <w:sz w:val="24"/>
          <w:szCs w:val="24"/>
        </w:rPr>
        <w:t>Всем пациентам с АГ в связи с доказанным негативным эффектом курения на уровень смертности рекомендуются прекращение курения, психологическая поддержка и выполнение программ по прекращению курения [155, 156, 157].</w:t>
      </w:r>
    </w:p>
    <w:p w14:paraId="7C9AAED1" w14:textId="0F56E85A" w:rsidR="00C63B09" w:rsidRPr="008A2AFD" w:rsidRDefault="00C63B09" w:rsidP="00C63B09">
      <w:pPr>
        <w:pStyle w:val="11"/>
        <w:spacing w:after="40"/>
        <w:ind w:firstLine="580"/>
        <w:jc w:val="both"/>
        <w:rPr>
          <w:rStyle w:val="ac"/>
          <w:rFonts w:eastAsiaTheme="majorEastAsia"/>
          <w:b/>
          <w:bCs/>
          <w:sz w:val="24"/>
          <w:szCs w:val="24"/>
        </w:rPr>
      </w:pPr>
      <w:r w:rsidRPr="00764BDE">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8420E0">
        <w:rPr>
          <w:rStyle w:val="ac"/>
          <w:rFonts w:eastAsiaTheme="majorEastAsia"/>
          <w:b/>
          <w:bCs/>
          <w:sz w:val="24"/>
          <w:szCs w:val="24"/>
        </w:rPr>
        <w:t xml:space="preserve"> </w:t>
      </w:r>
      <w:r w:rsidRPr="00764BDE">
        <w:rPr>
          <w:rStyle w:val="ac"/>
          <w:rFonts w:eastAsiaTheme="majorEastAsia"/>
          <w:b/>
          <w:bCs/>
          <w:sz w:val="24"/>
          <w:szCs w:val="24"/>
        </w:rPr>
        <w:t xml:space="preserve">А, </w:t>
      </w:r>
      <w:r w:rsidR="008420E0" w:rsidRPr="00764BDE">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764BDE">
        <w:rPr>
          <w:rStyle w:val="ac"/>
          <w:rFonts w:eastAsiaTheme="majorEastAsia"/>
          <w:b/>
          <w:bCs/>
          <w:sz w:val="24"/>
          <w:szCs w:val="24"/>
        </w:rPr>
        <w:t xml:space="preserve"> 2)</w:t>
      </w:r>
      <w:r w:rsidR="008420E0">
        <w:rPr>
          <w:rStyle w:val="ac"/>
          <w:rFonts w:eastAsiaTheme="majorEastAsia"/>
          <w:b/>
          <w:bCs/>
          <w:sz w:val="24"/>
          <w:szCs w:val="24"/>
        </w:rPr>
        <w:t>;</w:t>
      </w:r>
      <w:r w:rsidR="008420E0" w:rsidRPr="008420E0">
        <w:rPr>
          <w:rStyle w:val="ac"/>
          <w:rFonts w:eastAsiaTheme="majorEastAsia"/>
          <w:b/>
          <w:bCs/>
          <w:sz w:val="24"/>
          <w:szCs w:val="24"/>
        </w:rPr>
        <w:t xml:space="preserve"> </w:t>
      </w:r>
      <w:r w:rsidR="008420E0" w:rsidRPr="00764BDE">
        <w:rPr>
          <w:rStyle w:val="ac"/>
          <w:rFonts w:eastAsiaTheme="majorEastAsia"/>
          <w:b/>
          <w:bCs/>
          <w:sz w:val="24"/>
          <w:szCs w:val="24"/>
        </w:rPr>
        <w:t xml:space="preserve">ЕОК/ЕОАГ </w:t>
      </w:r>
      <w:r w:rsidR="008420E0" w:rsidRPr="00764BDE">
        <w:rPr>
          <w:rStyle w:val="ac"/>
          <w:rFonts w:eastAsiaTheme="majorEastAsia"/>
          <w:b/>
          <w:bCs/>
          <w:sz w:val="24"/>
          <w:szCs w:val="24"/>
          <w:lang w:val="en-US"/>
        </w:rPr>
        <w:t>IB</w:t>
      </w:r>
      <w:r w:rsidR="008A2AFD">
        <w:rPr>
          <w:rStyle w:val="ac"/>
          <w:rFonts w:eastAsiaTheme="majorEastAsia"/>
          <w:b/>
          <w:bCs/>
          <w:sz w:val="24"/>
          <w:szCs w:val="24"/>
        </w:rPr>
        <w:t>.</w:t>
      </w:r>
    </w:p>
    <w:p w14:paraId="658404AD" w14:textId="5DA6144C" w:rsidR="008420E0" w:rsidRPr="008420E0" w:rsidRDefault="008420E0" w:rsidP="00C63B09">
      <w:pPr>
        <w:pStyle w:val="11"/>
        <w:spacing w:after="40"/>
        <w:ind w:firstLine="580"/>
        <w:jc w:val="both"/>
        <w:rPr>
          <w:i/>
          <w:iCs/>
          <w:sz w:val="28"/>
          <w:szCs w:val="28"/>
        </w:rPr>
      </w:pPr>
      <w:r>
        <w:rPr>
          <w:rStyle w:val="ac"/>
          <w:rFonts w:eastAsiaTheme="majorEastAsia"/>
          <w:b/>
          <w:bCs/>
          <w:sz w:val="24"/>
          <w:szCs w:val="24"/>
        </w:rPr>
        <w:t>Комментарии:</w:t>
      </w:r>
      <w:r w:rsidRPr="008420E0">
        <w:t xml:space="preserve"> </w:t>
      </w:r>
      <w:r>
        <w:rPr>
          <w:i/>
          <w:iCs/>
          <w:sz w:val="24"/>
          <w:szCs w:val="24"/>
        </w:rPr>
        <w:t>К</w:t>
      </w:r>
      <w:r w:rsidRPr="008420E0">
        <w:rPr>
          <w:i/>
          <w:iCs/>
          <w:sz w:val="24"/>
          <w:szCs w:val="24"/>
        </w:rPr>
        <w:t>урение усиливает развитие сердечно-сосудистых заболеваний, ухудшает контроль артериального давления и повышает риск осложнений. кроме отказа от курения, важна психологическая поддержка и участие в специализированных программах по прекращению курения для повышения эффективности отказа.</w:t>
      </w:r>
    </w:p>
    <w:p w14:paraId="553172B3" w14:textId="77777777" w:rsidR="001B274E" w:rsidRPr="003A7819" w:rsidRDefault="00EC04DD" w:rsidP="00C10BEC">
      <w:pPr>
        <w:pStyle w:val="11"/>
        <w:ind w:firstLine="0"/>
        <w:jc w:val="center"/>
        <w:outlineLvl w:val="0"/>
        <w:rPr>
          <w:b/>
          <w:bCs/>
          <w:sz w:val="28"/>
          <w:szCs w:val="28"/>
        </w:rPr>
      </w:pPr>
      <w:bookmarkStart w:id="66" w:name="_Toc202877444"/>
      <w:r w:rsidRPr="003A7819">
        <w:rPr>
          <w:b/>
          <w:bCs/>
          <w:sz w:val="28"/>
          <w:szCs w:val="28"/>
        </w:rPr>
        <w:t>4.Реабилитация</w:t>
      </w:r>
      <w:bookmarkEnd w:id="66"/>
    </w:p>
    <w:p w14:paraId="650A10B8" w14:textId="1FA5EB6D" w:rsidR="00CB781F" w:rsidRPr="00EC04DD" w:rsidRDefault="00CB781F" w:rsidP="00CB781F">
      <w:pPr>
        <w:pStyle w:val="11"/>
        <w:ind w:firstLine="620"/>
        <w:jc w:val="both"/>
        <w:rPr>
          <w:sz w:val="24"/>
          <w:szCs w:val="24"/>
        </w:rPr>
      </w:pPr>
      <w:r w:rsidRPr="00EC04DD">
        <w:rPr>
          <w:rStyle w:val="ac"/>
          <w:rFonts w:eastAsiaTheme="majorEastAsia"/>
          <w:i/>
          <w:iCs/>
          <w:sz w:val="24"/>
          <w:szCs w:val="24"/>
        </w:rPr>
        <w:t>Медицинская (кардиологическая) реабилитация пациентов с АГ высокого и очень высокого риска (согласно стратификации риска при АГ; табл.П13, П14 Прил.</w:t>
      </w:r>
      <w:r w:rsidR="00FB33EA">
        <w:rPr>
          <w:rStyle w:val="ac"/>
          <w:rFonts w:eastAsiaTheme="majorEastAsia"/>
          <w:i/>
          <w:iCs/>
          <w:sz w:val="24"/>
          <w:szCs w:val="24"/>
        </w:rPr>
        <w:t>А2</w:t>
      </w:r>
      <w:r w:rsidRPr="00EC04DD">
        <w:rPr>
          <w:rStyle w:val="ac"/>
          <w:rFonts w:eastAsiaTheme="majorEastAsia"/>
          <w:i/>
          <w:iCs/>
          <w:sz w:val="24"/>
          <w:szCs w:val="24"/>
        </w:rPr>
        <w:t xml:space="preserve"> и табл.П11, П12, проводится в плановом порядке после установления диагноза (при первом контакте с пациентом) или при длительном течении заболевания независимо от сроков заболевания при условии стабильности клинического состояния пациента, наличия медицинских показаний к проведению отдельных реабилитационных методов и основывается на пациент- ориентированном подходе</w:t>
      </w:r>
      <w:r w:rsidRPr="00EC04DD">
        <w:rPr>
          <w:rStyle w:val="ac"/>
          <w:rFonts w:eastAsiaTheme="majorEastAsia"/>
          <w:sz w:val="24"/>
          <w:szCs w:val="24"/>
        </w:rPr>
        <w:t xml:space="preserve"> [509]</w:t>
      </w:r>
      <w:r w:rsidRPr="00EC04DD">
        <w:rPr>
          <w:rStyle w:val="ac"/>
          <w:rFonts w:eastAsiaTheme="majorEastAsia"/>
          <w:i/>
          <w:iCs/>
          <w:sz w:val="24"/>
          <w:szCs w:val="24"/>
        </w:rPr>
        <w:t>.</w:t>
      </w:r>
    </w:p>
    <w:p w14:paraId="4E305EED" w14:textId="77777777" w:rsidR="00CB781F" w:rsidRPr="00EC04DD" w:rsidRDefault="00CB781F">
      <w:pPr>
        <w:pStyle w:val="11"/>
        <w:numPr>
          <w:ilvl w:val="0"/>
          <w:numId w:val="36"/>
        </w:numPr>
        <w:tabs>
          <w:tab w:val="left" w:pos="1277"/>
        </w:tabs>
        <w:ind w:firstLine="620"/>
        <w:jc w:val="both"/>
        <w:rPr>
          <w:sz w:val="24"/>
          <w:szCs w:val="24"/>
        </w:rPr>
      </w:pPr>
      <w:r w:rsidRPr="00EC04DD">
        <w:rPr>
          <w:rStyle w:val="ac"/>
          <w:rFonts w:eastAsiaTheme="majorEastAsia"/>
          <w:sz w:val="24"/>
          <w:szCs w:val="24"/>
        </w:rPr>
        <w:lastRenderedPageBreak/>
        <w:t>Рекомендуется всех пациентов с АГ высокого и очень высокого риска вовлекать в комплексную медицинскую реабилитацию, включающую в себя программу по коррекции и контролю кардиоваскулярных факторов риска и образа жизни (массы тела, АД, концентрации липидов и глюкозы крови, рациона питания, ежедневной физической активности) и программу по прекращению курения (при курении в любом виде) с целью снижения уровня АД, профилактики прогрессирования заболевания, повышения функциональных возможностей, улучшения качества жизни, психологического и социального функционирования [150, 138, 146, 510, 511, 512, 140].</w:t>
      </w:r>
    </w:p>
    <w:p w14:paraId="30B67C25" w14:textId="24AAF11B" w:rsidR="00CB781F" w:rsidRPr="00EC04DD" w:rsidRDefault="00CB781F" w:rsidP="00CB781F">
      <w:pPr>
        <w:pStyle w:val="11"/>
        <w:ind w:firstLine="620"/>
        <w:jc w:val="both"/>
        <w:rPr>
          <w:sz w:val="24"/>
          <w:szCs w:val="24"/>
        </w:rPr>
      </w:pPr>
      <w:r w:rsidRPr="00EC04DD">
        <w:rPr>
          <w:rStyle w:val="ac"/>
          <w:rFonts w:eastAsiaTheme="majorEastAsia"/>
          <w:b/>
          <w:bCs/>
          <w:sz w:val="24"/>
          <w:szCs w:val="24"/>
        </w:rPr>
        <w:t xml:space="preserve">ЕОК/ЕОАГ </w:t>
      </w:r>
      <w:r w:rsidRPr="00EC04DD">
        <w:rPr>
          <w:rStyle w:val="ac"/>
          <w:rFonts w:eastAsiaTheme="majorEastAsia"/>
          <w:b/>
          <w:bCs/>
          <w:sz w:val="24"/>
          <w:szCs w:val="24"/>
          <w:lang w:val="en-US"/>
        </w:rPr>
        <w:t>IA</w:t>
      </w:r>
      <w:r w:rsidRPr="00EC04DD">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8A2AFD">
        <w:rPr>
          <w:rStyle w:val="ac"/>
          <w:rFonts w:eastAsiaTheme="majorEastAsia"/>
          <w:b/>
          <w:bCs/>
          <w:sz w:val="24"/>
          <w:szCs w:val="24"/>
        </w:rPr>
        <w:t xml:space="preserve"> </w:t>
      </w:r>
      <w:r w:rsidRPr="00EC04DD">
        <w:rPr>
          <w:rStyle w:val="ac"/>
          <w:rFonts w:eastAsiaTheme="majorEastAsia"/>
          <w:b/>
          <w:bCs/>
          <w:sz w:val="24"/>
          <w:szCs w:val="24"/>
        </w:rPr>
        <w:t xml:space="preserve">А, </w:t>
      </w:r>
      <w:r w:rsidR="003D51B3">
        <w:rPr>
          <w:rStyle w:val="ac"/>
          <w:rFonts w:eastAsiaTheme="majorEastAsia"/>
          <w:b/>
          <w:bCs/>
          <w:sz w:val="24"/>
          <w:szCs w:val="24"/>
        </w:rPr>
        <w:t>Уровень достоверности доказательств</w:t>
      </w:r>
      <w:r w:rsidRPr="00EC04DD">
        <w:rPr>
          <w:rStyle w:val="ac"/>
          <w:rFonts w:eastAsiaTheme="majorEastAsia"/>
          <w:b/>
          <w:bCs/>
          <w:sz w:val="24"/>
          <w:szCs w:val="24"/>
        </w:rPr>
        <w:t xml:space="preserve"> 1)</w:t>
      </w:r>
      <w:r w:rsidR="008A2AFD">
        <w:rPr>
          <w:rStyle w:val="ac"/>
          <w:rFonts w:eastAsiaTheme="majorEastAsia"/>
          <w:b/>
          <w:bCs/>
          <w:sz w:val="24"/>
          <w:szCs w:val="24"/>
        </w:rPr>
        <w:t>.</w:t>
      </w:r>
    </w:p>
    <w:p w14:paraId="63C56D4F" w14:textId="68ADC9BF" w:rsidR="00CB781F" w:rsidRPr="00EC04DD" w:rsidRDefault="00CB781F" w:rsidP="00CB781F">
      <w:pPr>
        <w:pStyle w:val="11"/>
        <w:ind w:firstLine="620"/>
        <w:jc w:val="both"/>
        <w:rPr>
          <w:sz w:val="24"/>
          <w:szCs w:val="24"/>
        </w:rPr>
      </w:pPr>
      <w:r w:rsidRPr="00EC04DD">
        <w:rPr>
          <w:rStyle w:val="ac"/>
          <w:rFonts w:eastAsiaTheme="majorEastAsia"/>
          <w:b/>
          <w:bCs/>
          <w:sz w:val="24"/>
          <w:szCs w:val="24"/>
        </w:rPr>
        <w:t xml:space="preserve">Комментарии. </w:t>
      </w:r>
      <w:r w:rsidRPr="00EC04DD">
        <w:rPr>
          <w:rStyle w:val="ac"/>
          <w:rFonts w:eastAsiaTheme="majorEastAsia"/>
          <w:i/>
          <w:iCs/>
          <w:sz w:val="24"/>
          <w:szCs w:val="24"/>
        </w:rPr>
        <w:t xml:space="preserve">Практические аспекты применения общих реабилитационных мероприятий и методов у пациентов с АГ представлены </w:t>
      </w:r>
      <w:r w:rsidRPr="00532863">
        <w:rPr>
          <w:rStyle w:val="ac"/>
          <w:rFonts w:eastAsiaTheme="majorEastAsia"/>
          <w:i/>
          <w:iCs/>
          <w:sz w:val="24"/>
          <w:szCs w:val="24"/>
        </w:rPr>
        <w:t xml:space="preserve">в </w:t>
      </w:r>
      <w:r w:rsidR="00532863">
        <w:rPr>
          <w:rStyle w:val="ac"/>
          <w:rFonts w:eastAsiaTheme="majorEastAsia"/>
          <w:i/>
          <w:iCs/>
          <w:sz w:val="24"/>
          <w:szCs w:val="24"/>
        </w:rPr>
        <w:t>таблице</w:t>
      </w:r>
      <w:r w:rsidRPr="00532863">
        <w:rPr>
          <w:rStyle w:val="ac"/>
          <w:rFonts w:eastAsiaTheme="majorEastAsia"/>
          <w:i/>
          <w:iCs/>
          <w:sz w:val="24"/>
          <w:szCs w:val="24"/>
        </w:rPr>
        <w:t xml:space="preserve"> П27/</w:t>
      </w:r>
      <w:r w:rsidR="00FB33EA" w:rsidRPr="00532863">
        <w:rPr>
          <w:rStyle w:val="ac"/>
          <w:rFonts w:eastAsiaTheme="majorEastAsia"/>
          <w:i/>
          <w:iCs/>
          <w:sz w:val="24"/>
          <w:szCs w:val="24"/>
        </w:rPr>
        <w:t>А2</w:t>
      </w:r>
      <w:r w:rsidRPr="00532863">
        <w:rPr>
          <w:rStyle w:val="ac"/>
          <w:rFonts w:eastAsiaTheme="majorEastAsia"/>
          <w:i/>
          <w:iCs/>
          <w:sz w:val="24"/>
          <w:szCs w:val="24"/>
        </w:rPr>
        <w:t>.</w:t>
      </w:r>
    </w:p>
    <w:p w14:paraId="27FF4FAF" w14:textId="77777777" w:rsidR="00CB781F" w:rsidRPr="00EC04DD" w:rsidRDefault="00CB781F">
      <w:pPr>
        <w:pStyle w:val="11"/>
        <w:numPr>
          <w:ilvl w:val="0"/>
          <w:numId w:val="36"/>
        </w:numPr>
        <w:tabs>
          <w:tab w:val="left" w:pos="1277"/>
        </w:tabs>
        <w:ind w:firstLine="620"/>
        <w:jc w:val="both"/>
        <w:rPr>
          <w:sz w:val="24"/>
          <w:szCs w:val="24"/>
        </w:rPr>
      </w:pPr>
      <w:r w:rsidRPr="00EC04DD">
        <w:rPr>
          <w:rStyle w:val="ac"/>
          <w:rFonts w:eastAsiaTheme="majorEastAsia"/>
          <w:sz w:val="24"/>
          <w:szCs w:val="24"/>
        </w:rPr>
        <w:t>Рекомендуется для проведения медицинской реабилитации пациентов с АГ высокого и очень высокого риска формировать мультидисциплинарную реабилитационную команду с целью определения индивидуальной программы реабилитации и проведения комплекса реабилитационных мероприятий [509, 513].</w:t>
      </w:r>
    </w:p>
    <w:p w14:paraId="08A0BA34" w14:textId="3B0A0E6A" w:rsidR="00CB781F" w:rsidRDefault="00CB781F" w:rsidP="00CB781F">
      <w:pPr>
        <w:pStyle w:val="11"/>
        <w:ind w:firstLine="620"/>
        <w:jc w:val="both"/>
        <w:rPr>
          <w:rStyle w:val="ac"/>
          <w:rFonts w:eastAsiaTheme="majorEastAsia"/>
          <w:b/>
          <w:bCs/>
          <w:sz w:val="24"/>
          <w:szCs w:val="24"/>
        </w:rPr>
      </w:pPr>
      <w:r w:rsidRPr="00EC04DD">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E97E1C">
        <w:rPr>
          <w:rStyle w:val="ac"/>
          <w:rFonts w:eastAsiaTheme="majorEastAsia"/>
          <w:b/>
          <w:bCs/>
          <w:sz w:val="24"/>
          <w:szCs w:val="24"/>
        </w:rPr>
        <w:t xml:space="preserve"> </w:t>
      </w:r>
      <w:r w:rsidRPr="00EC04DD">
        <w:rPr>
          <w:rStyle w:val="ac"/>
          <w:rFonts w:eastAsiaTheme="majorEastAsia"/>
          <w:b/>
          <w:bCs/>
          <w:sz w:val="24"/>
          <w:szCs w:val="24"/>
        </w:rPr>
        <w:t xml:space="preserve">С, </w:t>
      </w:r>
      <w:r w:rsidR="00E97E1C" w:rsidRPr="00EC04DD">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EC04DD">
        <w:rPr>
          <w:rStyle w:val="ac"/>
          <w:rFonts w:eastAsiaTheme="majorEastAsia"/>
          <w:b/>
          <w:bCs/>
          <w:sz w:val="24"/>
          <w:szCs w:val="24"/>
        </w:rPr>
        <w:t xml:space="preserve"> 5)</w:t>
      </w:r>
      <w:r w:rsidR="00E97E1C">
        <w:rPr>
          <w:rStyle w:val="ac"/>
          <w:rFonts w:eastAsiaTheme="majorEastAsia"/>
          <w:b/>
          <w:bCs/>
          <w:sz w:val="24"/>
          <w:szCs w:val="24"/>
        </w:rPr>
        <w:t xml:space="preserve">; </w:t>
      </w:r>
      <w:r w:rsidR="00E97E1C" w:rsidRPr="00EC04DD">
        <w:rPr>
          <w:rStyle w:val="ac"/>
          <w:rFonts w:eastAsiaTheme="majorEastAsia"/>
          <w:b/>
          <w:bCs/>
          <w:sz w:val="24"/>
          <w:szCs w:val="24"/>
        </w:rPr>
        <w:t>ЕОК/ЕОАГ нет</w:t>
      </w:r>
      <w:r w:rsidR="008A2AFD">
        <w:rPr>
          <w:rStyle w:val="ac"/>
          <w:rFonts w:eastAsiaTheme="majorEastAsia"/>
          <w:b/>
          <w:bCs/>
          <w:sz w:val="24"/>
          <w:szCs w:val="24"/>
        </w:rPr>
        <w:t>.</w:t>
      </w:r>
    </w:p>
    <w:p w14:paraId="51855AF8" w14:textId="60C49267" w:rsidR="00E97E1C" w:rsidRPr="00E97E1C" w:rsidRDefault="00E97E1C" w:rsidP="00CB781F">
      <w:pPr>
        <w:pStyle w:val="11"/>
        <w:ind w:firstLine="620"/>
        <w:jc w:val="both"/>
        <w:rPr>
          <w:i/>
          <w:iCs/>
          <w:sz w:val="28"/>
          <w:szCs w:val="28"/>
        </w:rPr>
      </w:pPr>
      <w:r>
        <w:rPr>
          <w:rStyle w:val="ac"/>
          <w:rFonts w:eastAsiaTheme="majorEastAsia"/>
          <w:b/>
          <w:bCs/>
          <w:sz w:val="24"/>
          <w:szCs w:val="24"/>
        </w:rPr>
        <w:t xml:space="preserve">Комментарии: </w:t>
      </w:r>
      <w:proofErr w:type="gramStart"/>
      <w:r w:rsidRPr="00E97E1C">
        <w:rPr>
          <w:rStyle w:val="ac"/>
          <w:rFonts w:eastAsiaTheme="majorEastAsia"/>
          <w:i/>
          <w:iCs/>
          <w:sz w:val="24"/>
          <w:szCs w:val="24"/>
        </w:rPr>
        <w:t>Рекомендуется</w:t>
      </w:r>
      <w:proofErr w:type="gramEnd"/>
      <w:r w:rsidRPr="00E97E1C">
        <w:rPr>
          <w:rStyle w:val="ac"/>
          <w:rFonts w:eastAsiaTheme="majorEastAsia"/>
          <w:b/>
          <w:bCs/>
          <w:i/>
          <w:iCs/>
          <w:sz w:val="24"/>
          <w:szCs w:val="24"/>
        </w:rPr>
        <w:t xml:space="preserve"> </w:t>
      </w:r>
      <w:r w:rsidRPr="00E97E1C">
        <w:rPr>
          <w:i/>
          <w:iCs/>
          <w:sz w:val="24"/>
          <w:szCs w:val="24"/>
        </w:rPr>
        <w:t>разработка и реализация индивидуальной программы реабилитации, учитывающей все особенности пациента. Состав может включать кардиолога, терапевта, диетолога, психолога, специалиста по физической реабилитации и других профильных специалистов.</w:t>
      </w:r>
      <w:r w:rsidRPr="00E97E1C">
        <w:t xml:space="preserve"> </w:t>
      </w:r>
      <w:r>
        <w:rPr>
          <w:i/>
          <w:iCs/>
          <w:sz w:val="24"/>
          <w:szCs w:val="24"/>
        </w:rPr>
        <w:t>К</w:t>
      </w:r>
      <w:r w:rsidRPr="00E97E1C">
        <w:rPr>
          <w:i/>
          <w:iCs/>
          <w:sz w:val="24"/>
          <w:szCs w:val="24"/>
        </w:rPr>
        <w:t>омплексный подход способствует улучшению контроля АД, снижению сердечно-сосудистого риска и повышению качества жизни пациентов.</w:t>
      </w:r>
    </w:p>
    <w:p w14:paraId="19141743" w14:textId="77777777" w:rsidR="00CB781F" w:rsidRPr="00EC04DD" w:rsidRDefault="00CB781F">
      <w:pPr>
        <w:pStyle w:val="11"/>
        <w:numPr>
          <w:ilvl w:val="0"/>
          <w:numId w:val="36"/>
        </w:numPr>
        <w:tabs>
          <w:tab w:val="left" w:pos="1277"/>
        </w:tabs>
        <w:ind w:firstLine="620"/>
        <w:jc w:val="both"/>
        <w:rPr>
          <w:sz w:val="24"/>
          <w:szCs w:val="24"/>
        </w:rPr>
      </w:pPr>
      <w:r w:rsidRPr="00EC04DD">
        <w:rPr>
          <w:rStyle w:val="ac"/>
          <w:rFonts w:eastAsiaTheme="majorEastAsia"/>
          <w:sz w:val="24"/>
          <w:szCs w:val="24"/>
        </w:rPr>
        <w:t>Рекомендуется у всех пациентов с АГ в рамках программы кардиореабилитации проводить оценку клинико-функционального состояния с целью описания актуальных проблем здоровья пациента, определения функционирования органов и систем, выявления показаний и противопоказаний к реабилитационным мероприятиям, определения результатов реабилитации [509, 513, 514, 515].</w:t>
      </w:r>
    </w:p>
    <w:p w14:paraId="34ADAC4B" w14:textId="0BD7CDDB" w:rsidR="00BF1DEB" w:rsidRDefault="00CB781F" w:rsidP="00BF1DEB">
      <w:pPr>
        <w:pStyle w:val="11"/>
        <w:ind w:firstLine="620"/>
        <w:jc w:val="both"/>
        <w:rPr>
          <w:rStyle w:val="ac"/>
          <w:rFonts w:eastAsiaTheme="majorEastAsia"/>
          <w:b/>
          <w:bCs/>
          <w:sz w:val="24"/>
          <w:szCs w:val="24"/>
        </w:rPr>
      </w:pPr>
      <w:r w:rsidRPr="00EC04DD">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A02C81">
        <w:rPr>
          <w:rStyle w:val="ac"/>
          <w:rFonts w:eastAsiaTheme="majorEastAsia"/>
          <w:b/>
          <w:bCs/>
          <w:sz w:val="24"/>
          <w:szCs w:val="24"/>
        </w:rPr>
        <w:t xml:space="preserve"> </w:t>
      </w:r>
      <w:r w:rsidRPr="00EC04DD">
        <w:rPr>
          <w:rStyle w:val="ac"/>
          <w:rFonts w:eastAsiaTheme="majorEastAsia"/>
          <w:b/>
          <w:bCs/>
          <w:sz w:val="24"/>
          <w:szCs w:val="24"/>
        </w:rPr>
        <w:t xml:space="preserve">С, </w:t>
      </w:r>
      <w:r w:rsidR="00A02C81" w:rsidRPr="00EC04DD">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EC04DD">
        <w:rPr>
          <w:rStyle w:val="ac"/>
          <w:rFonts w:eastAsiaTheme="majorEastAsia"/>
          <w:b/>
          <w:bCs/>
          <w:sz w:val="24"/>
          <w:szCs w:val="24"/>
        </w:rPr>
        <w:t xml:space="preserve"> 5</w:t>
      </w:r>
      <w:r w:rsidR="00BF1DEB" w:rsidRPr="00EC04DD">
        <w:rPr>
          <w:rStyle w:val="ac"/>
          <w:rFonts w:eastAsiaTheme="majorEastAsia"/>
          <w:b/>
          <w:bCs/>
          <w:sz w:val="24"/>
          <w:szCs w:val="24"/>
        </w:rPr>
        <w:t>)</w:t>
      </w:r>
      <w:r w:rsidR="00BF1DEB" w:rsidRPr="00A02C81">
        <w:rPr>
          <w:rStyle w:val="ac"/>
          <w:rFonts w:eastAsiaTheme="majorEastAsia"/>
          <w:b/>
          <w:bCs/>
          <w:sz w:val="24"/>
          <w:szCs w:val="24"/>
        </w:rPr>
        <w:t>;</w:t>
      </w:r>
      <w:r w:rsidR="00BF1DEB">
        <w:rPr>
          <w:rStyle w:val="ac"/>
          <w:rFonts w:eastAsiaTheme="majorEastAsia"/>
          <w:b/>
          <w:bCs/>
          <w:sz w:val="24"/>
          <w:szCs w:val="24"/>
        </w:rPr>
        <w:t xml:space="preserve"> </w:t>
      </w:r>
      <w:r w:rsidR="00A02C81" w:rsidRPr="00EC04DD">
        <w:rPr>
          <w:rStyle w:val="ac"/>
          <w:rFonts w:eastAsiaTheme="majorEastAsia"/>
          <w:b/>
          <w:bCs/>
          <w:sz w:val="24"/>
          <w:szCs w:val="24"/>
        </w:rPr>
        <w:t>ЕОК/ ЕОАГ нет</w:t>
      </w:r>
      <w:r w:rsidR="008A2AFD">
        <w:rPr>
          <w:rStyle w:val="ac"/>
          <w:rFonts w:eastAsiaTheme="majorEastAsia"/>
          <w:b/>
          <w:bCs/>
          <w:sz w:val="24"/>
          <w:szCs w:val="24"/>
        </w:rPr>
        <w:t>.</w:t>
      </w:r>
    </w:p>
    <w:p w14:paraId="61F6FCF1" w14:textId="543FF52D" w:rsidR="00A02C81" w:rsidRPr="00BF1DEB" w:rsidRDefault="00A02C81" w:rsidP="00BF1DEB">
      <w:pPr>
        <w:pStyle w:val="11"/>
        <w:ind w:firstLine="620"/>
        <w:jc w:val="both"/>
        <w:rPr>
          <w:rFonts w:eastAsiaTheme="majorEastAsia"/>
          <w:b/>
          <w:bCs/>
          <w:sz w:val="24"/>
          <w:szCs w:val="24"/>
        </w:rPr>
      </w:pPr>
      <w:r>
        <w:rPr>
          <w:rStyle w:val="ac"/>
          <w:rFonts w:eastAsiaTheme="majorEastAsia"/>
          <w:b/>
          <w:bCs/>
          <w:sz w:val="24"/>
          <w:szCs w:val="24"/>
        </w:rPr>
        <w:t xml:space="preserve">Комментарии: </w:t>
      </w:r>
      <w:r w:rsidRPr="00BF1DEB">
        <w:rPr>
          <w:i/>
          <w:iCs/>
        </w:rPr>
        <w:t>У всех пациентов с артериальной гипертензией (АГ) в рамках программы кардиореабилитации рекомендуется проводить комплексную оценку клинико-функционального состояния.</w:t>
      </w:r>
      <w:r w:rsidRPr="00BF1DEB">
        <w:rPr>
          <w:rStyle w:val="aff9"/>
          <w:rFonts w:eastAsiaTheme="majorEastAsia"/>
          <w:i/>
          <w:iCs/>
        </w:rPr>
        <w:t xml:space="preserve"> </w:t>
      </w:r>
      <w:r w:rsidRPr="00BF1DEB">
        <w:rPr>
          <w:i/>
          <w:iCs/>
        </w:rPr>
        <w:t>Цели оценки</w:t>
      </w:r>
      <w:r w:rsidRPr="00BF1DEB">
        <w:rPr>
          <w:b/>
          <w:bCs/>
          <w:i/>
          <w:iCs/>
        </w:rPr>
        <w:t>:</w:t>
      </w:r>
      <w:r w:rsidR="00BF1DEB">
        <w:rPr>
          <w:b/>
          <w:bCs/>
          <w:i/>
          <w:iCs/>
        </w:rPr>
        <w:t xml:space="preserve"> </w:t>
      </w:r>
      <w:r w:rsidRPr="00A02C81">
        <w:rPr>
          <w:i/>
          <w:iCs/>
          <w:kern w:val="0"/>
          <w:sz w:val="24"/>
          <w:szCs w:val="24"/>
          <w:lang w:eastAsia="ru-RU"/>
        </w:rPr>
        <w:t>выявление актуальных проблем со здоровьем пациента,</w:t>
      </w:r>
      <w:r w:rsidR="00BF1DEB">
        <w:rPr>
          <w:i/>
          <w:iCs/>
        </w:rPr>
        <w:t xml:space="preserve"> </w:t>
      </w:r>
      <w:r w:rsidRPr="00A02C81">
        <w:rPr>
          <w:i/>
          <w:iCs/>
          <w:kern w:val="0"/>
          <w:sz w:val="24"/>
          <w:szCs w:val="24"/>
          <w:lang w:eastAsia="ru-RU"/>
        </w:rPr>
        <w:t>определение функционирования органов и систем,</w:t>
      </w:r>
      <w:r w:rsidR="00BF1DEB">
        <w:rPr>
          <w:i/>
          <w:iCs/>
        </w:rPr>
        <w:t xml:space="preserve"> </w:t>
      </w:r>
      <w:r w:rsidRPr="00A02C81">
        <w:rPr>
          <w:i/>
          <w:iCs/>
          <w:kern w:val="0"/>
          <w:sz w:val="24"/>
          <w:szCs w:val="24"/>
          <w:lang w:eastAsia="ru-RU"/>
        </w:rPr>
        <w:t xml:space="preserve">выявление показаний и противопоказаний к </w:t>
      </w:r>
      <w:r w:rsidRPr="00A02C81">
        <w:rPr>
          <w:i/>
          <w:iCs/>
          <w:kern w:val="0"/>
          <w:sz w:val="24"/>
          <w:szCs w:val="24"/>
          <w:lang w:eastAsia="ru-RU"/>
        </w:rPr>
        <w:lastRenderedPageBreak/>
        <w:t>реабилитационным мероприятиям,</w:t>
      </w:r>
      <w:r w:rsidR="00BF1DEB">
        <w:rPr>
          <w:i/>
          <w:iCs/>
        </w:rPr>
        <w:t xml:space="preserve"> </w:t>
      </w:r>
      <w:r w:rsidRPr="00A02C81">
        <w:rPr>
          <w:i/>
          <w:iCs/>
          <w:kern w:val="0"/>
          <w:sz w:val="24"/>
          <w:szCs w:val="24"/>
          <w:lang w:eastAsia="ru-RU"/>
        </w:rPr>
        <w:t>оценка результатов проведённой реабилитации.</w:t>
      </w:r>
    </w:p>
    <w:p w14:paraId="041ADAA0" w14:textId="77777777" w:rsidR="00CB781F" w:rsidRPr="00EC04DD" w:rsidRDefault="00CB781F" w:rsidP="00BF1DEB">
      <w:pPr>
        <w:pStyle w:val="11"/>
        <w:numPr>
          <w:ilvl w:val="0"/>
          <w:numId w:val="36"/>
        </w:numPr>
        <w:tabs>
          <w:tab w:val="left" w:pos="1277"/>
        </w:tabs>
        <w:ind w:firstLine="680"/>
        <w:jc w:val="both"/>
        <w:rPr>
          <w:sz w:val="24"/>
          <w:szCs w:val="24"/>
        </w:rPr>
      </w:pPr>
      <w:r w:rsidRPr="00EC04DD">
        <w:rPr>
          <w:rStyle w:val="ac"/>
          <w:rFonts w:eastAsiaTheme="majorEastAsia"/>
          <w:sz w:val="24"/>
          <w:szCs w:val="24"/>
        </w:rPr>
        <w:t>Рекомендуется у пациентов с АГ проводить комплекс клинико-психологических исследований для оценки факторов риска, и адаптивных ресурсов психики пациента для определения необходимости их коррекции с целью улучшения качества жизни и повышения приверженности лечению, реабилитации и здоровому образу жизни [512, 516, 517, 518].</w:t>
      </w:r>
    </w:p>
    <w:p w14:paraId="1541D018" w14:textId="7100F9C3" w:rsidR="00CB781F" w:rsidRPr="008A2AFD" w:rsidRDefault="00CB781F" w:rsidP="00CB781F">
      <w:pPr>
        <w:pStyle w:val="11"/>
        <w:ind w:firstLine="680"/>
        <w:jc w:val="both"/>
        <w:rPr>
          <w:sz w:val="24"/>
          <w:szCs w:val="24"/>
        </w:rPr>
      </w:pPr>
      <w:r w:rsidRPr="00EC04DD">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BF1DEB">
        <w:rPr>
          <w:rStyle w:val="ac"/>
          <w:rFonts w:eastAsiaTheme="majorEastAsia"/>
          <w:b/>
          <w:bCs/>
          <w:sz w:val="24"/>
          <w:szCs w:val="24"/>
        </w:rPr>
        <w:t xml:space="preserve"> </w:t>
      </w:r>
      <w:r w:rsidRPr="00EC04DD">
        <w:rPr>
          <w:rStyle w:val="ac"/>
          <w:rFonts w:eastAsiaTheme="majorEastAsia"/>
          <w:b/>
          <w:bCs/>
          <w:sz w:val="24"/>
          <w:szCs w:val="24"/>
        </w:rPr>
        <w:t xml:space="preserve">А, </w:t>
      </w:r>
      <w:r w:rsidR="00BF1DEB" w:rsidRPr="00EC04DD">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EC04DD">
        <w:rPr>
          <w:rStyle w:val="ac"/>
          <w:rFonts w:eastAsiaTheme="majorEastAsia"/>
          <w:b/>
          <w:bCs/>
          <w:sz w:val="24"/>
          <w:szCs w:val="24"/>
        </w:rPr>
        <w:t xml:space="preserve"> 2)</w:t>
      </w:r>
      <w:r w:rsidR="00BF1DEB">
        <w:rPr>
          <w:rStyle w:val="ac"/>
          <w:rFonts w:eastAsiaTheme="majorEastAsia"/>
          <w:b/>
          <w:bCs/>
          <w:sz w:val="24"/>
          <w:szCs w:val="24"/>
        </w:rPr>
        <w:t>;</w:t>
      </w:r>
      <w:r w:rsidR="00BF1DEB" w:rsidRPr="00BF1DEB">
        <w:rPr>
          <w:rStyle w:val="ac"/>
          <w:rFonts w:eastAsiaTheme="majorEastAsia"/>
          <w:b/>
          <w:bCs/>
          <w:sz w:val="24"/>
          <w:szCs w:val="24"/>
        </w:rPr>
        <w:t xml:space="preserve"> </w:t>
      </w:r>
      <w:r w:rsidR="00BF1DEB" w:rsidRPr="00EC04DD">
        <w:rPr>
          <w:rStyle w:val="ac"/>
          <w:rFonts w:eastAsiaTheme="majorEastAsia"/>
          <w:b/>
          <w:bCs/>
          <w:sz w:val="24"/>
          <w:szCs w:val="24"/>
        </w:rPr>
        <w:t xml:space="preserve">ЕОК/ЕОАГ </w:t>
      </w:r>
      <w:r w:rsidR="00BF1DEB" w:rsidRPr="00EC04DD">
        <w:rPr>
          <w:rStyle w:val="ac"/>
          <w:rFonts w:eastAsiaTheme="majorEastAsia"/>
          <w:b/>
          <w:bCs/>
          <w:sz w:val="24"/>
          <w:szCs w:val="24"/>
          <w:lang w:val="en-US"/>
        </w:rPr>
        <w:t>IC</w:t>
      </w:r>
      <w:r w:rsidR="008A2AFD">
        <w:rPr>
          <w:rStyle w:val="ac"/>
          <w:rFonts w:eastAsiaTheme="majorEastAsia"/>
          <w:b/>
          <w:bCs/>
          <w:sz w:val="24"/>
          <w:szCs w:val="24"/>
        </w:rPr>
        <w:t>.</w:t>
      </w:r>
    </w:p>
    <w:p w14:paraId="18D8E364" w14:textId="77777777" w:rsidR="00CB781F" w:rsidRPr="00EC04DD" w:rsidRDefault="00CB781F" w:rsidP="00CB781F">
      <w:pPr>
        <w:pStyle w:val="11"/>
        <w:ind w:firstLine="680"/>
        <w:jc w:val="both"/>
        <w:rPr>
          <w:sz w:val="24"/>
          <w:szCs w:val="24"/>
        </w:rPr>
      </w:pPr>
      <w:r w:rsidRPr="00EC04DD">
        <w:rPr>
          <w:rStyle w:val="ac"/>
          <w:rFonts w:eastAsiaTheme="majorEastAsia"/>
          <w:b/>
          <w:bCs/>
          <w:sz w:val="24"/>
          <w:szCs w:val="24"/>
        </w:rPr>
        <w:t xml:space="preserve">Комментарии. </w:t>
      </w:r>
      <w:r w:rsidRPr="00EC04DD">
        <w:rPr>
          <w:rStyle w:val="ac"/>
          <w:rFonts w:eastAsiaTheme="majorEastAsia"/>
          <w:i/>
          <w:iCs/>
          <w:sz w:val="24"/>
          <w:szCs w:val="24"/>
        </w:rPr>
        <w:t>К психосоциальным факторам риска, обладающим доказанным негативным влиянием на приверженность лечению и изменению образа жизни, вовлекаемость в программу реабилитации, продуктивность взаимодействия с врачом, качество жизни и прогноз, относятся депрессия, тревога, хронический стресс, социальная изоляция и низкая социальная поддержка. При выявлении клинических нарушений психологического статуса рекомендуется проведение клинико-психологическое консультирование.</w:t>
      </w:r>
    </w:p>
    <w:p w14:paraId="53982F6B" w14:textId="77777777" w:rsidR="00CB781F" w:rsidRPr="00EC04DD" w:rsidRDefault="00CB781F">
      <w:pPr>
        <w:pStyle w:val="11"/>
        <w:numPr>
          <w:ilvl w:val="0"/>
          <w:numId w:val="36"/>
        </w:numPr>
        <w:tabs>
          <w:tab w:val="left" w:pos="1277"/>
        </w:tabs>
        <w:ind w:firstLine="620"/>
        <w:jc w:val="both"/>
        <w:rPr>
          <w:sz w:val="24"/>
          <w:szCs w:val="24"/>
        </w:rPr>
      </w:pPr>
      <w:r w:rsidRPr="00EC04DD">
        <w:rPr>
          <w:rStyle w:val="ac"/>
          <w:rFonts w:eastAsiaTheme="majorEastAsia"/>
          <w:sz w:val="24"/>
          <w:szCs w:val="24"/>
        </w:rPr>
        <w:t>Рекомендуется всем пациентам с контролируемой АГ аэробная физическая активность умеренной интенсивности (150 минут в неделю) или высокой интенсивности (75 минут в неделю) с целью улучшения результатов реабилитации, снижения уровня АД, риска прогрессирования заболевания и сердечно-сосудистых осложнений [150, 138, 519, 520, 521, 154].</w:t>
      </w:r>
    </w:p>
    <w:p w14:paraId="10600FA3" w14:textId="4D7A9850" w:rsidR="00CB781F" w:rsidRPr="008A2AFD" w:rsidRDefault="00CB781F" w:rsidP="00CB781F">
      <w:pPr>
        <w:pStyle w:val="11"/>
        <w:ind w:firstLine="620"/>
        <w:jc w:val="both"/>
        <w:rPr>
          <w:sz w:val="24"/>
          <w:szCs w:val="24"/>
        </w:rPr>
      </w:pPr>
      <w:r w:rsidRPr="00EC04DD">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593CA1">
        <w:rPr>
          <w:rStyle w:val="ac"/>
          <w:rFonts w:eastAsiaTheme="majorEastAsia"/>
          <w:b/>
          <w:bCs/>
          <w:sz w:val="24"/>
          <w:szCs w:val="24"/>
        </w:rPr>
        <w:t xml:space="preserve"> </w:t>
      </w:r>
      <w:r w:rsidRPr="00EC04DD">
        <w:rPr>
          <w:rStyle w:val="ac"/>
          <w:rFonts w:eastAsiaTheme="majorEastAsia"/>
          <w:b/>
          <w:bCs/>
          <w:sz w:val="24"/>
          <w:szCs w:val="24"/>
          <w:lang w:val="en-US"/>
        </w:rPr>
        <w:t>B</w:t>
      </w:r>
      <w:r w:rsidRPr="00EC04DD">
        <w:rPr>
          <w:rStyle w:val="ac"/>
          <w:rFonts w:eastAsiaTheme="majorEastAsia"/>
          <w:b/>
          <w:bCs/>
          <w:sz w:val="24"/>
          <w:szCs w:val="24"/>
        </w:rPr>
        <w:t xml:space="preserve">, </w:t>
      </w:r>
      <w:r w:rsidR="00593CA1" w:rsidRPr="00EC04DD">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EC04DD">
        <w:rPr>
          <w:rStyle w:val="ac"/>
          <w:rFonts w:eastAsiaTheme="majorEastAsia"/>
          <w:b/>
          <w:bCs/>
          <w:sz w:val="24"/>
          <w:szCs w:val="24"/>
        </w:rPr>
        <w:t xml:space="preserve"> 1)</w:t>
      </w:r>
      <w:r w:rsidR="00593CA1">
        <w:rPr>
          <w:rStyle w:val="ac"/>
          <w:rFonts w:eastAsiaTheme="majorEastAsia"/>
          <w:b/>
          <w:bCs/>
          <w:sz w:val="24"/>
          <w:szCs w:val="24"/>
        </w:rPr>
        <w:t>;</w:t>
      </w:r>
      <w:r w:rsidR="00593CA1" w:rsidRPr="00593CA1">
        <w:rPr>
          <w:rStyle w:val="ac"/>
          <w:rFonts w:eastAsiaTheme="majorEastAsia"/>
          <w:b/>
          <w:bCs/>
          <w:sz w:val="24"/>
          <w:szCs w:val="24"/>
        </w:rPr>
        <w:t xml:space="preserve"> </w:t>
      </w:r>
      <w:r w:rsidR="00593CA1" w:rsidRPr="00EC04DD">
        <w:rPr>
          <w:rStyle w:val="ac"/>
          <w:rFonts w:eastAsiaTheme="majorEastAsia"/>
          <w:b/>
          <w:bCs/>
          <w:sz w:val="24"/>
          <w:szCs w:val="24"/>
        </w:rPr>
        <w:t xml:space="preserve">ЕОК/ЕОАГ </w:t>
      </w:r>
      <w:r w:rsidR="00593CA1" w:rsidRPr="00EC04DD">
        <w:rPr>
          <w:rStyle w:val="ac"/>
          <w:rFonts w:eastAsiaTheme="majorEastAsia"/>
          <w:b/>
          <w:bCs/>
          <w:sz w:val="24"/>
          <w:szCs w:val="24"/>
          <w:lang w:val="en-US"/>
        </w:rPr>
        <w:t>IA</w:t>
      </w:r>
      <w:r w:rsidR="008A2AFD">
        <w:rPr>
          <w:rStyle w:val="ac"/>
          <w:rFonts w:eastAsiaTheme="majorEastAsia"/>
          <w:b/>
          <w:bCs/>
          <w:sz w:val="24"/>
          <w:szCs w:val="24"/>
        </w:rPr>
        <w:t>.</w:t>
      </w:r>
    </w:p>
    <w:p w14:paraId="5044AC0B" w14:textId="77777777" w:rsidR="00CB781F" w:rsidRPr="00EC04DD" w:rsidRDefault="00CB781F" w:rsidP="00CB781F">
      <w:pPr>
        <w:pStyle w:val="11"/>
        <w:ind w:firstLine="620"/>
        <w:jc w:val="both"/>
        <w:rPr>
          <w:sz w:val="24"/>
          <w:szCs w:val="24"/>
        </w:rPr>
      </w:pPr>
      <w:r w:rsidRPr="00EC04DD">
        <w:rPr>
          <w:rStyle w:val="ac"/>
          <w:rFonts w:eastAsiaTheme="majorEastAsia"/>
          <w:b/>
          <w:bCs/>
          <w:sz w:val="24"/>
          <w:szCs w:val="24"/>
        </w:rPr>
        <w:t xml:space="preserve">Комментарии. </w:t>
      </w:r>
      <w:r w:rsidRPr="00EC04DD">
        <w:rPr>
          <w:rStyle w:val="ac"/>
          <w:rFonts w:eastAsiaTheme="majorEastAsia"/>
          <w:i/>
          <w:iCs/>
          <w:sz w:val="24"/>
          <w:szCs w:val="24"/>
        </w:rPr>
        <w:t>Если пациент не способен быть физически активным 150 минут (2 часа 30 минут) в неделю, то он должен оставаться таковым согласно своим возможностям и клиническому состоянию</w:t>
      </w:r>
      <w:r w:rsidRPr="00EC04DD">
        <w:rPr>
          <w:rStyle w:val="ac"/>
          <w:rFonts w:eastAsiaTheme="majorEastAsia"/>
          <w:sz w:val="24"/>
          <w:szCs w:val="24"/>
        </w:rPr>
        <w:t xml:space="preserve"> [516]</w:t>
      </w:r>
      <w:r w:rsidRPr="00EC04DD">
        <w:rPr>
          <w:rStyle w:val="ac"/>
          <w:rFonts w:eastAsiaTheme="majorEastAsia"/>
          <w:i/>
          <w:iCs/>
          <w:sz w:val="24"/>
          <w:szCs w:val="24"/>
        </w:rPr>
        <w:t>.</w:t>
      </w:r>
    </w:p>
    <w:p w14:paraId="7588F4F0" w14:textId="77777777" w:rsidR="00CB781F" w:rsidRPr="00EC04DD" w:rsidRDefault="00CB781F">
      <w:pPr>
        <w:pStyle w:val="11"/>
        <w:numPr>
          <w:ilvl w:val="0"/>
          <w:numId w:val="36"/>
        </w:numPr>
        <w:tabs>
          <w:tab w:val="left" w:pos="1277"/>
        </w:tabs>
        <w:ind w:firstLine="620"/>
        <w:jc w:val="both"/>
        <w:rPr>
          <w:sz w:val="24"/>
          <w:szCs w:val="24"/>
        </w:rPr>
      </w:pPr>
      <w:r w:rsidRPr="00EC04DD">
        <w:rPr>
          <w:rStyle w:val="ac"/>
          <w:rFonts w:eastAsiaTheme="majorEastAsia"/>
          <w:sz w:val="24"/>
          <w:szCs w:val="24"/>
        </w:rPr>
        <w:t>Рекомендуется пациентам с контролируемой АГ при отсутствии противопоказаний проводить нагрузочное тестирование посредством теста с физической нагрузкой - велоэргометрии или тредмил-теста; при их недоступности с помощью теста с 6-минутной ходьбой для оценки функционального состояния, выбора оптимального режима физических тренировок и контроля их эффективности [513].</w:t>
      </w:r>
    </w:p>
    <w:p w14:paraId="22299E50" w14:textId="7332133F" w:rsidR="00CB781F" w:rsidRPr="00EC04DD" w:rsidRDefault="00CB781F" w:rsidP="00CB781F">
      <w:pPr>
        <w:pStyle w:val="11"/>
        <w:ind w:firstLine="620"/>
        <w:jc w:val="both"/>
        <w:rPr>
          <w:sz w:val="24"/>
          <w:szCs w:val="24"/>
        </w:rPr>
      </w:pPr>
      <w:r w:rsidRPr="00EC04DD">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B17730">
        <w:rPr>
          <w:rStyle w:val="ac"/>
          <w:rFonts w:eastAsiaTheme="majorEastAsia"/>
          <w:b/>
          <w:bCs/>
          <w:sz w:val="24"/>
          <w:szCs w:val="24"/>
        </w:rPr>
        <w:t xml:space="preserve"> </w:t>
      </w:r>
      <w:r w:rsidRPr="00EC04DD">
        <w:rPr>
          <w:rStyle w:val="ac"/>
          <w:rFonts w:eastAsiaTheme="majorEastAsia"/>
          <w:b/>
          <w:bCs/>
          <w:sz w:val="24"/>
          <w:szCs w:val="24"/>
        </w:rPr>
        <w:t xml:space="preserve">С, </w:t>
      </w:r>
      <w:r w:rsidR="00B17730" w:rsidRPr="00EC04DD">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EC04DD">
        <w:rPr>
          <w:rStyle w:val="ac"/>
          <w:rFonts w:eastAsiaTheme="majorEastAsia"/>
          <w:b/>
          <w:bCs/>
          <w:sz w:val="24"/>
          <w:szCs w:val="24"/>
        </w:rPr>
        <w:t xml:space="preserve"> 5)</w:t>
      </w:r>
      <w:r w:rsidR="00B17730">
        <w:rPr>
          <w:rStyle w:val="ac"/>
          <w:rFonts w:eastAsiaTheme="majorEastAsia"/>
          <w:b/>
          <w:bCs/>
          <w:sz w:val="24"/>
          <w:szCs w:val="24"/>
        </w:rPr>
        <w:t>;</w:t>
      </w:r>
      <w:r w:rsidR="00B17730" w:rsidRPr="00B17730">
        <w:rPr>
          <w:rStyle w:val="ac"/>
          <w:rFonts w:eastAsiaTheme="majorEastAsia"/>
          <w:b/>
          <w:bCs/>
          <w:sz w:val="24"/>
          <w:szCs w:val="24"/>
        </w:rPr>
        <w:t xml:space="preserve"> </w:t>
      </w:r>
      <w:r w:rsidR="00B17730" w:rsidRPr="00EC04DD">
        <w:rPr>
          <w:rStyle w:val="ac"/>
          <w:rFonts w:eastAsiaTheme="majorEastAsia"/>
          <w:b/>
          <w:bCs/>
          <w:sz w:val="24"/>
          <w:szCs w:val="24"/>
        </w:rPr>
        <w:t>ЕОК/ ЕОАГ нет</w:t>
      </w:r>
      <w:r w:rsidR="008A2AFD">
        <w:rPr>
          <w:rStyle w:val="ac"/>
          <w:rFonts w:eastAsiaTheme="majorEastAsia"/>
          <w:b/>
          <w:bCs/>
          <w:sz w:val="24"/>
          <w:szCs w:val="24"/>
        </w:rPr>
        <w:t>.</w:t>
      </w:r>
    </w:p>
    <w:p w14:paraId="31AB381B" w14:textId="77777777" w:rsidR="00CB781F" w:rsidRPr="00EC04DD" w:rsidRDefault="00CB781F" w:rsidP="00CB781F">
      <w:pPr>
        <w:pStyle w:val="11"/>
        <w:ind w:firstLine="620"/>
        <w:jc w:val="both"/>
        <w:rPr>
          <w:sz w:val="24"/>
          <w:szCs w:val="24"/>
        </w:rPr>
      </w:pPr>
      <w:r w:rsidRPr="00EC04DD">
        <w:rPr>
          <w:rStyle w:val="ac"/>
          <w:rFonts w:eastAsiaTheme="majorEastAsia"/>
          <w:b/>
          <w:bCs/>
          <w:sz w:val="24"/>
          <w:szCs w:val="24"/>
        </w:rPr>
        <w:t xml:space="preserve">Комментарии. </w:t>
      </w:r>
      <w:r w:rsidRPr="00EC04DD">
        <w:rPr>
          <w:rStyle w:val="ac"/>
          <w:rFonts w:eastAsiaTheme="majorEastAsia"/>
          <w:i/>
          <w:iCs/>
          <w:sz w:val="24"/>
          <w:szCs w:val="24"/>
        </w:rPr>
        <w:t xml:space="preserve">Отсутствие достижения целевых цифр АД, серьезные осложнения АГ (например, нарушения ритма сердца, выраженные ПОМ), сопутствующие заболевания </w:t>
      </w:r>
      <w:r w:rsidRPr="00EC04DD">
        <w:rPr>
          <w:rStyle w:val="ac"/>
          <w:rFonts w:eastAsiaTheme="majorEastAsia"/>
          <w:i/>
          <w:iCs/>
          <w:sz w:val="24"/>
          <w:szCs w:val="24"/>
        </w:rPr>
        <w:lastRenderedPageBreak/>
        <w:t>в стадии декомпенсации являются противопоказаниями для проведения нагрузочного теста в дополнение к общепринятым противопоказаниям</w:t>
      </w:r>
      <w:r w:rsidRPr="00EC04DD">
        <w:rPr>
          <w:rStyle w:val="ac"/>
          <w:rFonts w:eastAsiaTheme="majorEastAsia"/>
          <w:sz w:val="24"/>
          <w:szCs w:val="24"/>
        </w:rPr>
        <w:t xml:space="preserve"> [522]</w:t>
      </w:r>
      <w:r w:rsidRPr="00EC04DD">
        <w:rPr>
          <w:rStyle w:val="ac"/>
          <w:rFonts w:eastAsiaTheme="majorEastAsia"/>
          <w:i/>
          <w:iCs/>
          <w:sz w:val="24"/>
          <w:szCs w:val="24"/>
        </w:rPr>
        <w:t>.</w:t>
      </w:r>
    </w:p>
    <w:p w14:paraId="109443DF" w14:textId="77777777" w:rsidR="00CB781F" w:rsidRPr="00EC04DD" w:rsidRDefault="00CB781F">
      <w:pPr>
        <w:pStyle w:val="11"/>
        <w:numPr>
          <w:ilvl w:val="0"/>
          <w:numId w:val="36"/>
        </w:numPr>
        <w:tabs>
          <w:tab w:val="left" w:pos="1277"/>
        </w:tabs>
        <w:ind w:firstLine="620"/>
        <w:jc w:val="both"/>
        <w:rPr>
          <w:sz w:val="24"/>
          <w:szCs w:val="24"/>
        </w:rPr>
      </w:pPr>
      <w:r w:rsidRPr="00EC04DD">
        <w:rPr>
          <w:rStyle w:val="ac"/>
          <w:rFonts w:eastAsiaTheme="majorEastAsia"/>
          <w:sz w:val="24"/>
          <w:szCs w:val="24"/>
        </w:rPr>
        <w:t>Рекомендуется пациентов с контролируемой АГ при отсутствии противопоказаний включать в программу аэробных физических тренировок с целью коррекции уровня АД и кардиоваскулярных факторов риска, улучшения функционального статуса и качества жизни, повышения физической работоспособности [519, 523, 524, 525].</w:t>
      </w:r>
    </w:p>
    <w:p w14:paraId="22FC703F" w14:textId="63193E16" w:rsidR="00CB781F" w:rsidRPr="008A2AFD" w:rsidRDefault="00CB781F" w:rsidP="00CB781F">
      <w:pPr>
        <w:pStyle w:val="11"/>
        <w:ind w:firstLine="600"/>
        <w:jc w:val="both"/>
        <w:rPr>
          <w:sz w:val="24"/>
          <w:szCs w:val="24"/>
        </w:rPr>
      </w:pPr>
      <w:r w:rsidRPr="00EC04DD">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B17730">
        <w:rPr>
          <w:rStyle w:val="ac"/>
          <w:rFonts w:eastAsiaTheme="majorEastAsia"/>
          <w:b/>
          <w:bCs/>
          <w:sz w:val="24"/>
          <w:szCs w:val="24"/>
        </w:rPr>
        <w:t xml:space="preserve"> </w:t>
      </w:r>
      <w:r w:rsidRPr="00EC04DD">
        <w:rPr>
          <w:rStyle w:val="ac"/>
          <w:rFonts w:eastAsiaTheme="majorEastAsia"/>
          <w:b/>
          <w:bCs/>
          <w:sz w:val="24"/>
          <w:szCs w:val="24"/>
        </w:rPr>
        <w:t xml:space="preserve">А, </w:t>
      </w:r>
      <w:r w:rsidR="00B17730" w:rsidRPr="00EC04DD">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EC04DD">
        <w:rPr>
          <w:rStyle w:val="ac"/>
          <w:rFonts w:eastAsiaTheme="majorEastAsia"/>
          <w:b/>
          <w:bCs/>
          <w:sz w:val="24"/>
          <w:szCs w:val="24"/>
        </w:rPr>
        <w:t xml:space="preserve"> 1</w:t>
      </w:r>
      <w:r w:rsidR="00B17730" w:rsidRPr="00EC04DD">
        <w:rPr>
          <w:rStyle w:val="ac"/>
          <w:rFonts w:eastAsiaTheme="majorEastAsia"/>
          <w:b/>
          <w:bCs/>
          <w:sz w:val="24"/>
          <w:szCs w:val="24"/>
        </w:rPr>
        <w:t>)</w:t>
      </w:r>
      <w:r w:rsidR="00B17730" w:rsidRPr="00B17730">
        <w:rPr>
          <w:rStyle w:val="ac"/>
          <w:rFonts w:eastAsiaTheme="majorEastAsia"/>
          <w:b/>
          <w:bCs/>
          <w:sz w:val="24"/>
          <w:szCs w:val="24"/>
        </w:rPr>
        <w:t>; ЕОК</w:t>
      </w:r>
      <w:r w:rsidR="00B17730" w:rsidRPr="00EC04DD">
        <w:rPr>
          <w:rStyle w:val="ac"/>
          <w:rFonts w:eastAsiaTheme="majorEastAsia"/>
          <w:b/>
          <w:bCs/>
          <w:sz w:val="24"/>
          <w:szCs w:val="24"/>
        </w:rPr>
        <w:t xml:space="preserve">/ ЕОАГ </w:t>
      </w:r>
      <w:r w:rsidR="00B17730" w:rsidRPr="00EC04DD">
        <w:rPr>
          <w:rStyle w:val="ac"/>
          <w:rFonts w:eastAsiaTheme="majorEastAsia"/>
          <w:b/>
          <w:bCs/>
          <w:sz w:val="24"/>
          <w:szCs w:val="24"/>
          <w:lang w:val="en-US"/>
        </w:rPr>
        <w:t>IA</w:t>
      </w:r>
      <w:r w:rsidR="008A2AFD">
        <w:rPr>
          <w:rStyle w:val="ac"/>
          <w:rFonts w:eastAsiaTheme="majorEastAsia"/>
          <w:b/>
          <w:bCs/>
          <w:sz w:val="24"/>
          <w:szCs w:val="24"/>
        </w:rPr>
        <w:t>.</w:t>
      </w:r>
    </w:p>
    <w:p w14:paraId="496AD722" w14:textId="77777777" w:rsidR="00CB781F" w:rsidRPr="00EC04DD" w:rsidRDefault="00CB781F" w:rsidP="00CB781F">
      <w:pPr>
        <w:pStyle w:val="11"/>
        <w:ind w:firstLine="600"/>
        <w:jc w:val="both"/>
        <w:rPr>
          <w:sz w:val="24"/>
          <w:szCs w:val="24"/>
        </w:rPr>
      </w:pPr>
      <w:r w:rsidRPr="00EC04DD">
        <w:rPr>
          <w:rStyle w:val="ac"/>
          <w:rFonts w:eastAsiaTheme="majorEastAsia"/>
          <w:b/>
          <w:bCs/>
          <w:sz w:val="24"/>
          <w:szCs w:val="24"/>
        </w:rPr>
        <w:t xml:space="preserve">Комментарии. </w:t>
      </w:r>
      <w:r w:rsidRPr="00EC04DD">
        <w:rPr>
          <w:rStyle w:val="ac"/>
          <w:rFonts w:eastAsiaTheme="majorEastAsia"/>
          <w:i/>
          <w:iCs/>
          <w:sz w:val="24"/>
          <w:szCs w:val="24"/>
        </w:rPr>
        <w:t>Физические тренировки могут выполняться в индивидуальном формате и/или в организованных группах в лечебном учреждении и/или в домашних условиях после обучения и освоения программы (Приложение П22/</w:t>
      </w:r>
      <w:r w:rsidR="00FB33EA">
        <w:rPr>
          <w:rStyle w:val="ac"/>
          <w:rFonts w:eastAsiaTheme="majorEastAsia"/>
          <w:i/>
          <w:iCs/>
          <w:sz w:val="24"/>
          <w:szCs w:val="24"/>
        </w:rPr>
        <w:t>А2</w:t>
      </w:r>
      <w:r w:rsidRPr="00EC04DD">
        <w:rPr>
          <w:rStyle w:val="ac"/>
          <w:rFonts w:eastAsiaTheme="majorEastAsia"/>
          <w:i/>
          <w:iCs/>
          <w:sz w:val="24"/>
          <w:szCs w:val="24"/>
        </w:rPr>
        <w:t>). Персонализированная программа физических тренировок пациентов с контролируемой АГ (при отсутствии противопоказаний) включает регулярные физические аэробные (динамические) нагрузки от низкой до умеренной интенсивности (с учетом степени АГ), которые сочетаются с комплексами лечебной гимнастики и дыхательными упражнениями.</w:t>
      </w:r>
    </w:p>
    <w:p w14:paraId="22CC20AD" w14:textId="50D370DC" w:rsidR="00CB781F" w:rsidRPr="00EC04DD" w:rsidRDefault="00CB781F" w:rsidP="00CB781F">
      <w:pPr>
        <w:pStyle w:val="11"/>
        <w:ind w:firstLine="600"/>
        <w:jc w:val="both"/>
        <w:rPr>
          <w:sz w:val="24"/>
          <w:szCs w:val="24"/>
        </w:rPr>
      </w:pPr>
      <w:r w:rsidRPr="00EC04DD">
        <w:rPr>
          <w:rStyle w:val="ac"/>
          <w:rFonts w:eastAsiaTheme="majorEastAsia"/>
          <w:i/>
          <w:iCs/>
          <w:sz w:val="24"/>
          <w:szCs w:val="24"/>
        </w:rPr>
        <w:t xml:space="preserve">Для безопасности программы физической реабилитации рекомендуется осуществлять мониторинг состояния пациента (жалобы, клинические симптомы, уровень АД, ЧСС и ЭКГ - по показаниям), оценивать уровень </w:t>
      </w:r>
      <w:r w:rsidRPr="00A87D4C">
        <w:rPr>
          <w:rStyle w:val="ac"/>
          <w:rFonts w:eastAsiaTheme="majorEastAsia"/>
          <w:i/>
          <w:iCs/>
          <w:sz w:val="24"/>
          <w:szCs w:val="24"/>
        </w:rPr>
        <w:t>физического напряжения по шкале Борга (</w:t>
      </w:r>
      <w:r w:rsidRPr="00A87D4C">
        <w:rPr>
          <w:rStyle w:val="ac"/>
          <w:rFonts w:eastAsiaTheme="majorEastAsia"/>
          <w:i/>
          <w:iCs/>
          <w:sz w:val="24"/>
          <w:szCs w:val="24"/>
          <w:lang w:val="en-US"/>
        </w:rPr>
        <w:t>Borg</w:t>
      </w:r>
      <w:r w:rsidRPr="00A87D4C">
        <w:rPr>
          <w:rStyle w:val="ac"/>
          <w:rFonts w:eastAsiaTheme="majorEastAsia"/>
          <w:i/>
          <w:iCs/>
          <w:sz w:val="24"/>
          <w:szCs w:val="24"/>
        </w:rPr>
        <w:t xml:space="preserve"> </w:t>
      </w:r>
      <w:r w:rsidRPr="00A87D4C">
        <w:rPr>
          <w:rStyle w:val="ac"/>
          <w:rFonts w:eastAsiaTheme="majorEastAsia"/>
          <w:i/>
          <w:iCs/>
          <w:sz w:val="24"/>
          <w:szCs w:val="24"/>
          <w:lang w:val="en-US"/>
        </w:rPr>
        <w:t>Rating</w:t>
      </w:r>
      <w:r w:rsidRPr="00A87D4C">
        <w:rPr>
          <w:rStyle w:val="ac"/>
          <w:rFonts w:eastAsiaTheme="majorEastAsia"/>
          <w:i/>
          <w:iCs/>
          <w:sz w:val="24"/>
          <w:szCs w:val="24"/>
        </w:rPr>
        <w:t xml:space="preserve"> </w:t>
      </w:r>
      <w:r w:rsidRPr="00A87D4C">
        <w:rPr>
          <w:rStyle w:val="ac"/>
          <w:rFonts w:eastAsiaTheme="majorEastAsia"/>
          <w:i/>
          <w:iCs/>
          <w:sz w:val="24"/>
          <w:szCs w:val="24"/>
          <w:lang w:val="en-US"/>
        </w:rPr>
        <w:t>of</w:t>
      </w:r>
      <w:r w:rsidRPr="00A87D4C">
        <w:rPr>
          <w:rStyle w:val="ac"/>
          <w:rFonts w:eastAsiaTheme="majorEastAsia"/>
          <w:i/>
          <w:iCs/>
          <w:sz w:val="24"/>
          <w:szCs w:val="24"/>
        </w:rPr>
        <w:t xml:space="preserve"> </w:t>
      </w:r>
      <w:r w:rsidRPr="00A87D4C">
        <w:rPr>
          <w:rStyle w:val="ac"/>
          <w:rFonts w:eastAsiaTheme="majorEastAsia"/>
          <w:i/>
          <w:iCs/>
          <w:sz w:val="24"/>
          <w:szCs w:val="24"/>
          <w:lang w:val="en-US"/>
        </w:rPr>
        <w:t>Perceived</w:t>
      </w:r>
      <w:r w:rsidRPr="00A87D4C">
        <w:rPr>
          <w:rStyle w:val="ac"/>
          <w:rFonts w:eastAsiaTheme="majorEastAsia"/>
          <w:i/>
          <w:iCs/>
          <w:sz w:val="24"/>
          <w:szCs w:val="24"/>
        </w:rPr>
        <w:t xml:space="preserve"> </w:t>
      </w:r>
      <w:r w:rsidRPr="00A87D4C">
        <w:rPr>
          <w:rStyle w:val="ac"/>
          <w:rFonts w:eastAsiaTheme="majorEastAsia"/>
          <w:i/>
          <w:iCs/>
          <w:sz w:val="24"/>
          <w:szCs w:val="24"/>
          <w:lang w:val="en-US"/>
        </w:rPr>
        <w:t>Exertion</w:t>
      </w:r>
      <w:r w:rsidRPr="00A87D4C">
        <w:rPr>
          <w:rStyle w:val="ac"/>
          <w:rFonts w:eastAsiaTheme="majorEastAsia"/>
          <w:i/>
          <w:iCs/>
          <w:sz w:val="24"/>
          <w:szCs w:val="24"/>
        </w:rPr>
        <w:t xml:space="preserve">, </w:t>
      </w:r>
      <w:r w:rsidRPr="00A87D4C">
        <w:rPr>
          <w:rStyle w:val="ac"/>
          <w:rFonts w:eastAsiaTheme="majorEastAsia"/>
          <w:i/>
          <w:iCs/>
          <w:sz w:val="24"/>
          <w:szCs w:val="24"/>
          <w:lang w:val="en-US"/>
        </w:rPr>
        <w:t>Borg</w:t>
      </w:r>
      <w:r w:rsidRPr="00A87D4C">
        <w:rPr>
          <w:rStyle w:val="ac"/>
          <w:rFonts w:eastAsiaTheme="majorEastAsia"/>
          <w:i/>
          <w:iCs/>
          <w:sz w:val="24"/>
          <w:szCs w:val="24"/>
        </w:rPr>
        <w:t xml:space="preserve"> </w:t>
      </w:r>
      <w:r w:rsidRPr="00A87D4C">
        <w:rPr>
          <w:rStyle w:val="ac"/>
          <w:rFonts w:eastAsiaTheme="majorEastAsia"/>
          <w:i/>
          <w:iCs/>
          <w:sz w:val="24"/>
          <w:szCs w:val="24"/>
          <w:lang w:val="en-US"/>
        </w:rPr>
        <w:t>RPE</w:t>
      </w:r>
      <w:r w:rsidRPr="00A87D4C">
        <w:rPr>
          <w:rStyle w:val="ac"/>
          <w:rFonts w:eastAsiaTheme="majorEastAsia"/>
          <w:i/>
          <w:iCs/>
          <w:sz w:val="24"/>
          <w:szCs w:val="24"/>
        </w:rPr>
        <w:t xml:space="preserve">) в процессе </w:t>
      </w:r>
      <w:proofErr w:type="gramStart"/>
      <w:r w:rsidRPr="00A87D4C">
        <w:rPr>
          <w:rStyle w:val="ac"/>
          <w:rFonts w:eastAsiaTheme="majorEastAsia"/>
          <w:i/>
          <w:iCs/>
          <w:sz w:val="24"/>
          <w:szCs w:val="24"/>
        </w:rPr>
        <w:t xml:space="preserve">тренировки </w:t>
      </w:r>
      <w:r w:rsidRPr="00EC04DD">
        <w:rPr>
          <w:rStyle w:val="ac"/>
          <w:rFonts w:eastAsiaTheme="majorEastAsia"/>
          <w:sz w:val="24"/>
          <w:szCs w:val="24"/>
        </w:rPr>
        <w:t xml:space="preserve"> [</w:t>
      </w:r>
      <w:proofErr w:type="gramEnd"/>
      <w:r w:rsidRPr="00EC04DD">
        <w:rPr>
          <w:rStyle w:val="ac"/>
          <w:rFonts w:eastAsiaTheme="majorEastAsia"/>
          <w:sz w:val="24"/>
          <w:szCs w:val="24"/>
        </w:rPr>
        <w:t>519]</w:t>
      </w:r>
      <w:r w:rsidRPr="00EC04DD">
        <w:rPr>
          <w:rStyle w:val="ac"/>
          <w:rFonts w:eastAsiaTheme="majorEastAsia"/>
          <w:i/>
          <w:iCs/>
          <w:sz w:val="24"/>
          <w:szCs w:val="24"/>
        </w:rPr>
        <w:t>. У больных с АГ необходимо особо обращать внимание на возможное снижение уровня АД после физической тренировки, особенно у пожилых пациентов, получающих АГП.</w:t>
      </w:r>
    </w:p>
    <w:p w14:paraId="0C0E40DA" w14:textId="77777777" w:rsidR="00CB781F" w:rsidRPr="00EC04DD" w:rsidRDefault="00CB781F">
      <w:pPr>
        <w:pStyle w:val="11"/>
        <w:numPr>
          <w:ilvl w:val="0"/>
          <w:numId w:val="36"/>
        </w:numPr>
        <w:tabs>
          <w:tab w:val="left" w:pos="1277"/>
        </w:tabs>
        <w:ind w:firstLine="600"/>
        <w:jc w:val="both"/>
        <w:rPr>
          <w:sz w:val="24"/>
          <w:szCs w:val="24"/>
        </w:rPr>
      </w:pPr>
      <w:r w:rsidRPr="00EC04DD">
        <w:rPr>
          <w:rStyle w:val="ac"/>
          <w:rFonts w:eastAsiaTheme="majorEastAsia"/>
          <w:sz w:val="24"/>
          <w:szCs w:val="24"/>
        </w:rPr>
        <w:t>Рекомендуется всех пациентов с АГ информировать по вопросам, связанным с заболеванием, его лечением и профилактикой; обучать здоровому образу жизни, методам самоконтроля и самопомощи с целью повышения приверженности лечебным и реабилитационным вмешательствам, улучшения течения заболевания и качества жизни [150, 138, 146, 510, 511, 512, 140].</w:t>
      </w:r>
    </w:p>
    <w:p w14:paraId="19DAA0EC" w14:textId="5A6FC8E7" w:rsidR="00CB781F" w:rsidRPr="008A2AFD" w:rsidRDefault="00CB781F" w:rsidP="00CB781F">
      <w:pPr>
        <w:pStyle w:val="11"/>
        <w:ind w:firstLine="600"/>
        <w:jc w:val="both"/>
        <w:rPr>
          <w:sz w:val="24"/>
          <w:szCs w:val="24"/>
        </w:rPr>
      </w:pPr>
      <w:r w:rsidRPr="00EC04DD">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DD2F84">
        <w:rPr>
          <w:rStyle w:val="ac"/>
          <w:rFonts w:eastAsiaTheme="majorEastAsia"/>
          <w:b/>
          <w:bCs/>
          <w:sz w:val="24"/>
          <w:szCs w:val="24"/>
        </w:rPr>
        <w:t xml:space="preserve"> </w:t>
      </w:r>
      <w:r w:rsidRPr="00EC04DD">
        <w:rPr>
          <w:rStyle w:val="ac"/>
          <w:rFonts w:eastAsiaTheme="majorEastAsia"/>
          <w:b/>
          <w:bCs/>
          <w:sz w:val="24"/>
          <w:szCs w:val="24"/>
        </w:rPr>
        <w:t xml:space="preserve">А, </w:t>
      </w:r>
      <w:r w:rsidR="00DD2F84" w:rsidRPr="00EC04DD">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EC04DD">
        <w:rPr>
          <w:rStyle w:val="ac"/>
          <w:rFonts w:eastAsiaTheme="majorEastAsia"/>
          <w:b/>
          <w:bCs/>
          <w:sz w:val="24"/>
          <w:szCs w:val="24"/>
        </w:rPr>
        <w:t xml:space="preserve"> 1)</w:t>
      </w:r>
      <w:r w:rsidR="00DD2F84">
        <w:rPr>
          <w:rStyle w:val="ac"/>
          <w:rFonts w:eastAsiaTheme="majorEastAsia"/>
          <w:b/>
          <w:bCs/>
          <w:sz w:val="24"/>
          <w:szCs w:val="24"/>
        </w:rPr>
        <w:t>;</w:t>
      </w:r>
      <w:r w:rsidR="00DD2F84" w:rsidRPr="00DD2F84">
        <w:rPr>
          <w:rStyle w:val="ac"/>
          <w:rFonts w:eastAsiaTheme="majorEastAsia"/>
          <w:b/>
          <w:bCs/>
          <w:sz w:val="24"/>
          <w:szCs w:val="24"/>
        </w:rPr>
        <w:t xml:space="preserve"> </w:t>
      </w:r>
      <w:r w:rsidR="00DD2F84" w:rsidRPr="00EC04DD">
        <w:rPr>
          <w:rStyle w:val="ac"/>
          <w:rFonts w:eastAsiaTheme="majorEastAsia"/>
          <w:b/>
          <w:bCs/>
          <w:sz w:val="24"/>
          <w:szCs w:val="24"/>
        </w:rPr>
        <w:t xml:space="preserve">ЕОК/ЕОАГ </w:t>
      </w:r>
      <w:r w:rsidR="00DD2F84" w:rsidRPr="00EC04DD">
        <w:rPr>
          <w:rStyle w:val="ac"/>
          <w:rFonts w:eastAsiaTheme="majorEastAsia"/>
          <w:b/>
          <w:bCs/>
          <w:sz w:val="24"/>
          <w:szCs w:val="24"/>
          <w:lang w:val="en-US"/>
        </w:rPr>
        <w:t>IA</w:t>
      </w:r>
      <w:r w:rsidR="008A2AFD">
        <w:rPr>
          <w:rStyle w:val="ac"/>
          <w:rFonts w:eastAsiaTheme="majorEastAsia"/>
          <w:b/>
          <w:bCs/>
          <w:sz w:val="24"/>
          <w:szCs w:val="24"/>
        </w:rPr>
        <w:t>.</w:t>
      </w:r>
    </w:p>
    <w:p w14:paraId="343486A4" w14:textId="657915AF" w:rsidR="00CB781F" w:rsidRPr="002F65EC" w:rsidRDefault="00CB781F" w:rsidP="002F65EC">
      <w:pPr>
        <w:pStyle w:val="11"/>
        <w:ind w:firstLine="600"/>
        <w:jc w:val="both"/>
        <w:rPr>
          <w:rStyle w:val="ac"/>
          <w:rFonts w:eastAsiaTheme="majorEastAsia"/>
          <w:i/>
          <w:iCs/>
          <w:sz w:val="24"/>
          <w:szCs w:val="24"/>
        </w:rPr>
      </w:pPr>
      <w:bookmarkStart w:id="67" w:name="bookmark51"/>
      <w:r w:rsidRPr="00EC04DD">
        <w:rPr>
          <w:rStyle w:val="ac"/>
          <w:rFonts w:eastAsiaTheme="majorEastAsia"/>
          <w:b/>
          <w:bCs/>
          <w:sz w:val="24"/>
          <w:szCs w:val="24"/>
        </w:rPr>
        <w:t xml:space="preserve">Комментарии. </w:t>
      </w:r>
      <w:r w:rsidRPr="00EC04DD">
        <w:rPr>
          <w:rStyle w:val="ac"/>
          <w:rFonts w:eastAsiaTheme="majorEastAsia"/>
          <w:i/>
          <w:iCs/>
          <w:sz w:val="24"/>
          <w:szCs w:val="24"/>
        </w:rPr>
        <w:t>Информирование и обучение пациента рекомендуется проводить в любом доступном формате (индивидуально, в рамках реабилитационного консультирования и/или в «Школе для пациентов с АГ») в очном или онлайн режиме.</w:t>
      </w:r>
      <w:bookmarkEnd w:id="67"/>
    </w:p>
    <w:p w14:paraId="5E1E1B1E" w14:textId="77777777" w:rsidR="00EC04DD" w:rsidRPr="00EC04DD" w:rsidRDefault="00EC04DD" w:rsidP="00C10BEC">
      <w:pPr>
        <w:pStyle w:val="11"/>
        <w:ind w:firstLine="0"/>
        <w:jc w:val="center"/>
        <w:outlineLvl w:val="0"/>
        <w:rPr>
          <w:rStyle w:val="ac"/>
          <w:rFonts w:eastAsiaTheme="majorEastAsia"/>
          <w:b/>
          <w:bCs/>
          <w:sz w:val="28"/>
          <w:szCs w:val="28"/>
        </w:rPr>
      </w:pPr>
      <w:bookmarkStart w:id="68" w:name="_Toc202877445"/>
      <w:r w:rsidRPr="00EC04DD">
        <w:rPr>
          <w:rStyle w:val="ac"/>
          <w:rFonts w:eastAsiaTheme="majorEastAsia"/>
          <w:b/>
          <w:bCs/>
          <w:sz w:val="28"/>
          <w:szCs w:val="28"/>
        </w:rPr>
        <w:t>5.Профилактика и диспансерное наблюдение</w:t>
      </w:r>
      <w:bookmarkEnd w:id="68"/>
    </w:p>
    <w:p w14:paraId="44032A0F" w14:textId="77777777" w:rsidR="00CB781F" w:rsidRPr="00EC04DD" w:rsidRDefault="00CB781F" w:rsidP="00EC04DD">
      <w:pPr>
        <w:pStyle w:val="11"/>
        <w:ind w:firstLine="600"/>
        <w:jc w:val="both"/>
        <w:rPr>
          <w:sz w:val="24"/>
          <w:szCs w:val="24"/>
        </w:rPr>
      </w:pPr>
      <w:r w:rsidRPr="00EC04DD">
        <w:rPr>
          <w:rStyle w:val="ac"/>
          <w:rFonts w:eastAsiaTheme="majorEastAsia"/>
          <w:sz w:val="24"/>
          <w:szCs w:val="24"/>
        </w:rPr>
        <w:t xml:space="preserve">Динамическое наблюдение (диспансерное наблюдение) — чрезвычайно важная составляющая медицинской помощи пациентам с АГ, задачами которого являются: </w:t>
      </w:r>
      <w:r w:rsidRPr="00EC04DD">
        <w:rPr>
          <w:rStyle w:val="ac"/>
          <w:rFonts w:eastAsiaTheme="majorEastAsia"/>
          <w:sz w:val="24"/>
          <w:szCs w:val="24"/>
        </w:rPr>
        <w:lastRenderedPageBreak/>
        <w:t>поддержание целевых уровней АД, контроль выполнения врачебных рекомендаций по коррекции ФР, контроль за соблюдением режима приема АГП, оценка состояния органов-мишеней.</w:t>
      </w:r>
    </w:p>
    <w:p w14:paraId="48716B53" w14:textId="77777777" w:rsidR="00CB781F" w:rsidRPr="00532863" w:rsidRDefault="00CB781F" w:rsidP="00CB781F">
      <w:pPr>
        <w:pStyle w:val="11"/>
        <w:ind w:firstLine="600"/>
        <w:jc w:val="both"/>
        <w:rPr>
          <w:sz w:val="24"/>
          <w:szCs w:val="24"/>
        </w:rPr>
      </w:pPr>
      <w:r w:rsidRPr="00EC04DD">
        <w:rPr>
          <w:rStyle w:val="ac"/>
          <w:rFonts w:eastAsiaTheme="majorEastAsia"/>
          <w:sz w:val="24"/>
          <w:szCs w:val="24"/>
        </w:rPr>
        <w:t xml:space="preserve">Алгоритм диспансерного наблюдения больных АГ с контролируемым артериальным давлением на фоне приема антигипертензивных лекарственных препаратов представлен в </w:t>
      </w:r>
      <w:r w:rsidRPr="00532863">
        <w:rPr>
          <w:rStyle w:val="ac"/>
          <w:rFonts w:eastAsiaTheme="majorEastAsia"/>
          <w:sz w:val="24"/>
          <w:szCs w:val="24"/>
        </w:rPr>
        <w:t>таблице П21/</w:t>
      </w:r>
      <w:r w:rsidR="00FB33EA" w:rsidRPr="00532863">
        <w:rPr>
          <w:rStyle w:val="ac"/>
          <w:rFonts w:eastAsiaTheme="majorEastAsia"/>
          <w:sz w:val="24"/>
          <w:szCs w:val="24"/>
        </w:rPr>
        <w:t>А2</w:t>
      </w:r>
      <w:r w:rsidRPr="00532863">
        <w:rPr>
          <w:rStyle w:val="ac"/>
          <w:rFonts w:eastAsiaTheme="majorEastAsia"/>
          <w:sz w:val="24"/>
          <w:szCs w:val="24"/>
        </w:rPr>
        <w:t>.</w:t>
      </w:r>
    </w:p>
    <w:p w14:paraId="422F1BE1" w14:textId="77777777" w:rsidR="00CB781F" w:rsidRPr="00EC04DD" w:rsidRDefault="00CB781F" w:rsidP="00CB781F">
      <w:pPr>
        <w:pStyle w:val="11"/>
        <w:ind w:firstLine="600"/>
        <w:jc w:val="both"/>
        <w:rPr>
          <w:sz w:val="24"/>
          <w:szCs w:val="24"/>
        </w:rPr>
      </w:pPr>
      <w:r w:rsidRPr="00532863">
        <w:rPr>
          <w:rStyle w:val="ac"/>
          <w:rFonts w:eastAsiaTheme="majorEastAsia"/>
          <w:sz w:val="24"/>
          <w:szCs w:val="24"/>
        </w:rPr>
        <w:t>При стабильном течении</w:t>
      </w:r>
      <w:r w:rsidRPr="00EC04DD">
        <w:rPr>
          <w:rStyle w:val="ac"/>
          <w:rFonts w:eastAsiaTheme="majorEastAsia"/>
          <w:sz w:val="24"/>
          <w:szCs w:val="24"/>
        </w:rPr>
        <w:t xml:space="preserve"> АГ приемлемой альтернативой визитам в медицинское учреждение могут быть ДМАД (в том числе активный мониторинг АД при помощи дистанционных технологий при наличии возможности в медицинском учреждении) [526, 527, 528, 529].</w:t>
      </w:r>
    </w:p>
    <w:p w14:paraId="244D6094" w14:textId="77777777" w:rsidR="00CB781F" w:rsidRPr="00EC04DD" w:rsidRDefault="00CB781F" w:rsidP="00CB781F">
      <w:pPr>
        <w:pStyle w:val="11"/>
        <w:ind w:firstLine="600"/>
        <w:jc w:val="both"/>
        <w:rPr>
          <w:sz w:val="24"/>
          <w:szCs w:val="24"/>
        </w:rPr>
      </w:pPr>
      <w:r w:rsidRPr="00EC04DD">
        <w:rPr>
          <w:rStyle w:val="ac"/>
          <w:rFonts w:eastAsiaTheme="majorEastAsia"/>
          <w:sz w:val="24"/>
          <w:szCs w:val="24"/>
        </w:rPr>
        <w:t xml:space="preserve">Все рекомендации, даваемые пациенту, должны быть ясными, </w:t>
      </w:r>
      <w:r w:rsidR="00EC04DD" w:rsidRPr="00EC04DD">
        <w:rPr>
          <w:rStyle w:val="ac"/>
          <w:rFonts w:eastAsiaTheme="majorEastAsia"/>
          <w:sz w:val="24"/>
          <w:szCs w:val="24"/>
        </w:rPr>
        <w:t>чёткими</w:t>
      </w:r>
      <w:r w:rsidRPr="00EC04DD">
        <w:rPr>
          <w:rStyle w:val="ac"/>
          <w:rFonts w:eastAsiaTheme="majorEastAsia"/>
          <w:sz w:val="24"/>
          <w:szCs w:val="24"/>
        </w:rPr>
        <w:t xml:space="preserve"> и соответствовать его интеллектуальному уровню, должны быть четко обозначены даты последующих плановых визитов в рамках </w:t>
      </w:r>
      <w:r w:rsidR="00EC04DD" w:rsidRPr="00EC04DD">
        <w:rPr>
          <w:rStyle w:val="ac"/>
          <w:rFonts w:eastAsiaTheme="majorEastAsia"/>
          <w:sz w:val="24"/>
          <w:szCs w:val="24"/>
        </w:rPr>
        <w:t>диспансерного</w:t>
      </w:r>
      <w:r w:rsidRPr="00EC04DD">
        <w:rPr>
          <w:rStyle w:val="ac"/>
          <w:rFonts w:eastAsiaTheme="majorEastAsia"/>
          <w:sz w:val="24"/>
          <w:szCs w:val="24"/>
        </w:rPr>
        <w:t xml:space="preserve"> наблюдения. Диспансерное наблюдение осуществляется пожизненно врачом-терапевтом, за исключением резистентной к лечению АГ.</w:t>
      </w:r>
    </w:p>
    <w:p w14:paraId="477EDF70" w14:textId="77777777" w:rsidR="00CB781F" w:rsidRPr="00EC04DD" w:rsidRDefault="00CB781F" w:rsidP="00CB781F">
      <w:pPr>
        <w:pStyle w:val="11"/>
        <w:spacing w:after="40"/>
        <w:ind w:firstLine="600"/>
        <w:jc w:val="both"/>
        <w:rPr>
          <w:sz w:val="24"/>
          <w:szCs w:val="24"/>
        </w:rPr>
      </w:pPr>
      <w:r w:rsidRPr="00EC04DD">
        <w:rPr>
          <w:rStyle w:val="ac"/>
          <w:rFonts w:eastAsiaTheme="majorEastAsia"/>
          <w:sz w:val="24"/>
          <w:szCs w:val="24"/>
        </w:rPr>
        <w:t>С целью обеспечить осознанное участие пациента в лечебно-профилактическом процессе и повысить эффективность лечения целесообразно для ряда пациентов, для которых устных рекомендаций недостаточно, продублировать их в письменном виде.</w:t>
      </w:r>
    </w:p>
    <w:p w14:paraId="694EA513" w14:textId="77777777" w:rsidR="00CB781F" w:rsidRPr="00EC04DD" w:rsidRDefault="00CB781F">
      <w:pPr>
        <w:pStyle w:val="11"/>
        <w:numPr>
          <w:ilvl w:val="0"/>
          <w:numId w:val="37"/>
        </w:numPr>
        <w:tabs>
          <w:tab w:val="left" w:pos="1358"/>
        </w:tabs>
        <w:spacing w:line="401" w:lineRule="auto"/>
        <w:ind w:firstLine="600"/>
        <w:jc w:val="both"/>
        <w:rPr>
          <w:sz w:val="24"/>
          <w:szCs w:val="24"/>
        </w:rPr>
      </w:pPr>
      <w:r w:rsidRPr="00EC04DD">
        <w:rPr>
          <w:rStyle w:val="ac"/>
          <w:rFonts w:eastAsiaTheme="majorEastAsia"/>
          <w:sz w:val="24"/>
          <w:szCs w:val="24"/>
        </w:rPr>
        <w:t>Всем пациентам с высоким нормальным АД (130–139/85–89 мм рт. ст.) рекомендуется изменение образа жизни [529, 27, 128].</w:t>
      </w:r>
    </w:p>
    <w:p w14:paraId="091FBE7F" w14:textId="0D7B29E0" w:rsidR="00CB781F" w:rsidRPr="00EC04DD" w:rsidRDefault="00CB781F" w:rsidP="00CB781F">
      <w:pPr>
        <w:pStyle w:val="11"/>
        <w:spacing w:after="40"/>
        <w:ind w:firstLine="600"/>
        <w:jc w:val="both"/>
        <w:rPr>
          <w:sz w:val="24"/>
          <w:szCs w:val="24"/>
        </w:rPr>
      </w:pPr>
      <w:r w:rsidRPr="00EC04DD">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DD2F84">
        <w:rPr>
          <w:rStyle w:val="ac"/>
          <w:rFonts w:eastAsiaTheme="majorEastAsia"/>
          <w:b/>
          <w:bCs/>
          <w:sz w:val="24"/>
          <w:szCs w:val="24"/>
        </w:rPr>
        <w:t xml:space="preserve"> </w:t>
      </w:r>
      <w:r w:rsidRPr="00EC04DD">
        <w:rPr>
          <w:rStyle w:val="ac"/>
          <w:rFonts w:eastAsiaTheme="majorEastAsia"/>
          <w:b/>
          <w:bCs/>
          <w:sz w:val="24"/>
          <w:szCs w:val="24"/>
          <w:lang w:val="en-US"/>
        </w:rPr>
        <w:t>C</w:t>
      </w:r>
      <w:r w:rsidRPr="00EC04DD">
        <w:rPr>
          <w:rStyle w:val="ac"/>
          <w:rFonts w:eastAsiaTheme="majorEastAsia"/>
          <w:b/>
          <w:bCs/>
          <w:sz w:val="24"/>
          <w:szCs w:val="24"/>
        </w:rPr>
        <w:t xml:space="preserve">, </w:t>
      </w:r>
      <w:r w:rsidR="00DD2F84" w:rsidRPr="00EC04DD">
        <w:rPr>
          <w:rStyle w:val="ac"/>
          <w:rFonts w:eastAsiaTheme="majorEastAsia"/>
          <w:b/>
          <w:bCs/>
          <w:sz w:val="24"/>
          <w:szCs w:val="24"/>
        </w:rPr>
        <w:t>(</w:t>
      </w:r>
      <w:r w:rsidR="003D51B3">
        <w:rPr>
          <w:rStyle w:val="ac"/>
          <w:rFonts w:eastAsiaTheme="majorEastAsia"/>
          <w:b/>
          <w:bCs/>
          <w:sz w:val="24"/>
          <w:szCs w:val="24"/>
        </w:rPr>
        <w:t>Уровень достоверности доказательств</w:t>
      </w:r>
      <w:r w:rsidRPr="00EC04DD">
        <w:rPr>
          <w:rStyle w:val="ac"/>
          <w:rFonts w:eastAsiaTheme="majorEastAsia"/>
          <w:b/>
          <w:bCs/>
          <w:sz w:val="24"/>
          <w:szCs w:val="24"/>
        </w:rPr>
        <w:t xml:space="preserve"> 5)</w:t>
      </w:r>
      <w:r w:rsidR="00DD2F84">
        <w:rPr>
          <w:rStyle w:val="ac"/>
          <w:rFonts w:eastAsiaTheme="majorEastAsia"/>
          <w:b/>
          <w:bCs/>
          <w:sz w:val="24"/>
          <w:szCs w:val="24"/>
        </w:rPr>
        <w:t>;</w:t>
      </w:r>
      <w:r w:rsidR="00DD2F84" w:rsidRPr="00DD2F84">
        <w:rPr>
          <w:rStyle w:val="ac"/>
          <w:rFonts w:eastAsiaTheme="majorEastAsia"/>
          <w:b/>
          <w:bCs/>
          <w:sz w:val="24"/>
          <w:szCs w:val="24"/>
        </w:rPr>
        <w:t xml:space="preserve"> </w:t>
      </w:r>
      <w:r w:rsidR="00DD2F84" w:rsidRPr="00EC04DD">
        <w:rPr>
          <w:rStyle w:val="ac"/>
          <w:rFonts w:eastAsiaTheme="majorEastAsia"/>
          <w:b/>
          <w:bCs/>
          <w:sz w:val="24"/>
          <w:szCs w:val="24"/>
        </w:rPr>
        <w:t>ЕОК/ЕОАГ IА</w:t>
      </w:r>
      <w:r w:rsidR="008A2AFD">
        <w:rPr>
          <w:rStyle w:val="ac"/>
          <w:rFonts w:eastAsiaTheme="majorEastAsia"/>
          <w:b/>
          <w:bCs/>
          <w:sz w:val="24"/>
          <w:szCs w:val="24"/>
        </w:rPr>
        <w:t>.</w:t>
      </w:r>
    </w:p>
    <w:p w14:paraId="21DBB387" w14:textId="77777777" w:rsidR="00CB781F" w:rsidRPr="00EC04DD" w:rsidRDefault="00CB781F">
      <w:pPr>
        <w:pStyle w:val="11"/>
        <w:numPr>
          <w:ilvl w:val="0"/>
          <w:numId w:val="37"/>
        </w:numPr>
        <w:tabs>
          <w:tab w:val="left" w:pos="1358"/>
        </w:tabs>
        <w:spacing w:line="401" w:lineRule="auto"/>
        <w:ind w:firstLine="600"/>
        <w:jc w:val="both"/>
        <w:rPr>
          <w:sz w:val="24"/>
          <w:szCs w:val="24"/>
        </w:rPr>
      </w:pPr>
      <w:r w:rsidRPr="00EC04DD">
        <w:rPr>
          <w:rStyle w:val="ac"/>
          <w:rFonts w:eastAsiaTheme="majorEastAsia"/>
          <w:sz w:val="24"/>
          <w:szCs w:val="24"/>
        </w:rPr>
        <w:t>Рекомендуется всем пациентам с АГ в рамках диспансерного наблюдения проводить оценку факторов риска и ПОМ не реже, чем 1 раз в год [529, 27, 128].</w:t>
      </w:r>
    </w:p>
    <w:p w14:paraId="04830E06" w14:textId="490235B0" w:rsidR="00CB781F" w:rsidRPr="00EC04DD" w:rsidRDefault="00CB781F" w:rsidP="00CB781F">
      <w:pPr>
        <w:pStyle w:val="11"/>
        <w:spacing w:after="40"/>
        <w:ind w:firstLine="600"/>
        <w:jc w:val="both"/>
        <w:rPr>
          <w:sz w:val="24"/>
          <w:szCs w:val="24"/>
        </w:rPr>
      </w:pPr>
      <w:r w:rsidRPr="00EC04DD">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DD2F84">
        <w:rPr>
          <w:rStyle w:val="ac"/>
          <w:rFonts w:eastAsiaTheme="majorEastAsia"/>
          <w:b/>
          <w:bCs/>
          <w:sz w:val="24"/>
          <w:szCs w:val="24"/>
        </w:rPr>
        <w:t xml:space="preserve"> С</w:t>
      </w:r>
      <w:r w:rsidRPr="00EC04DD">
        <w:rPr>
          <w:rStyle w:val="ac"/>
          <w:rFonts w:eastAsiaTheme="majorEastAsia"/>
          <w:b/>
          <w:bCs/>
          <w:sz w:val="24"/>
          <w:szCs w:val="24"/>
        </w:rPr>
        <w:t xml:space="preserve">, </w:t>
      </w:r>
      <w:r w:rsidR="00DD2F84" w:rsidRPr="00EC04DD">
        <w:rPr>
          <w:rStyle w:val="ac"/>
          <w:rFonts w:eastAsiaTheme="majorEastAsia"/>
          <w:sz w:val="24"/>
          <w:szCs w:val="24"/>
        </w:rPr>
        <w:t>(</w:t>
      </w:r>
      <w:r w:rsidR="003D51B3">
        <w:rPr>
          <w:rStyle w:val="ac"/>
          <w:rFonts w:eastAsiaTheme="majorEastAsia"/>
          <w:b/>
          <w:bCs/>
          <w:sz w:val="24"/>
          <w:szCs w:val="24"/>
        </w:rPr>
        <w:t>Уровень достоверности доказательств</w:t>
      </w:r>
      <w:r w:rsidRPr="00EC04DD">
        <w:rPr>
          <w:rStyle w:val="ac"/>
          <w:rFonts w:eastAsiaTheme="majorEastAsia"/>
          <w:b/>
          <w:bCs/>
          <w:sz w:val="24"/>
          <w:szCs w:val="24"/>
        </w:rPr>
        <w:t xml:space="preserve"> </w:t>
      </w:r>
      <w:r w:rsidR="00DD2F84">
        <w:rPr>
          <w:rStyle w:val="ac"/>
          <w:rFonts w:eastAsiaTheme="majorEastAsia"/>
          <w:b/>
          <w:bCs/>
          <w:sz w:val="24"/>
          <w:szCs w:val="24"/>
        </w:rPr>
        <w:t>5</w:t>
      </w:r>
      <w:r w:rsidRPr="00EC04DD">
        <w:rPr>
          <w:rStyle w:val="ac"/>
          <w:rFonts w:eastAsiaTheme="majorEastAsia"/>
          <w:b/>
          <w:bCs/>
          <w:sz w:val="24"/>
          <w:szCs w:val="24"/>
        </w:rPr>
        <w:t>)</w:t>
      </w:r>
      <w:r w:rsidR="00DD2F84">
        <w:rPr>
          <w:rStyle w:val="ac"/>
          <w:rFonts w:eastAsiaTheme="majorEastAsia"/>
          <w:b/>
          <w:bCs/>
          <w:sz w:val="24"/>
          <w:szCs w:val="24"/>
        </w:rPr>
        <w:t xml:space="preserve">; </w:t>
      </w:r>
      <w:r w:rsidR="00DD2F84" w:rsidRPr="00EC04DD">
        <w:rPr>
          <w:rStyle w:val="ac"/>
          <w:rFonts w:eastAsiaTheme="majorEastAsia"/>
          <w:b/>
          <w:bCs/>
          <w:sz w:val="24"/>
          <w:szCs w:val="24"/>
        </w:rPr>
        <w:t>ЕОК/ЕОАГ нет</w:t>
      </w:r>
      <w:r w:rsidR="008A2AFD">
        <w:rPr>
          <w:rStyle w:val="ac"/>
          <w:rFonts w:eastAsiaTheme="majorEastAsia"/>
          <w:b/>
          <w:bCs/>
          <w:sz w:val="24"/>
          <w:szCs w:val="24"/>
        </w:rPr>
        <w:t>.</w:t>
      </w:r>
    </w:p>
    <w:p w14:paraId="32BDB6B3" w14:textId="77777777" w:rsidR="00CB781F" w:rsidRPr="00EC04DD" w:rsidRDefault="00CB781F">
      <w:pPr>
        <w:pStyle w:val="11"/>
        <w:numPr>
          <w:ilvl w:val="0"/>
          <w:numId w:val="37"/>
        </w:numPr>
        <w:tabs>
          <w:tab w:val="left" w:pos="1358"/>
        </w:tabs>
        <w:spacing w:line="379" w:lineRule="auto"/>
        <w:ind w:firstLine="600"/>
        <w:jc w:val="both"/>
        <w:rPr>
          <w:sz w:val="24"/>
          <w:szCs w:val="24"/>
        </w:rPr>
      </w:pPr>
      <w:r w:rsidRPr="00EC04DD">
        <w:rPr>
          <w:rStyle w:val="ac"/>
          <w:rFonts w:eastAsiaTheme="majorEastAsia"/>
          <w:sz w:val="24"/>
          <w:szCs w:val="24"/>
        </w:rPr>
        <w:t>Рекомендуется выполнение ЭКГ, флюорографии или рентгенографии легких и оценка факторов риска и ПОМ всем пациентам с АГ в рамках диспансерного наблюдения не реже, чем 1 раз в год, а также выполнение ЭХО-КГ по показаниям и с интервалами, определяемым наличием сопутствующих заболеваний в соответствии с клиническими</w:t>
      </w:r>
    </w:p>
    <w:p w14:paraId="3316C58C" w14:textId="77777777" w:rsidR="00CB781F" w:rsidRPr="00EC04DD" w:rsidRDefault="00CB781F" w:rsidP="00CB781F">
      <w:pPr>
        <w:pStyle w:val="11"/>
        <w:spacing w:after="120" w:line="240" w:lineRule="auto"/>
        <w:ind w:firstLine="0"/>
        <w:jc w:val="both"/>
        <w:rPr>
          <w:sz w:val="24"/>
          <w:szCs w:val="24"/>
        </w:rPr>
      </w:pPr>
      <w:r w:rsidRPr="00EC04DD">
        <w:rPr>
          <w:rStyle w:val="ac"/>
          <w:rFonts w:eastAsiaTheme="majorEastAsia"/>
          <w:sz w:val="24"/>
          <w:szCs w:val="24"/>
        </w:rPr>
        <w:t>рекомендациями [529, 27, 128, 530, 531].</w:t>
      </w:r>
    </w:p>
    <w:p w14:paraId="629A5CF1" w14:textId="74D28D6E" w:rsidR="00CB781F" w:rsidRPr="00EC04DD" w:rsidRDefault="00CB781F" w:rsidP="002F65EC">
      <w:pPr>
        <w:pStyle w:val="11"/>
        <w:ind w:firstLine="600"/>
        <w:jc w:val="both"/>
        <w:rPr>
          <w:rStyle w:val="ac"/>
          <w:rFonts w:eastAsiaTheme="majorEastAsia"/>
          <w:b/>
          <w:bCs/>
          <w:sz w:val="24"/>
          <w:szCs w:val="24"/>
        </w:rPr>
      </w:pPr>
      <w:r w:rsidRPr="00EC04DD">
        <w:rPr>
          <w:rStyle w:val="ac"/>
          <w:rFonts w:eastAsiaTheme="majorEastAsia"/>
          <w:b/>
          <w:bCs/>
          <w:sz w:val="24"/>
          <w:szCs w:val="24"/>
        </w:rPr>
        <w:t xml:space="preserve"> </w:t>
      </w:r>
      <w:r w:rsidRPr="00EC04DD">
        <w:rPr>
          <w:rStyle w:val="ac"/>
          <w:rFonts w:eastAsiaTheme="majorEastAsia"/>
          <w:sz w:val="24"/>
          <w:szCs w:val="24"/>
        </w:rPr>
        <w:t>(</w:t>
      </w:r>
      <w:r w:rsidR="003D51B3">
        <w:rPr>
          <w:rStyle w:val="ac"/>
          <w:rFonts w:eastAsiaTheme="majorEastAsia"/>
          <w:b/>
          <w:bCs/>
          <w:sz w:val="24"/>
          <w:szCs w:val="24"/>
        </w:rPr>
        <w:t>Уровень убедительности рекомендаций</w:t>
      </w:r>
      <w:r w:rsidR="00DD2F84">
        <w:rPr>
          <w:rStyle w:val="ac"/>
          <w:rFonts w:eastAsiaTheme="majorEastAsia"/>
          <w:b/>
          <w:bCs/>
          <w:sz w:val="24"/>
          <w:szCs w:val="24"/>
        </w:rPr>
        <w:t xml:space="preserve"> С</w:t>
      </w:r>
      <w:r w:rsidRPr="00EC04DD">
        <w:rPr>
          <w:rStyle w:val="ac"/>
          <w:rFonts w:eastAsiaTheme="majorEastAsia"/>
          <w:b/>
          <w:bCs/>
          <w:sz w:val="24"/>
          <w:szCs w:val="24"/>
        </w:rPr>
        <w:t xml:space="preserve">, </w:t>
      </w:r>
      <w:r w:rsidR="003D51B3">
        <w:rPr>
          <w:rStyle w:val="ac"/>
          <w:rFonts w:eastAsiaTheme="majorEastAsia"/>
          <w:b/>
          <w:bCs/>
          <w:sz w:val="24"/>
          <w:szCs w:val="24"/>
        </w:rPr>
        <w:t>Уровень достоверности доказательств</w:t>
      </w:r>
      <w:r w:rsidRPr="00EC04DD">
        <w:rPr>
          <w:rStyle w:val="ac"/>
          <w:rFonts w:eastAsiaTheme="majorEastAsia"/>
          <w:b/>
          <w:bCs/>
          <w:sz w:val="24"/>
          <w:szCs w:val="24"/>
        </w:rPr>
        <w:t xml:space="preserve"> </w:t>
      </w:r>
      <w:r w:rsidR="00DD2F84">
        <w:rPr>
          <w:rStyle w:val="ac"/>
          <w:rFonts w:eastAsiaTheme="majorEastAsia"/>
          <w:b/>
          <w:bCs/>
          <w:sz w:val="24"/>
          <w:szCs w:val="24"/>
        </w:rPr>
        <w:t>5</w:t>
      </w:r>
      <w:r w:rsidR="000A4136" w:rsidRPr="00EC04DD">
        <w:rPr>
          <w:rStyle w:val="ac"/>
          <w:rFonts w:eastAsiaTheme="majorEastAsia"/>
          <w:b/>
          <w:bCs/>
          <w:sz w:val="24"/>
          <w:szCs w:val="24"/>
        </w:rPr>
        <w:t>)</w:t>
      </w:r>
      <w:r w:rsidR="000A4136">
        <w:rPr>
          <w:rStyle w:val="ac"/>
          <w:rFonts w:eastAsiaTheme="majorEastAsia"/>
          <w:b/>
          <w:bCs/>
          <w:sz w:val="24"/>
          <w:szCs w:val="24"/>
        </w:rPr>
        <w:t>; ЕОК</w:t>
      </w:r>
      <w:r w:rsidR="00DD2F84" w:rsidRPr="00EC04DD">
        <w:rPr>
          <w:rStyle w:val="ac"/>
          <w:rFonts w:eastAsiaTheme="majorEastAsia"/>
          <w:b/>
          <w:bCs/>
          <w:sz w:val="24"/>
          <w:szCs w:val="24"/>
        </w:rPr>
        <w:t>/ЕОАГ нет</w:t>
      </w:r>
      <w:r w:rsidR="008A2AFD">
        <w:rPr>
          <w:rStyle w:val="ac"/>
          <w:rFonts w:eastAsiaTheme="majorEastAsia"/>
          <w:b/>
          <w:bCs/>
          <w:sz w:val="24"/>
          <w:szCs w:val="24"/>
        </w:rPr>
        <w:t>.</w:t>
      </w:r>
    </w:p>
    <w:p w14:paraId="56EC638A" w14:textId="77777777" w:rsidR="00CB781F" w:rsidRPr="00EC04DD" w:rsidRDefault="00CB781F" w:rsidP="002F65EC">
      <w:pPr>
        <w:pStyle w:val="11"/>
        <w:ind w:firstLine="620"/>
        <w:jc w:val="both"/>
        <w:rPr>
          <w:sz w:val="24"/>
          <w:szCs w:val="24"/>
        </w:rPr>
      </w:pPr>
      <w:r w:rsidRPr="00EC04DD">
        <w:rPr>
          <w:rStyle w:val="ac"/>
          <w:rFonts w:eastAsiaTheme="majorEastAsia"/>
          <w:b/>
          <w:bCs/>
          <w:sz w:val="24"/>
          <w:szCs w:val="24"/>
        </w:rPr>
        <w:t xml:space="preserve">Комментарии. </w:t>
      </w:r>
      <w:r w:rsidRPr="00EC04DD">
        <w:rPr>
          <w:rStyle w:val="ac"/>
          <w:rFonts w:eastAsiaTheme="majorEastAsia"/>
          <w:i/>
          <w:iCs/>
          <w:sz w:val="24"/>
          <w:szCs w:val="24"/>
        </w:rPr>
        <w:t xml:space="preserve">У пациентов с высоким нормальным АД или изолированной офисной </w:t>
      </w:r>
      <w:r w:rsidRPr="00EC04DD">
        <w:rPr>
          <w:rStyle w:val="ac"/>
          <w:rFonts w:eastAsiaTheme="majorEastAsia"/>
          <w:i/>
          <w:iCs/>
          <w:sz w:val="24"/>
          <w:szCs w:val="24"/>
        </w:rPr>
        <w:lastRenderedPageBreak/>
        <w:t>АГ нередко выявляются дополнительные факторы риска, ПОМ, а также высокий риск развития устойчивой АГ</w:t>
      </w:r>
      <w:r w:rsidRPr="00EC04DD">
        <w:rPr>
          <w:rStyle w:val="ac"/>
          <w:rFonts w:eastAsiaTheme="majorEastAsia"/>
          <w:sz w:val="24"/>
          <w:szCs w:val="24"/>
        </w:rPr>
        <w:t xml:space="preserve"> [532, 533]</w:t>
      </w:r>
      <w:r w:rsidRPr="00EC04DD">
        <w:rPr>
          <w:rStyle w:val="ac"/>
          <w:rFonts w:eastAsiaTheme="majorEastAsia"/>
          <w:i/>
          <w:iCs/>
          <w:sz w:val="24"/>
          <w:szCs w:val="24"/>
        </w:rPr>
        <w:t>, поэтому даже при отсутствии лечения пациентов необходимо регулярно наблюдать (по крайней мере, ежегодно) для оценки клинического АД, АД, измеренного вне медицинского учреждения и СС риска. При ежегодных визитах следует обращать внимание на рекомендации по изменению образа жизни, которые являются методом адекватной терапии таких пациентов.</w:t>
      </w:r>
    </w:p>
    <w:p w14:paraId="45B384BE" w14:textId="77777777" w:rsidR="00CB781F" w:rsidRPr="00EC04DD" w:rsidRDefault="00CB781F">
      <w:pPr>
        <w:pStyle w:val="11"/>
        <w:numPr>
          <w:ilvl w:val="0"/>
          <w:numId w:val="37"/>
        </w:numPr>
        <w:tabs>
          <w:tab w:val="left" w:pos="1377"/>
        </w:tabs>
        <w:ind w:firstLine="620"/>
        <w:jc w:val="both"/>
        <w:rPr>
          <w:sz w:val="24"/>
          <w:szCs w:val="24"/>
        </w:rPr>
      </w:pPr>
      <w:r w:rsidRPr="00EC04DD">
        <w:rPr>
          <w:rStyle w:val="ac"/>
          <w:rFonts w:eastAsiaTheme="majorEastAsia"/>
          <w:sz w:val="24"/>
          <w:szCs w:val="24"/>
        </w:rPr>
        <w:t>Всем пациентам с АГ, которым была назначена АГТ, рекомендуется проводить</w:t>
      </w:r>
    </w:p>
    <w:p w14:paraId="12F83E2D" w14:textId="77777777" w:rsidR="00CB781F" w:rsidRPr="00EC04DD" w:rsidRDefault="00CB781F" w:rsidP="00CB781F">
      <w:pPr>
        <w:pStyle w:val="11"/>
        <w:ind w:firstLine="0"/>
        <w:jc w:val="both"/>
        <w:rPr>
          <w:sz w:val="24"/>
          <w:szCs w:val="24"/>
        </w:rPr>
      </w:pPr>
      <w:r w:rsidRPr="00EC04DD">
        <w:rPr>
          <w:rStyle w:val="ac"/>
          <w:rFonts w:eastAsiaTheme="majorEastAsia"/>
          <w:sz w:val="24"/>
          <w:szCs w:val="24"/>
        </w:rPr>
        <w:t>плановые визиты к врачу, осуществляющему ведение пациента, для оценки переносимости, эффективности и безопасности лечения, а также контроля выполнения врачебных рекомендаций [27, 534, 535].</w:t>
      </w:r>
    </w:p>
    <w:p w14:paraId="5875ECF5" w14:textId="4C88B5C3" w:rsidR="00CB781F" w:rsidRPr="00EC04DD" w:rsidRDefault="00CB781F" w:rsidP="00CB781F">
      <w:pPr>
        <w:pStyle w:val="11"/>
        <w:ind w:firstLine="620"/>
        <w:jc w:val="both"/>
        <w:rPr>
          <w:sz w:val="24"/>
          <w:szCs w:val="24"/>
        </w:rPr>
      </w:pPr>
      <w:r w:rsidRPr="00EC04DD">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0A4136">
        <w:rPr>
          <w:rStyle w:val="ac"/>
          <w:rFonts w:eastAsiaTheme="majorEastAsia"/>
          <w:b/>
          <w:bCs/>
          <w:sz w:val="24"/>
          <w:szCs w:val="24"/>
        </w:rPr>
        <w:t xml:space="preserve"> </w:t>
      </w:r>
      <w:r w:rsidRPr="00EC04DD">
        <w:rPr>
          <w:rStyle w:val="ac"/>
          <w:rFonts w:eastAsiaTheme="majorEastAsia"/>
          <w:b/>
          <w:bCs/>
          <w:sz w:val="24"/>
          <w:szCs w:val="24"/>
          <w:lang w:val="en-US"/>
        </w:rPr>
        <w:t>B</w:t>
      </w:r>
      <w:r w:rsidRPr="00EC04DD">
        <w:rPr>
          <w:rStyle w:val="ac"/>
          <w:rFonts w:eastAsiaTheme="majorEastAsia"/>
          <w:b/>
          <w:bCs/>
          <w:sz w:val="24"/>
          <w:szCs w:val="24"/>
        </w:rPr>
        <w:t xml:space="preserve">, </w:t>
      </w:r>
      <w:r w:rsidR="000A4136" w:rsidRPr="00EC04DD">
        <w:rPr>
          <w:rStyle w:val="ac"/>
          <w:rFonts w:eastAsiaTheme="majorEastAsia"/>
          <w:sz w:val="24"/>
          <w:szCs w:val="24"/>
        </w:rPr>
        <w:t>(</w:t>
      </w:r>
      <w:r w:rsidR="003D51B3">
        <w:rPr>
          <w:rStyle w:val="ac"/>
          <w:rFonts w:eastAsiaTheme="majorEastAsia"/>
          <w:b/>
          <w:bCs/>
          <w:sz w:val="24"/>
          <w:szCs w:val="24"/>
        </w:rPr>
        <w:t>Уровень достоверности доказательств</w:t>
      </w:r>
      <w:r w:rsidRPr="00EC04DD">
        <w:rPr>
          <w:rStyle w:val="ac"/>
          <w:rFonts w:eastAsiaTheme="majorEastAsia"/>
          <w:b/>
          <w:bCs/>
          <w:sz w:val="24"/>
          <w:szCs w:val="24"/>
        </w:rPr>
        <w:t xml:space="preserve"> 2)</w:t>
      </w:r>
      <w:r w:rsidR="000A4136">
        <w:rPr>
          <w:rStyle w:val="ac"/>
          <w:rFonts w:eastAsiaTheme="majorEastAsia"/>
          <w:b/>
          <w:bCs/>
          <w:sz w:val="24"/>
          <w:szCs w:val="24"/>
        </w:rPr>
        <w:t>;</w:t>
      </w:r>
      <w:r w:rsidR="000A4136" w:rsidRPr="000A4136">
        <w:rPr>
          <w:rStyle w:val="ac"/>
          <w:rFonts w:eastAsiaTheme="majorEastAsia"/>
          <w:b/>
          <w:bCs/>
          <w:sz w:val="24"/>
          <w:szCs w:val="24"/>
        </w:rPr>
        <w:t xml:space="preserve"> </w:t>
      </w:r>
      <w:r w:rsidR="000A4136" w:rsidRPr="00EC04DD">
        <w:rPr>
          <w:rStyle w:val="ac"/>
          <w:rFonts w:eastAsiaTheme="majorEastAsia"/>
          <w:b/>
          <w:bCs/>
          <w:sz w:val="24"/>
          <w:szCs w:val="24"/>
        </w:rPr>
        <w:t>ЕОК/ЕОАГ нет</w:t>
      </w:r>
      <w:r w:rsidR="008A2AFD">
        <w:rPr>
          <w:rStyle w:val="ac"/>
          <w:rFonts w:eastAsiaTheme="majorEastAsia"/>
          <w:b/>
          <w:bCs/>
          <w:sz w:val="24"/>
          <w:szCs w:val="24"/>
        </w:rPr>
        <w:t>.</w:t>
      </w:r>
    </w:p>
    <w:p w14:paraId="3F105E14" w14:textId="77777777" w:rsidR="00CB781F" w:rsidRPr="00EC04DD" w:rsidRDefault="00CB781F" w:rsidP="00CB781F">
      <w:pPr>
        <w:pStyle w:val="11"/>
        <w:ind w:firstLine="620"/>
        <w:jc w:val="both"/>
        <w:rPr>
          <w:sz w:val="24"/>
          <w:szCs w:val="24"/>
        </w:rPr>
      </w:pPr>
      <w:r w:rsidRPr="00EC04DD">
        <w:rPr>
          <w:rStyle w:val="ac"/>
          <w:rFonts w:eastAsiaTheme="majorEastAsia"/>
          <w:b/>
          <w:bCs/>
          <w:sz w:val="24"/>
          <w:szCs w:val="24"/>
        </w:rPr>
        <w:t xml:space="preserve">Комментарии. </w:t>
      </w:r>
      <w:r w:rsidRPr="00EC04DD">
        <w:rPr>
          <w:rStyle w:val="ac"/>
          <w:rFonts w:eastAsiaTheme="majorEastAsia"/>
          <w:i/>
          <w:iCs/>
          <w:sz w:val="24"/>
          <w:szCs w:val="24"/>
        </w:rPr>
        <w:t>Визиты проводятся с интервалом в 3–4 недели до достижения целевого уровня АД (при отсутствии других причин более частых визитов). Целевое АД должно быть достигнуто в течение 3 месяцев.</w:t>
      </w:r>
    </w:p>
    <w:p w14:paraId="71F5EE65" w14:textId="77777777" w:rsidR="00CB781F" w:rsidRPr="00EC04DD" w:rsidRDefault="00CB781F">
      <w:pPr>
        <w:pStyle w:val="11"/>
        <w:numPr>
          <w:ilvl w:val="0"/>
          <w:numId w:val="37"/>
        </w:numPr>
        <w:tabs>
          <w:tab w:val="left" w:pos="1377"/>
        </w:tabs>
        <w:ind w:firstLine="620"/>
        <w:jc w:val="both"/>
        <w:rPr>
          <w:sz w:val="24"/>
          <w:szCs w:val="24"/>
        </w:rPr>
      </w:pPr>
      <w:r w:rsidRPr="00EC04DD">
        <w:rPr>
          <w:rStyle w:val="ac"/>
          <w:rFonts w:eastAsiaTheme="majorEastAsia"/>
          <w:sz w:val="24"/>
          <w:szCs w:val="24"/>
        </w:rPr>
        <w:t>Всем пациентам с АГ в процессе динамического наблюдения каждые 6-12 месяцев</w:t>
      </w:r>
      <w:r w:rsidR="00EC04DD">
        <w:rPr>
          <w:sz w:val="24"/>
          <w:szCs w:val="24"/>
        </w:rPr>
        <w:t xml:space="preserve"> </w:t>
      </w:r>
      <w:r w:rsidRPr="00EC04DD">
        <w:rPr>
          <w:rStyle w:val="ac"/>
          <w:rFonts w:eastAsiaTheme="majorEastAsia"/>
          <w:sz w:val="24"/>
          <w:szCs w:val="24"/>
        </w:rPr>
        <w:t>и при поступлении в стационар рекомендуется проведение общего (клинического) анализа мочи и общего (клинического) анализа крови с исследованием уровня общего гемоглобина и оценкой гематокрита, исследованием уровня эритроцитов в крови, лейкоцитов, тромбоцитов, скорости оседания эритроцитов для выявления изменений, требующих дальнейшего обследования или коррекции терапии [27]</w:t>
      </w:r>
    </w:p>
    <w:p w14:paraId="02C77D53" w14:textId="33B1DCF9" w:rsidR="00CB781F" w:rsidRDefault="003D51B3" w:rsidP="00CB781F">
      <w:pPr>
        <w:pStyle w:val="11"/>
        <w:ind w:firstLine="620"/>
        <w:jc w:val="both"/>
        <w:rPr>
          <w:rStyle w:val="ac"/>
          <w:rFonts w:eastAsiaTheme="majorEastAsia"/>
          <w:b/>
          <w:bCs/>
          <w:sz w:val="24"/>
          <w:szCs w:val="24"/>
        </w:rPr>
      </w:pPr>
      <w:r>
        <w:rPr>
          <w:rStyle w:val="ac"/>
          <w:rFonts w:eastAsiaTheme="majorEastAsia"/>
          <w:b/>
          <w:bCs/>
          <w:sz w:val="24"/>
          <w:szCs w:val="24"/>
        </w:rPr>
        <w:t>Уровень убедительности рекомендаций</w:t>
      </w:r>
      <w:r w:rsidR="000A4136">
        <w:rPr>
          <w:rStyle w:val="ac"/>
          <w:rFonts w:eastAsiaTheme="majorEastAsia"/>
          <w:b/>
          <w:bCs/>
          <w:sz w:val="24"/>
          <w:szCs w:val="24"/>
        </w:rPr>
        <w:t xml:space="preserve"> </w:t>
      </w:r>
      <w:r w:rsidR="00CB781F" w:rsidRPr="00EC04DD">
        <w:rPr>
          <w:rStyle w:val="ac"/>
          <w:rFonts w:eastAsiaTheme="majorEastAsia"/>
          <w:b/>
          <w:bCs/>
          <w:sz w:val="24"/>
          <w:szCs w:val="24"/>
        </w:rPr>
        <w:t xml:space="preserve">С, </w:t>
      </w:r>
      <w:r w:rsidR="000A4136" w:rsidRPr="00EC04DD">
        <w:rPr>
          <w:rStyle w:val="ac"/>
          <w:rFonts w:eastAsiaTheme="majorEastAsia"/>
          <w:sz w:val="24"/>
          <w:szCs w:val="24"/>
        </w:rPr>
        <w:t>(</w:t>
      </w:r>
      <w:r>
        <w:rPr>
          <w:rStyle w:val="ac"/>
          <w:rFonts w:eastAsiaTheme="majorEastAsia"/>
          <w:b/>
          <w:bCs/>
          <w:sz w:val="24"/>
          <w:szCs w:val="24"/>
        </w:rPr>
        <w:t>Уровень достоверности доказательств</w:t>
      </w:r>
      <w:r w:rsidR="00CB781F" w:rsidRPr="00EC04DD">
        <w:rPr>
          <w:rStyle w:val="ac"/>
          <w:rFonts w:eastAsiaTheme="majorEastAsia"/>
          <w:b/>
          <w:bCs/>
          <w:sz w:val="24"/>
          <w:szCs w:val="24"/>
        </w:rPr>
        <w:t xml:space="preserve"> 5</w:t>
      </w:r>
      <w:r w:rsidR="000A4136" w:rsidRPr="00EC04DD">
        <w:rPr>
          <w:rStyle w:val="ac"/>
          <w:rFonts w:eastAsiaTheme="majorEastAsia"/>
          <w:b/>
          <w:bCs/>
          <w:sz w:val="24"/>
          <w:szCs w:val="24"/>
        </w:rPr>
        <w:t>)</w:t>
      </w:r>
      <w:r w:rsidR="000A4136" w:rsidRPr="000A4136">
        <w:rPr>
          <w:rStyle w:val="ac"/>
          <w:rFonts w:eastAsiaTheme="majorEastAsia"/>
          <w:b/>
          <w:bCs/>
          <w:sz w:val="24"/>
          <w:szCs w:val="24"/>
        </w:rPr>
        <w:t>;</w:t>
      </w:r>
      <w:r w:rsidR="000A4136">
        <w:rPr>
          <w:rStyle w:val="ac"/>
          <w:rFonts w:eastAsiaTheme="majorEastAsia"/>
          <w:b/>
          <w:bCs/>
          <w:sz w:val="24"/>
          <w:szCs w:val="24"/>
        </w:rPr>
        <w:t xml:space="preserve"> </w:t>
      </w:r>
      <w:r w:rsidR="000A4136" w:rsidRPr="00EC04DD">
        <w:rPr>
          <w:rStyle w:val="ac"/>
          <w:rFonts w:eastAsiaTheme="majorEastAsia"/>
          <w:b/>
          <w:bCs/>
          <w:sz w:val="24"/>
          <w:szCs w:val="24"/>
        </w:rPr>
        <w:t>ЕОК/ЕОАГ нет</w:t>
      </w:r>
      <w:r w:rsidR="008A2AFD">
        <w:rPr>
          <w:rStyle w:val="ac"/>
          <w:rFonts w:eastAsiaTheme="majorEastAsia"/>
          <w:b/>
          <w:bCs/>
          <w:sz w:val="24"/>
          <w:szCs w:val="24"/>
        </w:rPr>
        <w:t>.</w:t>
      </w:r>
    </w:p>
    <w:p w14:paraId="551B2415" w14:textId="231E5A31" w:rsidR="000A4136" w:rsidRPr="000A4136" w:rsidRDefault="000A4136" w:rsidP="00CB781F">
      <w:pPr>
        <w:pStyle w:val="11"/>
        <w:ind w:firstLine="620"/>
        <w:jc w:val="both"/>
        <w:rPr>
          <w:i/>
          <w:iCs/>
          <w:sz w:val="24"/>
          <w:szCs w:val="24"/>
        </w:rPr>
      </w:pPr>
      <w:r>
        <w:rPr>
          <w:rStyle w:val="ac"/>
          <w:rFonts w:eastAsiaTheme="majorEastAsia"/>
          <w:b/>
          <w:bCs/>
          <w:sz w:val="24"/>
          <w:szCs w:val="24"/>
        </w:rPr>
        <w:t xml:space="preserve">Комментарии: </w:t>
      </w:r>
      <w:r w:rsidRPr="000A4136">
        <w:rPr>
          <w:rStyle w:val="ac"/>
          <w:rFonts w:eastAsiaTheme="majorEastAsia"/>
          <w:i/>
          <w:iCs/>
          <w:sz w:val="24"/>
          <w:szCs w:val="24"/>
        </w:rPr>
        <w:t>Каждые</w:t>
      </w:r>
      <w:r w:rsidRPr="000A4136">
        <w:rPr>
          <w:i/>
          <w:iCs/>
          <w:sz w:val="24"/>
          <w:szCs w:val="24"/>
        </w:rPr>
        <w:t xml:space="preserve"> 6-12 месяцев в рамках динамического наблюдения и при поступлении в стационар. Выявление патологических изменений, которые могут указывать на осложнения или сопутствующие заболевания, требующие дополнительного обследования или коррекции терапии. Регулярный мониторинг этих показателей помогает своевременно обнаружить скрытые проблемы и оптимизировать лечение АГ.</w:t>
      </w:r>
    </w:p>
    <w:p w14:paraId="3A1F8A88" w14:textId="77777777" w:rsidR="00CB781F" w:rsidRPr="00EC04DD" w:rsidRDefault="00CB781F">
      <w:pPr>
        <w:pStyle w:val="11"/>
        <w:numPr>
          <w:ilvl w:val="0"/>
          <w:numId w:val="37"/>
        </w:numPr>
        <w:tabs>
          <w:tab w:val="left" w:pos="1377"/>
        </w:tabs>
        <w:ind w:firstLine="620"/>
        <w:jc w:val="both"/>
        <w:rPr>
          <w:sz w:val="24"/>
          <w:szCs w:val="24"/>
        </w:rPr>
      </w:pPr>
      <w:r w:rsidRPr="00EC04DD">
        <w:rPr>
          <w:rStyle w:val="ac"/>
          <w:rFonts w:eastAsiaTheme="majorEastAsia"/>
          <w:sz w:val="24"/>
          <w:szCs w:val="24"/>
        </w:rPr>
        <w:t>Всем пациентам с АГ в процессе динамического наблюдения каждые 6-12 месяцев</w:t>
      </w:r>
      <w:r w:rsidR="00EC04DD">
        <w:rPr>
          <w:sz w:val="24"/>
          <w:szCs w:val="24"/>
        </w:rPr>
        <w:t xml:space="preserve"> </w:t>
      </w:r>
      <w:r w:rsidRPr="00EC04DD">
        <w:rPr>
          <w:rStyle w:val="ac"/>
          <w:rFonts w:eastAsiaTheme="majorEastAsia"/>
          <w:sz w:val="24"/>
          <w:szCs w:val="24"/>
        </w:rPr>
        <w:t xml:space="preserve">и при поступлении в стационар рекомендуется проведение анализа крови биохимического общетерапевтического (исследование уровня калия, натрия, глюкозы, креатинина, мочевой кислоты, общего белка, мочевины, общего билирубина, исследование уровня холестерина в крови, ЛНП, ЛВП и ТГ в крови, определение активности АСТ и АЛТ в крови) для оценки почечной и печеночной функции, выявления фактора риска </w:t>
      </w:r>
      <w:r w:rsidRPr="00EC04DD">
        <w:rPr>
          <w:rStyle w:val="ac"/>
          <w:rFonts w:eastAsiaTheme="majorEastAsia"/>
          <w:sz w:val="24"/>
          <w:szCs w:val="24"/>
        </w:rPr>
        <w:lastRenderedPageBreak/>
        <w:t>сопутствующего атеросклероза и, при необходимости, коррекции терапии [27]</w:t>
      </w:r>
    </w:p>
    <w:p w14:paraId="671251C8" w14:textId="4976FBD9" w:rsidR="00CB781F" w:rsidRDefault="003D51B3" w:rsidP="00CB781F">
      <w:pPr>
        <w:pStyle w:val="11"/>
        <w:ind w:firstLine="620"/>
        <w:jc w:val="both"/>
        <w:rPr>
          <w:rStyle w:val="ac"/>
          <w:rFonts w:eastAsiaTheme="majorEastAsia"/>
          <w:b/>
          <w:bCs/>
          <w:sz w:val="24"/>
          <w:szCs w:val="24"/>
        </w:rPr>
      </w:pPr>
      <w:r>
        <w:rPr>
          <w:rStyle w:val="ac"/>
          <w:rFonts w:eastAsiaTheme="majorEastAsia"/>
          <w:b/>
          <w:bCs/>
          <w:sz w:val="24"/>
          <w:szCs w:val="24"/>
        </w:rPr>
        <w:t>Уровень убедительности рекомендаций</w:t>
      </w:r>
      <w:r w:rsidR="000A4136">
        <w:rPr>
          <w:rStyle w:val="ac"/>
          <w:rFonts w:eastAsiaTheme="majorEastAsia"/>
          <w:b/>
          <w:bCs/>
          <w:sz w:val="24"/>
          <w:szCs w:val="24"/>
        </w:rPr>
        <w:t xml:space="preserve"> </w:t>
      </w:r>
      <w:r w:rsidR="00CB781F" w:rsidRPr="00EC04DD">
        <w:rPr>
          <w:rStyle w:val="ac"/>
          <w:rFonts w:eastAsiaTheme="majorEastAsia"/>
          <w:b/>
          <w:bCs/>
          <w:sz w:val="24"/>
          <w:szCs w:val="24"/>
        </w:rPr>
        <w:t xml:space="preserve">С, </w:t>
      </w:r>
      <w:r w:rsidR="000A4136" w:rsidRPr="00EC04DD">
        <w:rPr>
          <w:rStyle w:val="ac"/>
          <w:rFonts w:eastAsiaTheme="majorEastAsia"/>
          <w:sz w:val="24"/>
          <w:szCs w:val="24"/>
        </w:rPr>
        <w:t>(</w:t>
      </w:r>
      <w:r>
        <w:rPr>
          <w:rStyle w:val="ac"/>
          <w:rFonts w:eastAsiaTheme="majorEastAsia"/>
          <w:b/>
          <w:bCs/>
          <w:sz w:val="24"/>
          <w:szCs w:val="24"/>
        </w:rPr>
        <w:t>Уровень достоверности доказательств</w:t>
      </w:r>
      <w:r w:rsidR="00CB781F" w:rsidRPr="00EC04DD">
        <w:rPr>
          <w:rStyle w:val="ac"/>
          <w:rFonts w:eastAsiaTheme="majorEastAsia"/>
          <w:b/>
          <w:bCs/>
          <w:sz w:val="24"/>
          <w:szCs w:val="24"/>
        </w:rPr>
        <w:t xml:space="preserve"> 5</w:t>
      </w:r>
      <w:r w:rsidR="000A4136" w:rsidRPr="00EC04DD">
        <w:rPr>
          <w:rStyle w:val="ac"/>
          <w:rFonts w:eastAsiaTheme="majorEastAsia"/>
          <w:b/>
          <w:bCs/>
          <w:sz w:val="24"/>
          <w:szCs w:val="24"/>
        </w:rPr>
        <w:t>)</w:t>
      </w:r>
      <w:r w:rsidR="000A4136" w:rsidRPr="000A4136">
        <w:rPr>
          <w:rStyle w:val="ac"/>
          <w:rFonts w:eastAsiaTheme="majorEastAsia"/>
          <w:b/>
          <w:bCs/>
          <w:sz w:val="24"/>
          <w:szCs w:val="24"/>
        </w:rPr>
        <w:t>;</w:t>
      </w:r>
      <w:r w:rsidR="000A4136">
        <w:rPr>
          <w:rStyle w:val="ac"/>
          <w:rFonts w:eastAsiaTheme="majorEastAsia"/>
          <w:b/>
          <w:bCs/>
          <w:sz w:val="24"/>
          <w:szCs w:val="24"/>
        </w:rPr>
        <w:t xml:space="preserve"> </w:t>
      </w:r>
      <w:r w:rsidR="000A4136" w:rsidRPr="00EC04DD">
        <w:rPr>
          <w:rStyle w:val="ac"/>
          <w:rFonts w:eastAsiaTheme="majorEastAsia"/>
          <w:b/>
          <w:bCs/>
          <w:sz w:val="24"/>
          <w:szCs w:val="24"/>
        </w:rPr>
        <w:t>ЕОК/ЕОАГ нет</w:t>
      </w:r>
      <w:r w:rsidR="008A2AFD">
        <w:rPr>
          <w:rStyle w:val="ac"/>
          <w:rFonts w:eastAsiaTheme="majorEastAsia"/>
          <w:b/>
          <w:bCs/>
          <w:sz w:val="24"/>
          <w:szCs w:val="24"/>
        </w:rPr>
        <w:t>.</w:t>
      </w:r>
    </w:p>
    <w:p w14:paraId="60A24281" w14:textId="667D9AF5" w:rsidR="000A4136" w:rsidRPr="000A4136" w:rsidRDefault="000A4136" w:rsidP="00CB781F">
      <w:pPr>
        <w:pStyle w:val="11"/>
        <w:ind w:firstLine="620"/>
        <w:jc w:val="both"/>
        <w:rPr>
          <w:i/>
          <w:iCs/>
          <w:sz w:val="28"/>
          <w:szCs w:val="28"/>
        </w:rPr>
      </w:pPr>
      <w:r>
        <w:rPr>
          <w:rStyle w:val="ac"/>
          <w:rFonts w:eastAsiaTheme="majorEastAsia"/>
          <w:b/>
          <w:bCs/>
          <w:sz w:val="24"/>
          <w:szCs w:val="24"/>
        </w:rPr>
        <w:t>Комментарии:</w:t>
      </w:r>
      <w:r w:rsidRPr="000A4136">
        <w:t xml:space="preserve"> </w:t>
      </w:r>
      <w:r w:rsidRPr="000A4136">
        <w:rPr>
          <w:i/>
          <w:iCs/>
          <w:sz w:val="24"/>
          <w:szCs w:val="24"/>
        </w:rPr>
        <w:t>оценка функции почек и печени, выявление факторов риска сопутствующего атеросклероза, а также своевременная коррекция терапии с учётом результатов.</w:t>
      </w:r>
    </w:p>
    <w:p w14:paraId="44D85659" w14:textId="77777777" w:rsidR="00CB781F" w:rsidRPr="00EC04DD" w:rsidRDefault="00CB781F">
      <w:pPr>
        <w:pStyle w:val="11"/>
        <w:numPr>
          <w:ilvl w:val="0"/>
          <w:numId w:val="37"/>
        </w:numPr>
        <w:tabs>
          <w:tab w:val="left" w:pos="1377"/>
        </w:tabs>
        <w:ind w:firstLine="0"/>
        <w:jc w:val="both"/>
        <w:rPr>
          <w:sz w:val="24"/>
          <w:szCs w:val="24"/>
        </w:rPr>
      </w:pPr>
      <w:r w:rsidRPr="00EC04DD">
        <w:rPr>
          <w:rStyle w:val="ac"/>
          <w:rFonts w:eastAsiaTheme="majorEastAsia"/>
          <w:sz w:val="24"/>
          <w:szCs w:val="24"/>
        </w:rPr>
        <w:t>Всем пациентам с АГ, принимающим АГТ, при ее недостаточной эффективности</w:t>
      </w:r>
      <w:r w:rsidR="00EC04DD" w:rsidRPr="00EC04DD">
        <w:rPr>
          <w:sz w:val="24"/>
          <w:szCs w:val="24"/>
        </w:rPr>
        <w:t xml:space="preserve"> </w:t>
      </w:r>
      <w:r w:rsidRPr="00EC04DD">
        <w:rPr>
          <w:rStyle w:val="ac"/>
          <w:rFonts w:eastAsiaTheme="majorEastAsia"/>
          <w:sz w:val="24"/>
          <w:szCs w:val="24"/>
        </w:rPr>
        <w:t>рекомендуется производить замену ранее назначенного АГП или присоединять другой АГП. При отсутствии эффективного снижения АД на фоне 2-компонентной терапии рекомендуется присоединение третьего препарата (одним из трех препаратов, как правило, должен быть диуретик) с обязательным последующим контролем эффективности, безопасности и переносимости комбинированной терапии [27]</w:t>
      </w:r>
    </w:p>
    <w:p w14:paraId="3A75755D" w14:textId="74A880EE" w:rsidR="00CB781F" w:rsidRPr="00EC04DD" w:rsidRDefault="00CB781F" w:rsidP="00CB781F">
      <w:pPr>
        <w:pStyle w:val="11"/>
        <w:ind w:firstLine="600"/>
        <w:jc w:val="both"/>
        <w:rPr>
          <w:sz w:val="24"/>
          <w:szCs w:val="24"/>
        </w:rPr>
      </w:pPr>
      <w:r w:rsidRPr="00EC04DD">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062AC0">
        <w:rPr>
          <w:rStyle w:val="ac"/>
          <w:rFonts w:eastAsiaTheme="majorEastAsia"/>
          <w:b/>
          <w:bCs/>
          <w:sz w:val="24"/>
          <w:szCs w:val="24"/>
        </w:rPr>
        <w:t xml:space="preserve"> </w:t>
      </w:r>
      <w:r w:rsidRPr="00EC04DD">
        <w:rPr>
          <w:rStyle w:val="ac"/>
          <w:rFonts w:eastAsiaTheme="majorEastAsia"/>
          <w:b/>
          <w:bCs/>
          <w:sz w:val="24"/>
          <w:szCs w:val="24"/>
          <w:lang w:val="en-US"/>
        </w:rPr>
        <w:t>C</w:t>
      </w:r>
      <w:r w:rsidRPr="00EC04DD">
        <w:rPr>
          <w:rStyle w:val="ac"/>
          <w:rFonts w:eastAsiaTheme="majorEastAsia"/>
          <w:b/>
          <w:bCs/>
          <w:sz w:val="24"/>
          <w:szCs w:val="24"/>
        </w:rPr>
        <w:t xml:space="preserve">, </w:t>
      </w:r>
      <w:r w:rsidR="00062AC0" w:rsidRPr="00EC04DD">
        <w:rPr>
          <w:rStyle w:val="ac"/>
          <w:rFonts w:eastAsiaTheme="majorEastAsia"/>
          <w:sz w:val="24"/>
          <w:szCs w:val="24"/>
        </w:rPr>
        <w:t>(</w:t>
      </w:r>
      <w:r w:rsidR="003D51B3">
        <w:rPr>
          <w:rStyle w:val="ac"/>
          <w:rFonts w:eastAsiaTheme="majorEastAsia"/>
          <w:b/>
          <w:bCs/>
          <w:sz w:val="24"/>
          <w:szCs w:val="24"/>
        </w:rPr>
        <w:t>Уровень достоверности доказательств</w:t>
      </w:r>
      <w:r w:rsidRPr="00EC04DD">
        <w:rPr>
          <w:rStyle w:val="ac"/>
          <w:rFonts w:eastAsiaTheme="majorEastAsia"/>
          <w:b/>
          <w:bCs/>
          <w:sz w:val="24"/>
          <w:szCs w:val="24"/>
        </w:rPr>
        <w:t xml:space="preserve"> 5)</w:t>
      </w:r>
      <w:r w:rsidR="00062AC0">
        <w:rPr>
          <w:rStyle w:val="ac"/>
          <w:rFonts w:eastAsiaTheme="majorEastAsia"/>
          <w:b/>
          <w:bCs/>
          <w:sz w:val="24"/>
          <w:szCs w:val="24"/>
        </w:rPr>
        <w:t>;</w:t>
      </w:r>
      <w:r w:rsidR="00062AC0" w:rsidRPr="00062AC0">
        <w:rPr>
          <w:rStyle w:val="ac"/>
          <w:rFonts w:eastAsiaTheme="majorEastAsia"/>
          <w:b/>
          <w:bCs/>
          <w:sz w:val="24"/>
          <w:szCs w:val="24"/>
        </w:rPr>
        <w:t xml:space="preserve"> </w:t>
      </w:r>
      <w:r w:rsidR="00062AC0" w:rsidRPr="00EC04DD">
        <w:rPr>
          <w:rStyle w:val="ac"/>
          <w:rFonts w:eastAsiaTheme="majorEastAsia"/>
          <w:b/>
          <w:bCs/>
          <w:sz w:val="24"/>
          <w:szCs w:val="24"/>
        </w:rPr>
        <w:t>ЕОК/ЕОАГ нет</w:t>
      </w:r>
      <w:r w:rsidR="008A2AFD">
        <w:rPr>
          <w:rStyle w:val="ac"/>
          <w:rFonts w:eastAsiaTheme="majorEastAsia"/>
          <w:b/>
          <w:bCs/>
          <w:sz w:val="24"/>
          <w:szCs w:val="24"/>
        </w:rPr>
        <w:t>.</w:t>
      </w:r>
    </w:p>
    <w:p w14:paraId="4724533E" w14:textId="77777777" w:rsidR="00CB781F" w:rsidRPr="00EC04DD" w:rsidRDefault="00CB781F" w:rsidP="00CB781F">
      <w:pPr>
        <w:pStyle w:val="11"/>
        <w:spacing w:after="40"/>
        <w:ind w:firstLine="600"/>
        <w:jc w:val="both"/>
        <w:rPr>
          <w:sz w:val="24"/>
          <w:szCs w:val="24"/>
        </w:rPr>
      </w:pPr>
      <w:r w:rsidRPr="00EC04DD">
        <w:rPr>
          <w:rStyle w:val="ac"/>
          <w:rFonts w:eastAsiaTheme="majorEastAsia"/>
          <w:b/>
          <w:bCs/>
          <w:sz w:val="24"/>
          <w:szCs w:val="24"/>
        </w:rPr>
        <w:t xml:space="preserve">Комментарии. </w:t>
      </w:r>
      <w:r w:rsidRPr="00EC04DD">
        <w:rPr>
          <w:rStyle w:val="ac"/>
          <w:rFonts w:eastAsiaTheme="majorEastAsia"/>
          <w:i/>
          <w:iCs/>
          <w:sz w:val="24"/>
          <w:szCs w:val="24"/>
        </w:rPr>
        <w:t>Целевые уровни АД являются рекомендованными для достижения в каждой подгруппе пациентов, но важнейшим принципом их достижения является соблюдение безопасности и сохранения качества жизни пациента. Поэтому скорость достижения целевых значений и степень снижения АД могут быть скорректированы у конкретного пациента в зависимости от конкретной клинической ситуации. При этом плохая переносимость снижения АД может быть основанием для более медленной титрации доз и числа назначаемых препаратов, равно как и при хорошей переносимости АД может быть снижено до более низких значений, чем рекомендовано в среднем. Недостижение целевого АД в указанные сроки не является ошибочным, если это продиктовано клинической необходимостью. Если врач считает, что препятствием к достижению целевого АД является плохая приверженность пациента, это должно находить отражение в медицинской документации и должны быть предприняты и зафиксированы меры по повышению приверженности. В этих случаях недостижение целевого уровня не должно считаться дефектом оказания помощи.</w:t>
      </w:r>
    </w:p>
    <w:p w14:paraId="579A3EEC" w14:textId="606E521F" w:rsidR="00CB781F" w:rsidRPr="00EC04DD" w:rsidRDefault="00CB781F">
      <w:pPr>
        <w:pStyle w:val="11"/>
        <w:numPr>
          <w:ilvl w:val="0"/>
          <w:numId w:val="37"/>
        </w:numPr>
        <w:tabs>
          <w:tab w:val="left" w:pos="1358"/>
        </w:tabs>
        <w:spacing w:line="372" w:lineRule="auto"/>
        <w:ind w:firstLine="600"/>
        <w:jc w:val="both"/>
        <w:rPr>
          <w:sz w:val="24"/>
          <w:szCs w:val="24"/>
        </w:rPr>
      </w:pPr>
      <w:r w:rsidRPr="00EC04DD">
        <w:rPr>
          <w:rStyle w:val="ac"/>
          <w:rFonts w:eastAsiaTheme="majorEastAsia"/>
          <w:sz w:val="24"/>
          <w:szCs w:val="24"/>
        </w:rPr>
        <w:t xml:space="preserve">Пациентам с высоким и очень высоким сердечно-сосудистым риском (таблица П13, Приложение </w:t>
      </w:r>
      <w:r w:rsidR="00FB33EA">
        <w:rPr>
          <w:rStyle w:val="ac"/>
          <w:rFonts w:eastAsiaTheme="majorEastAsia"/>
          <w:sz w:val="24"/>
          <w:szCs w:val="24"/>
        </w:rPr>
        <w:t>А2</w:t>
      </w:r>
      <w:r w:rsidRPr="00EC04DD">
        <w:rPr>
          <w:rStyle w:val="ac"/>
          <w:rFonts w:eastAsiaTheme="majorEastAsia"/>
          <w:sz w:val="24"/>
          <w:szCs w:val="24"/>
        </w:rPr>
        <w:t xml:space="preserve"> ), а также для пациентов, получающих только немедикаментозное лечение, и для лиц с низкой приверженностью к лечению после достижения целевого уровня АД на фоне проводимой терапии последующие визиты к врачу, осуществляющему ведение пациента, рекомендуется проводить не реже, чем один раз в 3 месяца; визиты для пациентов со средним и низким риском, которые регулярно измеряют АД дома, </w:t>
      </w:r>
      <w:r w:rsidRPr="00EC04DD">
        <w:rPr>
          <w:rStyle w:val="ac"/>
          <w:rFonts w:eastAsiaTheme="majorEastAsia"/>
          <w:sz w:val="24"/>
          <w:szCs w:val="24"/>
        </w:rPr>
        <w:lastRenderedPageBreak/>
        <w:t>рекомендуется проводить с интервалом в 4–6 месяцев [536].</w:t>
      </w:r>
    </w:p>
    <w:p w14:paraId="536CD5ED" w14:textId="7F672723" w:rsidR="00CB781F" w:rsidRDefault="003D51B3" w:rsidP="00CB781F">
      <w:pPr>
        <w:pStyle w:val="11"/>
        <w:spacing w:after="40"/>
        <w:ind w:firstLine="600"/>
        <w:jc w:val="both"/>
        <w:rPr>
          <w:rStyle w:val="ac"/>
          <w:rFonts w:eastAsiaTheme="majorEastAsia"/>
          <w:b/>
          <w:bCs/>
          <w:sz w:val="24"/>
          <w:szCs w:val="24"/>
        </w:rPr>
      </w:pPr>
      <w:r>
        <w:rPr>
          <w:rStyle w:val="ac"/>
          <w:rFonts w:eastAsiaTheme="majorEastAsia"/>
          <w:b/>
          <w:bCs/>
          <w:sz w:val="24"/>
          <w:szCs w:val="24"/>
        </w:rPr>
        <w:t>Уровень убедительности рекомендаций</w:t>
      </w:r>
      <w:r w:rsidR="00062AC0">
        <w:rPr>
          <w:rStyle w:val="ac"/>
          <w:rFonts w:eastAsiaTheme="majorEastAsia"/>
          <w:b/>
          <w:bCs/>
          <w:sz w:val="24"/>
          <w:szCs w:val="24"/>
        </w:rPr>
        <w:t xml:space="preserve"> </w:t>
      </w:r>
      <w:r w:rsidR="00CB781F" w:rsidRPr="00EC04DD">
        <w:rPr>
          <w:rStyle w:val="ac"/>
          <w:rFonts w:eastAsiaTheme="majorEastAsia"/>
          <w:b/>
          <w:bCs/>
          <w:sz w:val="24"/>
          <w:szCs w:val="24"/>
        </w:rPr>
        <w:t xml:space="preserve">С, </w:t>
      </w:r>
      <w:r w:rsidR="00062AC0" w:rsidRPr="00EC04DD">
        <w:rPr>
          <w:rStyle w:val="ac"/>
          <w:rFonts w:eastAsiaTheme="majorEastAsia"/>
          <w:sz w:val="24"/>
          <w:szCs w:val="24"/>
        </w:rPr>
        <w:t>(</w:t>
      </w:r>
      <w:r>
        <w:rPr>
          <w:rStyle w:val="ac"/>
          <w:rFonts w:eastAsiaTheme="majorEastAsia"/>
          <w:b/>
          <w:bCs/>
          <w:sz w:val="24"/>
          <w:szCs w:val="24"/>
        </w:rPr>
        <w:t>Уровень достоверности доказательств</w:t>
      </w:r>
      <w:r w:rsidR="00CB781F" w:rsidRPr="00EC04DD">
        <w:rPr>
          <w:rStyle w:val="ac"/>
          <w:rFonts w:eastAsiaTheme="majorEastAsia"/>
          <w:b/>
          <w:bCs/>
          <w:sz w:val="24"/>
          <w:szCs w:val="24"/>
        </w:rPr>
        <w:t xml:space="preserve"> 2</w:t>
      </w:r>
      <w:r w:rsidR="00062AC0" w:rsidRPr="00EC04DD">
        <w:rPr>
          <w:rStyle w:val="ac"/>
          <w:rFonts w:eastAsiaTheme="majorEastAsia"/>
          <w:b/>
          <w:bCs/>
          <w:sz w:val="24"/>
          <w:szCs w:val="24"/>
        </w:rPr>
        <w:t>)</w:t>
      </w:r>
      <w:r w:rsidR="00062AC0" w:rsidRPr="00062AC0">
        <w:rPr>
          <w:rStyle w:val="ac"/>
          <w:rFonts w:eastAsiaTheme="majorEastAsia"/>
          <w:b/>
          <w:bCs/>
          <w:sz w:val="24"/>
          <w:szCs w:val="24"/>
        </w:rPr>
        <w:t>;</w:t>
      </w:r>
      <w:r w:rsidR="00062AC0">
        <w:rPr>
          <w:rStyle w:val="ac"/>
          <w:rFonts w:eastAsiaTheme="majorEastAsia"/>
          <w:b/>
          <w:bCs/>
          <w:sz w:val="24"/>
          <w:szCs w:val="24"/>
        </w:rPr>
        <w:t xml:space="preserve"> </w:t>
      </w:r>
      <w:r w:rsidR="00062AC0" w:rsidRPr="00EC04DD">
        <w:rPr>
          <w:rStyle w:val="ac"/>
          <w:rFonts w:eastAsiaTheme="majorEastAsia"/>
          <w:b/>
          <w:bCs/>
          <w:sz w:val="24"/>
          <w:szCs w:val="24"/>
        </w:rPr>
        <w:t>ЕОК/ЕОАГ нет</w:t>
      </w:r>
      <w:r w:rsidR="008A2AFD">
        <w:rPr>
          <w:rStyle w:val="ac"/>
          <w:rFonts w:eastAsiaTheme="majorEastAsia"/>
          <w:b/>
          <w:bCs/>
          <w:sz w:val="24"/>
          <w:szCs w:val="24"/>
        </w:rPr>
        <w:t>.</w:t>
      </w:r>
    </w:p>
    <w:p w14:paraId="2981FBF8" w14:textId="6766DEFF" w:rsidR="00062AC0" w:rsidRPr="00062AC0" w:rsidRDefault="00062AC0" w:rsidP="00CB781F">
      <w:pPr>
        <w:pStyle w:val="11"/>
        <w:spacing w:after="40"/>
        <w:ind w:firstLine="600"/>
        <w:jc w:val="both"/>
        <w:rPr>
          <w:i/>
          <w:iCs/>
          <w:sz w:val="32"/>
          <w:szCs w:val="32"/>
        </w:rPr>
      </w:pPr>
      <w:r>
        <w:rPr>
          <w:rStyle w:val="ac"/>
          <w:rFonts w:eastAsiaTheme="majorEastAsia"/>
          <w:b/>
          <w:bCs/>
          <w:sz w:val="24"/>
          <w:szCs w:val="24"/>
        </w:rPr>
        <w:t xml:space="preserve">Комментарии: </w:t>
      </w:r>
      <w:r w:rsidRPr="00062AC0">
        <w:rPr>
          <w:i/>
          <w:iCs/>
          <w:sz w:val="24"/>
          <w:szCs w:val="24"/>
        </w:rPr>
        <w:t>Частые визиты позволяют контролировать состояние, своевременно корректировать лечение и поддерживать мотивацию пациента.</w:t>
      </w:r>
      <w:r w:rsidRPr="00062AC0">
        <w:rPr>
          <w:rStyle w:val="10"/>
        </w:rPr>
        <w:t xml:space="preserve"> </w:t>
      </w:r>
      <w:r w:rsidRPr="00062AC0">
        <w:rPr>
          <w:rStyle w:val="aff9"/>
          <w:rFonts w:eastAsiaTheme="majorEastAsia"/>
          <w:b w:val="0"/>
          <w:bCs w:val="0"/>
          <w:i/>
          <w:iCs/>
          <w:sz w:val="24"/>
          <w:szCs w:val="24"/>
        </w:rPr>
        <w:t>Для пациентов со средним и низким СС риском</w:t>
      </w:r>
      <w:r w:rsidRPr="00062AC0">
        <w:rPr>
          <w:i/>
          <w:iCs/>
          <w:sz w:val="24"/>
          <w:szCs w:val="24"/>
        </w:rPr>
        <w:t>, которые регулярно измеряют АД в домашних условиях, визиты к врачу могут проводиться с интервалом 4–6 месяцев.</w:t>
      </w:r>
    </w:p>
    <w:p w14:paraId="1157B80C" w14:textId="77777777" w:rsidR="00CB781F" w:rsidRPr="00EC04DD" w:rsidRDefault="00CB781F">
      <w:pPr>
        <w:pStyle w:val="11"/>
        <w:numPr>
          <w:ilvl w:val="0"/>
          <w:numId w:val="37"/>
        </w:numPr>
        <w:tabs>
          <w:tab w:val="left" w:pos="1358"/>
        </w:tabs>
        <w:spacing w:line="379" w:lineRule="auto"/>
        <w:ind w:firstLine="600"/>
        <w:jc w:val="both"/>
        <w:rPr>
          <w:sz w:val="24"/>
          <w:szCs w:val="24"/>
        </w:rPr>
      </w:pPr>
      <w:r w:rsidRPr="00EC04DD">
        <w:rPr>
          <w:rStyle w:val="ac"/>
          <w:rFonts w:eastAsiaTheme="majorEastAsia"/>
          <w:sz w:val="24"/>
          <w:szCs w:val="24"/>
        </w:rPr>
        <w:t>Пациентам с АГ для повышения приверженности к проводимой АГТ рекомендуется проведение ДМАД (в том числе активного мониторинга АД при помощи дистанционных технологий при наличии возможности в медицинском учреждении) и ведение дневников с указанием доз принимаемых препаратов и уровня АД [27, 534, 535]</w:t>
      </w:r>
      <w:r w:rsidR="00EC04DD" w:rsidRPr="00EC04DD">
        <w:rPr>
          <w:rStyle w:val="ac"/>
          <w:rFonts w:eastAsiaTheme="majorEastAsia"/>
          <w:sz w:val="24"/>
          <w:szCs w:val="24"/>
        </w:rPr>
        <w:t>.</w:t>
      </w:r>
    </w:p>
    <w:p w14:paraId="6D3C5AC1" w14:textId="33557382" w:rsidR="00CB781F" w:rsidRPr="00EC04DD" w:rsidRDefault="00CB781F" w:rsidP="00CB781F">
      <w:pPr>
        <w:pStyle w:val="11"/>
        <w:spacing w:after="40"/>
        <w:ind w:firstLine="600"/>
        <w:jc w:val="both"/>
        <w:rPr>
          <w:sz w:val="24"/>
          <w:szCs w:val="24"/>
        </w:rPr>
      </w:pPr>
      <w:r w:rsidRPr="00EC04DD">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062AC0">
        <w:rPr>
          <w:rStyle w:val="ac"/>
          <w:rFonts w:eastAsiaTheme="majorEastAsia"/>
          <w:b/>
          <w:bCs/>
          <w:sz w:val="24"/>
          <w:szCs w:val="24"/>
        </w:rPr>
        <w:t xml:space="preserve"> </w:t>
      </w:r>
      <w:r w:rsidRPr="00EC04DD">
        <w:rPr>
          <w:rStyle w:val="ac"/>
          <w:rFonts w:eastAsiaTheme="majorEastAsia"/>
          <w:b/>
          <w:bCs/>
          <w:sz w:val="24"/>
          <w:szCs w:val="24"/>
          <w:lang w:val="en-US"/>
        </w:rPr>
        <w:t>B</w:t>
      </w:r>
      <w:r w:rsidRPr="00EC04DD">
        <w:rPr>
          <w:rStyle w:val="ac"/>
          <w:rFonts w:eastAsiaTheme="majorEastAsia"/>
          <w:b/>
          <w:bCs/>
          <w:sz w:val="24"/>
          <w:szCs w:val="24"/>
        </w:rPr>
        <w:t xml:space="preserve">, </w:t>
      </w:r>
      <w:r w:rsidR="00062AC0" w:rsidRPr="00EC04DD">
        <w:rPr>
          <w:rStyle w:val="ac"/>
          <w:rFonts w:eastAsiaTheme="majorEastAsia"/>
          <w:sz w:val="24"/>
          <w:szCs w:val="24"/>
        </w:rPr>
        <w:t>(</w:t>
      </w:r>
      <w:r w:rsidR="003D51B3">
        <w:rPr>
          <w:rStyle w:val="ac"/>
          <w:rFonts w:eastAsiaTheme="majorEastAsia"/>
          <w:b/>
          <w:bCs/>
          <w:sz w:val="24"/>
          <w:szCs w:val="24"/>
        </w:rPr>
        <w:t>Уровень достоверности доказательств</w:t>
      </w:r>
      <w:r w:rsidRPr="00EC04DD">
        <w:rPr>
          <w:rStyle w:val="ac"/>
          <w:rFonts w:eastAsiaTheme="majorEastAsia"/>
          <w:b/>
          <w:bCs/>
          <w:sz w:val="24"/>
          <w:szCs w:val="24"/>
        </w:rPr>
        <w:t xml:space="preserve"> 2</w:t>
      </w:r>
      <w:r w:rsidR="00062AC0" w:rsidRPr="00EC04DD">
        <w:rPr>
          <w:rStyle w:val="ac"/>
          <w:rFonts w:eastAsiaTheme="majorEastAsia"/>
          <w:b/>
          <w:bCs/>
          <w:sz w:val="24"/>
          <w:szCs w:val="24"/>
        </w:rPr>
        <w:t>)</w:t>
      </w:r>
      <w:r w:rsidR="00062AC0" w:rsidRPr="00062AC0">
        <w:rPr>
          <w:rStyle w:val="ac"/>
          <w:rFonts w:eastAsiaTheme="majorEastAsia"/>
          <w:b/>
          <w:bCs/>
          <w:sz w:val="24"/>
          <w:szCs w:val="24"/>
        </w:rPr>
        <w:t>;</w:t>
      </w:r>
      <w:r w:rsidR="00062AC0">
        <w:rPr>
          <w:rStyle w:val="ac"/>
          <w:rFonts w:eastAsiaTheme="majorEastAsia"/>
          <w:b/>
          <w:bCs/>
          <w:sz w:val="24"/>
          <w:szCs w:val="24"/>
        </w:rPr>
        <w:t xml:space="preserve"> </w:t>
      </w:r>
      <w:r w:rsidR="00062AC0" w:rsidRPr="00EC04DD">
        <w:rPr>
          <w:rStyle w:val="ac"/>
          <w:rFonts w:eastAsiaTheme="majorEastAsia"/>
          <w:b/>
          <w:bCs/>
          <w:sz w:val="24"/>
          <w:szCs w:val="24"/>
        </w:rPr>
        <w:t>ЕОК/ЕОАГ нет</w:t>
      </w:r>
      <w:r w:rsidR="008A2AFD">
        <w:rPr>
          <w:rStyle w:val="ac"/>
          <w:rFonts w:eastAsiaTheme="majorEastAsia"/>
          <w:b/>
          <w:bCs/>
          <w:sz w:val="24"/>
          <w:szCs w:val="24"/>
        </w:rPr>
        <w:t>.</w:t>
      </w:r>
    </w:p>
    <w:p w14:paraId="3F72995F" w14:textId="77777777" w:rsidR="00CB781F" w:rsidRPr="00EC04DD" w:rsidRDefault="00CB781F">
      <w:pPr>
        <w:pStyle w:val="11"/>
        <w:numPr>
          <w:ilvl w:val="0"/>
          <w:numId w:val="37"/>
        </w:numPr>
        <w:tabs>
          <w:tab w:val="left" w:pos="1358"/>
        </w:tabs>
        <w:spacing w:after="40" w:line="403" w:lineRule="auto"/>
        <w:ind w:firstLine="600"/>
        <w:jc w:val="both"/>
        <w:rPr>
          <w:sz w:val="24"/>
          <w:szCs w:val="24"/>
        </w:rPr>
      </w:pPr>
      <w:r w:rsidRPr="00EC04DD">
        <w:rPr>
          <w:rStyle w:val="ac"/>
          <w:rFonts w:eastAsiaTheme="majorEastAsia"/>
          <w:sz w:val="24"/>
          <w:szCs w:val="24"/>
        </w:rPr>
        <w:t>Пациентам с АГ для повышения эффективности и приверженности к проводимой АГТ рекомендуется проведение телемониторинга показателей системной гемодинамики с</w:t>
      </w:r>
      <w:r w:rsidR="00EC04DD">
        <w:rPr>
          <w:sz w:val="24"/>
          <w:szCs w:val="24"/>
        </w:rPr>
        <w:t xml:space="preserve"> </w:t>
      </w:r>
      <w:r w:rsidRPr="00EC04DD">
        <w:rPr>
          <w:rStyle w:val="ac"/>
          <w:rFonts w:eastAsiaTheme="majorEastAsia"/>
          <w:sz w:val="24"/>
          <w:szCs w:val="24"/>
        </w:rPr>
        <w:t>телеметрической передачей результатов измерения АД непосредственно в лечебное учреждение для оперативной обработки информации и оперативного принятия решения [537, 538, 526].</w:t>
      </w:r>
    </w:p>
    <w:p w14:paraId="2A72A3B6" w14:textId="703D1D90" w:rsidR="00CB781F" w:rsidRPr="001A12F4" w:rsidRDefault="00CB781F" w:rsidP="00CB781F">
      <w:pPr>
        <w:pStyle w:val="11"/>
        <w:ind w:firstLine="600"/>
        <w:jc w:val="both"/>
        <w:rPr>
          <w:sz w:val="24"/>
          <w:szCs w:val="24"/>
        </w:rPr>
      </w:pPr>
      <w:r w:rsidRPr="00EC04DD">
        <w:rPr>
          <w:rStyle w:val="ac"/>
          <w:rFonts w:eastAsiaTheme="majorEastAsia"/>
          <w:b/>
          <w:bCs/>
          <w:sz w:val="24"/>
          <w:szCs w:val="24"/>
        </w:rPr>
        <w:t xml:space="preserve"> </w:t>
      </w:r>
      <w:r w:rsidR="003D51B3">
        <w:rPr>
          <w:rStyle w:val="ac"/>
          <w:rFonts w:eastAsiaTheme="majorEastAsia"/>
          <w:b/>
          <w:bCs/>
          <w:sz w:val="24"/>
          <w:szCs w:val="24"/>
        </w:rPr>
        <w:t>Уровень убедительности рекомендаций</w:t>
      </w:r>
      <w:r w:rsidR="00062AC0">
        <w:rPr>
          <w:rStyle w:val="ac"/>
          <w:rFonts w:eastAsiaTheme="majorEastAsia"/>
          <w:b/>
          <w:bCs/>
          <w:sz w:val="24"/>
          <w:szCs w:val="24"/>
        </w:rPr>
        <w:t xml:space="preserve"> </w:t>
      </w:r>
      <w:r w:rsidRPr="00EC04DD">
        <w:rPr>
          <w:rStyle w:val="ac"/>
          <w:rFonts w:eastAsiaTheme="majorEastAsia"/>
          <w:b/>
          <w:bCs/>
          <w:sz w:val="24"/>
          <w:szCs w:val="24"/>
        </w:rPr>
        <w:t xml:space="preserve">В, </w:t>
      </w:r>
      <w:r w:rsidR="00062AC0" w:rsidRPr="00EC04DD">
        <w:rPr>
          <w:rStyle w:val="ac"/>
          <w:rFonts w:eastAsiaTheme="majorEastAsia"/>
          <w:sz w:val="24"/>
          <w:szCs w:val="24"/>
        </w:rPr>
        <w:t>(</w:t>
      </w:r>
      <w:r w:rsidR="003D51B3">
        <w:rPr>
          <w:rStyle w:val="ac"/>
          <w:rFonts w:eastAsiaTheme="majorEastAsia"/>
          <w:b/>
          <w:bCs/>
          <w:sz w:val="24"/>
          <w:szCs w:val="24"/>
        </w:rPr>
        <w:t xml:space="preserve">Уровень достоверности </w:t>
      </w:r>
      <w:r w:rsidR="003D51B3" w:rsidRPr="001A12F4">
        <w:rPr>
          <w:rStyle w:val="ac"/>
          <w:rFonts w:eastAsiaTheme="majorEastAsia"/>
          <w:b/>
          <w:bCs/>
          <w:sz w:val="24"/>
          <w:szCs w:val="24"/>
        </w:rPr>
        <w:t>доказательств</w:t>
      </w:r>
      <w:r w:rsidRPr="001A12F4">
        <w:rPr>
          <w:rStyle w:val="ac"/>
          <w:rFonts w:eastAsiaTheme="majorEastAsia"/>
          <w:b/>
          <w:bCs/>
          <w:sz w:val="24"/>
          <w:szCs w:val="24"/>
        </w:rPr>
        <w:t xml:space="preserve"> 1)</w:t>
      </w:r>
      <w:r w:rsidR="00062AC0" w:rsidRPr="001A12F4">
        <w:rPr>
          <w:rStyle w:val="ac"/>
          <w:rFonts w:eastAsiaTheme="majorEastAsia"/>
          <w:b/>
          <w:bCs/>
          <w:sz w:val="24"/>
          <w:szCs w:val="24"/>
        </w:rPr>
        <w:t>; ЕОК/ЕОАГ нет</w:t>
      </w:r>
      <w:r w:rsidR="008A2AFD" w:rsidRPr="001A12F4">
        <w:rPr>
          <w:rStyle w:val="ac"/>
          <w:rFonts w:eastAsiaTheme="majorEastAsia"/>
          <w:b/>
          <w:bCs/>
          <w:sz w:val="24"/>
          <w:szCs w:val="24"/>
        </w:rPr>
        <w:t>.</w:t>
      </w:r>
    </w:p>
    <w:p w14:paraId="0AFF3A90" w14:textId="7952F817" w:rsidR="00CB781F" w:rsidRPr="001A12F4" w:rsidRDefault="00CB781F" w:rsidP="00EC04DD">
      <w:pPr>
        <w:pStyle w:val="11"/>
        <w:spacing w:after="40"/>
        <w:ind w:firstLine="600"/>
        <w:jc w:val="both"/>
        <w:rPr>
          <w:sz w:val="24"/>
          <w:szCs w:val="24"/>
        </w:rPr>
      </w:pPr>
      <w:r w:rsidRPr="001A12F4">
        <w:rPr>
          <w:rStyle w:val="ac"/>
          <w:rFonts w:eastAsiaTheme="majorEastAsia"/>
          <w:b/>
          <w:bCs/>
          <w:sz w:val="24"/>
          <w:szCs w:val="24"/>
        </w:rPr>
        <w:t xml:space="preserve">Комментарии. </w:t>
      </w:r>
      <w:r w:rsidRPr="001A12F4">
        <w:rPr>
          <w:rStyle w:val="ac"/>
          <w:rFonts w:eastAsiaTheme="majorEastAsia"/>
          <w:i/>
          <w:iCs/>
          <w:sz w:val="24"/>
          <w:szCs w:val="24"/>
        </w:rPr>
        <w:t>Критериями отбора контингента больных для телемониторинга АД являются: а) плохо контролируемая АГ любого генеза; б) необходимость подбора АГТ у пациентов с впервые выявленной АГ; в) наличие клинических показаний для ДМАД ((в том числе активного мониторинга АД при помощи дистанционных технологий) (</w:t>
      </w:r>
      <w:r w:rsidR="008A2AFD" w:rsidRPr="001A12F4">
        <w:rPr>
          <w:rStyle w:val="ac"/>
          <w:rFonts w:eastAsiaTheme="majorEastAsia"/>
          <w:i/>
          <w:iCs/>
          <w:sz w:val="24"/>
          <w:szCs w:val="24"/>
        </w:rPr>
        <w:t>т</w:t>
      </w:r>
      <w:r w:rsidRPr="001A12F4">
        <w:rPr>
          <w:rStyle w:val="ac"/>
          <w:rFonts w:eastAsiaTheme="majorEastAsia"/>
          <w:i/>
          <w:iCs/>
          <w:sz w:val="24"/>
          <w:szCs w:val="24"/>
        </w:rPr>
        <w:t>аблица П10</w:t>
      </w:r>
      <w:r w:rsidR="008A2AFD" w:rsidRPr="001A12F4">
        <w:rPr>
          <w:rStyle w:val="ac"/>
          <w:rFonts w:eastAsiaTheme="majorEastAsia"/>
          <w:i/>
          <w:iCs/>
          <w:sz w:val="24"/>
          <w:szCs w:val="24"/>
        </w:rPr>
        <w:t xml:space="preserve"> Приложения </w:t>
      </w:r>
      <w:r w:rsidR="00FB33EA" w:rsidRPr="001A12F4">
        <w:rPr>
          <w:rStyle w:val="ac"/>
          <w:rFonts w:eastAsiaTheme="majorEastAsia"/>
          <w:i/>
          <w:iCs/>
          <w:sz w:val="24"/>
          <w:szCs w:val="24"/>
        </w:rPr>
        <w:t>А2</w:t>
      </w:r>
      <w:r w:rsidR="008A2AFD" w:rsidRPr="001A12F4">
        <w:rPr>
          <w:rStyle w:val="ac"/>
          <w:rFonts w:eastAsiaTheme="majorEastAsia"/>
          <w:i/>
          <w:iCs/>
          <w:sz w:val="24"/>
          <w:szCs w:val="24"/>
        </w:rPr>
        <w:t xml:space="preserve"> к настоящим Клиническим рекомендациям</w:t>
      </w:r>
      <w:r w:rsidRPr="001A12F4">
        <w:rPr>
          <w:rStyle w:val="ac"/>
          <w:rFonts w:eastAsiaTheme="majorEastAsia"/>
          <w:i/>
          <w:iCs/>
          <w:sz w:val="24"/>
          <w:szCs w:val="24"/>
        </w:rPr>
        <w:t>); г) высокий, очень высокий и экстремальный риск развития сердечно-сосудистых осложнений согласно шкале оценки глобального (суммарного) 10-летнего сердечно-сосудистого риска у пациентов с АГ (</w:t>
      </w:r>
      <w:r w:rsidR="008A2AFD" w:rsidRPr="001A12F4">
        <w:rPr>
          <w:rStyle w:val="ac"/>
          <w:rFonts w:eastAsiaTheme="majorEastAsia"/>
          <w:i/>
          <w:iCs/>
          <w:sz w:val="24"/>
          <w:szCs w:val="24"/>
        </w:rPr>
        <w:t>т</w:t>
      </w:r>
      <w:r w:rsidRPr="001A12F4">
        <w:rPr>
          <w:rStyle w:val="ac"/>
          <w:rFonts w:eastAsiaTheme="majorEastAsia"/>
          <w:i/>
          <w:iCs/>
          <w:sz w:val="24"/>
          <w:szCs w:val="24"/>
        </w:rPr>
        <w:t>аблица П12</w:t>
      </w:r>
      <w:r w:rsidR="008A2AFD" w:rsidRPr="001A12F4">
        <w:rPr>
          <w:rStyle w:val="ac"/>
          <w:rFonts w:eastAsiaTheme="majorEastAsia"/>
          <w:i/>
          <w:iCs/>
          <w:sz w:val="24"/>
          <w:szCs w:val="24"/>
        </w:rPr>
        <w:t xml:space="preserve"> Приложения А2 к настоящим Клиническим рекомендациям</w:t>
      </w:r>
      <w:r w:rsidRPr="001A12F4">
        <w:rPr>
          <w:rStyle w:val="ac"/>
          <w:rFonts w:eastAsiaTheme="majorEastAsia"/>
          <w:i/>
          <w:iCs/>
          <w:sz w:val="24"/>
          <w:szCs w:val="24"/>
        </w:rPr>
        <w:t>).</w:t>
      </w:r>
    </w:p>
    <w:p w14:paraId="7C7657B0" w14:textId="77777777" w:rsidR="00CB781F" w:rsidRPr="001A12F4" w:rsidRDefault="00CB781F">
      <w:pPr>
        <w:pStyle w:val="11"/>
        <w:numPr>
          <w:ilvl w:val="0"/>
          <w:numId w:val="37"/>
        </w:numPr>
        <w:tabs>
          <w:tab w:val="left" w:pos="1373"/>
        </w:tabs>
        <w:ind w:firstLine="600"/>
        <w:jc w:val="both"/>
        <w:rPr>
          <w:sz w:val="24"/>
          <w:szCs w:val="24"/>
        </w:rPr>
      </w:pPr>
      <w:r w:rsidRPr="001A12F4">
        <w:rPr>
          <w:rStyle w:val="ac"/>
          <w:rFonts w:eastAsiaTheme="majorEastAsia"/>
          <w:sz w:val="24"/>
          <w:szCs w:val="24"/>
        </w:rPr>
        <w:t>Рекомендуется при динамическом наблюдении особое внимание уделять</w:t>
      </w:r>
      <w:r w:rsidR="00EC04DD" w:rsidRPr="001A12F4">
        <w:rPr>
          <w:sz w:val="24"/>
          <w:szCs w:val="24"/>
        </w:rPr>
        <w:t xml:space="preserve"> </w:t>
      </w:r>
      <w:r w:rsidRPr="001A12F4">
        <w:rPr>
          <w:rStyle w:val="ac"/>
          <w:rFonts w:eastAsiaTheme="majorEastAsia"/>
          <w:sz w:val="24"/>
          <w:szCs w:val="24"/>
        </w:rPr>
        <w:t>показателям АД в ночные часы (особенно у пациентов с метаболическим синдромом (МС), сахарным диабетом (СД), синдромом обструктивного апноэ во время сна (СОАС), хронической болезнью почек (ХБП) 3-5-й ст.) и ранние утренние часы с целью снижения риска таких осложнений, как ИМ, инсульт [27, 38, 39].</w:t>
      </w:r>
    </w:p>
    <w:p w14:paraId="630EEFAD" w14:textId="57B3D013" w:rsidR="00EC04DD" w:rsidRDefault="00CB781F" w:rsidP="00EC04DD">
      <w:pPr>
        <w:pStyle w:val="11"/>
        <w:ind w:firstLine="600"/>
        <w:jc w:val="both"/>
        <w:rPr>
          <w:rStyle w:val="ac"/>
          <w:rFonts w:eastAsiaTheme="majorEastAsia"/>
          <w:b/>
          <w:bCs/>
          <w:sz w:val="24"/>
          <w:szCs w:val="24"/>
        </w:rPr>
      </w:pPr>
      <w:bookmarkStart w:id="69" w:name="bookmark52"/>
      <w:r w:rsidRPr="00EC04DD">
        <w:rPr>
          <w:rStyle w:val="ac"/>
          <w:rFonts w:eastAsiaTheme="majorEastAsia"/>
          <w:b/>
          <w:bCs/>
          <w:sz w:val="24"/>
          <w:szCs w:val="24"/>
        </w:rPr>
        <w:lastRenderedPageBreak/>
        <w:t xml:space="preserve"> </w:t>
      </w:r>
      <w:r w:rsidR="003D51B3">
        <w:rPr>
          <w:rStyle w:val="ac"/>
          <w:rFonts w:eastAsiaTheme="majorEastAsia"/>
          <w:b/>
          <w:bCs/>
          <w:sz w:val="24"/>
          <w:szCs w:val="24"/>
        </w:rPr>
        <w:t>Уровень убедительности рекомендаций</w:t>
      </w:r>
      <w:r w:rsidR="00864E15">
        <w:rPr>
          <w:rStyle w:val="ac"/>
          <w:rFonts w:eastAsiaTheme="majorEastAsia"/>
          <w:b/>
          <w:bCs/>
          <w:sz w:val="24"/>
          <w:szCs w:val="24"/>
        </w:rPr>
        <w:t xml:space="preserve"> </w:t>
      </w:r>
      <w:r w:rsidRPr="00EC04DD">
        <w:rPr>
          <w:rStyle w:val="ac"/>
          <w:rFonts w:eastAsiaTheme="majorEastAsia"/>
          <w:b/>
          <w:bCs/>
          <w:sz w:val="24"/>
          <w:szCs w:val="24"/>
        </w:rPr>
        <w:t xml:space="preserve">В, </w:t>
      </w:r>
      <w:r w:rsidR="00864E15" w:rsidRPr="00EC04DD">
        <w:rPr>
          <w:rStyle w:val="ac"/>
          <w:rFonts w:eastAsiaTheme="majorEastAsia"/>
          <w:sz w:val="24"/>
          <w:szCs w:val="24"/>
        </w:rPr>
        <w:t>(</w:t>
      </w:r>
      <w:r w:rsidR="003D51B3">
        <w:rPr>
          <w:rStyle w:val="ac"/>
          <w:rFonts w:eastAsiaTheme="majorEastAsia"/>
          <w:b/>
          <w:bCs/>
          <w:sz w:val="24"/>
          <w:szCs w:val="24"/>
        </w:rPr>
        <w:t>Уровень достоверности доказательств</w:t>
      </w:r>
      <w:r w:rsidRPr="00EC04DD">
        <w:rPr>
          <w:rStyle w:val="ac"/>
          <w:rFonts w:eastAsiaTheme="majorEastAsia"/>
          <w:b/>
          <w:bCs/>
          <w:sz w:val="24"/>
          <w:szCs w:val="24"/>
        </w:rPr>
        <w:t xml:space="preserve"> 2</w:t>
      </w:r>
      <w:bookmarkEnd w:id="69"/>
      <w:r w:rsidR="00027F27">
        <w:rPr>
          <w:rStyle w:val="ac"/>
          <w:rFonts w:eastAsiaTheme="majorEastAsia"/>
          <w:b/>
          <w:bCs/>
          <w:sz w:val="24"/>
          <w:szCs w:val="24"/>
        </w:rPr>
        <w:t>)</w:t>
      </w:r>
      <w:r w:rsidR="00864E15">
        <w:rPr>
          <w:rStyle w:val="ac"/>
          <w:rFonts w:eastAsiaTheme="majorEastAsia"/>
          <w:b/>
          <w:bCs/>
          <w:sz w:val="24"/>
          <w:szCs w:val="24"/>
        </w:rPr>
        <w:t>;</w:t>
      </w:r>
      <w:r w:rsidR="00027F27">
        <w:rPr>
          <w:rStyle w:val="ac"/>
          <w:rFonts w:eastAsiaTheme="majorEastAsia"/>
          <w:b/>
          <w:bCs/>
          <w:sz w:val="24"/>
          <w:szCs w:val="24"/>
        </w:rPr>
        <w:t xml:space="preserve"> </w:t>
      </w:r>
      <w:r w:rsidR="00864E15" w:rsidRPr="00EC04DD">
        <w:rPr>
          <w:rStyle w:val="ac"/>
          <w:rFonts w:eastAsiaTheme="majorEastAsia"/>
          <w:b/>
          <w:bCs/>
          <w:sz w:val="24"/>
          <w:szCs w:val="24"/>
        </w:rPr>
        <w:t>ЕОК/ЕОАГ нет</w:t>
      </w:r>
      <w:r w:rsidR="00027F27">
        <w:rPr>
          <w:rStyle w:val="ac"/>
          <w:rFonts w:eastAsiaTheme="majorEastAsia"/>
          <w:b/>
          <w:bCs/>
          <w:sz w:val="24"/>
          <w:szCs w:val="24"/>
        </w:rPr>
        <w:t>.</w:t>
      </w:r>
    </w:p>
    <w:p w14:paraId="5FF93009" w14:textId="50B213BF" w:rsidR="00864E15" w:rsidRPr="00E44A5B" w:rsidRDefault="00864E15" w:rsidP="00EC04DD">
      <w:pPr>
        <w:pStyle w:val="11"/>
        <w:ind w:firstLine="600"/>
        <w:jc w:val="both"/>
        <w:rPr>
          <w:rStyle w:val="ac"/>
          <w:rFonts w:eastAsiaTheme="majorEastAsia"/>
          <w:b/>
          <w:bCs/>
          <w:i/>
          <w:iCs/>
          <w:sz w:val="28"/>
          <w:szCs w:val="28"/>
        </w:rPr>
      </w:pPr>
      <w:r>
        <w:rPr>
          <w:rStyle w:val="ac"/>
          <w:rFonts w:eastAsiaTheme="majorEastAsia"/>
          <w:b/>
          <w:bCs/>
          <w:sz w:val="24"/>
          <w:szCs w:val="24"/>
        </w:rPr>
        <w:t xml:space="preserve">Комментарии: </w:t>
      </w:r>
      <w:r w:rsidRPr="00E44A5B">
        <w:rPr>
          <w:i/>
          <w:iCs/>
          <w:sz w:val="24"/>
          <w:szCs w:val="24"/>
        </w:rPr>
        <w:t>нарушение нормального суточного ритма АД, в частности отсутствие или снижение ночного снижения давления (нон-дапер), ассоциируется с повышенным риском инфаркта миокарда (ИМ), инсульта и других сердечно-сосудистых осложнений.</w:t>
      </w:r>
    </w:p>
    <w:p w14:paraId="4F0D99B0" w14:textId="77777777" w:rsidR="00CB781F" w:rsidRPr="00EC04DD" w:rsidRDefault="00EC04DD" w:rsidP="00C10BEC">
      <w:pPr>
        <w:pStyle w:val="11"/>
        <w:ind w:firstLine="0"/>
        <w:jc w:val="center"/>
        <w:outlineLvl w:val="0"/>
        <w:rPr>
          <w:rFonts w:eastAsiaTheme="majorEastAsia"/>
          <w:b/>
          <w:bCs/>
          <w:sz w:val="28"/>
          <w:szCs w:val="28"/>
        </w:rPr>
      </w:pPr>
      <w:bookmarkStart w:id="70" w:name="_Toc202877446"/>
      <w:r w:rsidRPr="00EC04DD">
        <w:rPr>
          <w:rStyle w:val="ac"/>
          <w:rFonts w:eastAsiaTheme="majorEastAsia"/>
          <w:b/>
          <w:bCs/>
          <w:sz w:val="28"/>
          <w:szCs w:val="28"/>
        </w:rPr>
        <w:t>6.</w:t>
      </w:r>
      <w:r w:rsidR="00CB781F" w:rsidRPr="00EC04DD">
        <w:rPr>
          <w:rStyle w:val="ac"/>
          <w:rFonts w:eastAsiaTheme="majorEastAsia"/>
          <w:b/>
          <w:bCs/>
          <w:sz w:val="28"/>
          <w:szCs w:val="28"/>
        </w:rPr>
        <w:t>Организация медицинской помощи</w:t>
      </w:r>
      <w:bookmarkEnd w:id="70"/>
    </w:p>
    <w:p w14:paraId="57CDC69C" w14:textId="77777777" w:rsidR="00CB781F" w:rsidRPr="0099489E" w:rsidRDefault="00CB781F" w:rsidP="0099489E">
      <w:pPr>
        <w:pStyle w:val="11"/>
        <w:tabs>
          <w:tab w:val="left" w:pos="0"/>
        </w:tabs>
        <w:ind w:firstLine="0"/>
        <w:jc w:val="center"/>
        <w:rPr>
          <w:sz w:val="24"/>
          <w:szCs w:val="24"/>
        </w:rPr>
      </w:pPr>
      <w:bookmarkStart w:id="71" w:name="bookmark53"/>
      <w:r w:rsidRPr="0099489E">
        <w:rPr>
          <w:rStyle w:val="ac"/>
          <w:rFonts w:eastAsiaTheme="majorEastAsia"/>
          <w:b/>
          <w:bCs/>
          <w:sz w:val="24"/>
          <w:szCs w:val="24"/>
        </w:rPr>
        <w:t>Показания для плановой госпитализации:</w:t>
      </w:r>
      <w:bookmarkEnd w:id="71"/>
    </w:p>
    <w:p w14:paraId="0C492811" w14:textId="77777777" w:rsidR="00CB781F" w:rsidRPr="003A7819" w:rsidRDefault="00CB781F">
      <w:pPr>
        <w:pStyle w:val="11"/>
        <w:numPr>
          <w:ilvl w:val="0"/>
          <w:numId w:val="38"/>
        </w:numPr>
        <w:tabs>
          <w:tab w:val="left" w:pos="1266"/>
        </w:tabs>
        <w:ind w:firstLine="0"/>
        <w:jc w:val="both"/>
        <w:rPr>
          <w:sz w:val="24"/>
          <w:szCs w:val="24"/>
        </w:rPr>
      </w:pPr>
      <w:r w:rsidRPr="003A7819">
        <w:rPr>
          <w:rStyle w:val="ac"/>
          <w:rFonts w:eastAsiaTheme="majorEastAsia"/>
          <w:sz w:val="24"/>
          <w:szCs w:val="24"/>
        </w:rPr>
        <w:t>неясность диагноза и необходимость в специальных методах исследования</w:t>
      </w:r>
      <w:r w:rsidR="003A7819">
        <w:rPr>
          <w:sz w:val="24"/>
          <w:szCs w:val="24"/>
        </w:rPr>
        <w:t xml:space="preserve"> </w:t>
      </w:r>
      <w:r w:rsidRPr="003A7819">
        <w:rPr>
          <w:rStyle w:val="ac"/>
          <w:rFonts w:eastAsiaTheme="majorEastAsia"/>
          <w:sz w:val="24"/>
          <w:szCs w:val="24"/>
        </w:rPr>
        <w:t>(использование диагностических процедур, проведение которых невозможно или нецелесообразно в условиях поликлиники) для уточнения причины повышения АД (исключение симптоматических АГ);</w:t>
      </w:r>
    </w:p>
    <w:p w14:paraId="31449763" w14:textId="42411E31" w:rsidR="00CB781F" w:rsidRPr="0043550C" w:rsidRDefault="00CB781F" w:rsidP="00B03386">
      <w:pPr>
        <w:pStyle w:val="11"/>
        <w:numPr>
          <w:ilvl w:val="0"/>
          <w:numId w:val="38"/>
        </w:numPr>
        <w:tabs>
          <w:tab w:val="left" w:pos="1266"/>
        </w:tabs>
        <w:ind w:firstLine="0"/>
        <w:jc w:val="both"/>
        <w:rPr>
          <w:sz w:val="24"/>
          <w:szCs w:val="24"/>
        </w:rPr>
      </w:pPr>
      <w:r w:rsidRPr="0043550C">
        <w:rPr>
          <w:rStyle w:val="ac"/>
          <w:rFonts w:eastAsiaTheme="majorEastAsia"/>
          <w:sz w:val="24"/>
          <w:szCs w:val="24"/>
        </w:rPr>
        <w:t>трудности в подборе медикаментозной терапии (сочетанная патология,</w:t>
      </w:r>
      <w:r w:rsidR="0043550C">
        <w:rPr>
          <w:sz w:val="24"/>
          <w:szCs w:val="24"/>
        </w:rPr>
        <w:t xml:space="preserve"> </w:t>
      </w:r>
      <w:r w:rsidRPr="0043550C">
        <w:rPr>
          <w:rStyle w:val="ac"/>
          <w:rFonts w:eastAsiaTheme="majorEastAsia"/>
          <w:sz w:val="24"/>
          <w:szCs w:val="24"/>
        </w:rPr>
        <w:t>повторяющиеся гипертонические кризы несмотря на проводимую АГТ);</w:t>
      </w:r>
    </w:p>
    <w:p w14:paraId="2F707D05" w14:textId="77777777" w:rsidR="00CB781F" w:rsidRPr="0099489E" w:rsidRDefault="00CB781F">
      <w:pPr>
        <w:pStyle w:val="11"/>
        <w:numPr>
          <w:ilvl w:val="0"/>
          <w:numId w:val="38"/>
        </w:numPr>
        <w:tabs>
          <w:tab w:val="left" w:pos="1266"/>
        </w:tabs>
        <w:ind w:firstLine="580"/>
        <w:jc w:val="both"/>
        <w:rPr>
          <w:sz w:val="24"/>
          <w:szCs w:val="24"/>
        </w:rPr>
      </w:pPr>
      <w:r w:rsidRPr="0099489E">
        <w:rPr>
          <w:rStyle w:val="ac"/>
          <w:rFonts w:eastAsiaTheme="majorEastAsia"/>
          <w:sz w:val="24"/>
          <w:szCs w:val="24"/>
        </w:rPr>
        <w:t>резистентная АГ.</w:t>
      </w:r>
    </w:p>
    <w:p w14:paraId="0978EA4F" w14:textId="77777777" w:rsidR="00CB781F" w:rsidRPr="0099489E" w:rsidRDefault="00CB781F" w:rsidP="0099489E">
      <w:pPr>
        <w:pStyle w:val="11"/>
        <w:tabs>
          <w:tab w:val="left" w:pos="1121"/>
        </w:tabs>
        <w:ind w:firstLine="0"/>
        <w:jc w:val="center"/>
        <w:rPr>
          <w:sz w:val="24"/>
          <w:szCs w:val="24"/>
        </w:rPr>
      </w:pPr>
      <w:bookmarkStart w:id="72" w:name="bookmark54"/>
      <w:r w:rsidRPr="0099489E">
        <w:rPr>
          <w:rStyle w:val="ac"/>
          <w:rFonts w:eastAsiaTheme="majorEastAsia"/>
          <w:b/>
          <w:bCs/>
          <w:sz w:val="24"/>
          <w:szCs w:val="24"/>
        </w:rPr>
        <w:t>Показания для экстренной госпитализации:</w:t>
      </w:r>
      <w:bookmarkEnd w:id="72"/>
    </w:p>
    <w:p w14:paraId="0125E6B2" w14:textId="77777777" w:rsidR="00E97894" w:rsidRPr="00E97894" w:rsidRDefault="00CB781F">
      <w:pPr>
        <w:pStyle w:val="11"/>
        <w:numPr>
          <w:ilvl w:val="0"/>
          <w:numId w:val="39"/>
        </w:numPr>
        <w:tabs>
          <w:tab w:val="left" w:pos="1266"/>
        </w:tabs>
        <w:ind w:firstLine="580"/>
        <w:jc w:val="both"/>
        <w:rPr>
          <w:rStyle w:val="ac"/>
          <w:sz w:val="24"/>
          <w:szCs w:val="24"/>
        </w:rPr>
      </w:pPr>
      <w:r w:rsidRPr="0099489E">
        <w:rPr>
          <w:rStyle w:val="ac"/>
          <w:rFonts w:eastAsiaTheme="majorEastAsia"/>
          <w:sz w:val="24"/>
          <w:szCs w:val="24"/>
        </w:rPr>
        <w:t>гипертонический криз, не купирующийся на догоспитальном этапе</w:t>
      </w:r>
      <w:r w:rsidR="00E97894">
        <w:rPr>
          <w:rStyle w:val="ac"/>
          <w:rFonts w:eastAsiaTheme="majorEastAsia"/>
          <w:sz w:val="24"/>
          <w:szCs w:val="24"/>
        </w:rPr>
        <w:t xml:space="preserve"> </w:t>
      </w:r>
    </w:p>
    <w:p w14:paraId="260FD976" w14:textId="6BD3B03F" w:rsidR="00E97894" w:rsidRPr="00286FAA" w:rsidRDefault="00E97894" w:rsidP="00E97894">
      <w:pPr>
        <w:pStyle w:val="11"/>
        <w:tabs>
          <w:tab w:val="left" w:pos="1121"/>
        </w:tabs>
        <w:ind w:left="400" w:firstLine="0"/>
        <w:jc w:val="both"/>
        <w:rPr>
          <w:rFonts w:eastAsiaTheme="majorEastAsia"/>
          <w:b/>
          <w:bCs/>
          <w:sz w:val="24"/>
          <w:szCs w:val="24"/>
        </w:rPr>
      </w:pPr>
      <w:r w:rsidRPr="00286FAA">
        <w:rPr>
          <w:rStyle w:val="ac"/>
          <w:rFonts w:eastAsiaTheme="majorEastAsia"/>
          <w:sz w:val="24"/>
          <w:szCs w:val="24"/>
        </w:rPr>
        <w:t xml:space="preserve">(Невозможность достижения целевых цифр при значительном повышении АД на догоспитальном этапе </w:t>
      </w:r>
      <w:r w:rsidRPr="00286FAA">
        <w:rPr>
          <w:rStyle w:val="ac"/>
          <w:rFonts w:eastAsiaTheme="majorEastAsia"/>
          <w:vanish/>
          <w:sz w:val="24"/>
          <w:szCs w:val="24"/>
        </w:rPr>
        <w:t xml:space="preserve"> острое нарушение функции почекПОМ</w:t>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vanish/>
          <w:sz w:val="24"/>
          <w:szCs w:val="24"/>
        </w:rPr>
        <w:pgNum/>
      </w:r>
      <w:r w:rsidRPr="00286FAA">
        <w:rPr>
          <w:rStyle w:val="ac"/>
          <w:rFonts w:eastAsiaTheme="majorEastAsia"/>
          <w:sz w:val="24"/>
          <w:szCs w:val="24"/>
        </w:rPr>
        <w:t>);</w:t>
      </w:r>
    </w:p>
    <w:p w14:paraId="62E74C2E" w14:textId="5584C5D9" w:rsidR="00693C9D" w:rsidRPr="00693C9D" w:rsidRDefault="00CB781F" w:rsidP="00693C9D">
      <w:pPr>
        <w:pStyle w:val="11"/>
        <w:numPr>
          <w:ilvl w:val="0"/>
          <w:numId w:val="39"/>
        </w:numPr>
        <w:tabs>
          <w:tab w:val="left" w:pos="1266"/>
        </w:tabs>
        <w:ind w:firstLine="580"/>
        <w:jc w:val="both"/>
        <w:rPr>
          <w:sz w:val="24"/>
          <w:szCs w:val="24"/>
        </w:rPr>
      </w:pPr>
      <w:r w:rsidRPr="0099489E">
        <w:rPr>
          <w:rStyle w:val="ac"/>
          <w:rFonts w:eastAsiaTheme="majorEastAsia"/>
          <w:sz w:val="24"/>
          <w:szCs w:val="24"/>
        </w:rPr>
        <w:t xml:space="preserve">гипертонический криз при </w:t>
      </w:r>
      <w:r w:rsidR="007102E1" w:rsidRPr="0099489E">
        <w:rPr>
          <w:rStyle w:val="ac"/>
          <w:rFonts w:eastAsiaTheme="majorEastAsia"/>
          <w:sz w:val="24"/>
          <w:szCs w:val="24"/>
        </w:rPr>
        <w:t>феохромоцитоме</w:t>
      </w:r>
      <w:r w:rsidR="007102E1">
        <w:rPr>
          <w:rStyle w:val="ac"/>
          <w:rFonts w:eastAsiaTheme="majorEastAsia"/>
          <w:sz w:val="24"/>
          <w:szCs w:val="24"/>
        </w:rPr>
        <w:t xml:space="preserve"> (</w:t>
      </w:r>
      <w:r w:rsidR="00693C9D" w:rsidRPr="00693C9D">
        <w:rPr>
          <w:sz w:val="24"/>
          <w:szCs w:val="24"/>
        </w:rPr>
        <w:t>Резкое повышение АД при феохромоцитоме, ассоциированное с ПОМ</w:t>
      </w:r>
      <w:r w:rsidR="0043550C">
        <w:rPr>
          <w:sz w:val="24"/>
          <w:szCs w:val="24"/>
        </w:rPr>
        <w:t>);</w:t>
      </w:r>
    </w:p>
    <w:p w14:paraId="7033B6FB" w14:textId="696A0727" w:rsidR="00CB781F" w:rsidRPr="00693C9D" w:rsidRDefault="00CB781F" w:rsidP="00693C9D">
      <w:pPr>
        <w:pStyle w:val="11"/>
        <w:numPr>
          <w:ilvl w:val="0"/>
          <w:numId w:val="39"/>
        </w:numPr>
        <w:tabs>
          <w:tab w:val="left" w:pos="1266"/>
        </w:tabs>
        <w:ind w:firstLine="580"/>
        <w:jc w:val="both"/>
        <w:rPr>
          <w:rStyle w:val="ac"/>
          <w:sz w:val="24"/>
          <w:szCs w:val="24"/>
        </w:rPr>
      </w:pPr>
      <w:r w:rsidRPr="0099489E">
        <w:rPr>
          <w:rStyle w:val="ac"/>
          <w:rFonts w:eastAsiaTheme="majorEastAsia"/>
          <w:sz w:val="24"/>
          <w:szCs w:val="24"/>
        </w:rPr>
        <w:t>гипертонический криз с выраженными явлениями гипертонической энцефалопатии</w:t>
      </w:r>
      <w:r w:rsidR="00693C9D" w:rsidRPr="00693C9D">
        <w:t xml:space="preserve"> </w:t>
      </w:r>
      <w:r w:rsidR="00693C9D">
        <w:t>(Тяжелая АГ у беременных, преэклампсия</w:t>
      </w:r>
      <w:r w:rsidR="004B1151">
        <w:t>)</w:t>
      </w:r>
      <w:r w:rsidR="004B1151">
        <w:rPr>
          <w:sz w:val="24"/>
          <w:szCs w:val="24"/>
        </w:rPr>
        <w:t>;</w:t>
      </w:r>
    </w:p>
    <w:p w14:paraId="2FB2070E" w14:textId="73E102B3" w:rsidR="00286FAA" w:rsidRPr="004B1151" w:rsidRDefault="00CB781F" w:rsidP="004B1151">
      <w:pPr>
        <w:pStyle w:val="11"/>
        <w:numPr>
          <w:ilvl w:val="0"/>
          <w:numId w:val="39"/>
        </w:numPr>
        <w:tabs>
          <w:tab w:val="left" w:pos="1294"/>
        </w:tabs>
        <w:ind w:firstLine="600"/>
        <w:jc w:val="both"/>
        <w:rPr>
          <w:sz w:val="24"/>
          <w:szCs w:val="24"/>
        </w:rPr>
      </w:pPr>
      <w:r w:rsidRPr="0099489E">
        <w:rPr>
          <w:rStyle w:val="ac"/>
          <w:rFonts w:eastAsiaTheme="majorEastAsia"/>
          <w:sz w:val="24"/>
          <w:szCs w:val="24"/>
        </w:rPr>
        <w:t>осложнения АГ, требующие интенсивной терапии:</w:t>
      </w:r>
      <w:r w:rsidR="00286FAA" w:rsidRPr="0099489E">
        <w:rPr>
          <w:rStyle w:val="ac"/>
          <w:rFonts w:eastAsiaTheme="majorEastAsia"/>
          <w:sz w:val="24"/>
          <w:szCs w:val="24"/>
        </w:rPr>
        <w:t xml:space="preserve"> </w:t>
      </w:r>
      <w:r w:rsidRPr="0099489E">
        <w:rPr>
          <w:rStyle w:val="ac"/>
          <w:rFonts w:eastAsiaTheme="majorEastAsia"/>
          <w:sz w:val="24"/>
          <w:szCs w:val="24"/>
        </w:rPr>
        <w:t>инсульт, ОКС,</w:t>
      </w:r>
      <w:r w:rsidR="0099489E">
        <w:rPr>
          <w:sz w:val="24"/>
          <w:szCs w:val="24"/>
        </w:rPr>
        <w:t xml:space="preserve"> </w:t>
      </w:r>
      <w:r w:rsidRPr="0099489E">
        <w:rPr>
          <w:rStyle w:val="ac"/>
          <w:rFonts w:eastAsiaTheme="majorEastAsia"/>
          <w:sz w:val="24"/>
          <w:szCs w:val="24"/>
        </w:rPr>
        <w:t>субарахноидальное кровоизлияние, острые нарушения зрения, отек легких, расслоение аорты, почечная недостаточность, эклампсия и тяжелая преэклампсия</w:t>
      </w:r>
      <w:r w:rsidR="004B1151">
        <w:rPr>
          <w:rStyle w:val="ac"/>
          <w:rFonts w:eastAsiaTheme="majorEastAsia"/>
          <w:sz w:val="24"/>
          <w:szCs w:val="24"/>
        </w:rPr>
        <w:t xml:space="preserve"> (т</w:t>
      </w:r>
      <w:r w:rsidR="004B1151" w:rsidRPr="004B1151">
        <w:rPr>
          <w:rStyle w:val="ac"/>
          <w:rFonts w:eastAsiaTheme="majorEastAsia"/>
          <w:sz w:val="24"/>
          <w:szCs w:val="24"/>
        </w:rPr>
        <w:t>яжелая АГ, ассоциированная с клиническими состояниями,</w:t>
      </w:r>
      <w:r w:rsidR="004B1151" w:rsidRPr="004B1151">
        <w:rPr>
          <w:sz w:val="24"/>
          <w:szCs w:val="24"/>
        </w:rPr>
        <w:t xml:space="preserve"> </w:t>
      </w:r>
      <w:r w:rsidR="004B1151" w:rsidRPr="004B1151">
        <w:rPr>
          <w:rStyle w:val="ac"/>
          <w:rFonts w:eastAsiaTheme="majorEastAsia"/>
          <w:sz w:val="24"/>
          <w:szCs w:val="24"/>
        </w:rPr>
        <w:t>требующими неотложного снижения АД и интенсивной терапии: расслоение аорты, острая ишемия миокарда, ОСН, инсульт, острое нарушение зрения, острое нарушение функции почек</w:t>
      </w:r>
      <w:r w:rsidR="0043550C">
        <w:rPr>
          <w:rStyle w:val="ac"/>
          <w:rFonts w:eastAsiaTheme="majorEastAsia"/>
          <w:sz w:val="24"/>
          <w:szCs w:val="24"/>
        </w:rPr>
        <w:t>)</w:t>
      </w:r>
      <w:r w:rsidR="004B1151">
        <w:rPr>
          <w:rStyle w:val="ac"/>
          <w:rFonts w:eastAsiaTheme="majorEastAsia"/>
          <w:sz w:val="24"/>
          <w:szCs w:val="24"/>
        </w:rPr>
        <w:t>;</w:t>
      </w:r>
    </w:p>
    <w:p w14:paraId="0CB3DA19" w14:textId="77777777" w:rsidR="00CB781F" w:rsidRPr="0099489E" w:rsidRDefault="00CB781F" w:rsidP="0099489E">
      <w:pPr>
        <w:pStyle w:val="11"/>
        <w:tabs>
          <w:tab w:val="left" w:pos="1121"/>
        </w:tabs>
        <w:ind w:firstLine="0"/>
        <w:jc w:val="center"/>
        <w:rPr>
          <w:sz w:val="24"/>
          <w:szCs w:val="24"/>
        </w:rPr>
      </w:pPr>
      <w:bookmarkStart w:id="73" w:name="bookmark55"/>
      <w:r w:rsidRPr="0099489E">
        <w:rPr>
          <w:rStyle w:val="ac"/>
          <w:rFonts w:eastAsiaTheme="majorEastAsia"/>
          <w:b/>
          <w:bCs/>
          <w:sz w:val="24"/>
          <w:szCs w:val="24"/>
        </w:rPr>
        <w:t>Показания к выписке пациента из стационара:</w:t>
      </w:r>
      <w:bookmarkEnd w:id="73"/>
    </w:p>
    <w:p w14:paraId="6AC29831" w14:textId="77777777" w:rsidR="00CB781F" w:rsidRPr="0099489E" w:rsidRDefault="00CB781F">
      <w:pPr>
        <w:pStyle w:val="11"/>
        <w:numPr>
          <w:ilvl w:val="0"/>
          <w:numId w:val="40"/>
        </w:numPr>
        <w:tabs>
          <w:tab w:val="left" w:pos="1266"/>
        </w:tabs>
        <w:ind w:firstLine="580"/>
        <w:jc w:val="both"/>
        <w:rPr>
          <w:sz w:val="24"/>
          <w:szCs w:val="24"/>
        </w:rPr>
      </w:pPr>
      <w:r w:rsidRPr="0099489E">
        <w:rPr>
          <w:rStyle w:val="ac"/>
          <w:rFonts w:eastAsiaTheme="majorEastAsia"/>
          <w:sz w:val="24"/>
          <w:szCs w:val="24"/>
        </w:rPr>
        <w:t>установленный диагноз симптоматической АГ или ГБ с использованием</w:t>
      </w:r>
    </w:p>
    <w:p w14:paraId="465588F6" w14:textId="77777777" w:rsidR="00CB781F" w:rsidRPr="0099489E" w:rsidRDefault="00CB781F" w:rsidP="0099489E">
      <w:pPr>
        <w:pStyle w:val="11"/>
        <w:ind w:firstLine="0"/>
        <w:jc w:val="both"/>
        <w:rPr>
          <w:sz w:val="24"/>
          <w:szCs w:val="24"/>
        </w:rPr>
      </w:pPr>
      <w:r w:rsidRPr="0099489E">
        <w:rPr>
          <w:rStyle w:val="ac"/>
          <w:rFonts w:eastAsiaTheme="majorEastAsia"/>
          <w:sz w:val="24"/>
          <w:szCs w:val="24"/>
        </w:rPr>
        <w:t>специальных методов исследования при уточнении причины повышения АД;</w:t>
      </w:r>
    </w:p>
    <w:p w14:paraId="5A741431" w14:textId="77777777" w:rsidR="00CB781F" w:rsidRPr="0099489E" w:rsidRDefault="00CB781F">
      <w:pPr>
        <w:pStyle w:val="11"/>
        <w:numPr>
          <w:ilvl w:val="0"/>
          <w:numId w:val="40"/>
        </w:numPr>
        <w:tabs>
          <w:tab w:val="left" w:pos="1266"/>
        </w:tabs>
        <w:ind w:firstLine="580"/>
        <w:jc w:val="both"/>
        <w:rPr>
          <w:sz w:val="24"/>
          <w:szCs w:val="24"/>
        </w:rPr>
      </w:pPr>
      <w:r w:rsidRPr="0099489E">
        <w:rPr>
          <w:rStyle w:val="ac"/>
          <w:rFonts w:eastAsiaTheme="majorEastAsia"/>
          <w:sz w:val="24"/>
          <w:szCs w:val="24"/>
        </w:rPr>
        <w:t>подобранная медикаментозная терапия при сочетанной патологии и/или отсутствии</w:t>
      </w:r>
      <w:r w:rsidR="0099489E">
        <w:rPr>
          <w:sz w:val="24"/>
          <w:szCs w:val="24"/>
        </w:rPr>
        <w:t xml:space="preserve"> </w:t>
      </w:r>
      <w:r w:rsidRPr="0099489E">
        <w:rPr>
          <w:rStyle w:val="ac"/>
          <w:rFonts w:eastAsiaTheme="majorEastAsia"/>
          <w:sz w:val="24"/>
          <w:szCs w:val="24"/>
        </w:rPr>
        <w:t xml:space="preserve">достижения целевого уровня АД или снижение АД на 25–30% от исходных </w:t>
      </w:r>
      <w:r w:rsidRPr="0099489E">
        <w:rPr>
          <w:rStyle w:val="ac"/>
          <w:rFonts w:eastAsiaTheme="majorEastAsia"/>
          <w:sz w:val="24"/>
          <w:szCs w:val="24"/>
        </w:rPr>
        <w:lastRenderedPageBreak/>
        <w:t>значений на момент выписки из стационара;</w:t>
      </w:r>
    </w:p>
    <w:p w14:paraId="323778F0" w14:textId="77777777" w:rsidR="00CB781F" w:rsidRPr="0099489E" w:rsidRDefault="00CB781F">
      <w:pPr>
        <w:pStyle w:val="11"/>
        <w:numPr>
          <w:ilvl w:val="0"/>
          <w:numId w:val="40"/>
        </w:numPr>
        <w:tabs>
          <w:tab w:val="left" w:pos="1266"/>
        </w:tabs>
        <w:ind w:firstLine="580"/>
        <w:jc w:val="both"/>
        <w:rPr>
          <w:sz w:val="24"/>
          <w:szCs w:val="24"/>
        </w:rPr>
      </w:pPr>
      <w:r w:rsidRPr="0099489E">
        <w:rPr>
          <w:rStyle w:val="ac"/>
          <w:rFonts w:eastAsiaTheme="majorEastAsia"/>
          <w:sz w:val="24"/>
          <w:szCs w:val="24"/>
        </w:rPr>
        <w:t>купированный гипертонический криз, отсутствие осложнений, требующих</w:t>
      </w:r>
    </w:p>
    <w:p w14:paraId="15276090" w14:textId="77777777" w:rsidR="0099489E" w:rsidRDefault="00CB781F" w:rsidP="0099489E">
      <w:pPr>
        <w:pStyle w:val="11"/>
        <w:ind w:firstLine="0"/>
        <w:jc w:val="both"/>
        <w:rPr>
          <w:sz w:val="24"/>
          <w:szCs w:val="24"/>
        </w:rPr>
      </w:pPr>
      <w:r w:rsidRPr="0099489E">
        <w:rPr>
          <w:rStyle w:val="ac"/>
          <w:rFonts w:eastAsiaTheme="majorEastAsia"/>
          <w:sz w:val="24"/>
          <w:szCs w:val="24"/>
        </w:rPr>
        <w:t>интенсивной терапии, стабилизация уровня АД.</w:t>
      </w:r>
    </w:p>
    <w:p w14:paraId="22B031D5" w14:textId="77777777" w:rsidR="00CB781F" w:rsidRPr="0099489E" w:rsidRDefault="00CB781F" w:rsidP="0099489E">
      <w:pPr>
        <w:pStyle w:val="11"/>
        <w:ind w:firstLine="0"/>
        <w:jc w:val="center"/>
        <w:rPr>
          <w:sz w:val="24"/>
          <w:szCs w:val="24"/>
        </w:rPr>
      </w:pPr>
      <w:r w:rsidRPr="0099489E">
        <w:rPr>
          <w:rStyle w:val="ac"/>
          <w:rFonts w:eastAsiaTheme="majorEastAsia"/>
          <w:b/>
          <w:bCs/>
          <w:sz w:val="24"/>
          <w:szCs w:val="24"/>
        </w:rPr>
        <w:t>Иные организационные технологии</w:t>
      </w:r>
    </w:p>
    <w:p w14:paraId="5C7470B9" w14:textId="77777777" w:rsidR="0099489E" w:rsidRDefault="00CB781F" w:rsidP="0099489E">
      <w:pPr>
        <w:pStyle w:val="11"/>
        <w:ind w:firstLine="580"/>
        <w:jc w:val="both"/>
        <w:rPr>
          <w:sz w:val="24"/>
          <w:szCs w:val="24"/>
        </w:rPr>
      </w:pPr>
      <w:r w:rsidRPr="0099489E">
        <w:rPr>
          <w:rStyle w:val="ac"/>
          <w:rFonts w:eastAsiaTheme="majorEastAsia"/>
          <w:sz w:val="24"/>
          <w:szCs w:val="24"/>
        </w:rPr>
        <w:t>При анализе работы медицинской организации с пациентами с АГ целесообразно анализировать следующие показатели:</w:t>
      </w:r>
    </w:p>
    <w:p w14:paraId="7A1559D2" w14:textId="77777777" w:rsidR="0099489E" w:rsidRPr="00757BD3" w:rsidRDefault="0099489E" w:rsidP="00757BD3">
      <w:pPr>
        <w:pStyle w:val="11"/>
        <w:ind w:firstLine="580"/>
        <w:jc w:val="both"/>
        <w:rPr>
          <w:sz w:val="24"/>
          <w:szCs w:val="24"/>
        </w:rPr>
      </w:pPr>
      <w:r w:rsidRPr="00757BD3">
        <w:rPr>
          <w:rStyle w:val="ac"/>
          <w:rFonts w:eastAsiaTheme="majorEastAsia"/>
          <w:sz w:val="24"/>
          <w:szCs w:val="24"/>
        </w:rPr>
        <w:t xml:space="preserve">- </w:t>
      </w:r>
      <w:r w:rsidR="00CB781F" w:rsidRPr="00757BD3">
        <w:rPr>
          <w:rStyle w:val="ac"/>
          <w:rFonts w:eastAsiaTheme="majorEastAsia"/>
          <w:sz w:val="24"/>
          <w:szCs w:val="24"/>
        </w:rPr>
        <w:t>процент пациентов, достигших целевого АД менее 140/90 мм рт. ст. и 130/80 мм рт.</w:t>
      </w:r>
      <w:r w:rsidRPr="00757BD3">
        <w:rPr>
          <w:sz w:val="24"/>
          <w:szCs w:val="24"/>
        </w:rPr>
        <w:t xml:space="preserve"> </w:t>
      </w:r>
      <w:r w:rsidR="00CB781F" w:rsidRPr="00757BD3">
        <w:rPr>
          <w:rStyle w:val="ac"/>
          <w:rFonts w:eastAsiaTheme="majorEastAsia"/>
          <w:sz w:val="24"/>
          <w:szCs w:val="24"/>
        </w:rPr>
        <w:t>ст. через 3, 6 и 12 месяцев наблюдения;</w:t>
      </w:r>
      <w:bookmarkStart w:id="74" w:name="bookmark56"/>
      <w:r w:rsidRPr="00757BD3">
        <w:rPr>
          <w:sz w:val="24"/>
          <w:szCs w:val="24"/>
        </w:rPr>
        <w:t xml:space="preserve"> </w:t>
      </w:r>
    </w:p>
    <w:p w14:paraId="2023CDB8" w14:textId="77777777" w:rsidR="00CB781F" w:rsidRPr="00757BD3" w:rsidRDefault="0099489E" w:rsidP="00757BD3">
      <w:pPr>
        <w:pStyle w:val="11"/>
        <w:ind w:firstLine="580"/>
        <w:jc w:val="both"/>
        <w:rPr>
          <w:rStyle w:val="ac"/>
          <w:sz w:val="24"/>
          <w:szCs w:val="24"/>
        </w:rPr>
      </w:pPr>
      <w:r w:rsidRPr="00757BD3">
        <w:rPr>
          <w:sz w:val="24"/>
          <w:szCs w:val="24"/>
        </w:rPr>
        <w:t xml:space="preserve">- </w:t>
      </w:r>
      <w:r w:rsidR="00CB781F" w:rsidRPr="00757BD3">
        <w:rPr>
          <w:rStyle w:val="ac"/>
          <w:rFonts w:eastAsiaTheme="majorEastAsia"/>
          <w:sz w:val="24"/>
          <w:szCs w:val="24"/>
        </w:rPr>
        <w:t>процент пациентов, получающих комбинированную антигипертензивную терапию.</w:t>
      </w:r>
      <w:bookmarkEnd w:id="74"/>
    </w:p>
    <w:p w14:paraId="1897CC36" w14:textId="77777777" w:rsidR="00CB781F" w:rsidRPr="00757BD3" w:rsidRDefault="00757BD3" w:rsidP="00C10BEC">
      <w:pPr>
        <w:pStyle w:val="11"/>
        <w:ind w:firstLine="0"/>
        <w:jc w:val="center"/>
        <w:outlineLvl w:val="0"/>
        <w:rPr>
          <w:rStyle w:val="ac"/>
          <w:rFonts w:eastAsiaTheme="majorEastAsia"/>
          <w:sz w:val="28"/>
          <w:szCs w:val="28"/>
        </w:rPr>
      </w:pPr>
      <w:bookmarkStart w:id="75" w:name="_Toc202877447"/>
      <w:r w:rsidRPr="00757BD3">
        <w:rPr>
          <w:b/>
          <w:sz w:val="28"/>
          <w:szCs w:val="28"/>
        </w:rPr>
        <w:t>7.Дополнительная информация, влияющая на исход заболевания/синдрома</w:t>
      </w:r>
      <w:bookmarkEnd w:id="75"/>
    </w:p>
    <w:p w14:paraId="1281E838" w14:textId="77777777" w:rsidR="00CB781F" w:rsidRPr="00757BD3" w:rsidRDefault="00CB781F" w:rsidP="00757BD3">
      <w:pPr>
        <w:pStyle w:val="11"/>
        <w:ind w:firstLine="580"/>
        <w:jc w:val="both"/>
        <w:rPr>
          <w:sz w:val="24"/>
          <w:szCs w:val="24"/>
        </w:rPr>
      </w:pPr>
      <w:r w:rsidRPr="00757BD3">
        <w:rPr>
          <w:rStyle w:val="ac"/>
          <w:rFonts w:eastAsiaTheme="majorEastAsia"/>
          <w:sz w:val="24"/>
          <w:szCs w:val="24"/>
        </w:rPr>
        <w:t>Снижение АД, достижение и удержание его на целевом уровне является ключевым фактором, влияющим на прогноз и улучшающим сердечно-сосудистые исходы у пациентов с АГ.</w:t>
      </w:r>
    </w:p>
    <w:p w14:paraId="1CB67374" w14:textId="77777777" w:rsidR="00CB781F" w:rsidRPr="00757BD3" w:rsidRDefault="00CB781F" w:rsidP="00757BD3">
      <w:pPr>
        <w:pStyle w:val="11"/>
        <w:ind w:firstLine="580"/>
        <w:jc w:val="both"/>
        <w:rPr>
          <w:sz w:val="24"/>
          <w:szCs w:val="24"/>
        </w:rPr>
      </w:pPr>
      <w:r w:rsidRPr="00757BD3">
        <w:rPr>
          <w:rStyle w:val="ac"/>
          <w:rFonts w:eastAsiaTheme="majorEastAsia"/>
          <w:sz w:val="24"/>
          <w:szCs w:val="24"/>
        </w:rPr>
        <w:t>Другими важными целями при лечении АГ являются:</w:t>
      </w:r>
    </w:p>
    <w:p w14:paraId="1E77EB14" w14:textId="5732641B" w:rsidR="00CB781F" w:rsidRPr="00757BD3" w:rsidRDefault="00532863" w:rsidP="00532863">
      <w:pPr>
        <w:pStyle w:val="11"/>
        <w:tabs>
          <w:tab w:val="left" w:pos="838"/>
        </w:tabs>
        <w:ind w:left="580" w:firstLine="0"/>
        <w:jc w:val="both"/>
        <w:rPr>
          <w:sz w:val="24"/>
          <w:szCs w:val="24"/>
        </w:rPr>
      </w:pPr>
      <w:r>
        <w:rPr>
          <w:rStyle w:val="ac"/>
          <w:rFonts w:eastAsiaTheme="majorEastAsia"/>
          <w:sz w:val="24"/>
          <w:szCs w:val="24"/>
        </w:rPr>
        <w:t>-</w:t>
      </w:r>
      <w:r w:rsidR="00CB781F" w:rsidRPr="00757BD3">
        <w:rPr>
          <w:rStyle w:val="ac"/>
          <w:rFonts w:eastAsiaTheme="majorEastAsia"/>
          <w:sz w:val="24"/>
          <w:szCs w:val="24"/>
        </w:rPr>
        <w:t>максимальное снижение риска развития ССО и смерти;</w:t>
      </w:r>
    </w:p>
    <w:p w14:paraId="7982321B" w14:textId="43373B5F" w:rsidR="00CB781F" w:rsidRPr="00757BD3" w:rsidRDefault="00532863" w:rsidP="00532863">
      <w:pPr>
        <w:pStyle w:val="11"/>
        <w:tabs>
          <w:tab w:val="left" w:pos="910"/>
        </w:tabs>
        <w:ind w:left="580" w:firstLine="0"/>
        <w:jc w:val="both"/>
        <w:rPr>
          <w:sz w:val="24"/>
          <w:szCs w:val="24"/>
        </w:rPr>
      </w:pPr>
      <w:r>
        <w:rPr>
          <w:rStyle w:val="ac"/>
          <w:rFonts w:eastAsiaTheme="majorEastAsia"/>
          <w:sz w:val="24"/>
          <w:szCs w:val="24"/>
        </w:rPr>
        <w:t>-</w:t>
      </w:r>
      <w:r w:rsidR="00CB781F" w:rsidRPr="00757BD3">
        <w:rPr>
          <w:rStyle w:val="ac"/>
          <w:rFonts w:eastAsiaTheme="majorEastAsia"/>
          <w:sz w:val="24"/>
          <w:szCs w:val="24"/>
        </w:rPr>
        <w:t>коррекция всех модифицируемых ФР (курение, дислипидемия, гипергликемия, ожирение);</w:t>
      </w:r>
    </w:p>
    <w:p w14:paraId="12C93FD4" w14:textId="38ED8401" w:rsidR="00757BD3" w:rsidRDefault="00532863" w:rsidP="00532863">
      <w:pPr>
        <w:pStyle w:val="11"/>
        <w:tabs>
          <w:tab w:val="left" w:pos="838"/>
        </w:tabs>
        <w:ind w:left="580" w:firstLine="0"/>
        <w:jc w:val="both"/>
        <w:rPr>
          <w:sz w:val="24"/>
          <w:szCs w:val="24"/>
        </w:rPr>
      </w:pPr>
      <w:r>
        <w:rPr>
          <w:rStyle w:val="ac"/>
          <w:rFonts w:eastAsiaTheme="majorEastAsia"/>
          <w:sz w:val="24"/>
          <w:szCs w:val="24"/>
        </w:rPr>
        <w:t>-</w:t>
      </w:r>
      <w:r w:rsidR="00CB781F" w:rsidRPr="00757BD3">
        <w:rPr>
          <w:rStyle w:val="ac"/>
          <w:rFonts w:eastAsiaTheme="majorEastAsia"/>
          <w:sz w:val="24"/>
          <w:szCs w:val="24"/>
        </w:rPr>
        <w:t>предупреждение, замедление темпа прогрессирования и/или уменьшение ПОМ;</w:t>
      </w:r>
    </w:p>
    <w:p w14:paraId="4DA271F8" w14:textId="0AEDE1B3" w:rsidR="00CB781F" w:rsidRPr="00757BD3" w:rsidRDefault="00532863" w:rsidP="00532863">
      <w:pPr>
        <w:pStyle w:val="11"/>
        <w:tabs>
          <w:tab w:val="left" w:pos="838"/>
        </w:tabs>
        <w:ind w:left="580" w:firstLine="0"/>
        <w:jc w:val="both"/>
        <w:rPr>
          <w:sz w:val="24"/>
          <w:szCs w:val="24"/>
        </w:rPr>
      </w:pPr>
      <w:r>
        <w:rPr>
          <w:rStyle w:val="ac"/>
          <w:rFonts w:eastAsiaTheme="majorEastAsia"/>
          <w:sz w:val="24"/>
          <w:szCs w:val="24"/>
        </w:rPr>
        <w:t>-</w:t>
      </w:r>
      <w:r w:rsidR="00CB781F" w:rsidRPr="00757BD3">
        <w:rPr>
          <w:rStyle w:val="ac"/>
          <w:rFonts w:eastAsiaTheme="majorEastAsia"/>
          <w:sz w:val="24"/>
          <w:szCs w:val="24"/>
        </w:rPr>
        <w:t>лечение сопутствующих заболеваний (ИБС, ХСН, СД, ФП, ХБП).</w:t>
      </w:r>
    </w:p>
    <w:p w14:paraId="2BEA4409" w14:textId="77777777" w:rsidR="0057089D" w:rsidRDefault="0057089D" w:rsidP="00C10BEC">
      <w:pPr>
        <w:pStyle w:val="11"/>
        <w:spacing w:after="120"/>
        <w:ind w:firstLine="0"/>
        <w:jc w:val="center"/>
        <w:outlineLvl w:val="0"/>
        <w:rPr>
          <w:rStyle w:val="ac"/>
          <w:rFonts w:eastAsiaTheme="majorEastAsia"/>
          <w:b/>
          <w:bCs/>
          <w:sz w:val="28"/>
          <w:szCs w:val="28"/>
        </w:rPr>
      </w:pPr>
      <w:bookmarkStart w:id="76" w:name="bookmark57"/>
      <w:bookmarkStart w:id="77" w:name="_Toc202877448"/>
    </w:p>
    <w:p w14:paraId="4DD8C97A" w14:textId="0E60A017" w:rsidR="00CB781F" w:rsidRPr="00757BD3" w:rsidRDefault="00CB781F" w:rsidP="00C10BEC">
      <w:pPr>
        <w:pStyle w:val="11"/>
        <w:spacing w:after="120"/>
        <w:ind w:firstLine="0"/>
        <w:jc w:val="center"/>
        <w:outlineLvl w:val="0"/>
        <w:rPr>
          <w:sz w:val="28"/>
          <w:szCs w:val="28"/>
        </w:rPr>
      </w:pPr>
      <w:r w:rsidRPr="00757BD3">
        <w:rPr>
          <w:rStyle w:val="ac"/>
          <w:rFonts w:eastAsiaTheme="majorEastAsia"/>
          <w:b/>
          <w:bCs/>
          <w:sz w:val="28"/>
          <w:szCs w:val="28"/>
        </w:rPr>
        <w:t>Критерии оценки качества медицинской помощи</w:t>
      </w:r>
      <w:bookmarkEnd w:id="76"/>
      <w:bookmarkEnd w:id="77"/>
    </w:p>
    <w:p w14:paraId="10B61A80" w14:textId="77777777" w:rsidR="00CB781F" w:rsidRPr="00757BD3" w:rsidRDefault="00CB781F" w:rsidP="00757BD3">
      <w:pPr>
        <w:pStyle w:val="11"/>
        <w:spacing w:after="260"/>
        <w:ind w:firstLine="0"/>
        <w:jc w:val="center"/>
        <w:rPr>
          <w:sz w:val="24"/>
          <w:szCs w:val="24"/>
        </w:rPr>
      </w:pPr>
      <w:r w:rsidRPr="00757BD3">
        <w:rPr>
          <w:rStyle w:val="ac"/>
          <w:rFonts w:eastAsiaTheme="majorEastAsia"/>
          <w:b/>
          <w:bCs/>
          <w:sz w:val="24"/>
          <w:szCs w:val="24"/>
        </w:rPr>
        <w:t xml:space="preserve">Критерии оценки качества первичной медико-санитарной помощи взрослым при артериальной гипертензии (коды по МКБ - 10: </w:t>
      </w:r>
      <w:r w:rsidRPr="00757BD3">
        <w:rPr>
          <w:rStyle w:val="ac"/>
          <w:rFonts w:eastAsiaTheme="majorEastAsia"/>
          <w:b/>
          <w:bCs/>
          <w:sz w:val="24"/>
          <w:szCs w:val="24"/>
          <w:lang w:val="en-US"/>
        </w:rPr>
        <w:t>I</w:t>
      </w:r>
      <w:r w:rsidRPr="00757BD3">
        <w:rPr>
          <w:rStyle w:val="ac"/>
          <w:rFonts w:eastAsiaTheme="majorEastAsia"/>
          <w:b/>
          <w:bCs/>
          <w:sz w:val="24"/>
          <w:szCs w:val="24"/>
        </w:rPr>
        <w:t xml:space="preserve">10, </w:t>
      </w:r>
      <w:r w:rsidRPr="00757BD3">
        <w:rPr>
          <w:rStyle w:val="ac"/>
          <w:rFonts w:eastAsiaTheme="majorEastAsia"/>
          <w:b/>
          <w:bCs/>
          <w:sz w:val="24"/>
          <w:szCs w:val="24"/>
          <w:lang w:val="en-US"/>
        </w:rPr>
        <w:t>I</w:t>
      </w:r>
      <w:r w:rsidRPr="00757BD3">
        <w:rPr>
          <w:rStyle w:val="ac"/>
          <w:rFonts w:eastAsiaTheme="majorEastAsia"/>
          <w:b/>
          <w:bCs/>
          <w:sz w:val="24"/>
          <w:szCs w:val="24"/>
        </w:rPr>
        <w:t xml:space="preserve">11, </w:t>
      </w:r>
      <w:r w:rsidRPr="00757BD3">
        <w:rPr>
          <w:rStyle w:val="ac"/>
          <w:rFonts w:eastAsiaTheme="majorEastAsia"/>
          <w:b/>
          <w:bCs/>
          <w:sz w:val="24"/>
          <w:szCs w:val="24"/>
          <w:lang w:val="en-US"/>
        </w:rPr>
        <w:t>I</w:t>
      </w:r>
      <w:r w:rsidRPr="00757BD3">
        <w:rPr>
          <w:rStyle w:val="ac"/>
          <w:rFonts w:eastAsiaTheme="majorEastAsia"/>
          <w:b/>
          <w:bCs/>
          <w:sz w:val="24"/>
          <w:szCs w:val="24"/>
        </w:rPr>
        <w:t xml:space="preserve">12, </w:t>
      </w:r>
      <w:r w:rsidRPr="00757BD3">
        <w:rPr>
          <w:rStyle w:val="ac"/>
          <w:rFonts w:eastAsiaTheme="majorEastAsia"/>
          <w:b/>
          <w:bCs/>
          <w:sz w:val="24"/>
          <w:szCs w:val="24"/>
          <w:lang w:val="en-US"/>
        </w:rPr>
        <w:t>I</w:t>
      </w:r>
      <w:r w:rsidRPr="00757BD3">
        <w:rPr>
          <w:rStyle w:val="ac"/>
          <w:rFonts w:eastAsiaTheme="majorEastAsia"/>
          <w:b/>
          <w:bCs/>
          <w:sz w:val="24"/>
          <w:szCs w:val="24"/>
        </w:rPr>
        <w:t xml:space="preserve">13, </w:t>
      </w:r>
      <w:r w:rsidRPr="00757BD3">
        <w:rPr>
          <w:rStyle w:val="ac"/>
          <w:rFonts w:eastAsiaTheme="majorEastAsia"/>
          <w:b/>
          <w:bCs/>
          <w:sz w:val="24"/>
          <w:szCs w:val="24"/>
          <w:lang w:val="en-US"/>
        </w:rPr>
        <w:t>I</w:t>
      </w:r>
      <w:r w:rsidRPr="00757BD3">
        <w:rPr>
          <w:rStyle w:val="ac"/>
          <w:rFonts w:eastAsiaTheme="majorEastAsia"/>
          <w:b/>
          <w:bCs/>
          <w:sz w:val="24"/>
          <w:szCs w:val="24"/>
        </w:rPr>
        <w:t>15)</w:t>
      </w:r>
    </w:p>
    <w:tbl>
      <w:tblPr>
        <w:tblOverlap w:val="never"/>
        <w:tblW w:w="9359" w:type="dxa"/>
        <w:jc w:val="center"/>
        <w:tblLayout w:type="fixed"/>
        <w:tblCellMar>
          <w:left w:w="10" w:type="dxa"/>
          <w:right w:w="10" w:type="dxa"/>
        </w:tblCellMar>
        <w:tblLook w:val="0000" w:firstRow="0" w:lastRow="0" w:firstColumn="0" w:lastColumn="0" w:noHBand="0" w:noVBand="0"/>
      </w:tblPr>
      <w:tblGrid>
        <w:gridCol w:w="806"/>
        <w:gridCol w:w="6643"/>
        <w:gridCol w:w="1910"/>
      </w:tblGrid>
      <w:tr w:rsidR="00CB781F" w14:paraId="003D98D0" w14:textId="77777777" w:rsidTr="0023095D">
        <w:trPr>
          <w:trHeight w:hRule="exact" w:val="850"/>
          <w:jc w:val="center"/>
        </w:trPr>
        <w:tc>
          <w:tcPr>
            <w:tcW w:w="806" w:type="dxa"/>
            <w:tcBorders>
              <w:top w:val="single" w:sz="4" w:space="0" w:color="auto"/>
              <w:left w:val="single" w:sz="4" w:space="0" w:color="auto"/>
            </w:tcBorders>
            <w:shd w:val="clear" w:color="auto" w:fill="E7E6E6" w:themeFill="background2"/>
          </w:tcPr>
          <w:p w14:paraId="3523576C" w14:textId="77777777" w:rsidR="00CB781F" w:rsidRPr="00757BD3" w:rsidRDefault="00CB781F" w:rsidP="00757BD3">
            <w:pPr>
              <w:pStyle w:val="af2"/>
              <w:spacing w:line="240" w:lineRule="auto"/>
              <w:ind w:firstLine="0"/>
              <w:jc w:val="center"/>
              <w:rPr>
                <w:sz w:val="24"/>
                <w:szCs w:val="24"/>
              </w:rPr>
            </w:pPr>
            <w:r w:rsidRPr="00757BD3">
              <w:rPr>
                <w:rStyle w:val="af1"/>
                <w:rFonts w:eastAsiaTheme="majorEastAsia"/>
                <w:sz w:val="24"/>
                <w:szCs w:val="24"/>
                <w:lang w:val="en-US"/>
              </w:rPr>
              <w:t xml:space="preserve">N </w:t>
            </w:r>
            <w:r w:rsidRPr="00757BD3">
              <w:rPr>
                <w:rStyle w:val="af1"/>
                <w:rFonts w:eastAsiaTheme="majorEastAsia"/>
                <w:sz w:val="24"/>
                <w:szCs w:val="24"/>
              </w:rPr>
              <w:t>п/п</w:t>
            </w:r>
          </w:p>
        </w:tc>
        <w:tc>
          <w:tcPr>
            <w:tcW w:w="6643" w:type="dxa"/>
            <w:tcBorders>
              <w:top w:val="single" w:sz="4" w:space="0" w:color="auto"/>
              <w:left w:val="single" w:sz="4" w:space="0" w:color="auto"/>
            </w:tcBorders>
            <w:shd w:val="clear" w:color="auto" w:fill="E7E6E6" w:themeFill="background2"/>
          </w:tcPr>
          <w:p w14:paraId="27DDA98C" w14:textId="77777777" w:rsidR="00CB781F" w:rsidRPr="00757BD3" w:rsidRDefault="00CB781F" w:rsidP="00757BD3">
            <w:pPr>
              <w:pStyle w:val="af2"/>
              <w:spacing w:line="240" w:lineRule="auto"/>
              <w:ind w:firstLine="0"/>
              <w:jc w:val="center"/>
              <w:rPr>
                <w:sz w:val="24"/>
                <w:szCs w:val="24"/>
              </w:rPr>
            </w:pPr>
            <w:r w:rsidRPr="00757BD3">
              <w:rPr>
                <w:rStyle w:val="af1"/>
                <w:rFonts w:eastAsiaTheme="majorEastAsia"/>
                <w:sz w:val="24"/>
                <w:szCs w:val="24"/>
              </w:rPr>
              <w:t>Критерии оценки качества</w:t>
            </w:r>
          </w:p>
        </w:tc>
        <w:tc>
          <w:tcPr>
            <w:tcW w:w="1910" w:type="dxa"/>
            <w:tcBorders>
              <w:top w:val="single" w:sz="4" w:space="0" w:color="auto"/>
              <w:left w:val="single" w:sz="4" w:space="0" w:color="auto"/>
              <w:right w:val="single" w:sz="4" w:space="0" w:color="auto"/>
            </w:tcBorders>
            <w:shd w:val="clear" w:color="auto" w:fill="E7E6E6" w:themeFill="background2"/>
          </w:tcPr>
          <w:p w14:paraId="7DBE1521" w14:textId="77777777" w:rsidR="00CB781F" w:rsidRPr="00757BD3" w:rsidRDefault="00CB781F" w:rsidP="00757BD3">
            <w:pPr>
              <w:pStyle w:val="af2"/>
              <w:spacing w:line="276" w:lineRule="auto"/>
              <w:ind w:firstLine="0"/>
              <w:jc w:val="center"/>
              <w:rPr>
                <w:sz w:val="24"/>
                <w:szCs w:val="24"/>
              </w:rPr>
            </w:pPr>
            <w:r w:rsidRPr="00757BD3">
              <w:rPr>
                <w:rStyle w:val="af1"/>
                <w:rFonts w:eastAsiaTheme="majorEastAsia"/>
                <w:sz w:val="24"/>
                <w:szCs w:val="24"/>
              </w:rPr>
              <w:t>Оценка выполнения</w:t>
            </w:r>
          </w:p>
        </w:tc>
      </w:tr>
      <w:tr w:rsidR="00CB781F" w14:paraId="2951D0F4" w14:textId="77777777" w:rsidTr="0023095D">
        <w:trPr>
          <w:trHeight w:hRule="exact" w:val="1795"/>
          <w:jc w:val="center"/>
        </w:trPr>
        <w:tc>
          <w:tcPr>
            <w:tcW w:w="806" w:type="dxa"/>
            <w:tcBorders>
              <w:top w:val="single" w:sz="4" w:space="0" w:color="auto"/>
              <w:left w:val="single" w:sz="4" w:space="0" w:color="auto"/>
            </w:tcBorders>
            <w:shd w:val="clear" w:color="auto" w:fill="E7E6E6" w:themeFill="background2"/>
          </w:tcPr>
          <w:p w14:paraId="561C26EC" w14:textId="77777777" w:rsidR="00CB781F" w:rsidRPr="00757BD3" w:rsidRDefault="00CB781F" w:rsidP="00757BD3">
            <w:pPr>
              <w:pStyle w:val="af2"/>
              <w:spacing w:line="240" w:lineRule="auto"/>
              <w:ind w:firstLine="0"/>
              <w:jc w:val="center"/>
              <w:rPr>
                <w:sz w:val="24"/>
                <w:szCs w:val="24"/>
              </w:rPr>
            </w:pPr>
            <w:r w:rsidRPr="00757BD3">
              <w:rPr>
                <w:rStyle w:val="af1"/>
                <w:rFonts w:eastAsiaTheme="majorEastAsia"/>
                <w:sz w:val="24"/>
                <w:szCs w:val="24"/>
              </w:rPr>
              <w:t>1.</w:t>
            </w:r>
          </w:p>
        </w:tc>
        <w:tc>
          <w:tcPr>
            <w:tcW w:w="6643" w:type="dxa"/>
            <w:tcBorders>
              <w:top w:val="single" w:sz="4" w:space="0" w:color="auto"/>
              <w:left w:val="single" w:sz="4" w:space="0" w:color="auto"/>
            </w:tcBorders>
          </w:tcPr>
          <w:p w14:paraId="110E10E4" w14:textId="77777777" w:rsidR="00CB781F" w:rsidRPr="00757BD3" w:rsidRDefault="00CB781F" w:rsidP="00AE2B25">
            <w:pPr>
              <w:pStyle w:val="af2"/>
              <w:spacing w:line="276" w:lineRule="auto"/>
              <w:ind w:firstLine="0"/>
              <w:jc w:val="both"/>
              <w:rPr>
                <w:sz w:val="24"/>
                <w:szCs w:val="24"/>
              </w:rPr>
            </w:pPr>
            <w:r w:rsidRPr="00757BD3">
              <w:rPr>
                <w:rStyle w:val="af1"/>
                <w:rFonts w:eastAsiaTheme="majorEastAsia"/>
                <w:sz w:val="24"/>
                <w:szCs w:val="24"/>
              </w:rPr>
              <w:t>Зафиксировано в медицинской документации повышение офисного (клинического) артериального давления выше 140 или 90 мм рт. ст. на повторных визитах, либо на основании суточного мониторирования артериального давления (среднее за 24 часа ≥130 мм или ≥80 мм рт. ст.)</w:t>
            </w:r>
          </w:p>
        </w:tc>
        <w:tc>
          <w:tcPr>
            <w:tcW w:w="1910" w:type="dxa"/>
            <w:tcBorders>
              <w:top w:val="single" w:sz="4" w:space="0" w:color="auto"/>
              <w:left w:val="single" w:sz="4" w:space="0" w:color="auto"/>
              <w:right w:val="single" w:sz="4" w:space="0" w:color="auto"/>
            </w:tcBorders>
          </w:tcPr>
          <w:p w14:paraId="63AAC4EE" w14:textId="77777777" w:rsidR="00CB781F" w:rsidRPr="0023095D" w:rsidRDefault="00CB781F" w:rsidP="0023095D">
            <w:pPr>
              <w:pStyle w:val="af2"/>
              <w:spacing w:line="240" w:lineRule="auto"/>
              <w:ind w:firstLine="0"/>
              <w:jc w:val="center"/>
              <w:rPr>
                <w:sz w:val="24"/>
                <w:szCs w:val="24"/>
              </w:rPr>
            </w:pPr>
            <w:r w:rsidRPr="0023095D">
              <w:rPr>
                <w:rStyle w:val="af1"/>
                <w:rFonts w:eastAsiaTheme="majorEastAsia"/>
                <w:sz w:val="24"/>
                <w:szCs w:val="24"/>
              </w:rPr>
              <w:t>Да/Нет</w:t>
            </w:r>
          </w:p>
        </w:tc>
      </w:tr>
      <w:tr w:rsidR="00CB781F" w14:paraId="2A0788F6" w14:textId="77777777" w:rsidTr="0023095D">
        <w:trPr>
          <w:trHeight w:hRule="exact" w:val="1800"/>
          <w:jc w:val="center"/>
        </w:trPr>
        <w:tc>
          <w:tcPr>
            <w:tcW w:w="806" w:type="dxa"/>
            <w:tcBorders>
              <w:top w:val="single" w:sz="4" w:space="0" w:color="auto"/>
              <w:left w:val="single" w:sz="4" w:space="0" w:color="auto"/>
            </w:tcBorders>
            <w:shd w:val="clear" w:color="auto" w:fill="E7E6E6" w:themeFill="background2"/>
          </w:tcPr>
          <w:p w14:paraId="42C9E919" w14:textId="77777777" w:rsidR="00CB781F" w:rsidRPr="00757BD3" w:rsidRDefault="00CB781F" w:rsidP="00757BD3">
            <w:pPr>
              <w:pStyle w:val="af2"/>
              <w:spacing w:line="240" w:lineRule="auto"/>
              <w:ind w:firstLine="0"/>
              <w:jc w:val="center"/>
              <w:rPr>
                <w:sz w:val="24"/>
                <w:szCs w:val="24"/>
              </w:rPr>
            </w:pPr>
            <w:r w:rsidRPr="00757BD3">
              <w:rPr>
                <w:rStyle w:val="af1"/>
                <w:rFonts w:eastAsiaTheme="majorEastAsia"/>
                <w:sz w:val="24"/>
                <w:szCs w:val="24"/>
              </w:rPr>
              <w:lastRenderedPageBreak/>
              <w:t>2.</w:t>
            </w:r>
          </w:p>
        </w:tc>
        <w:tc>
          <w:tcPr>
            <w:tcW w:w="6643" w:type="dxa"/>
            <w:tcBorders>
              <w:top w:val="single" w:sz="4" w:space="0" w:color="auto"/>
              <w:left w:val="single" w:sz="4" w:space="0" w:color="auto"/>
            </w:tcBorders>
          </w:tcPr>
          <w:p w14:paraId="5700305C" w14:textId="77777777" w:rsidR="00CB781F" w:rsidRPr="00757BD3" w:rsidRDefault="00CB781F" w:rsidP="00AE2B25">
            <w:pPr>
              <w:pStyle w:val="af2"/>
              <w:spacing w:line="276" w:lineRule="auto"/>
              <w:ind w:firstLine="0"/>
              <w:jc w:val="both"/>
              <w:rPr>
                <w:sz w:val="24"/>
                <w:szCs w:val="24"/>
              </w:rPr>
            </w:pPr>
            <w:r w:rsidRPr="00757BD3">
              <w:rPr>
                <w:rStyle w:val="af1"/>
                <w:rFonts w:eastAsiaTheme="majorEastAsia"/>
                <w:sz w:val="24"/>
                <w:szCs w:val="24"/>
              </w:rPr>
              <w:t>Выполнен анализ крови биохимический общетерапевтический (креатинин, расчетная скорость клубочковой фильтрации, глюкоза, калий, натрий, мочевая кислота, общий холестерин, липопротеины низкой плотности, триглицериды, липопротеины высокой плотности)</w:t>
            </w:r>
          </w:p>
        </w:tc>
        <w:tc>
          <w:tcPr>
            <w:tcW w:w="1910" w:type="dxa"/>
            <w:tcBorders>
              <w:top w:val="single" w:sz="4" w:space="0" w:color="auto"/>
              <w:left w:val="single" w:sz="4" w:space="0" w:color="auto"/>
              <w:right w:val="single" w:sz="4" w:space="0" w:color="auto"/>
            </w:tcBorders>
          </w:tcPr>
          <w:p w14:paraId="3D4C0FD1" w14:textId="77777777" w:rsidR="00CB781F" w:rsidRPr="0023095D" w:rsidRDefault="00CB781F" w:rsidP="0023095D">
            <w:pPr>
              <w:pStyle w:val="af2"/>
              <w:spacing w:line="240" w:lineRule="auto"/>
              <w:ind w:firstLine="0"/>
              <w:jc w:val="center"/>
              <w:rPr>
                <w:sz w:val="24"/>
                <w:szCs w:val="24"/>
              </w:rPr>
            </w:pPr>
            <w:r w:rsidRPr="0023095D">
              <w:rPr>
                <w:rStyle w:val="af1"/>
                <w:rFonts w:eastAsiaTheme="majorEastAsia"/>
                <w:sz w:val="24"/>
                <w:szCs w:val="24"/>
              </w:rPr>
              <w:t>Да/Нет</w:t>
            </w:r>
          </w:p>
        </w:tc>
      </w:tr>
      <w:tr w:rsidR="00CB781F" w14:paraId="131EB815" w14:textId="77777777" w:rsidTr="0023095D">
        <w:trPr>
          <w:trHeight w:hRule="exact" w:val="523"/>
          <w:jc w:val="center"/>
        </w:trPr>
        <w:tc>
          <w:tcPr>
            <w:tcW w:w="806" w:type="dxa"/>
            <w:tcBorders>
              <w:top w:val="single" w:sz="4" w:space="0" w:color="auto"/>
              <w:left w:val="single" w:sz="4" w:space="0" w:color="auto"/>
            </w:tcBorders>
            <w:shd w:val="clear" w:color="auto" w:fill="E7E6E6" w:themeFill="background2"/>
          </w:tcPr>
          <w:p w14:paraId="7E1E1C81" w14:textId="77777777" w:rsidR="00CB781F" w:rsidRPr="00757BD3" w:rsidRDefault="00CB781F" w:rsidP="00757BD3">
            <w:pPr>
              <w:pStyle w:val="af2"/>
              <w:spacing w:line="240" w:lineRule="auto"/>
              <w:ind w:firstLine="0"/>
              <w:jc w:val="center"/>
              <w:rPr>
                <w:sz w:val="24"/>
                <w:szCs w:val="24"/>
              </w:rPr>
            </w:pPr>
            <w:r w:rsidRPr="00757BD3">
              <w:rPr>
                <w:rStyle w:val="af1"/>
                <w:rFonts w:eastAsiaTheme="majorEastAsia"/>
                <w:sz w:val="24"/>
                <w:szCs w:val="24"/>
              </w:rPr>
              <w:t>3.</w:t>
            </w:r>
          </w:p>
        </w:tc>
        <w:tc>
          <w:tcPr>
            <w:tcW w:w="6643" w:type="dxa"/>
            <w:tcBorders>
              <w:top w:val="single" w:sz="4" w:space="0" w:color="auto"/>
              <w:left w:val="single" w:sz="4" w:space="0" w:color="auto"/>
            </w:tcBorders>
          </w:tcPr>
          <w:p w14:paraId="64388A94" w14:textId="77777777" w:rsidR="00CB781F" w:rsidRPr="00757BD3" w:rsidRDefault="00CB781F" w:rsidP="00AE2B25">
            <w:pPr>
              <w:pStyle w:val="af2"/>
              <w:spacing w:line="240" w:lineRule="auto"/>
              <w:ind w:firstLine="0"/>
              <w:jc w:val="both"/>
              <w:rPr>
                <w:sz w:val="24"/>
                <w:szCs w:val="24"/>
              </w:rPr>
            </w:pPr>
            <w:r w:rsidRPr="00757BD3">
              <w:rPr>
                <w:rStyle w:val="af1"/>
                <w:rFonts w:eastAsiaTheme="majorEastAsia"/>
                <w:sz w:val="24"/>
                <w:szCs w:val="24"/>
              </w:rPr>
              <w:t>Выполнен общий (клинический) анализ крови</w:t>
            </w:r>
          </w:p>
        </w:tc>
        <w:tc>
          <w:tcPr>
            <w:tcW w:w="1910" w:type="dxa"/>
            <w:tcBorders>
              <w:top w:val="single" w:sz="4" w:space="0" w:color="auto"/>
              <w:left w:val="single" w:sz="4" w:space="0" w:color="auto"/>
              <w:right w:val="single" w:sz="4" w:space="0" w:color="auto"/>
            </w:tcBorders>
          </w:tcPr>
          <w:p w14:paraId="68294A92" w14:textId="77777777" w:rsidR="00CB781F" w:rsidRPr="0023095D" w:rsidRDefault="00CB781F" w:rsidP="0023095D">
            <w:pPr>
              <w:pStyle w:val="af2"/>
              <w:spacing w:line="240" w:lineRule="auto"/>
              <w:ind w:firstLine="0"/>
              <w:jc w:val="center"/>
              <w:rPr>
                <w:sz w:val="24"/>
                <w:szCs w:val="24"/>
              </w:rPr>
            </w:pPr>
            <w:r w:rsidRPr="0023095D">
              <w:rPr>
                <w:rStyle w:val="af1"/>
                <w:rFonts w:eastAsiaTheme="majorEastAsia"/>
                <w:sz w:val="24"/>
                <w:szCs w:val="24"/>
              </w:rPr>
              <w:t>Да/Нет</w:t>
            </w:r>
          </w:p>
        </w:tc>
      </w:tr>
      <w:tr w:rsidR="00CB781F" w14:paraId="18224C56" w14:textId="77777777" w:rsidTr="0023095D">
        <w:trPr>
          <w:trHeight w:hRule="exact" w:val="533"/>
          <w:jc w:val="center"/>
        </w:trPr>
        <w:tc>
          <w:tcPr>
            <w:tcW w:w="806" w:type="dxa"/>
            <w:tcBorders>
              <w:top w:val="single" w:sz="4" w:space="0" w:color="auto"/>
              <w:left w:val="single" w:sz="4" w:space="0" w:color="auto"/>
            </w:tcBorders>
            <w:shd w:val="clear" w:color="auto" w:fill="E7E6E6" w:themeFill="background2"/>
          </w:tcPr>
          <w:p w14:paraId="1C88A678" w14:textId="77777777" w:rsidR="00CB781F" w:rsidRPr="00757BD3" w:rsidRDefault="00CB781F" w:rsidP="00757BD3">
            <w:pPr>
              <w:pStyle w:val="af2"/>
              <w:spacing w:line="240" w:lineRule="auto"/>
              <w:ind w:firstLine="0"/>
              <w:jc w:val="center"/>
              <w:rPr>
                <w:sz w:val="24"/>
                <w:szCs w:val="24"/>
              </w:rPr>
            </w:pPr>
            <w:r w:rsidRPr="00757BD3">
              <w:rPr>
                <w:rStyle w:val="af1"/>
                <w:rFonts w:eastAsiaTheme="majorEastAsia"/>
                <w:sz w:val="24"/>
                <w:szCs w:val="24"/>
              </w:rPr>
              <w:t>4.</w:t>
            </w:r>
          </w:p>
        </w:tc>
        <w:tc>
          <w:tcPr>
            <w:tcW w:w="6643" w:type="dxa"/>
            <w:tcBorders>
              <w:top w:val="single" w:sz="4" w:space="0" w:color="auto"/>
              <w:left w:val="single" w:sz="4" w:space="0" w:color="auto"/>
            </w:tcBorders>
          </w:tcPr>
          <w:p w14:paraId="4166FCD8" w14:textId="77777777" w:rsidR="00CB781F" w:rsidRPr="00757BD3" w:rsidRDefault="00CB781F" w:rsidP="00AE2B25">
            <w:pPr>
              <w:pStyle w:val="af2"/>
              <w:spacing w:line="240" w:lineRule="auto"/>
              <w:ind w:firstLine="0"/>
              <w:jc w:val="both"/>
              <w:rPr>
                <w:sz w:val="24"/>
                <w:szCs w:val="24"/>
              </w:rPr>
            </w:pPr>
            <w:r w:rsidRPr="00757BD3">
              <w:rPr>
                <w:rStyle w:val="af1"/>
                <w:rFonts w:eastAsiaTheme="majorEastAsia"/>
                <w:sz w:val="24"/>
                <w:szCs w:val="24"/>
              </w:rPr>
              <w:t>Выполнен общий (клинический) анализ мочи</w:t>
            </w:r>
          </w:p>
        </w:tc>
        <w:tc>
          <w:tcPr>
            <w:tcW w:w="1910" w:type="dxa"/>
            <w:tcBorders>
              <w:top w:val="single" w:sz="4" w:space="0" w:color="auto"/>
              <w:left w:val="single" w:sz="4" w:space="0" w:color="auto"/>
              <w:right w:val="single" w:sz="4" w:space="0" w:color="auto"/>
            </w:tcBorders>
          </w:tcPr>
          <w:p w14:paraId="26FECD9A" w14:textId="77777777" w:rsidR="00CB781F" w:rsidRPr="0023095D" w:rsidRDefault="00CB781F" w:rsidP="0023095D">
            <w:pPr>
              <w:pStyle w:val="af2"/>
              <w:spacing w:line="240" w:lineRule="auto"/>
              <w:ind w:firstLine="0"/>
              <w:jc w:val="center"/>
              <w:rPr>
                <w:sz w:val="24"/>
                <w:szCs w:val="24"/>
              </w:rPr>
            </w:pPr>
            <w:r w:rsidRPr="0023095D">
              <w:rPr>
                <w:rStyle w:val="af1"/>
                <w:rFonts w:eastAsiaTheme="majorEastAsia"/>
                <w:sz w:val="24"/>
                <w:szCs w:val="24"/>
              </w:rPr>
              <w:t>Да/Нет</w:t>
            </w:r>
          </w:p>
        </w:tc>
      </w:tr>
      <w:tr w:rsidR="00CB781F" w14:paraId="1D9C1E8B" w14:textId="77777777" w:rsidTr="0023095D">
        <w:trPr>
          <w:trHeight w:hRule="exact" w:val="840"/>
          <w:jc w:val="center"/>
        </w:trPr>
        <w:tc>
          <w:tcPr>
            <w:tcW w:w="806" w:type="dxa"/>
            <w:tcBorders>
              <w:top w:val="single" w:sz="4" w:space="0" w:color="auto"/>
              <w:left w:val="single" w:sz="4" w:space="0" w:color="auto"/>
            </w:tcBorders>
            <w:shd w:val="clear" w:color="auto" w:fill="E7E6E6" w:themeFill="background2"/>
          </w:tcPr>
          <w:p w14:paraId="76D74C57" w14:textId="77777777" w:rsidR="00CB781F" w:rsidRPr="00757BD3" w:rsidRDefault="00CB781F" w:rsidP="00757BD3">
            <w:pPr>
              <w:pStyle w:val="af2"/>
              <w:spacing w:line="240" w:lineRule="auto"/>
              <w:ind w:firstLine="0"/>
              <w:jc w:val="center"/>
              <w:rPr>
                <w:sz w:val="24"/>
                <w:szCs w:val="24"/>
              </w:rPr>
            </w:pPr>
            <w:r w:rsidRPr="00757BD3">
              <w:rPr>
                <w:rStyle w:val="af1"/>
                <w:rFonts w:eastAsiaTheme="majorEastAsia"/>
                <w:sz w:val="24"/>
                <w:szCs w:val="24"/>
              </w:rPr>
              <w:t>5.</w:t>
            </w:r>
          </w:p>
        </w:tc>
        <w:tc>
          <w:tcPr>
            <w:tcW w:w="6643" w:type="dxa"/>
            <w:tcBorders>
              <w:top w:val="single" w:sz="4" w:space="0" w:color="auto"/>
              <w:left w:val="single" w:sz="4" w:space="0" w:color="auto"/>
            </w:tcBorders>
          </w:tcPr>
          <w:p w14:paraId="3C98A249" w14:textId="77777777" w:rsidR="00CB781F" w:rsidRPr="00757BD3" w:rsidRDefault="00CB781F" w:rsidP="00AE2B25">
            <w:pPr>
              <w:pStyle w:val="af2"/>
              <w:spacing w:line="276" w:lineRule="auto"/>
              <w:ind w:firstLine="0"/>
              <w:jc w:val="both"/>
              <w:rPr>
                <w:sz w:val="24"/>
                <w:szCs w:val="24"/>
              </w:rPr>
            </w:pPr>
            <w:r w:rsidRPr="00757BD3">
              <w:rPr>
                <w:rStyle w:val="af1"/>
                <w:rFonts w:eastAsiaTheme="majorEastAsia"/>
                <w:sz w:val="24"/>
                <w:szCs w:val="24"/>
              </w:rPr>
              <w:t>Выполнена качественная оценка протеинурии тест-полоской или определение альбумина в моче</w:t>
            </w:r>
          </w:p>
        </w:tc>
        <w:tc>
          <w:tcPr>
            <w:tcW w:w="1910" w:type="dxa"/>
            <w:tcBorders>
              <w:top w:val="single" w:sz="4" w:space="0" w:color="auto"/>
              <w:left w:val="single" w:sz="4" w:space="0" w:color="auto"/>
              <w:right w:val="single" w:sz="4" w:space="0" w:color="auto"/>
            </w:tcBorders>
          </w:tcPr>
          <w:p w14:paraId="4696ADF3" w14:textId="77777777" w:rsidR="00CB781F" w:rsidRPr="0023095D" w:rsidRDefault="00CB781F" w:rsidP="0023095D">
            <w:pPr>
              <w:pStyle w:val="af2"/>
              <w:spacing w:line="240" w:lineRule="auto"/>
              <w:ind w:firstLine="0"/>
              <w:jc w:val="center"/>
              <w:rPr>
                <w:sz w:val="24"/>
                <w:szCs w:val="24"/>
              </w:rPr>
            </w:pPr>
            <w:r w:rsidRPr="0023095D">
              <w:rPr>
                <w:rStyle w:val="af1"/>
                <w:rFonts w:eastAsiaTheme="majorEastAsia"/>
                <w:sz w:val="24"/>
                <w:szCs w:val="24"/>
              </w:rPr>
              <w:t>Да/Нет</w:t>
            </w:r>
          </w:p>
        </w:tc>
      </w:tr>
      <w:tr w:rsidR="00CB781F" w14:paraId="343FE900" w14:textId="77777777" w:rsidTr="0023095D">
        <w:trPr>
          <w:trHeight w:hRule="exact" w:val="854"/>
          <w:jc w:val="center"/>
        </w:trPr>
        <w:tc>
          <w:tcPr>
            <w:tcW w:w="806" w:type="dxa"/>
            <w:tcBorders>
              <w:top w:val="single" w:sz="4" w:space="0" w:color="auto"/>
              <w:left w:val="single" w:sz="4" w:space="0" w:color="auto"/>
              <w:bottom w:val="single" w:sz="4" w:space="0" w:color="auto"/>
            </w:tcBorders>
            <w:shd w:val="clear" w:color="auto" w:fill="E7E6E6" w:themeFill="background2"/>
          </w:tcPr>
          <w:p w14:paraId="094C771E" w14:textId="77777777" w:rsidR="00CB781F" w:rsidRPr="00757BD3" w:rsidRDefault="00CB781F" w:rsidP="00757BD3">
            <w:pPr>
              <w:pStyle w:val="af2"/>
              <w:spacing w:line="240" w:lineRule="auto"/>
              <w:ind w:firstLine="0"/>
              <w:jc w:val="center"/>
              <w:rPr>
                <w:sz w:val="24"/>
                <w:szCs w:val="24"/>
              </w:rPr>
            </w:pPr>
            <w:r w:rsidRPr="00757BD3">
              <w:rPr>
                <w:rStyle w:val="af1"/>
                <w:rFonts w:eastAsiaTheme="majorEastAsia"/>
                <w:sz w:val="24"/>
                <w:szCs w:val="24"/>
              </w:rPr>
              <w:t>6.</w:t>
            </w:r>
          </w:p>
        </w:tc>
        <w:tc>
          <w:tcPr>
            <w:tcW w:w="6643" w:type="dxa"/>
            <w:tcBorders>
              <w:top w:val="single" w:sz="4" w:space="0" w:color="auto"/>
              <w:left w:val="single" w:sz="4" w:space="0" w:color="auto"/>
              <w:bottom w:val="single" w:sz="4" w:space="0" w:color="auto"/>
            </w:tcBorders>
          </w:tcPr>
          <w:p w14:paraId="55826B5A" w14:textId="77777777" w:rsidR="00CB781F" w:rsidRPr="00757BD3" w:rsidRDefault="00CB781F" w:rsidP="00AE2B25">
            <w:pPr>
              <w:pStyle w:val="af2"/>
              <w:tabs>
                <w:tab w:val="left" w:pos="1493"/>
                <w:tab w:val="left" w:pos="3091"/>
                <w:tab w:val="left" w:pos="5726"/>
                <w:tab w:val="left" w:pos="6202"/>
              </w:tabs>
              <w:spacing w:line="240" w:lineRule="auto"/>
              <w:ind w:firstLine="0"/>
              <w:jc w:val="both"/>
              <w:rPr>
                <w:sz w:val="24"/>
                <w:szCs w:val="24"/>
              </w:rPr>
            </w:pPr>
            <w:r w:rsidRPr="00757BD3">
              <w:rPr>
                <w:rStyle w:val="af1"/>
                <w:rFonts w:eastAsiaTheme="majorEastAsia"/>
                <w:sz w:val="24"/>
                <w:szCs w:val="24"/>
              </w:rPr>
              <w:t>Выполнена</w:t>
            </w:r>
            <w:r w:rsidRPr="00757BD3">
              <w:rPr>
                <w:rStyle w:val="af1"/>
                <w:rFonts w:eastAsiaTheme="majorEastAsia"/>
                <w:sz w:val="24"/>
                <w:szCs w:val="24"/>
              </w:rPr>
              <w:tab/>
              <w:t>регистрация</w:t>
            </w:r>
            <w:r w:rsidRPr="00757BD3">
              <w:rPr>
                <w:rStyle w:val="af1"/>
                <w:rFonts w:eastAsiaTheme="majorEastAsia"/>
                <w:sz w:val="24"/>
                <w:szCs w:val="24"/>
              </w:rPr>
              <w:tab/>
              <w:t>электрокардиограммы</w:t>
            </w:r>
            <w:r w:rsidRPr="00757BD3">
              <w:rPr>
                <w:rStyle w:val="af1"/>
                <w:rFonts w:eastAsiaTheme="majorEastAsia"/>
                <w:sz w:val="24"/>
                <w:szCs w:val="24"/>
              </w:rPr>
              <w:tab/>
              <w:t>в</w:t>
            </w:r>
            <w:r w:rsidRPr="00757BD3">
              <w:rPr>
                <w:rStyle w:val="af1"/>
                <w:rFonts w:eastAsiaTheme="majorEastAsia"/>
                <w:sz w:val="24"/>
                <w:szCs w:val="24"/>
              </w:rPr>
              <w:tab/>
              <w:t>12</w:t>
            </w:r>
          </w:p>
          <w:p w14:paraId="075D310B" w14:textId="77777777" w:rsidR="00CB781F" w:rsidRPr="00757BD3" w:rsidRDefault="00CB781F" w:rsidP="00AE2B25">
            <w:pPr>
              <w:pStyle w:val="af2"/>
              <w:spacing w:line="240" w:lineRule="auto"/>
              <w:ind w:firstLine="0"/>
              <w:jc w:val="both"/>
              <w:rPr>
                <w:sz w:val="24"/>
                <w:szCs w:val="24"/>
              </w:rPr>
            </w:pPr>
            <w:r w:rsidRPr="00757BD3">
              <w:rPr>
                <w:rStyle w:val="af1"/>
                <w:rFonts w:eastAsiaTheme="majorEastAsia"/>
                <w:sz w:val="24"/>
                <w:szCs w:val="24"/>
              </w:rPr>
              <w:t>отведениях</w:t>
            </w:r>
          </w:p>
        </w:tc>
        <w:tc>
          <w:tcPr>
            <w:tcW w:w="1910" w:type="dxa"/>
            <w:tcBorders>
              <w:top w:val="single" w:sz="4" w:space="0" w:color="auto"/>
              <w:left w:val="single" w:sz="4" w:space="0" w:color="auto"/>
              <w:bottom w:val="single" w:sz="4" w:space="0" w:color="auto"/>
              <w:right w:val="single" w:sz="4" w:space="0" w:color="auto"/>
            </w:tcBorders>
          </w:tcPr>
          <w:p w14:paraId="1D2F2234" w14:textId="77777777" w:rsidR="00CB781F" w:rsidRPr="0023095D" w:rsidRDefault="00CB781F" w:rsidP="0023095D">
            <w:pPr>
              <w:pStyle w:val="af2"/>
              <w:spacing w:line="240" w:lineRule="auto"/>
              <w:ind w:firstLine="0"/>
              <w:jc w:val="center"/>
              <w:rPr>
                <w:sz w:val="24"/>
                <w:szCs w:val="24"/>
              </w:rPr>
            </w:pPr>
            <w:r w:rsidRPr="0023095D">
              <w:rPr>
                <w:rStyle w:val="af1"/>
                <w:rFonts w:eastAsiaTheme="majorEastAsia"/>
                <w:sz w:val="24"/>
                <w:szCs w:val="24"/>
              </w:rPr>
              <w:t>Да/Нет</w:t>
            </w:r>
          </w:p>
        </w:tc>
      </w:tr>
      <w:tr w:rsidR="00CB781F" w14:paraId="42BC895B" w14:textId="77777777" w:rsidTr="0023095D">
        <w:trPr>
          <w:trHeight w:hRule="exact" w:val="1483"/>
          <w:jc w:val="center"/>
        </w:trPr>
        <w:tc>
          <w:tcPr>
            <w:tcW w:w="806" w:type="dxa"/>
            <w:tcBorders>
              <w:top w:val="single" w:sz="4" w:space="0" w:color="auto"/>
              <w:left w:val="single" w:sz="4" w:space="0" w:color="auto"/>
            </w:tcBorders>
            <w:shd w:val="clear" w:color="auto" w:fill="E7E6E6" w:themeFill="background2"/>
          </w:tcPr>
          <w:p w14:paraId="12DA831D" w14:textId="77777777" w:rsidR="00CB781F" w:rsidRPr="0023095D" w:rsidRDefault="00CB781F" w:rsidP="0023095D">
            <w:pPr>
              <w:pStyle w:val="af2"/>
              <w:spacing w:line="240" w:lineRule="auto"/>
              <w:ind w:firstLine="0"/>
              <w:jc w:val="center"/>
              <w:rPr>
                <w:sz w:val="24"/>
                <w:szCs w:val="24"/>
              </w:rPr>
            </w:pPr>
            <w:r w:rsidRPr="0023095D">
              <w:rPr>
                <w:sz w:val="24"/>
                <w:szCs w:val="24"/>
              </w:rPr>
              <w:br w:type="page"/>
            </w:r>
            <w:r w:rsidRPr="0023095D">
              <w:rPr>
                <w:rStyle w:val="af1"/>
                <w:rFonts w:eastAsiaTheme="majorEastAsia"/>
                <w:sz w:val="24"/>
                <w:szCs w:val="24"/>
              </w:rPr>
              <w:t>7.</w:t>
            </w:r>
          </w:p>
        </w:tc>
        <w:tc>
          <w:tcPr>
            <w:tcW w:w="6643" w:type="dxa"/>
            <w:tcBorders>
              <w:top w:val="single" w:sz="4" w:space="0" w:color="auto"/>
              <w:left w:val="single" w:sz="4" w:space="0" w:color="auto"/>
            </w:tcBorders>
          </w:tcPr>
          <w:p w14:paraId="63E4A867" w14:textId="77777777" w:rsidR="00CB781F" w:rsidRPr="0023095D" w:rsidRDefault="00CB781F" w:rsidP="00AE2B25">
            <w:pPr>
              <w:pStyle w:val="af2"/>
              <w:spacing w:line="276" w:lineRule="auto"/>
              <w:ind w:firstLine="0"/>
              <w:jc w:val="both"/>
              <w:rPr>
                <w:sz w:val="24"/>
                <w:szCs w:val="24"/>
              </w:rPr>
            </w:pPr>
            <w:r w:rsidRPr="0023095D">
              <w:rPr>
                <w:rStyle w:val="af1"/>
                <w:rFonts w:eastAsiaTheme="majorEastAsia"/>
                <w:sz w:val="24"/>
                <w:szCs w:val="24"/>
              </w:rPr>
              <w:t>Клинический диагноз установлен с указанием стадии заболевания, степени повышения артериального давления (при отсутствии терапии), категории риска, наличия поражения органов-мишеней и ассоциированных клинических состояний</w:t>
            </w:r>
          </w:p>
        </w:tc>
        <w:tc>
          <w:tcPr>
            <w:tcW w:w="1910" w:type="dxa"/>
            <w:tcBorders>
              <w:top w:val="single" w:sz="4" w:space="0" w:color="auto"/>
              <w:left w:val="single" w:sz="4" w:space="0" w:color="auto"/>
              <w:right w:val="single" w:sz="4" w:space="0" w:color="auto"/>
            </w:tcBorders>
          </w:tcPr>
          <w:p w14:paraId="561D7273" w14:textId="77777777" w:rsidR="00CB781F" w:rsidRPr="0023095D" w:rsidRDefault="00CB781F" w:rsidP="0023095D">
            <w:pPr>
              <w:pStyle w:val="af2"/>
              <w:spacing w:line="240" w:lineRule="auto"/>
              <w:ind w:firstLine="0"/>
              <w:jc w:val="center"/>
              <w:rPr>
                <w:sz w:val="24"/>
                <w:szCs w:val="24"/>
              </w:rPr>
            </w:pPr>
            <w:r w:rsidRPr="0023095D">
              <w:rPr>
                <w:rStyle w:val="af1"/>
                <w:rFonts w:eastAsiaTheme="majorEastAsia"/>
                <w:sz w:val="24"/>
                <w:szCs w:val="24"/>
              </w:rPr>
              <w:t>Да/Нет</w:t>
            </w:r>
          </w:p>
        </w:tc>
      </w:tr>
      <w:tr w:rsidR="00CB781F" w14:paraId="63FE6EA8" w14:textId="77777777" w:rsidTr="0023095D">
        <w:trPr>
          <w:trHeight w:hRule="exact" w:val="528"/>
          <w:jc w:val="center"/>
        </w:trPr>
        <w:tc>
          <w:tcPr>
            <w:tcW w:w="806" w:type="dxa"/>
            <w:tcBorders>
              <w:top w:val="single" w:sz="4" w:space="0" w:color="auto"/>
              <w:left w:val="single" w:sz="4" w:space="0" w:color="auto"/>
            </w:tcBorders>
            <w:shd w:val="clear" w:color="auto" w:fill="E7E6E6" w:themeFill="background2"/>
          </w:tcPr>
          <w:p w14:paraId="55EE5142" w14:textId="77777777" w:rsidR="00CB781F" w:rsidRPr="0023095D" w:rsidRDefault="00CB781F" w:rsidP="0023095D">
            <w:pPr>
              <w:pStyle w:val="af2"/>
              <w:spacing w:line="240" w:lineRule="auto"/>
              <w:ind w:firstLine="0"/>
              <w:jc w:val="center"/>
              <w:rPr>
                <w:sz w:val="24"/>
                <w:szCs w:val="24"/>
              </w:rPr>
            </w:pPr>
            <w:r w:rsidRPr="0023095D">
              <w:rPr>
                <w:rStyle w:val="af1"/>
                <w:rFonts w:eastAsiaTheme="majorEastAsia"/>
                <w:sz w:val="24"/>
                <w:szCs w:val="24"/>
              </w:rPr>
              <w:t>8.</w:t>
            </w:r>
          </w:p>
        </w:tc>
        <w:tc>
          <w:tcPr>
            <w:tcW w:w="6643" w:type="dxa"/>
            <w:tcBorders>
              <w:top w:val="single" w:sz="4" w:space="0" w:color="auto"/>
              <w:left w:val="single" w:sz="4" w:space="0" w:color="auto"/>
            </w:tcBorders>
          </w:tcPr>
          <w:p w14:paraId="32B02BB7" w14:textId="77777777" w:rsidR="00CB781F" w:rsidRPr="0023095D" w:rsidRDefault="00CB781F" w:rsidP="00AE2B25">
            <w:pPr>
              <w:pStyle w:val="af2"/>
              <w:spacing w:line="240" w:lineRule="auto"/>
              <w:ind w:firstLine="0"/>
              <w:jc w:val="both"/>
              <w:rPr>
                <w:sz w:val="24"/>
                <w:szCs w:val="24"/>
              </w:rPr>
            </w:pPr>
            <w:r w:rsidRPr="0023095D">
              <w:rPr>
                <w:rStyle w:val="af1"/>
                <w:rFonts w:eastAsiaTheme="majorEastAsia"/>
                <w:sz w:val="24"/>
                <w:szCs w:val="24"/>
              </w:rPr>
              <w:t>Даны рекомендации по модификации образа жизни</w:t>
            </w:r>
          </w:p>
        </w:tc>
        <w:tc>
          <w:tcPr>
            <w:tcW w:w="1910" w:type="dxa"/>
            <w:tcBorders>
              <w:top w:val="single" w:sz="4" w:space="0" w:color="auto"/>
              <w:left w:val="single" w:sz="4" w:space="0" w:color="auto"/>
              <w:right w:val="single" w:sz="4" w:space="0" w:color="auto"/>
            </w:tcBorders>
          </w:tcPr>
          <w:p w14:paraId="2B89E40C" w14:textId="77777777" w:rsidR="00CB781F" w:rsidRPr="0023095D" w:rsidRDefault="00CB781F" w:rsidP="0023095D">
            <w:pPr>
              <w:pStyle w:val="af2"/>
              <w:spacing w:line="240" w:lineRule="auto"/>
              <w:ind w:firstLine="0"/>
              <w:jc w:val="center"/>
              <w:rPr>
                <w:sz w:val="24"/>
                <w:szCs w:val="24"/>
              </w:rPr>
            </w:pPr>
            <w:r w:rsidRPr="0023095D">
              <w:rPr>
                <w:rStyle w:val="af1"/>
                <w:rFonts w:eastAsiaTheme="majorEastAsia"/>
                <w:sz w:val="24"/>
                <w:szCs w:val="24"/>
              </w:rPr>
              <w:t>Да/Нет</w:t>
            </w:r>
          </w:p>
        </w:tc>
      </w:tr>
      <w:tr w:rsidR="00CB781F" w14:paraId="515F0882" w14:textId="77777777" w:rsidTr="0023095D">
        <w:trPr>
          <w:trHeight w:hRule="exact" w:val="1478"/>
          <w:jc w:val="center"/>
        </w:trPr>
        <w:tc>
          <w:tcPr>
            <w:tcW w:w="806" w:type="dxa"/>
            <w:tcBorders>
              <w:top w:val="single" w:sz="4" w:space="0" w:color="auto"/>
              <w:left w:val="single" w:sz="4" w:space="0" w:color="auto"/>
            </w:tcBorders>
            <w:shd w:val="clear" w:color="auto" w:fill="E7E6E6" w:themeFill="background2"/>
          </w:tcPr>
          <w:p w14:paraId="32E81C1E" w14:textId="77777777" w:rsidR="00CB781F" w:rsidRPr="0023095D" w:rsidRDefault="00CB781F" w:rsidP="0023095D">
            <w:pPr>
              <w:pStyle w:val="af2"/>
              <w:spacing w:line="240" w:lineRule="auto"/>
              <w:ind w:firstLine="0"/>
              <w:jc w:val="center"/>
              <w:rPr>
                <w:sz w:val="24"/>
                <w:szCs w:val="24"/>
              </w:rPr>
            </w:pPr>
            <w:r w:rsidRPr="0023095D">
              <w:rPr>
                <w:rStyle w:val="af1"/>
                <w:rFonts w:eastAsiaTheme="majorEastAsia"/>
                <w:sz w:val="24"/>
                <w:szCs w:val="24"/>
              </w:rPr>
              <w:t>9.</w:t>
            </w:r>
          </w:p>
        </w:tc>
        <w:tc>
          <w:tcPr>
            <w:tcW w:w="6643" w:type="dxa"/>
            <w:tcBorders>
              <w:top w:val="single" w:sz="4" w:space="0" w:color="auto"/>
              <w:left w:val="single" w:sz="4" w:space="0" w:color="auto"/>
            </w:tcBorders>
          </w:tcPr>
          <w:p w14:paraId="0D8B72C2" w14:textId="77777777" w:rsidR="00CB781F" w:rsidRPr="0023095D" w:rsidRDefault="00CB781F" w:rsidP="00AE2B25">
            <w:pPr>
              <w:pStyle w:val="af2"/>
              <w:spacing w:line="276" w:lineRule="auto"/>
              <w:ind w:firstLine="0"/>
              <w:jc w:val="both"/>
              <w:rPr>
                <w:sz w:val="24"/>
                <w:szCs w:val="24"/>
              </w:rPr>
            </w:pPr>
            <w:r w:rsidRPr="0023095D">
              <w:rPr>
                <w:rStyle w:val="af1"/>
                <w:rFonts w:eastAsiaTheme="majorEastAsia"/>
                <w:sz w:val="24"/>
                <w:szCs w:val="24"/>
              </w:rPr>
              <w:t>Выполнено назначение антигипертензивной лекарственной терапии после 3-го месяца модификации образа жизни (при артериальной гипертензии 1-й степени и низком или среднем риске при неэффективности модификации образа жизни)</w:t>
            </w:r>
          </w:p>
        </w:tc>
        <w:tc>
          <w:tcPr>
            <w:tcW w:w="1910" w:type="dxa"/>
            <w:tcBorders>
              <w:top w:val="single" w:sz="4" w:space="0" w:color="auto"/>
              <w:left w:val="single" w:sz="4" w:space="0" w:color="auto"/>
              <w:right w:val="single" w:sz="4" w:space="0" w:color="auto"/>
            </w:tcBorders>
          </w:tcPr>
          <w:p w14:paraId="39BE375F" w14:textId="77777777" w:rsidR="00CB781F" w:rsidRPr="0023095D" w:rsidRDefault="00CB781F" w:rsidP="0023095D">
            <w:pPr>
              <w:pStyle w:val="af2"/>
              <w:spacing w:line="240" w:lineRule="auto"/>
              <w:ind w:firstLine="0"/>
              <w:jc w:val="center"/>
              <w:rPr>
                <w:sz w:val="24"/>
                <w:szCs w:val="24"/>
              </w:rPr>
            </w:pPr>
            <w:r w:rsidRPr="0023095D">
              <w:rPr>
                <w:rStyle w:val="af1"/>
                <w:rFonts w:eastAsiaTheme="majorEastAsia"/>
                <w:sz w:val="24"/>
                <w:szCs w:val="24"/>
              </w:rPr>
              <w:t>Да/Нет</w:t>
            </w:r>
          </w:p>
        </w:tc>
      </w:tr>
      <w:tr w:rsidR="00CB781F" w14:paraId="090969A3" w14:textId="77777777" w:rsidTr="0023095D">
        <w:trPr>
          <w:trHeight w:hRule="exact" w:val="1478"/>
          <w:jc w:val="center"/>
        </w:trPr>
        <w:tc>
          <w:tcPr>
            <w:tcW w:w="806" w:type="dxa"/>
            <w:tcBorders>
              <w:top w:val="single" w:sz="4" w:space="0" w:color="auto"/>
              <w:left w:val="single" w:sz="4" w:space="0" w:color="auto"/>
            </w:tcBorders>
            <w:shd w:val="clear" w:color="auto" w:fill="E7E6E6" w:themeFill="background2"/>
          </w:tcPr>
          <w:p w14:paraId="45D64AA1" w14:textId="77777777" w:rsidR="00CB781F" w:rsidRPr="0023095D" w:rsidRDefault="00CB781F" w:rsidP="0023095D">
            <w:pPr>
              <w:pStyle w:val="af2"/>
              <w:spacing w:line="240" w:lineRule="auto"/>
              <w:ind w:firstLine="0"/>
              <w:jc w:val="center"/>
              <w:rPr>
                <w:sz w:val="24"/>
                <w:szCs w:val="24"/>
              </w:rPr>
            </w:pPr>
            <w:r w:rsidRPr="0023095D">
              <w:rPr>
                <w:rStyle w:val="af1"/>
                <w:rFonts w:eastAsiaTheme="majorEastAsia"/>
                <w:sz w:val="24"/>
                <w:szCs w:val="24"/>
              </w:rPr>
              <w:t>10.</w:t>
            </w:r>
          </w:p>
        </w:tc>
        <w:tc>
          <w:tcPr>
            <w:tcW w:w="6643" w:type="dxa"/>
            <w:tcBorders>
              <w:top w:val="single" w:sz="4" w:space="0" w:color="auto"/>
              <w:left w:val="single" w:sz="4" w:space="0" w:color="auto"/>
            </w:tcBorders>
          </w:tcPr>
          <w:p w14:paraId="48F9CF70" w14:textId="77777777" w:rsidR="00CB781F" w:rsidRPr="0023095D" w:rsidRDefault="00CB781F" w:rsidP="00AE2B25">
            <w:pPr>
              <w:pStyle w:val="af2"/>
              <w:spacing w:line="276" w:lineRule="auto"/>
              <w:ind w:firstLine="0"/>
              <w:jc w:val="both"/>
              <w:rPr>
                <w:sz w:val="24"/>
                <w:szCs w:val="24"/>
              </w:rPr>
            </w:pPr>
            <w:r w:rsidRPr="0023095D">
              <w:rPr>
                <w:rStyle w:val="af1"/>
                <w:rFonts w:eastAsiaTheme="majorEastAsia"/>
                <w:sz w:val="24"/>
                <w:szCs w:val="24"/>
              </w:rPr>
              <w:t>Лицам с АГ 2-й степени и выше назначена комбинированная двухкомпонентная антигипертензивная терапия сразу после постановки диагноза и проведена ее интенсификация для достижения целевого АД</w:t>
            </w:r>
          </w:p>
        </w:tc>
        <w:tc>
          <w:tcPr>
            <w:tcW w:w="1910" w:type="dxa"/>
            <w:tcBorders>
              <w:top w:val="single" w:sz="4" w:space="0" w:color="auto"/>
              <w:left w:val="single" w:sz="4" w:space="0" w:color="auto"/>
              <w:right w:val="single" w:sz="4" w:space="0" w:color="auto"/>
            </w:tcBorders>
          </w:tcPr>
          <w:p w14:paraId="3297EA6F" w14:textId="77777777" w:rsidR="00CB781F" w:rsidRPr="0023095D" w:rsidRDefault="00CB781F" w:rsidP="0023095D">
            <w:pPr>
              <w:pStyle w:val="af2"/>
              <w:spacing w:line="240" w:lineRule="auto"/>
              <w:ind w:firstLine="0"/>
              <w:jc w:val="center"/>
              <w:rPr>
                <w:sz w:val="24"/>
                <w:szCs w:val="24"/>
              </w:rPr>
            </w:pPr>
            <w:r w:rsidRPr="0023095D">
              <w:rPr>
                <w:rStyle w:val="af1"/>
                <w:rFonts w:eastAsiaTheme="majorEastAsia"/>
                <w:sz w:val="24"/>
                <w:szCs w:val="24"/>
              </w:rPr>
              <w:t>Да/Нет</w:t>
            </w:r>
          </w:p>
        </w:tc>
      </w:tr>
      <w:tr w:rsidR="00CB781F" w14:paraId="04F0B1E3" w14:textId="77777777" w:rsidTr="0023095D">
        <w:trPr>
          <w:trHeight w:hRule="exact" w:val="4339"/>
          <w:jc w:val="center"/>
        </w:trPr>
        <w:tc>
          <w:tcPr>
            <w:tcW w:w="806" w:type="dxa"/>
            <w:tcBorders>
              <w:top w:val="single" w:sz="4" w:space="0" w:color="auto"/>
              <w:left w:val="single" w:sz="4" w:space="0" w:color="auto"/>
            </w:tcBorders>
            <w:shd w:val="clear" w:color="auto" w:fill="E7E6E6" w:themeFill="background2"/>
          </w:tcPr>
          <w:p w14:paraId="4926465D" w14:textId="77777777" w:rsidR="00CB781F" w:rsidRPr="0023095D" w:rsidRDefault="00CB781F" w:rsidP="0023095D">
            <w:pPr>
              <w:pStyle w:val="af2"/>
              <w:spacing w:line="240" w:lineRule="auto"/>
              <w:ind w:firstLine="0"/>
              <w:jc w:val="center"/>
              <w:rPr>
                <w:sz w:val="24"/>
                <w:szCs w:val="24"/>
              </w:rPr>
            </w:pPr>
            <w:r w:rsidRPr="0023095D">
              <w:rPr>
                <w:rStyle w:val="af1"/>
                <w:rFonts w:eastAsiaTheme="majorEastAsia"/>
                <w:sz w:val="24"/>
                <w:szCs w:val="24"/>
              </w:rPr>
              <w:t>11.</w:t>
            </w:r>
          </w:p>
        </w:tc>
        <w:tc>
          <w:tcPr>
            <w:tcW w:w="6643" w:type="dxa"/>
            <w:tcBorders>
              <w:top w:val="single" w:sz="4" w:space="0" w:color="auto"/>
              <w:left w:val="single" w:sz="4" w:space="0" w:color="auto"/>
            </w:tcBorders>
          </w:tcPr>
          <w:p w14:paraId="5C6647CF" w14:textId="77777777" w:rsidR="00CB781F" w:rsidRPr="0023095D" w:rsidRDefault="00CB781F" w:rsidP="00AE2B25">
            <w:pPr>
              <w:pStyle w:val="af2"/>
              <w:spacing w:line="276" w:lineRule="auto"/>
              <w:ind w:firstLine="0"/>
              <w:jc w:val="both"/>
              <w:rPr>
                <w:sz w:val="24"/>
                <w:szCs w:val="24"/>
              </w:rPr>
            </w:pPr>
            <w:r w:rsidRPr="0023095D">
              <w:rPr>
                <w:rStyle w:val="af1"/>
                <w:rFonts w:eastAsiaTheme="majorEastAsia"/>
                <w:sz w:val="24"/>
                <w:szCs w:val="24"/>
              </w:rPr>
              <w:t xml:space="preserve">Достигнут целевой уровень </w:t>
            </w:r>
            <w:proofErr w:type="gramStart"/>
            <w:r w:rsidRPr="0023095D">
              <w:rPr>
                <w:rStyle w:val="af1"/>
                <w:rFonts w:eastAsiaTheme="majorEastAsia"/>
                <w:sz w:val="24"/>
                <w:szCs w:val="24"/>
              </w:rPr>
              <w:t>САД&lt;</w:t>
            </w:r>
            <w:proofErr w:type="gramEnd"/>
            <w:r w:rsidRPr="0023095D">
              <w:rPr>
                <w:rStyle w:val="af1"/>
                <w:rFonts w:eastAsiaTheme="majorEastAsia"/>
                <w:sz w:val="24"/>
                <w:szCs w:val="24"/>
              </w:rPr>
              <w:t>140 мм рт. ст. и ДАД &lt; 90 мм рт. ст. через 3 месяца от начала лечения, а при условии хорошей переносимости в течение 6 месяцев достигнут целевой уровень 130/80 мм рт. ст. или ниже. При недостижении целевого АД приведено объяснение необходимости индивидуального уровня АД и скорости его снижения (плохая переносимость, побочные эффекты лекарственной терапии, низкая приверженность пациента к лечению, включая невыполнения рекомендаций врача, необходимость ревизии поставленного диагноза для исключения симптоматической АГ, наличие сопутствующей патологии или лекарственной терапии, затрудняющей контроль АД)</w:t>
            </w:r>
          </w:p>
        </w:tc>
        <w:tc>
          <w:tcPr>
            <w:tcW w:w="1910" w:type="dxa"/>
            <w:tcBorders>
              <w:top w:val="single" w:sz="4" w:space="0" w:color="auto"/>
              <w:left w:val="single" w:sz="4" w:space="0" w:color="auto"/>
              <w:right w:val="single" w:sz="4" w:space="0" w:color="auto"/>
            </w:tcBorders>
          </w:tcPr>
          <w:p w14:paraId="5ADDAADC" w14:textId="77777777" w:rsidR="00CB781F" w:rsidRPr="0023095D" w:rsidRDefault="00CB781F" w:rsidP="0023095D">
            <w:pPr>
              <w:pStyle w:val="af2"/>
              <w:spacing w:line="240" w:lineRule="auto"/>
              <w:ind w:firstLine="0"/>
              <w:jc w:val="center"/>
              <w:rPr>
                <w:sz w:val="24"/>
                <w:szCs w:val="24"/>
              </w:rPr>
            </w:pPr>
            <w:r w:rsidRPr="0023095D">
              <w:rPr>
                <w:rStyle w:val="af1"/>
                <w:rFonts w:eastAsiaTheme="majorEastAsia"/>
                <w:sz w:val="24"/>
                <w:szCs w:val="24"/>
              </w:rPr>
              <w:t>Да/Нет</w:t>
            </w:r>
          </w:p>
        </w:tc>
      </w:tr>
      <w:tr w:rsidR="00CB781F" w14:paraId="7EA2983B" w14:textId="77777777" w:rsidTr="0023095D">
        <w:trPr>
          <w:trHeight w:hRule="exact" w:val="533"/>
          <w:jc w:val="center"/>
        </w:trPr>
        <w:tc>
          <w:tcPr>
            <w:tcW w:w="806" w:type="dxa"/>
            <w:tcBorders>
              <w:top w:val="single" w:sz="4" w:space="0" w:color="auto"/>
              <w:left w:val="single" w:sz="4" w:space="0" w:color="auto"/>
              <w:bottom w:val="single" w:sz="4" w:space="0" w:color="auto"/>
            </w:tcBorders>
            <w:shd w:val="clear" w:color="auto" w:fill="E7E6E6" w:themeFill="background2"/>
          </w:tcPr>
          <w:p w14:paraId="20E4FD86" w14:textId="77777777" w:rsidR="00CB781F" w:rsidRPr="0023095D" w:rsidRDefault="00CB781F" w:rsidP="0023095D">
            <w:pPr>
              <w:pStyle w:val="af2"/>
              <w:spacing w:line="240" w:lineRule="auto"/>
              <w:ind w:firstLine="0"/>
              <w:jc w:val="center"/>
              <w:rPr>
                <w:sz w:val="24"/>
                <w:szCs w:val="24"/>
              </w:rPr>
            </w:pPr>
            <w:r w:rsidRPr="0023095D">
              <w:rPr>
                <w:rStyle w:val="af1"/>
                <w:rFonts w:eastAsiaTheme="majorEastAsia"/>
                <w:sz w:val="24"/>
                <w:szCs w:val="24"/>
              </w:rPr>
              <w:lastRenderedPageBreak/>
              <w:t>12.</w:t>
            </w:r>
          </w:p>
        </w:tc>
        <w:tc>
          <w:tcPr>
            <w:tcW w:w="6643" w:type="dxa"/>
            <w:tcBorders>
              <w:top w:val="single" w:sz="4" w:space="0" w:color="auto"/>
              <w:left w:val="single" w:sz="4" w:space="0" w:color="auto"/>
              <w:bottom w:val="single" w:sz="4" w:space="0" w:color="auto"/>
            </w:tcBorders>
          </w:tcPr>
          <w:p w14:paraId="0BDED008" w14:textId="77777777" w:rsidR="00CB781F" w:rsidRPr="0023095D" w:rsidRDefault="00CB781F" w:rsidP="00AE2B25">
            <w:pPr>
              <w:pStyle w:val="af2"/>
              <w:spacing w:line="240" w:lineRule="auto"/>
              <w:ind w:firstLine="0"/>
              <w:jc w:val="both"/>
              <w:rPr>
                <w:sz w:val="24"/>
                <w:szCs w:val="24"/>
              </w:rPr>
            </w:pPr>
            <w:r w:rsidRPr="0023095D">
              <w:rPr>
                <w:rStyle w:val="af1"/>
                <w:rFonts w:eastAsiaTheme="majorEastAsia"/>
                <w:sz w:val="24"/>
                <w:szCs w:val="24"/>
              </w:rPr>
              <w:t>Пациент взят под диспансерное наблюдение</w:t>
            </w:r>
          </w:p>
        </w:tc>
        <w:tc>
          <w:tcPr>
            <w:tcW w:w="1910" w:type="dxa"/>
            <w:tcBorders>
              <w:top w:val="single" w:sz="4" w:space="0" w:color="auto"/>
              <w:left w:val="single" w:sz="4" w:space="0" w:color="auto"/>
              <w:bottom w:val="single" w:sz="4" w:space="0" w:color="auto"/>
              <w:right w:val="single" w:sz="4" w:space="0" w:color="auto"/>
            </w:tcBorders>
          </w:tcPr>
          <w:p w14:paraId="7DDF67EB" w14:textId="77777777" w:rsidR="00CB781F" w:rsidRPr="0023095D" w:rsidRDefault="00CB781F" w:rsidP="0023095D">
            <w:pPr>
              <w:pStyle w:val="af2"/>
              <w:spacing w:line="240" w:lineRule="auto"/>
              <w:ind w:firstLine="0"/>
              <w:jc w:val="center"/>
              <w:rPr>
                <w:sz w:val="24"/>
                <w:szCs w:val="24"/>
              </w:rPr>
            </w:pPr>
            <w:r w:rsidRPr="0023095D">
              <w:rPr>
                <w:rStyle w:val="af1"/>
                <w:rFonts w:eastAsiaTheme="majorEastAsia"/>
                <w:sz w:val="24"/>
                <w:szCs w:val="24"/>
              </w:rPr>
              <w:t>Да/Нет</w:t>
            </w:r>
          </w:p>
        </w:tc>
      </w:tr>
    </w:tbl>
    <w:p w14:paraId="3EB704FF" w14:textId="77777777" w:rsidR="00CB781F" w:rsidRDefault="00CB781F" w:rsidP="00CB781F">
      <w:pPr>
        <w:spacing w:after="259" w:line="1" w:lineRule="exact"/>
      </w:pPr>
    </w:p>
    <w:p w14:paraId="0E478454" w14:textId="77777777" w:rsidR="00CB781F" w:rsidRPr="00AE2B25" w:rsidRDefault="00CB781F" w:rsidP="00AE2B25">
      <w:pPr>
        <w:pStyle w:val="11"/>
        <w:tabs>
          <w:tab w:val="left" w:pos="1794"/>
        </w:tabs>
        <w:spacing w:after="260"/>
        <w:ind w:firstLine="0"/>
        <w:jc w:val="center"/>
        <w:rPr>
          <w:sz w:val="24"/>
          <w:szCs w:val="24"/>
        </w:rPr>
      </w:pPr>
      <w:r w:rsidRPr="00AE2B25">
        <w:rPr>
          <w:rStyle w:val="ac"/>
          <w:rFonts w:eastAsiaTheme="majorEastAsia"/>
          <w:b/>
          <w:bCs/>
          <w:sz w:val="24"/>
          <w:szCs w:val="24"/>
        </w:rPr>
        <w:t xml:space="preserve">Критерии оценки качества специализированной медицинской помощи взрослым при артериальной гипертензии (коды по МКБ - 10: </w:t>
      </w:r>
      <w:r w:rsidRPr="00AE2B25">
        <w:rPr>
          <w:rStyle w:val="ac"/>
          <w:rFonts w:eastAsiaTheme="majorEastAsia"/>
          <w:b/>
          <w:bCs/>
          <w:sz w:val="24"/>
          <w:szCs w:val="24"/>
          <w:lang w:val="en-US"/>
        </w:rPr>
        <w:t>I</w:t>
      </w:r>
      <w:r w:rsidRPr="00AE2B25">
        <w:rPr>
          <w:rStyle w:val="ac"/>
          <w:rFonts w:eastAsiaTheme="majorEastAsia"/>
          <w:b/>
          <w:bCs/>
          <w:sz w:val="24"/>
          <w:szCs w:val="24"/>
        </w:rPr>
        <w:t xml:space="preserve">10, </w:t>
      </w:r>
      <w:r w:rsidRPr="00AE2B25">
        <w:rPr>
          <w:rStyle w:val="ac"/>
          <w:rFonts w:eastAsiaTheme="majorEastAsia"/>
          <w:b/>
          <w:bCs/>
          <w:sz w:val="24"/>
          <w:szCs w:val="24"/>
          <w:lang w:val="en-US"/>
        </w:rPr>
        <w:t>I</w:t>
      </w:r>
      <w:r w:rsidRPr="00AE2B25">
        <w:rPr>
          <w:rStyle w:val="ac"/>
          <w:rFonts w:eastAsiaTheme="majorEastAsia"/>
          <w:b/>
          <w:bCs/>
          <w:sz w:val="24"/>
          <w:szCs w:val="24"/>
        </w:rPr>
        <w:t xml:space="preserve">11, </w:t>
      </w:r>
      <w:r w:rsidRPr="00AE2B25">
        <w:rPr>
          <w:rStyle w:val="ac"/>
          <w:rFonts w:eastAsiaTheme="majorEastAsia"/>
          <w:b/>
          <w:bCs/>
          <w:sz w:val="24"/>
          <w:szCs w:val="24"/>
          <w:lang w:val="en-US"/>
        </w:rPr>
        <w:t>I</w:t>
      </w:r>
      <w:r w:rsidRPr="00AE2B25">
        <w:rPr>
          <w:rStyle w:val="ac"/>
          <w:rFonts w:eastAsiaTheme="majorEastAsia"/>
          <w:b/>
          <w:bCs/>
          <w:sz w:val="24"/>
          <w:szCs w:val="24"/>
        </w:rPr>
        <w:t xml:space="preserve">12, </w:t>
      </w:r>
      <w:r w:rsidRPr="00AE2B25">
        <w:rPr>
          <w:rStyle w:val="ac"/>
          <w:rFonts w:eastAsiaTheme="majorEastAsia"/>
          <w:b/>
          <w:bCs/>
          <w:sz w:val="24"/>
          <w:szCs w:val="24"/>
          <w:lang w:val="en-US"/>
        </w:rPr>
        <w:t>I</w:t>
      </w:r>
      <w:r w:rsidRPr="00AE2B25">
        <w:rPr>
          <w:rStyle w:val="ac"/>
          <w:rFonts w:eastAsiaTheme="majorEastAsia"/>
          <w:b/>
          <w:bCs/>
          <w:sz w:val="24"/>
          <w:szCs w:val="24"/>
        </w:rPr>
        <w:t xml:space="preserve">13, </w:t>
      </w:r>
      <w:r w:rsidRPr="00AE2B25">
        <w:rPr>
          <w:rStyle w:val="ac"/>
          <w:rFonts w:eastAsiaTheme="majorEastAsia"/>
          <w:b/>
          <w:bCs/>
          <w:sz w:val="24"/>
          <w:szCs w:val="24"/>
          <w:lang w:val="en-US"/>
        </w:rPr>
        <w:t>I</w:t>
      </w:r>
      <w:r w:rsidRPr="00AE2B25">
        <w:rPr>
          <w:rStyle w:val="ac"/>
          <w:rFonts w:eastAsiaTheme="majorEastAsia"/>
          <w:b/>
          <w:bCs/>
          <w:sz w:val="24"/>
          <w:szCs w:val="24"/>
        </w:rPr>
        <w:t>15)</w:t>
      </w:r>
    </w:p>
    <w:tbl>
      <w:tblPr>
        <w:tblOverlap w:val="never"/>
        <w:tblW w:w="9359" w:type="dxa"/>
        <w:jc w:val="center"/>
        <w:tblLayout w:type="fixed"/>
        <w:tblCellMar>
          <w:left w:w="10" w:type="dxa"/>
          <w:right w:w="10" w:type="dxa"/>
        </w:tblCellMar>
        <w:tblLook w:val="0000" w:firstRow="0" w:lastRow="0" w:firstColumn="0" w:lastColumn="0" w:noHBand="0" w:noVBand="0"/>
      </w:tblPr>
      <w:tblGrid>
        <w:gridCol w:w="806"/>
        <w:gridCol w:w="6643"/>
        <w:gridCol w:w="1910"/>
      </w:tblGrid>
      <w:tr w:rsidR="00CB781F" w:rsidRPr="00AE2B25" w14:paraId="3E02DD90" w14:textId="77777777" w:rsidTr="00AE2B25">
        <w:trPr>
          <w:trHeight w:hRule="exact" w:val="850"/>
          <w:jc w:val="center"/>
        </w:trPr>
        <w:tc>
          <w:tcPr>
            <w:tcW w:w="806" w:type="dxa"/>
            <w:tcBorders>
              <w:top w:val="single" w:sz="4" w:space="0" w:color="auto"/>
              <w:left w:val="single" w:sz="4" w:space="0" w:color="auto"/>
            </w:tcBorders>
            <w:shd w:val="clear" w:color="auto" w:fill="E7E6E6" w:themeFill="background2"/>
          </w:tcPr>
          <w:p w14:paraId="68AC4E40" w14:textId="77777777" w:rsidR="00CB781F" w:rsidRPr="00AE2B25" w:rsidRDefault="00CB781F" w:rsidP="00AE2B25">
            <w:pPr>
              <w:pStyle w:val="af2"/>
              <w:spacing w:line="240" w:lineRule="auto"/>
              <w:ind w:firstLine="0"/>
              <w:jc w:val="center"/>
              <w:rPr>
                <w:sz w:val="24"/>
                <w:szCs w:val="24"/>
              </w:rPr>
            </w:pPr>
            <w:r w:rsidRPr="00AE2B25">
              <w:rPr>
                <w:rStyle w:val="af1"/>
                <w:rFonts w:eastAsiaTheme="majorEastAsia"/>
                <w:sz w:val="24"/>
                <w:szCs w:val="24"/>
                <w:lang w:val="en-US"/>
              </w:rPr>
              <w:t xml:space="preserve">N </w:t>
            </w:r>
            <w:r w:rsidRPr="00AE2B25">
              <w:rPr>
                <w:rStyle w:val="af1"/>
                <w:rFonts w:eastAsiaTheme="majorEastAsia"/>
                <w:sz w:val="24"/>
                <w:szCs w:val="24"/>
              </w:rPr>
              <w:t>п/п</w:t>
            </w:r>
          </w:p>
        </w:tc>
        <w:tc>
          <w:tcPr>
            <w:tcW w:w="6643" w:type="dxa"/>
            <w:tcBorders>
              <w:top w:val="single" w:sz="4" w:space="0" w:color="auto"/>
              <w:left w:val="single" w:sz="4" w:space="0" w:color="auto"/>
            </w:tcBorders>
            <w:shd w:val="clear" w:color="auto" w:fill="E7E6E6" w:themeFill="background2"/>
          </w:tcPr>
          <w:p w14:paraId="3542CEE2" w14:textId="77777777" w:rsidR="00CB781F" w:rsidRPr="00AE2B25" w:rsidRDefault="00CB781F" w:rsidP="00AE2B25">
            <w:pPr>
              <w:pStyle w:val="af2"/>
              <w:spacing w:line="240" w:lineRule="auto"/>
              <w:ind w:firstLine="0"/>
              <w:jc w:val="center"/>
              <w:rPr>
                <w:sz w:val="24"/>
                <w:szCs w:val="24"/>
              </w:rPr>
            </w:pPr>
            <w:r w:rsidRPr="00AE2B25">
              <w:rPr>
                <w:rStyle w:val="af1"/>
                <w:rFonts w:eastAsiaTheme="majorEastAsia"/>
                <w:sz w:val="24"/>
                <w:szCs w:val="24"/>
              </w:rPr>
              <w:t>Критерии оценки качества</w:t>
            </w:r>
          </w:p>
        </w:tc>
        <w:tc>
          <w:tcPr>
            <w:tcW w:w="1910" w:type="dxa"/>
            <w:tcBorders>
              <w:top w:val="single" w:sz="4" w:space="0" w:color="auto"/>
              <w:left w:val="single" w:sz="4" w:space="0" w:color="auto"/>
              <w:right w:val="single" w:sz="4" w:space="0" w:color="auto"/>
            </w:tcBorders>
            <w:shd w:val="clear" w:color="auto" w:fill="E7E6E6" w:themeFill="background2"/>
          </w:tcPr>
          <w:p w14:paraId="5F078193" w14:textId="77777777" w:rsidR="00CB781F" w:rsidRPr="00AE2B25" w:rsidRDefault="00CB781F" w:rsidP="00AE2B25">
            <w:pPr>
              <w:pStyle w:val="af2"/>
              <w:spacing w:line="276" w:lineRule="auto"/>
              <w:ind w:firstLine="0"/>
              <w:jc w:val="center"/>
              <w:rPr>
                <w:sz w:val="24"/>
                <w:szCs w:val="24"/>
              </w:rPr>
            </w:pPr>
            <w:r w:rsidRPr="00AE2B25">
              <w:rPr>
                <w:rStyle w:val="af1"/>
                <w:rFonts w:eastAsiaTheme="majorEastAsia"/>
                <w:sz w:val="24"/>
                <w:szCs w:val="24"/>
              </w:rPr>
              <w:t>Оценка выполнения</w:t>
            </w:r>
          </w:p>
        </w:tc>
      </w:tr>
      <w:tr w:rsidR="00CB781F" w:rsidRPr="00AE2B25" w14:paraId="647C398E" w14:textId="77777777" w:rsidTr="00AE2B25">
        <w:trPr>
          <w:trHeight w:hRule="exact" w:val="1800"/>
          <w:jc w:val="center"/>
        </w:trPr>
        <w:tc>
          <w:tcPr>
            <w:tcW w:w="806" w:type="dxa"/>
            <w:tcBorders>
              <w:top w:val="single" w:sz="4" w:space="0" w:color="auto"/>
              <w:left w:val="single" w:sz="4" w:space="0" w:color="auto"/>
              <w:bottom w:val="single" w:sz="4" w:space="0" w:color="auto"/>
            </w:tcBorders>
            <w:shd w:val="clear" w:color="auto" w:fill="E7E6E6" w:themeFill="background2"/>
          </w:tcPr>
          <w:p w14:paraId="0EFAAC24" w14:textId="77777777" w:rsidR="00CB781F" w:rsidRPr="00AE2B25" w:rsidRDefault="00CB781F" w:rsidP="00AE2B25">
            <w:pPr>
              <w:pStyle w:val="af2"/>
              <w:spacing w:line="240" w:lineRule="auto"/>
              <w:ind w:firstLine="0"/>
              <w:jc w:val="center"/>
              <w:rPr>
                <w:sz w:val="24"/>
                <w:szCs w:val="24"/>
              </w:rPr>
            </w:pPr>
            <w:r w:rsidRPr="00AE2B25">
              <w:rPr>
                <w:rStyle w:val="af1"/>
                <w:rFonts w:eastAsiaTheme="majorEastAsia"/>
                <w:sz w:val="24"/>
                <w:szCs w:val="24"/>
              </w:rPr>
              <w:t>1.</w:t>
            </w:r>
          </w:p>
        </w:tc>
        <w:tc>
          <w:tcPr>
            <w:tcW w:w="6643" w:type="dxa"/>
            <w:tcBorders>
              <w:top w:val="single" w:sz="4" w:space="0" w:color="auto"/>
              <w:left w:val="single" w:sz="4" w:space="0" w:color="auto"/>
              <w:bottom w:val="single" w:sz="4" w:space="0" w:color="auto"/>
            </w:tcBorders>
          </w:tcPr>
          <w:p w14:paraId="41AA97DA" w14:textId="77777777" w:rsidR="00CB781F" w:rsidRPr="00AE2B25" w:rsidRDefault="00CB781F" w:rsidP="00AE2B25">
            <w:pPr>
              <w:pStyle w:val="af2"/>
              <w:spacing w:line="276" w:lineRule="auto"/>
              <w:ind w:firstLine="0"/>
              <w:jc w:val="both"/>
              <w:rPr>
                <w:sz w:val="24"/>
                <w:szCs w:val="24"/>
              </w:rPr>
            </w:pPr>
            <w:r w:rsidRPr="00AE2B25">
              <w:rPr>
                <w:rStyle w:val="af1"/>
                <w:rFonts w:eastAsiaTheme="majorEastAsia"/>
                <w:sz w:val="24"/>
                <w:szCs w:val="24"/>
              </w:rPr>
              <w:t>Зафиксировано в медицинской документации повышение офисного (клинического) артериального давления выше 140 или 90 мм рт. ст. на повторных визитах, либо на основании суточного мониторирования артериального давления (среднее за 24 часа ≥130 мм или ≥80 мм рт. ст.)</w:t>
            </w:r>
          </w:p>
        </w:tc>
        <w:tc>
          <w:tcPr>
            <w:tcW w:w="1910" w:type="dxa"/>
            <w:tcBorders>
              <w:top w:val="single" w:sz="4" w:space="0" w:color="auto"/>
              <w:left w:val="single" w:sz="4" w:space="0" w:color="auto"/>
              <w:bottom w:val="single" w:sz="4" w:space="0" w:color="auto"/>
              <w:right w:val="single" w:sz="4" w:space="0" w:color="auto"/>
            </w:tcBorders>
          </w:tcPr>
          <w:p w14:paraId="48905791" w14:textId="77777777" w:rsidR="00CB781F" w:rsidRPr="00AE2B25" w:rsidRDefault="00CB781F" w:rsidP="00AE2B25">
            <w:pPr>
              <w:pStyle w:val="af2"/>
              <w:spacing w:line="240" w:lineRule="auto"/>
              <w:ind w:firstLine="0"/>
              <w:jc w:val="center"/>
              <w:rPr>
                <w:sz w:val="24"/>
                <w:szCs w:val="24"/>
              </w:rPr>
            </w:pPr>
            <w:r w:rsidRPr="00AE2B25">
              <w:rPr>
                <w:rStyle w:val="af1"/>
                <w:rFonts w:eastAsiaTheme="majorEastAsia"/>
                <w:sz w:val="24"/>
                <w:szCs w:val="24"/>
              </w:rPr>
              <w:t>Да/Нет</w:t>
            </w:r>
          </w:p>
        </w:tc>
      </w:tr>
      <w:tr w:rsidR="00CB781F" w:rsidRPr="00AE2B25" w14:paraId="2B85F0E9" w14:textId="77777777" w:rsidTr="00AE2B25">
        <w:trPr>
          <w:trHeight w:hRule="exact" w:val="1483"/>
          <w:jc w:val="center"/>
        </w:trPr>
        <w:tc>
          <w:tcPr>
            <w:tcW w:w="806" w:type="dxa"/>
            <w:tcBorders>
              <w:top w:val="single" w:sz="4" w:space="0" w:color="auto"/>
              <w:left w:val="single" w:sz="4" w:space="0" w:color="auto"/>
            </w:tcBorders>
            <w:shd w:val="clear" w:color="auto" w:fill="E7E6E6" w:themeFill="background2"/>
          </w:tcPr>
          <w:p w14:paraId="0CB8DB4C" w14:textId="77777777" w:rsidR="00CB781F" w:rsidRPr="00AE2B25" w:rsidRDefault="00CB781F" w:rsidP="00AE2B25">
            <w:pPr>
              <w:pStyle w:val="af2"/>
              <w:spacing w:line="240" w:lineRule="auto"/>
              <w:ind w:firstLine="0"/>
              <w:jc w:val="center"/>
              <w:rPr>
                <w:sz w:val="24"/>
                <w:szCs w:val="24"/>
              </w:rPr>
            </w:pPr>
            <w:r w:rsidRPr="00AE2B25">
              <w:rPr>
                <w:rStyle w:val="af1"/>
                <w:rFonts w:eastAsiaTheme="majorEastAsia"/>
                <w:sz w:val="24"/>
                <w:szCs w:val="24"/>
              </w:rPr>
              <w:t>2.</w:t>
            </w:r>
          </w:p>
        </w:tc>
        <w:tc>
          <w:tcPr>
            <w:tcW w:w="6643" w:type="dxa"/>
            <w:tcBorders>
              <w:top w:val="single" w:sz="4" w:space="0" w:color="auto"/>
              <w:left w:val="single" w:sz="4" w:space="0" w:color="auto"/>
            </w:tcBorders>
          </w:tcPr>
          <w:p w14:paraId="2AC1BCDD" w14:textId="77777777" w:rsidR="00CB781F" w:rsidRPr="00AE2B25" w:rsidRDefault="00CB781F" w:rsidP="00AE2B25">
            <w:pPr>
              <w:pStyle w:val="af2"/>
              <w:spacing w:line="276" w:lineRule="auto"/>
              <w:ind w:firstLine="0"/>
              <w:jc w:val="both"/>
              <w:rPr>
                <w:sz w:val="24"/>
                <w:szCs w:val="24"/>
              </w:rPr>
            </w:pPr>
            <w:r w:rsidRPr="00AE2B25">
              <w:rPr>
                <w:rStyle w:val="af1"/>
                <w:rFonts w:eastAsiaTheme="majorEastAsia"/>
                <w:sz w:val="24"/>
                <w:szCs w:val="24"/>
              </w:rPr>
              <w:t>Клинический диагноз установлен с указанием стадии заболевания, степени повышения артериального давления (при отсутствии терапии), категории риска, наличия поражения органов-мишеней и ассоциированных клинических состояний</w:t>
            </w:r>
          </w:p>
        </w:tc>
        <w:tc>
          <w:tcPr>
            <w:tcW w:w="1910" w:type="dxa"/>
            <w:tcBorders>
              <w:top w:val="single" w:sz="4" w:space="0" w:color="auto"/>
              <w:left w:val="single" w:sz="4" w:space="0" w:color="auto"/>
              <w:right w:val="single" w:sz="4" w:space="0" w:color="auto"/>
            </w:tcBorders>
          </w:tcPr>
          <w:p w14:paraId="65774459" w14:textId="77777777" w:rsidR="00CB781F" w:rsidRPr="00AE2B25" w:rsidRDefault="00CB781F" w:rsidP="00AE2B25">
            <w:pPr>
              <w:pStyle w:val="af2"/>
              <w:spacing w:line="240" w:lineRule="auto"/>
              <w:ind w:firstLine="0"/>
              <w:jc w:val="center"/>
              <w:rPr>
                <w:sz w:val="24"/>
                <w:szCs w:val="24"/>
              </w:rPr>
            </w:pPr>
            <w:r w:rsidRPr="00AE2B25">
              <w:rPr>
                <w:rStyle w:val="af1"/>
                <w:rFonts w:eastAsiaTheme="majorEastAsia"/>
                <w:sz w:val="24"/>
                <w:szCs w:val="24"/>
              </w:rPr>
              <w:t>Да/Нет</w:t>
            </w:r>
          </w:p>
        </w:tc>
      </w:tr>
      <w:tr w:rsidR="00CB781F" w:rsidRPr="00AE2B25" w14:paraId="29C04F5A" w14:textId="77777777" w:rsidTr="00AE2B25">
        <w:trPr>
          <w:trHeight w:hRule="exact" w:val="1795"/>
          <w:jc w:val="center"/>
        </w:trPr>
        <w:tc>
          <w:tcPr>
            <w:tcW w:w="806" w:type="dxa"/>
            <w:tcBorders>
              <w:top w:val="single" w:sz="4" w:space="0" w:color="auto"/>
              <w:left w:val="single" w:sz="4" w:space="0" w:color="auto"/>
            </w:tcBorders>
            <w:shd w:val="clear" w:color="auto" w:fill="E7E6E6" w:themeFill="background2"/>
          </w:tcPr>
          <w:p w14:paraId="4C77E7AC" w14:textId="77777777" w:rsidR="00CB781F" w:rsidRPr="00AE2B25" w:rsidRDefault="00CB781F" w:rsidP="00AE2B25">
            <w:pPr>
              <w:pStyle w:val="af2"/>
              <w:spacing w:line="240" w:lineRule="auto"/>
              <w:ind w:firstLine="0"/>
              <w:jc w:val="center"/>
              <w:rPr>
                <w:sz w:val="24"/>
                <w:szCs w:val="24"/>
              </w:rPr>
            </w:pPr>
            <w:r w:rsidRPr="00AE2B25">
              <w:rPr>
                <w:rStyle w:val="af1"/>
                <w:rFonts w:eastAsiaTheme="majorEastAsia"/>
                <w:sz w:val="24"/>
                <w:szCs w:val="24"/>
              </w:rPr>
              <w:t>3.</w:t>
            </w:r>
          </w:p>
        </w:tc>
        <w:tc>
          <w:tcPr>
            <w:tcW w:w="6643" w:type="dxa"/>
            <w:tcBorders>
              <w:top w:val="single" w:sz="4" w:space="0" w:color="auto"/>
              <w:left w:val="single" w:sz="4" w:space="0" w:color="auto"/>
            </w:tcBorders>
          </w:tcPr>
          <w:p w14:paraId="2EFF80D6" w14:textId="77777777" w:rsidR="00CB781F" w:rsidRPr="00AE2B25" w:rsidRDefault="00CB781F" w:rsidP="00AE2B25">
            <w:pPr>
              <w:pStyle w:val="af2"/>
              <w:spacing w:line="276" w:lineRule="auto"/>
              <w:ind w:firstLine="0"/>
              <w:jc w:val="both"/>
              <w:rPr>
                <w:sz w:val="24"/>
                <w:szCs w:val="24"/>
              </w:rPr>
            </w:pPr>
            <w:r w:rsidRPr="00AE2B25">
              <w:rPr>
                <w:rStyle w:val="af1"/>
                <w:rFonts w:eastAsiaTheme="majorEastAsia"/>
                <w:sz w:val="24"/>
                <w:szCs w:val="24"/>
              </w:rPr>
              <w:t>Выполнен анализ крови биохимический общетерапевтический (креатинин, расчетная скорость клубочковой фильтрации, глюкоза, калий, натрий, мочевая кислота, общий холестерин, липопротеины низкой плотности, триглицериды, липопротеины высокой плотности)</w:t>
            </w:r>
          </w:p>
        </w:tc>
        <w:tc>
          <w:tcPr>
            <w:tcW w:w="1910" w:type="dxa"/>
            <w:tcBorders>
              <w:top w:val="single" w:sz="4" w:space="0" w:color="auto"/>
              <w:left w:val="single" w:sz="4" w:space="0" w:color="auto"/>
              <w:right w:val="single" w:sz="4" w:space="0" w:color="auto"/>
            </w:tcBorders>
          </w:tcPr>
          <w:p w14:paraId="1AFE52EF" w14:textId="77777777" w:rsidR="00CB781F" w:rsidRPr="00AE2B25" w:rsidRDefault="00CB781F" w:rsidP="00AE2B25">
            <w:pPr>
              <w:pStyle w:val="af2"/>
              <w:spacing w:line="240" w:lineRule="auto"/>
              <w:ind w:firstLine="0"/>
              <w:jc w:val="center"/>
              <w:rPr>
                <w:sz w:val="24"/>
                <w:szCs w:val="24"/>
              </w:rPr>
            </w:pPr>
            <w:r w:rsidRPr="00AE2B25">
              <w:rPr>
                <w:rStyle w:val="af1"/>
                <w:rFonts w:eastAsiaTheme="majorEastAsia"/>
                <w:sz w:val="24"/>
                <w:szCs w:val="24"/>
              </w:rPr>
              <w:t>Да/Нет</w:t>
            </w:r>
          </w:p>
        </w:tc>
      </w:tr>
      <w:tr w:rsidR="00CB781F" w:rsidRPr="00AE2B25" w14:paraId="1AC0FDBB" w14:textId="77777777" w:rsidTr="00AE2B25">
        <w:trPr>
          <w:trHeight w:hRule="exact" w:val="528"/>
          <w:jc w:val="center"/>
        </w:trPr>
        <w:tc>
          <w:tcPr>
            <w:tcW w:w="806" w:type="dxa"/>
            <w:tcBorders>
              <w:top w:val="single" w:sz="4" w:space="0" w:color="auto"/>
              <w:left w:val="single" w:sz="4" w:space="0" w:color="auto"/>
            </w:tcBorders>
            <w:shd w:val="clear" w:color="auto" w:fill="E7E6E6" w:themeFill="background2"/>
          </w:tcPr>
          <w:p w14:paraId="51B0EFD5" w14:textId="77777777" w:rsidR="00CB781F" w:rsidRPr="00AE2B25" w:rsidRDefault="00CB781F" w:rsidP="00AE2B25">
            <w:pPr>
              <w:pStyle w:val="af2"/>
              <w:spacing w:line="240" w:lineRule="auto"/>
              <w:ind w:firstLine="0"/>
              <w:jc w:val="center"/>
              <w:rPr>
                <w:sz w:val="24"/>
                <w:szCs w:val="24"/>
              </w:rPr>
            </w:pPr>
            <w:r w:rsidRPr="00AE2B25">
              <w:rPr>
                <w:rStyle w:val="af1"/>
                <w:rFonts w:eastAsiaTheme="majorEastAsia"/>
                <w:sz w:val="24"/>
                <w:szCs w:val="24"/>
              </w:rPr>
              <w:t>4.</w:t>
            </w:r>
          </w:p>
        </w:tc>
        <w:tc>
          <w:tcPr>
            <w:tcW w:w="6643" w:type="dxa"/>
            <w:tcBorders>
              <w:top w:val="single" w:sz="4" w:space="0" w:color="auto"/>
              <w:left w:val="single" w:sz="4" w:space="0" w:color="auto"/>
            </w:tcBorders>
          </w:tcPr>
          <w:p w14:paraId="0BEDAACE" w14:textId="77777777" w:rsidR="00CB781F" w:rsidRPr="00AE2B25" w:rsidRDefault="00CB781F" w:rsidP="00AE2B25">
            <w:pPr>
              <w:pStyle w:val="af2"/>
              <w:spacing w:line="240" w:lineRule="auto"/>
              <w:ind w:firstLine="0"/>
              <w:jc w:val="both"/>
              <w:rPr>
                <w:sz w:val="24"/>
                <w:szCs w:val="24"/>
              </w:rPr>
            </w:pPr>
            <w:r w:rsidRPr="00AE2B25">
              <w:rPr>
                <w:rStyle w:val="af1"/>
                <w:rFonts w:eastAsiaTheme="majorEastAsia"/>
                <w:sz w:val="24"/>
                <w:szCs w:val="24"/>
              </w:rPr>
              <w:t>Выполнен общий (клинический) анализ крови</w:t>
            </w:r>
          </w:p>
        </w:tc>
        <w:tc>
          <w:tcPr>
            <w:tcW w:w="1910" w:type="dxa"/>
            <w:tcBorders>
              <w:top w:val="single" w:sz="4" w:space="0" w:color="auto"/>
              <w:left w:val="single" w:sz="4" w:space="0" w:color="auto"/>
              <w:right w:val="single" w:sz="4" w:space="0" w:color="auto"/>
            </w:tcBorders>
          </w:tcPr>
          <w:p w14:paraId="37BE4DF2" w14:textId="77777777" w:rsidR="00CB781F" w:rsidRPr="00AE2B25" w:rsidRDefault="00CB781F" w:rsidP="00AE2B25">
            <w:pPr>
              <w:pStyle w:val="af2"/>
              <w:spacing w:line="240" w:lineRule="auto"/>
              <w:ind w:firstLine="0"/>
              <w:jc w:val="center"/>
              <w:rPr>
                <w:sz w:val="24"/>
                <w:szCs w:val="24"/>
              </w:rPr>
            </w:pPr>
            <w:r w:rsidRPr="00AE2B25">
              <w:rPr>
                <w:rStyle w:val="af1"/>
                <w:rFonts w:eastAsiaTheme="majorEastAsia"/>
                <w:sz w:val="24"/>
                <w:szCs w:val="24"/>
              </w:rPr>
              <w:t>Да/Нет</w:t>
            </w:r>
          </w:p>
        </w:tc>
      </w:tr>
      <w:tr w:rsidR="00CB781F" w:rsidRPr="00AE2B25" w14:paraId="52E96BE4" w14:textId="77777777" w:rsidTr="00AE2B25">
        <w:trPr>
          <w:trHeight w:hRule="exact" w:val="528"/>
          <w:jc w:val="center"/>
        </w:trPr>
        <w:tc>
          <w:tcPr>
            <w:tcW w:w="806" w:type="dxa"/>
            <w:tcBorders>
              <w:top w:val="single" w:sz="4" w:space="0" w:color="auto"/>
              <w:left w:val="single" w:sz="4" w:space="0" w:color="auto"/>
            </w:tcBorders>
            <w:shd w:val="clear" w:color="auto" w:fill="E7E6E6" w:themeFill="background2"/>
          </w:tcPr>
          <w:p w14:paraId="78D2A6FA" w14:textId="77777777" w:rsidR="00CB781F" w:rsidRPr="00AE2B25" w:rsidRDefault="00CB781F" w:rsidP="00AE2B25">
            <w:pPr>
              <w:pStyle w:val="af2"/>
              <w:spacing w:line="240" w:lineRule="auto"/>
              <w:ind w:firstLine="0"/>
              <w:jc w:val="center"/>
              <w:rPr>
                <w:sz w:val="24"/>
                <w:szCs w:val="24"/>
              </w:rPr>
            </w:pPr>
            <w:r w:rsidRPr="00AE2B25">
              <w:rPr>
                <w:rStyle w:val="af1"/>
                <w:rFonts w:eastAsiaTheme="majorEastAsia"/>
                <w:sz w:val="24"/>
                <w:szCs w:val="24"/>
              </w:rPr>
              <w:t>5.</w:t>
            </w:r>
          </w:p>
        </w:tc>
        <w:tc>
          <w:tcPr>
            <w:tcW w:w="6643" w:type="dxa"/>
            <w:tcBorders>
              <w:top w:val="single" w:sz="4" w:space="0" w:color="auto"/>
              <w:left w:val="single" w:sz="4" w:space="0" w:color="auto"/>
            </w:tcBorders>
          </w:tcPr>
          <w:p w14:paraId="445CBFED" w14:textId="77777777" w:rsidR="00CB781F" w:rsidRPr="00AE2B25" w:rsidRDefault="00CB781F" w:rsidP="00AE2B25">
            <w:pPr>
              <w:pStyle w:val="af2"/>
              <w:spacing w:line="240" w:lineRule="auto"/>
              <w:ind w:firstLine="0"/>
              <w:jc w:val="both"/>
              <w:rPr>
                <w:sz w:val="24"/>
                <w:szCs w:val="24"/>
              </w:rPr>
            </w:pPr>
            <w:r w:rsidRPr="00AE2B25">
              <w:rPr>
                <w:rStyle w:val="af1"/>
                <w:rFonts w:eastAsiaTheme="majorEastAsia"/>
                <w:sz w:val="24"/>
                <w:szCs w:val="24"/>
              </w:rPr>
              <w:t>Выполнен общий (клинический) анализ мочи</w:t>
            </w:r>
          </w:p>
        </w:tc>
        <w:tc>
          <w:tcPr>
            <w:tcW w:w="1910" w:type="dxa"/>
            <w:tcBorders>
              <w:top w:val="single" w:sz="4" w:space="0" w:color="auto"/>
              <w:left w:val="single" w:sz="4" w:space="0" w:color="auto"/>
              <w:right w:val="single" w:sz="4" w:space="0" w:color="auto"/>
            </w:tcBorders>
          </w:tcPr>
          <w:p w14:paraId="353BD1B9" w14:textId="77777777" w:rsidR="00CB781F" w:rsidRPr="00AE2B25" w:rsidRDefault="00CB781F" w:rsidP="00AE2B25">
            <w:pPr>
              <w:pStyle w:val="af2"/>
              <w:spacing w:line="240" w:lineRule="auto"/>
              <w:ind w:firstLine="0"/>
              <w:jc w:val="center"/>
              <w:rPr>
                <w:sz w:val="24"/>
                <w:szCs w:val="24"/>
              </w:rPr>
            </w:pPr>
            <w:r w:rsidRPr="00AE2B25">
              <w:rPr>
                <w:rStyle w:val="af1"/>
                <w:rFonts w:eastAsiaTheme="majorEastAsia"/>
                <w:sz w:val="24"/>
                <w:szCs w:val="24"/>
              </w:rPr>
              <w:t>Да/Нет</w:t>
            </w:r>
          </w:p>
        </w:tc>
      </w:tr>
      <w:tr w:rsidR="00CB781F" w:rsidRPr="00AE2B25" w14:paraId="73F85E3B" w14:textId="77777777" w:rsidTr="00AE2B25">
        <w:trPr>
          <w:trHeight w:hRule="exact" w:val="845"/>
          <w:jc w:val="center"/>
        </w:trPr>
        <w:tc>
          <w:tcPr>
            <w:tcW w:w="806" w:type="dxa"/>
            <w:tcBorders>
              <w:top w:val="single" w:sz="4" w:space="0" w:color="auto"/>
              <w:left w:val="single" w:sz="4" w:space="0" w:color="auto"/>
            </w:tcBorders>
            <w:shd w:val="clear" w:color="auto" w:fill="E7E6E6" w:themeFill="background2"/>
          </w:tcPr>
          <w:p w14:paraId="5FDCE0D1" w14:textId="77777777" w:rsidR="00CB781F" w:rsidRPr="00AE2B25" w:rsidRDefault="00CB781F" w:rsidP="00AE2B25">
            <w:pPr>
              <w:pStyle w:val="af2"/>
              <w:spacing w:line="240" w:lineRule="auto"/>
              <w:ind w:firstLine="0"/>
              <w:jc w:val="center"/>
              <w:rPr>
                <w:sz w:val="24"/>
                <w:szCs w:val="24"/>
              </w:rPr>
            </w:pPr>
            <w:r w:rsidRPr="00AE2B25">
              <w:rPr>
                <w:rStyle w:val="af1"/>
                <w:rFonts w:eastAsiaTheme="majorEastAsia"/>
                <w:sz w:val="24"/>
                <w:szCs w:val="24"/>
              </w:rPr>
              <w:t>6.</w:t>
            </w:r>
          </w:p>
        </w:tc>
        <w:tc>
          <w:tcPr>
            <w:tcW w:w="6643" w:type="dxa"/>
            <w:tcBorders>
              <w:top w:val="single" w:sz="4" w:space="0" w:color="auto"/>
              <w:left w:val="single" w:sz="4" w:space="0" w:color="auto"/>
            </w:tcBorders>
          </w:tcPr>
          <w:p w14:paraId="37A9ADB5" w14:textId="77777777" w:rsidR="00CB781F" w:rsidRPr="00AE2B25" w:rsidRDefault="00CB781F" w:rsidP="00AE2B25">
            <w:pPr>
              <w:pStyle w:val="af2"/>
              <w:spacing w:line="276" w:lineRule="auto"/>
              <w:ind w:firstLine="0"/>
              <w:jc w:val="both"/>
              <w:rPr>
                <w:sz w:val="24"/>
                <w:szCs w:val="24"/>
              </w:rPr>
            </w:pPr>
            <w:r w:rsidRPr="00AE2B25">
              <w:rPr>
                <w:rStyle w:val="af1"/>
                <w:rFonts w:eastAsiaTheme="majorEastAsia"/>
                <w:sz w:val="24"/>
                <w:szCs w:val="24"/>
              </w:rPr>
              <w:t>Выполнена качественная оценка протеинурии тест-полоской или определение альбумина в моче</w:t>
            </w:r>
          </w:p>
        </w:tc>
        <w:tc>
          <w:tcPr>
            <w:tcW w:w="1910" w:type="dxa"/>
            <w:tcBorders>
              <w:top w:val="single" w:sz="4" w:space="0" w:color="auto"/>
              <w:left w:val="single" w:sz="4" w:space="0" w:color="auto"/>
              <w:right w:val="single" w:sz="4" w:space="0" w:color="auto"/>
            </w:tcBorders>
          </w:tcPr>
          <w:p w14:paraId="0379D54B" w14:textId="77777777" w:rsidR="00CB781F" w:rsidRPr="00AE2B25" w:rsidRDefault="00CB781F" w:rsidP="00AE2B25">
            <w:pPr>
              <w:pStyle w:val="af2"/>
              <w:spacing w:line="240" w:lineRule="auto"/>
              <w:ind w:firstLine="0"/>
              <w:jc w:val="center"/>
              <w:rPr>
                <w:sz w:val="24"/>
                <w:szCs w:val="24"/>
              </w:rPr>
            </w:pPr>
            <w:r w:rsidRPr="00AE2B25">
              <w:rPr>
                <w:rStyle w:val="af1"/>
                <w:rFonts w:eastAsiaTheme="majorEastAsia"/>
                <w:sz w:val="24"/>
                <w:szCs w:val="24"/>
              </w:rPr>
              <w:t>Да/Нет</w:t>
            </w:r>
          </w:p>
        </w:tc>
      </w:tr>
      <w:tr w:rsidR="00CB781F" w:rsidRPr="00AE2B25" w14:paraId="59036EDA" w14:textId="77777777" w:rsidTr="00AE2B25">
        <w:trPr>
          <w:trHeight w:hRule="exact" w:val="845"/>
          <w:jc w:val="center"/>
        </w:trPr>
        <w:tc>
          <w:tcPr>
            <w:tcW w:w="806" w:type="dxa"/>
            <w:tcBorders>
              <w:top w:val="single" w:sz="4" w:space="0" w:color="auto"/>
              <w:left w:val="single" w:sz="4" w:space="0" w:color="auto"/>
            </w:tcBorders>
            <w:shd w:val="clear" w:color="auto" w:fill="E7E6E6" w:themeFill="background2"/>
          </w:tcPr>
          <w:p w14:paraId="1A440249" w14:textId="77777777" w:rsidR="00CB781F" w:rsidRPr="00AE2B25" w:rsidRDefault="00CB781F" w:rsidP="00AE2B25">
            <w:pPr>
              <w:pStyle w:val="af2"/>
              <w:spacing w:line="240" w:lineRule="auto"/>
              <w:ind w:firstLine="0"/>
              <w:jc w:val="center"/>
              <w:rPr>
                <w:sz w:val="24"/>
                <w:szCs w:val="24"/>
              </w:rPr>
            </w:pPr>
            <w:r w:rsidRPr="00AE2B25">
              <w:rPr>
                <w:rStyle w:val="af1"/>
                <w:rFonts w:eastAsiaTheme="majorEastAsia"/>
                <w:sz w:val="24"/>
                <w:szCs w:val="24"/>
              </w:rPr>
              <w:t>7.</w:t>
            </w:r>
          </w:p>
        </w:tc>
        <w:tc>
          <w:tcPr>
            <w:tcW w:w="6643" w:type="dxa"/>
            <w:tcBorders>
              <w:top w:val="single" w:sz="4" w:space="0" w:color="auto"/>
              <w:left w:val="single" w:sz="4" w:space="0" w:color="auto"/>
            </w:tcBorders>
          </w:tcPr>
          <w:p w14:paraId="3E185FF2" w14:textId="77777777" w:rsidR="00CB781F" w:rsidRPr="00AE2B25" w:rsidRDefault="00CB781F" w:rsidP="00AE2B25">
            <w:pPr>
              <w:pStyle w:val="af2"/>
              <w:tabs>
                <w:tab w:val="left" w:pos="1493"/>
                <w:tab w:val="left" w:pos="3096"/>
                <w:tab w:val="left" w:pos="5726"/>
                <w:tab w:val="left" w:pos="6202"/>
              </w:tabs>
              <w:spacing w:line="240" w:lineRule="auto"/>
              <w:ind w:firstLine="0"/>
              <w:jc w:val="both"/>
              <w:rPr>
                <w:sz w:val="24"/>
                <w:szCs w:val="24"/>
              </w:rPr>
            </w:pPr>
            <w:r w:rsidRPr="00AE2B25">
              <w:rPr>
                <w:rStyle w:val="af1"/>
                <w:rFonts w:eastAsiaTheme="majorEastAsia"/>
                <w:sz w:val="24"/>
                <w:szCs w:val="24"/>
              </w:rPr>
              <w:t>Выполнена</w:t>
            </w:r>
            <w:r w:rsidRPr="00AE2B25">
              <w:rPr>
                <w:rStyle w:val="af1"/>
                <w:rFonts w:eastAsiaTheme="majorEastAsia"/>
                <w:sz w:val="24"/>
                <w:szCs w:val="24"/>
              </w:rPr>
              <w:tab/>
              <w:t>регистрация</w:t>
            </w:r>
            <w:r w:rsidRPr="00AE2B25">
              <w:rPr>
                <w:rStyle w:val="af1"/>
                <w:rFonts w:eastAsiaTheme="majorEastAsia"/>
                <w:sz w:val="24"/>
                <w:szCs w:val="24"/>
              </w:rPr>
              <w:tab/>
              <w:t>электрокардиограммы</w:t>
            </w:r>
            <w:r w:rsidRPr="00AE2B25">
              <w:rPr>
                <w:rStyle w:val="af1"/>
                <w:rFonts w:eastAsiaTheme="majorEastAsia"/>
                <w:sz w:val="24"/>
                <w:szCs w:val="24"/>
              </w:rPr>
              <w:tab/>
              <w:t>в</w:t>
            </w:r>
            <w:r w:rsidRPr="00AE2B25">
              <w:rPr>
                <w:rStyle w:val="af1"/>
                <w:rFonts w:eastAsiaTheme="majorEastAsia"/>
                <w:sz w:val="24"/>
                <w:szCs w:val="24"/>
              </w:rPr>
              <w:tab/>
              <w:t>12</w:t>
            </w:r>
          </w:p>
          <w:p w14:paraId="48258DF2" w14:textId="77777777" w:rsidR="00CB781F" w:rsidRPr="00AE2B25" w:rsidRDefault="00CB781F" w:rsidP="00AE2B25">
            <w:pPr>
              <w:pStyle w:val="af2"/>
              <w:spacing w:line="240" w:lineRule="auto"/>
              <w:ind w:firstLine="0"/>
              <w:jc w:val="both"/>
              <w:rPr>
                <w:sz w:val="24"/>
                <w:szCs w:val="24"/>
              </w:rPr>
            </w:pPr>
            <w:r w:rsidRPr="00AE2B25">
              <w:rPr>
                <w:rStyle w:val="af1"/>
                <w:rFonts w:eastAsiaTheme="majorEastAsia"/>
                <w:sz w:val="24"/>
                <w:szCs w:val="24"/>
              </w:rPr>
              <w:t>отведениях</w:t>
            </w:r>
          </w:p>
        </w:tc>
        <w:tc>
          <w:tcPr>
            <w:tcW w:w="1910" w:type="dxa"/>
            <w:tcBorders>
              <w:top w:val="single" w:sz="4" w:space="0" w:color="auto"/>
              <w:left w:val="single" w:sz="4" w:space="0" w:color="auto"/>
              <w:right w:val="single" w:sz="4" w:space="0" w:color="auto"/>
            </w:tcBorders>
          </w:tcPr>
          <w:p w14:paraId="63C35E3E" w14:textId="77777777" w:rsidR="00CB781F" w:rsidRPr="00AE2B25" w:rsidRDefault="00CB781F" w:rsidP="00AE2B25">
            <w:pPr>
              <w:pStyle w:val="af2"/>
              <w:spacing w:line="240" w:lineRule="auto"/>
              <w:ind w:firstLine="0"/>
              <w:jc w:val="center"/>
              <w:rPr>
                <w:sz w:val="24"/>
                <w:szCs w:val="24"/>
              </w:rPr>
            </w:pPr>
            <w:r w:rsidRPr="00AE2B25">
              <w:rPr>
                <w:rStyle w:val="af1"/>
                <w:rFonts w:eastAsiaTheme="majorEastAsia"/>
                <w:sz w:val="24"/>
                <w:szCs w:val="24"/>
              </w:rPr>
              <w:t>Да/Нет</w:t>
            </w:r>
          </w:p>
        </w:tc>
      </w:tr>
      <w:tr w:rsidR="00CB781F" w:rsidRPr="00AE2B25" w14:paraId="6D092452" w14:textId="77777777" w:rsidTr="00AE2B25">
        <w:trPr>
          <w:trHeight w:hRule="exact" w:val="845"/>
          <w:jc w:val="center"/>
        </w:trPr>
        <w:tc>
          <w:tcPr>
            <w:tcW w:w="806" w:type="dxa"/>
            <w:tcBorders>
              <w:top w:val="single" w:sz="4" w:space="0" w:color="auto"/>
              <w:left w:val="single" w:sz="4" w:space="0" w:color="auto"/>
            </w:tcBorders>
            <w:shd w:val="clear" w:color="auto" w:fill="E7E6E6" w:themeFill="background2"/>
          </w:tcPr>
          <w:p w14:paraId="73C08479" w14:textId="77777777" w:rsidR="00CB781F" w:rsidRPr="00AE2B25" w:rsidRDefault="00CB781F" w:rsidP="00AE2B25">
            <w:pPr>
              <w:pStyle w:val="af2"/>
              <w:spacing w:line="240" w:lineRule="auto"/>
              <w:ind w:firstLine="0"/>
              <w:jc w:val="center"/>
              <w:rPr>
                <w:sz w:val="24"/>
                <w:szCs w:val="24"/>
              </w:rPr>
            </w:pPr>
            <w:r w:rsidRPr="00AE2B25">
              <w:rPr>
                <w:rStyle w:val="af1"/>
                <w:rFonts w:eastAsiaTheme="majorEastAsia"/>
                <w:sz w:val="24"/>
                <w:szCs w:val="24"/>
              </w:rPr>
              <w:t>8.</w:t>
            </w:r>
          </w:p>
        </w:tc>
        <w:tc>
          <w:tcPr>
            <w:tcW w:w="6643" w:type="dxa"/>
            <w:tcBorders>
              <w:top w:val="single" w:sz="4" w:space="0" w:color="auto"/>
              <w:left w:val="single" w:sz="4" w:space="0" w:color="auto"/>
            </w:tcBorders>
          </w:tcPr>
          <w:p w14:paraId="3BA709A6" w14:textId="77777777" w:rsidR="00CB781F" w:rsidRPr="00AE2B25" w:rsidRDefault="00CB781F" w:rsidP="00AE2B25">
            <w:pPr>
              <w:pStyle w:val="af2"/>
              <w:spacing w:line="276" w:lineRule="auto"/>
              <w:ind w:firstLine="0"/>
              <w:jc w:val="both"/>
              <w:rPr>
                <w:sz w:val="24"/>
                <w:szCs w:val="24"/>
              </w:rPr>
            </w:pPr>
            <w:r w:rsidRPr="00AE2B25">
              <w:rPr>
                <w:rStyle w:val="af1"/>
                <w:rFonts w:eastAsiaTheme="majorEastAsia"/>
                <w:sz w:val="24"/>
                <w:szCs w:val="24"/>
              </w:rPr>
              <w:t>Проведена комбинированная антигипертензивная терапия (при артериальной гипертензии 2-й степени и выше)</w:t>
            </w:r>
          </w:p>
        </w:tc>
        <w:tc>
          <w:tcPr>
            <w:tcW w:w="1910" w:type="dxa"/>
            <w:tcBorders>
              <w:top w:val="single" w:sz="4" w:space="0" w:color="auto"/>
              <w:left w:val="single" w:sz="4" w:space="0" w:color="auto"/>
              <w:right w:val="single" w:sz="4" w:space="0" w:color="auto"/>
            </w:tcBorders>
          </w:tcPr>
          <w:p w14:paraId="1229EA2B" w14:textId="77777777" w:rsidR="00CB781F" w:rsidRPr="00AE2B25" w:rsidRDefault="00CB781F" w:rsidP="00AE2B25">
            <w:pPr>
              <w:pStyle w:val="af2"/>
              <w:spacing w:line="240" w:lineRule="auto"/>
              <w:ind w:firstLine="0"/>
              <w:jc w:val="center"/>
              <w:rPr>
                <w:sz w:val="24"/>
                <w:szCs w:val="24"/>
              </w:rPr>
            </w:pPr>
            <w:r w:rsidRPr="00AE2B25">
              <w:rPr>
                <w:rStyle w:val="af1"/>
                <w:rFonts w:eastAsiaTheme="majorEastAsia"/>
                <w:sz w:val="24"/>
                <w:szCs w:val="24"/>
              </w:rPr>
              <w:t>Да/Нет</w:t>
            </w:r>
          </w:p>
        </w:tc>
      </w:tr>
      <w:tr w:rsidR="00CB781F" w:rsidRPr="00AE2B25" w14:paraId="142F9259" w14:textId="77777777" w:rsidTr="00AE2B25">
        <w:trPr>
          <w:trHeight w:hRule="exact" w:val="533"/>
          <w:jc w:val="center"/>
        </w:trPr>
        <w:tc>
          <w:tcPr>
            <w:tcW w:w="806" w:type="dxa"/>
            <w:tcBorders>
              <w:top w:val="single" w:sz="4" w:space="0" w:color="auto"/>
              <w:left w:val="single" w:sz="4" w:space="0" w:color="auto"/>
              <w:bottom w:val="single" w:sz="4" w:space="0" w:color="auto"/>
            </w:tcBorders>
            <w:shd w:val="clear" w:color="auto" w:fill="E7E6E6" w:themeFill="background2"/>
          </w:tcPr>
          <w:p w14:paraId="12C3608B" w14:textId="77777777" w:rsidR="00CB781F" w:rsidRPr="00AE2B25" w:rsidRDefault="00CB781F" w:rsidP="00AE2B25">
            <w:pPr>
              <w:pStyle w:val="af2"/>
              <w:spacing w:line="240" w:lineRule="auto"/>
              <w:ind w:firstLine="0"/>
              <w:jc w:val="center"/>
              <w:rPr>
                <w:sz w:val="24"/>
                <w:szCs w:val="24"/>
              </w:rPr>
            </w:pPr>
            <w:r w:rsidRPr="00AE2B25">
              <w:rPr>
                <w:rStyle w:val="af1"/>
                <w:rFonts w:eastAsiaTheme="majorEastAsia"/>
                <w:sz w:val="24"/>
                <w:szCs w:val="24"/>
              </w:rPr>
              <w:t>9.</w:t>
            </w:r>
          </w:p>
        </w:tc>
        <w:tc>
          <w:tcPr>
            <w:tcW w:w="6643" w:type="dxa"/>
            <w:tcBorders>
              <w:top w:val="single" w:sz="4" w:space="0" w:color="auto"/>
              <w:left w:val="single" w:sz="4" w:space="0" w:color="auto"/>
              <w:bottom w:val="single" w:sz="4" w:space="0" w:color="auto"/>
            </w:tcBorders>
          </w:tcPr>
          <w:p w14:paraId="6C5B669F" w14:textId="77777777" w:rsidR="00CB781F" w:rsidRPr="00AE2B25" w:rsidRDefault="00CB781F" w:rsidP="00AE2B25">
            <w:pPr>
              <w:pStyle w:val="af2"/>
              <w:spacing w:line="240" w:lineRule="auto"/>
              <w:ind w:firstLine="0"/>
              <w:jc w:val="both"/>
              <w:rPr>
                <w:sz w:val="24"/>
                <w:szCs w:val="24"/>
              </w:rPr>
            </w:pPr>
            <w:r w:rsidRPr="00AE2B25">
              <w:rPr>
                <w:rStyle w:val="af1"/>
                <w:rFonts w:eastAsiaTheme="majorEastAsia"/>
                <w:sz w:val="24"/>
                <w:szCs w:val="24"/>
              </w:rPr>
              <w:t>Даны рекомендации по модификации образа жизни</w:t>
            </w:r>
          </w:p>
        </w:tc>
        <w:tc>
          <w:tcPr>
            <w:tcW w:w="1910" w:type="dxa"/>
            <w:tcBorders>
              <w:top w:val="single" w:sz="4" w:space="0" w:color="auto"/>
              <w:left w:val="single" w:sz="4" w:space="0" w:color="auto"/>
              <w:bottom w:val="single" w:sz="4" w:space="0" w:color="auto"/>
              <w:right w:val="single" w:sz="4" w:space="0" w:color="auto"/>
            </w:tcBorders>
          </w:tcPr>
          <w:p w14:paraId="097CCF76" w14:textId="77777777" w:rsidR="00CB781F" w:rsidRPr="00AE2B25" w:rsidRDefault="00CB781F" w:rsidP="00AE2B25">
            <w:pPr>
              <w:pStyle w:val="af2"/>
              <w:spacing w:line="240" w:lineRule="auto"/>
              <w:ind w:firstLine="0"/>
              <w:jc w:val="center"/>
              <w:rPr>
                <w:sz w:val="24"/>
                <w:szCs w:val="24"/>
              </w:rPr>
            </w:pPr>
            <w:r w:rsidRPr="00AE2B25">
              <w:rPr>
                <w:rStyle w:val="af1"/>
                <w:rFonts w:eastAsiaTheme="majorEastAsia"/>
                <w:sz w:val="24"/>
                <w:szCs w:val="24"/>
              </w:rPr>
              <w:t>Да/Нет</w:t>
            </w:r>
          </w:p>
        </w:tc>
      </w:tr>
    </w:tbl>
    <w:p w14:paraId="000E27D1" w14:textId="77777777" w:rsidR="00CB781F" w:rsidRDefault="00CB781F" w:rsidP="00CB781F">
      <w:pPr>
        <w:spacing w:after="499" w:line="1" w:lineRule="exact"/>
      </w:pPr>
    </w:p>
    <w:p w14:paraId="3A1A3B57" w14:textId="77777777" w:rsidR="00AE2B25" w:rsidRDefault="00CB781F" w:rsidP="00847EF1">
      <w:pPr>
        <w:pStyle w:val="11"/>
        <w:ind w:firstLine="0"/>
        <w:jc w:val="both"/>
        <w:rPr>
          <w:rStyle w:val="ac"/>
          <w:rFonts w:eastAsiaTheme="majorEastAsia"/>
          <w:sz w:val="24"/>
          <w:szCs w:val="24"/>
        </w:rPr>
      </w:pPr>
      <w:r w:rsidRPr="00AE2B25">
        <w:rPr>
          <w:rStyle w:val="ac"/>
          <w:rFonts w:eastAsiaTheme="majorEastAsia"/>
          <w:sz w:val="24"/>
          <w:szCs w:val="24"/>
        </w:rPr>
        <w:t xml:space="preserve">Типичными дефектами при оказании медицинской помощи пациентам с АГ являются: </w:t>
      </w:r>
    </w:p>
    <w:p w14:paraId="1B635E36" w14:textId="77777777" w:rsidR="00CB781F" w:rsidRPr="00AE2B25" w:rsidRDefault="00CB781F" w:rsidP="00847EF1">
      <w:pPr>
        <w:pStyle w:val="11"/>
        <w:ind w:firstLine="0"/>
        <w:jc w:val="both"/>
        <w:rPr>
          <w:b/>
          <w:bCs/>
          <w:sz w:val="24"/>
          <w:szCs w:val="24"/>
        </w:rPr>
      </w:pPr>
      <w:r w:rsidRPr="00AE2B25">
        <w:rPr>
          <w:rStyle w:val="ac"/>
          <w:rFonts w:eastAsiaTheme="majorEastAsia"/>
          <w:b/>
          <w:bCs/>
          <w:sz w:val="24"/>
          <w:szCs w:val="24"/>
          <w:u w:val="single"/>
        </w:rPr>
        <w:t>при сборе анамнеза:</w:t>
      </w:r>
    </w:p>
    <w:p w14:paraId="4E220A6B" w14:textId="77777777" w:rsidR="00CB781F" w:rsidRPr="00AE2B25" w:rsidRDefault="00CB781F" w:rsidP="00424F51">
      <w:pPr>
        <w:pStyle w:val="11"/>
        <w:numPr>
          <w:ilvl w:val="0"/>
          <w:numId w:val="41"/>
        </w:numPr>
        <w:tabs>
          <w:tab w:val="left" w:pos="709"/>
        </w:tabs>
        <w:ind w:firstLine="0"/>
        <w:jc w:val="both"/>
        <w:rPr>
          <w:sz w:val="24"/>
          <w:szCs w:val="24"/>
        </w:rPr>
      </w:pPr>
      <w:r w:rsidRPr="00AE2B25">
        <w:rPr>
          <w:rStyle w:val="ac"/>
          <w:rFonts w:eastAsiaTheme="majorEastAsia"/>
          <w:sz w:val="24"/>
          <w:szCs w:val="24"/>
        </w:rPr>
        <w:t>не уточнены характер начала заболевания, продолжительность, особенности</w:t>
      </w:r>
      <w:r w:rsidR="00AE2B25">
        <w:rPr>
          <w:sz w:val="24"/>
          <w:szCs w:val="24"/>
        </w:rPr>
        <w:t xml:space="preserve"> </w:t>
      </w:r>
      <w:r w:rsidRPr="00AE2B25">
        <w:rPr>
          <w:rStyle w:val="ac"/>
          <w:rFonts w:eastAsiaTheme="majorEastAsia"/>
          <w:sz w:val="24"/>
          <w:szCs w:val="24"/>
        </w:rPr>
        <w:t>течения заболевания;</w:t>
      </w:r>
    </w:p>
    <w:p w14:paraId="0AF68BAF" w14:textId="77777777" w:rsidR="00CB781F" w:rsidRPr="00AE2B25" w:rsidRDefault="00CB781F" w:rsidP="00424F51">
      <w:pPr>
        <w:pStyle w:val="11"/>
        <w:numPr>
          <w:ilvl w:val="0"/>
          <w:numId w:val="41"/>
        </w:numPr>
        <w:tabs>
          <w:tab w:val="left" w:pos="709"/>
        </w:tabs>
        <w:ind w:firstLine="0"/>
        <w:jc w:val="both"/>
        <w:rPr>
          <w:sz w:val="24"/>
          <w:szCs w:val="24"/>
        </w:rPr>
      </w:pPr>
      <w:r w:rsidRPr="00AE2B25">
        <w:rPr>
          <w:rStyle w:val="ac"/>
          <w:rFonts w:eastAsiaTheme="majorEastAsia"/>
          <w:sz w:val="24"/>
          <w:szCs w:val="24"/>
        </w:rPr>
        <w:lastRenderedPageBreak/>
        <w:t>отсутствуют сведения об эффективности ранее проводимой терапии, о</w:t>
      </w:r>
      <w:r w:rsidR="00AE2B25">
        <w:rPr>
          <w:sz w:val="24"/>
          <w:szCs w:val="24"/>
        </w:rPr>
        <w:t xml:space="preserve"> </w:t>
      </w:r>
      <w:r w:rsidRPr="00AE2B25">
        <w:rPr>
          <w:rStyle w:val="ac"/>
          <w:rFonts w:eastAsiaTheme="majorEastAsia"/>
          <w:sz w:val="24"/>
          <w:szCs w:val="24"/>
        </w:rPr>
        <w:t>возможном приеме пациентами других, помимо антигипертензивных, лекарственных препаратов: ГКС, противоопухолевых препаратов, НПВП, гормональных контрацептивов системного действия и др.</w:t>
      </w:r>
    </w:p>
    <w:p w14:paraId="2F595FC3" w14:textId="77777777" w:rsidR="00CB781F" w:rsidRPr="00AE2B25" w:rsidRDefault="00CB781F" w:rsidP="00424F51">
      <w:pPr>
        <w:pStyle w:val="11"/>
        <w:numPr>
          <w:ilvl w:val="0"/>
          <w:numId w:val="41"/>
        </w:numPr>
        <w:tabs>
          <w:tab w:val="left" w:pos="709"/>
        </w:tabs>
        <w:ind w:firstLine="0"/>
        <w:jc w:val="both"/>
        <w:rPr>
          <w:sz w:val="24"/>
          <w:szCs w:val="24"/>
        </w:rPr>
      </w:pPr>
      <w:r w:rsidRPr="00AE2B25">
        <w:rPr>
          <w:rStyle w:val="ac"/>
          <w:rFonts w:eastAsiaTheme="majorEastAsia"/>
          <w:sz w:val="24"/>
          <w:szCs w:val="24"/>
        </w:rPr>
        <w:t>отсутствуют сведения о наличии менопаузы у женщин, характере питания,</w:t>
      </w:r>
      <w:r w:rsidR="00AE2B25">
        <w:rPr>
          <w:rStyle w:val="ac"/>
          <w:rFonts w:eastAsiaTheme="majorEastAsia"/>
          <w:sz w:val="24"/>
          <w:szCs w:val="24"/>
        </w:rPr>
        <w:t xml:space="preserve"> </w:t>
      </w:r>
      <w:r w:rsidRPr="00AE2B25">
        <w:rPr>
          <w:rStyle w:val="ac"/>
          <w:rFonts w:eastAsiaTheme="majorEastAsia"/>
          <w:sz w:val="24"/>
          <w:szCs w:val="24"/>
        </w:rPr>
        <w:t>статусе курения, семейном анамнезе ранних сердечно-сосудистых заболеваний, осложнений АГ;</w:t>
      </w:r>
    </w:p>
    <w:p w14:paraId="12BB959B" w14:textId="77777777" w:rsidR="00CB781F" w:rsidRPr="00AE2B25" w:rsidRDefault="00CB781F" w:rsidP="00424F51">
      <w:pPr>
        <w:pStyle w:val="11"/>
        <w:numPr>
          <w:ilvl w:val="0"/>
          <w:numId w:val="41"/>
        </w:numPr>
        <w:tabs>
          <w:tab w:val="left" w:pos="709"/>
        </w:tabs>
        <w:ind w:firstLine="0"/>
        <w:jc w:val="both"/>
        <w:rPr>
          <w:sz w:val="24"/>
          <w:szCs w:val="24"/>
        </w:rPr>
      </w:pPr>
      <w:r w:rsidRPr="00AE2B25">
        <w:rPr>
          <w:rStyle w:val="ac"/>
          <w:rFonts w:eastAsiaTheme="majorEastAsia"/>
          <w:sz w:val="24"/>
          <w:szCs w:val="24"/>
        </w:rPr>
        <w:t>отсутствие сведений о наличии предшествующих госпитализаций.</w:t>
      </w:r>
    </w:p>
    <w:p w14:paraId="41672603" w14:textId="77777777" w:rsidR="00CB781F" w:rsidRPr="00A458F7" w:rsidRDefault="00CB781F" w:rsidP="00847EF1">
      <w:pPr>
        <w:pStyle w:val="11"/>
        <w:ind w:firstLine="0"/>
        <w:jc w:val="both"/>
        <w:rPr>
          <w:b/>
          <w:bCs/>
          <w:sz w:val="24"/>
          <w:szCs w:val="24"/>
        </w:rPr>
      </w:pPr>
      <w:r w:rsidRPr="00A458F7">
        <w:rPr>
          <w:rStyle w:val="ac"/>
          <w:rFonts w:eastAsiaTheme="majorEastAsia"/>
          <w:b/>
          <w:bCs/>
          <w:sz w:val="24"/>
          <w:szCs w:val="24"/>
          <w:u w:val="single"/>
        </w:rPr>
        <w:t>при обследовании пациентов:</w:t>
      </w:r>
    </w:p>
    <w:p w14:paraId="2D2A1E9A" w14:textId="77777777" w:rsidR="00CB781F" w:rsidRPr="00AE2B25" w:rsidRDefault="00CB781F" w:rsidP="00424F51">
      <w:pPr>
        <w:pStyle w:val="11"/>
        <w:numPr>
          <w:ilvl w:val="0"/>
          <w:numId w:val="41"/>
        </w:numPr>
        <w:tabs>
          <w:tab w:val="left" w:pos="709"/>
        </w:tabs>
        <w:ind w:firstLine="0"/>
        <w:jc w:val="both"/>
        <w:rPr>
          <w:sz w:val="24"/>
          <w:szCs w:val="24"/>
        </w:rPr>
      </w:pPr>
      <w:r w:rsidRPr="00AE2B25">
        <w:rPr>
          <w:rStyle w:val="ac"/>
          <w:rFonts w:eastAsiaTheme="majorEastAsia"/>
          <w:sz w:val="24"/>
          <w:szCs w:val="24"/>
        </w:rPr>
        <w:t>неполное физическое, лабораторное и инструментальное обследование, что приводит к недооценке возможности наличия симптоматической АГ, неверной оценке ПОМ и СС риска;</w:t>
      </w:r>
    </w:p>
    <w:p w14:paraId="43E4C7CC" w14:textId="77777777" w:rsidR="00CB781F" w:rsidRPr="00AE2B25" w:rsidRDefault="00CB781F" w:rsidP="00847EF1">
      <w:pPr>
        <w:pStyle w:val="11"/>
        <w:ind w:firstLine="0"/>
        <w:jc w:val="both"/>
        <w:rPr>
          <w:b/>
          <w:bCs/>
          <w:sz w:val="24"/>
          <w:szCs w:val="24"/>
        </w:rPr>
      </w:pPr>
      <w:r w:rsidRPr="00AE2B25">
        <w:rPr>
          <w:rStyle w:val="ac"/>
          <w:rFonts w:eastAsiaTheme="majorEastAsia"/>
          <w:b/>
          <w:bCs/>
          <w:sz w:val="24"/>
          <w:szCs w:val="24"/>
          <w:u w:val="single"/>
        </w:rPr>
        <w:t>при постановке диагноза:</w:t>
      </w:r>
    </w:p>
    <w:p w14:paraId="3AD1AC62" w14:textId="77777777" w:rsidR="00CB781F" w:rsidRPr="00AE2B25" w:rsidRDefault="00CB781F" w:rsidP="00424F51">
      <w:pPr>
        <w:pStyle w:val="11"/>
        <w:numPr>
          <w:ilvl w:val="0"/>
          <w:numId w:val="41"/>
        </w:numPr>
        <w:tabs>
          <w:tab w:val="left" w:pos="709"/>
        </w:tabs>
        <w:spacing w:after="120"/>
        <w:ind w:firstLine="0"/>
        <w:jc w:val="both"/>
        <w:rPr>
          <w:sz w:val="24"/>
          <w:szCs w:val="24"/>
        </w:rPr>
      </w:pPr>
      <w:r w:rsidRPr="00AE2B25">
        <w:rPr>
          <w:rStyle w:val="ac"/>
          <w:rFonts w:eastAsiaTheme="majorEastAsia"/>
          <w:sz w:val="24"/>
          <w:szCs w:val="24"/>
        </w:rPr>
        <w:t xml:space="preserve">отсутствие </w:t>
      </w:r>
      <w:r w:rsidR="00847EF1" w:rsidRPr="00AE2B25">
        <w:rPr>
          <w:rStyle w:val="ac"/>
          <w:rFonts w:eastAsiaTheme="majorEastAsia"/>
          <w:sz w:val="24"/>
          <w:szCs w:val="24"/>
        </w:rPr>
        <w:t>развёрнутого</w:t>
      </w:r>
      <w:r w:rsidRPr="00AE2B25">
        <w:rPr>
          <w:rStyle w:val="ac"/>
          <w:rFonts w:eastAsiaTheme="majorEastAsia"/>
          <w:sz w:val="24"/>
          <w:szCs w:val="24"/>
        </w:rPr>
        <w:t xml:space="preserve"> клинического диагноза, с указанием стадии гипертонической болезни, степени повышения АД (степени АГ при впервые выявленной АГ), с максимально полным отражением ФР, ПОМ, ССЗ, ХБП и категории сердечно-сосудистого</w:t>
      </w:r>
      <w:r w:rsidR="00AE2B25">
        <w:rPr>
          <w:sz w:val="24"/>
          <w:szCs w:val="24"/>
        </w:rPr>
        <w:t xml:space="preserve"> </w:t>
      </w:r>
      <w:r w:rsidRPr="00AE2B25">
        <w:rPr>
          <w:rStyle w:val="ac"/>
          <w:rFonts w:eastAsiaTheme="majorEastAsia"/>
          <w:sz w:val="24"/>
          <w:szCs w:val="24"/>
        </w:rPr>
        <w:t>риска;</w:t>
      </w:r>
    </w:p>
    <w:p w14:paraId="18CF0C30" w14:textId="77777777" w:rsidR="00CB781F" w:rsidRPr="00AE2B25" w:rsidRDefault="00CB781F" w:rsidP="00424F51">
      <w:pPr>
        <w:pStyle w:val="11"/>
        <w:numPr>
          <w:ilvl w:val="0"/>
          <w:numId w:val="41"/>
        </w:numPr>
        <w:tabs>
          <w:tab w:val="left" w:pos="709"/>
          <w:tab w:val="left" w:pos="1312"/>
        </w:tabs>
        <w:spacing w:after="120"/>
        <w:ind w:firstLine="0"/>
        <w:jc w:val="both"/>
        <w:rPr>
          <w:sz w:val="24"/>
          <w:szCs w:val="24"/>
        </w:rPr>
      </w:pPr>
      <w:r w:rsidRPr="00AE2B25">
        <w:rPr>
          <w:rStyle w:val="ac"/>
          <w:rFonts w:eastAsiaTheme="majorEastAsia"/>
          <w:sz w:val="24"/>
          <w:szCs w:val="24"/>
        </w:rPr>
        <w:t>необоснованное и неверное установление стадии ГБ и степени АГ, категории риска;</w:t>
      </w:r>
    </w:p>
    <w:p w14:paraId="5A134615" w14:textId="77777777" w:rsidR="00CB781F" w:rsidRPr="00AE2B25" w:rsidRDefault="00CB781F" w:rsidP="00424F51">
      <w:pPr>
        <w:pStyle w:val="11"/>
        <w:numPr>
          <w:ilvl w:val="0"/>
          <w:numId w:val="41"/>
        </w:numPr>
        <w:tabs>
          <w:tab w:val="left" w:pos="709"/>
          <w:tab w:val="left" w:pos="1312"/>
        </w:tabs>
        <w:spacing w:after="120"/>
        <w:ind w:firstLine="0"/>
        <w:jc w:val="both"/>
        <w:rPr>
          <w:sz w:val="24"/>
          <w:szCs w:val="24"/>
        </w:rPr>
      </w:pPr>
      <w:r w:rsidRPr="00AE2B25">
        <w:rPr>
          <w:rStyle w:val="ac"/>
          <w:rFonts w:eastAsiaTheme="majorEastAsia"/>
          <w:sz w:val="24"/>
          <w:szCs w:val="24"/>
        </w:rPr>
        <w:t>отсутствие сведений о наличии у пациента ПОМ, сопутствующих заболеваний и</w:t>
      </w:r>
      <w:r w:rsidR="00AE2B25">
        <w:rPr>
          <w:sz w:val="24"/>
          <w:szCs w:val="24"/>
        </w:rPr>
        <w:t xml:space="preserve"> </w:t>
      </w:r>
      <w:r w:rsidRPr="00AE2B25">
        <w:rPr>
          <w:rStyle w:val="ac"/>
          <w:rFonts w:eastAsiaTheme="majorEastAsia"/>
          <w:sz w:val="24"/>
          <w:szCs w:val="24"/>
        </w:rPr>
        <w:t>факторов риска;</w:t>
      </w:r>
    </w:p>
    <w:p w14:paraId="307479C2" w14:textId="77777777" w:rsidR="00CB781F" w:rsidRPr="00A458F7" w:rsidRDefault="00CB781F" w:rsidP="00847EF1">
      <w:pPr>
        <w:pStyle w:val="11"/>
        <w:spacing w:after="120"/>
        <w:ind w:firstLine="0"/>
        <w:jc w:val="both"/>
        <w:rPr>
          <w:b/>
          <w:bCs/>
          <w:sz w:val="24"/>
          <w:szCs w:val="24"/>
        </w:rPr>
      </w:pPr>
      <w:r w:rsidRPr="00A458F7">
        <w:rPr>
          <w:rStyle w:val="ac"/>
          <w:rFonts w:eastAsiaTheme="majorEastAsia"/>
          <w:b/>
          <w:bCs/>
          <w:sz w:val="24"/>
          <w:szCs w:val="24"/>
          <w:u w:val="single"/>
        </w:rPr>
        <w:t>при проведении лечения:</w:t>
      </w:r>
    </w:p>
    <w:p w14:paraId="7F6FD10D" w14:textId="77777777" w:rsidR="00CB781F" w:rsidRPr="00AE2B25" w:rsidRDefault="00CB781F" w:rsidP="00424F51">
      <w:pPr>
        <w:pStyle w:val="11"/>
        <w:numPr>
          <w:ilvl w:val="0"/>
          <w:numId w:val="41"/>
        </w:numPr>
        <w:spacing w:after="120"/>
        <w:ind w:firstLine="0"/>
        <w:jc w:val="both"/>
        <w:rPr>
          <w:sz w:val="24"/>
          <w:szCs w:val="24"/>
        </w:rPr>
      </w:pPr>
      <w:r w:rsidRPr="00AE2B25">
        <w:rPr>
          <w:rStyle w:val="ac"/>
          <w:rFonts w:eastAsiaTheme="majorEastAsia"/>
          <w:sz w:val="24"/>
          <w:szCs w:val="24"/>
        </w:rPr>
        <w:t>назначение нерациональных комбинаций АГП, в неверном режиме и отсутствие</w:t>
      </w:r>
      <w:r w:rsidR="00AE2B25">
        <w:rPr>
          <w:sz w:val="24"/>
          <w:szCs w:val="24"/>
        </w:rPr>
        <w:t xml:space="preserve"> </w:t>
      </w:r>
      <w:r w:rsidRPr="00AE2B25">
        <w:rPr>
          <w:rStyle w:val="ac"/>
          <w:rFonts w:eastAsiaTheme="majorEastAsia"/>
          <w:sz w:val="24"/>
          <w:szCs w:val="24"/>
        </w:rPr>
        <w:t>интенсификации антигипертензивной терапии;</w:t>
      </w:r>
    </w:p>
    <w:p w14:paraId="7FB3EE28" w14:textId="77777777" w:rsidR="00CB781F" w:rsidRPr="00AE2B25" w:rsidRDefault="00CB781F" w:rsidP="00424F51">
      <w:pPr>
        <w:pStyle w:val="11"/>
        <w:numPr>
          <w:ilvl w:val="0"/>
          <w:numId w:val="41"/>
        </w:numPr>
        <w:spacing w:after="120"/>
        <w:ind w:firstLine="0"/>
        <w:jc w:val="both"/>
        <w:rPr>
          <w:sz w:val="24"/>
          <w:szCs w:val="24"/>
        </w:rPr>
      </w:pPr>
      <w:r w:rsidRPr="00AE2B25">
        <w:rPr>
          <w:rStyle w:val="ac"/>
          <w:rFonts w:eastAsiaTheme="majorEastAsia"/>
          <w:sz w:val="24"/>
          <w:szCs w:val="24"/>
        </w:rPr>
        <w:t>недооценка наличия сопутствующей патологии, влияющей на выбор</w:t>
      </w:r>
    </w:p>
    <w:p w14:paraId="34C48046" w14:textId="77777777" w:rsidR="00CB781F" w:rsidRPr="00AE2B25" w:rsidRDefault="00CB781F" w:rsidP="00847EF1">
      <w:pPr>
        <w:pStyle w:val="11"/>
        <w:spacing w:after="120"/>
        <w:ind w:firstLine="0"/>
        <w:jc w:val="both"/>
        <w:rPr>
          <w:sz w:val="24"/>
          <w:szCs w:val="24"/>
        </w:rPr>
      </w:pPr>
      <w:r w:rsidRPr="00AE2B25">
        <w:rPr>
          <w:rStyle w:val="ac"/>
          <w:rFonts w:eastAsiaTheme="majorEastAsia"/>
          <w:sz w:val="24"/>
          <w:szCs w:val="24"/>
        </w:rPr>
        <w:t>антигипертензивной терапии;</w:t>
      </w:r>
    </w:p>
    <w:p w14:paraId="7179CE20" w14:textId="77777777" w:rsidR="00CB781F" w:rsidRPr="00A458F7" w:rsidRDefault="00CB781F" w:rsidP="00847EF1">
      <w:pPr>
        <w:pStyle w:val="11"/>
        <w:spacing w:after="120"/>
        <w:ind w:firstLine="0"/>
        <w:jc w:val="both"/>
        <w:rPr>
          <w:b/>
          <w:bCs/>
          <w:sz w:val="24"/>
          <w:szCs w:val="24"/>
        </w:rPr>
      </w:pPr>
      <w:r w:rsidRPr="00A458F7">
        <w:rPr>
          <w:rStyle w:val="ac"/>
          <w:rFonts w:eastAsiaTheme="majorEastAsia"/>
          <w:b/>
          <w:bCs/>
          <w:sz w:val="24"/>
          <w:szCs w:val="24"/>
          <w:u w:val="single"/>
        </w:rPr>
        <w:t>при обеспечении преемственности:</w:t>
      </w:r>
    </w:p>
    <w:p w14:paraId="68E59384" w14:textId="77777777" w:rsidR="00CB781F" w:rsidRPr="00AE2B25" w:rsidRDefault="00CB781F" w:rsidP="00424F51">
      <w:pPr>
        <w:pStyle w:val="11"/>
        <w:numPr>
          <w:ilvl w:val="0"/>
          <w:numId w:val="41"/>
        </w:numPr>
        <w:tabs>
          <w:tab w:val="left" w:pos="709"/>
        </w:tabs>
        <w:spacing w:after="120"/>
        <w:ind w:firstLine="0"/>
        <w:jc w:val="both"/>
        <w:rPr>
          <w:sz w:val="24"/>
          <w:szCs w:val="24"/>
        </w:rPr>
      </w:pPr>
      <w:r w:rsidRPr="00AE2B25">
        <w:rPr>
          <w:rStyle w:val="ac"/>
          <w:rFonts w:eastAsiaTheme="majorEastAsia"/>
          <w:sz w:val="24"/>
          <w:szCs w:val="24"/>
        </w:rPr>
        <w:t>отсутствие назначения повторных визитов для контроля АД;</w:t>
      </w:r>
    </w:p>
    <w:p w14:paraId="4A590C63" w14:textId="77777777" w:rsidR="00CB781F" w:rsidRPr="00AE2B25" w:rsidRDefault="00CB781F" w:rsidP="00424F51">
      <w:pPr>
        <w:pStyle w:val="11"/>
        <w:numPr>
          <w:ilvl w:val="0"/>
          <w:numId w:val="41"/>
        </w:numPr>
        <w:tabs>
          <w:tab w:val="left" w:pos="709"/>
        </w:tabs>
        <w:spacing w:after="120"/>
        <w:ind w:firstLine="0"/>
        <w:jc w:val="both"/>
        <w:rPr>
          <w:sz w:val="24"/>
          <w:szCs w:val="24"/>
        </w:rPr>
      </w:pPr>
      <w:r w:rsidRPr="00AE2B25">
        <w:rPr>
          <w:rStyle w:val="ac"/>
          <w:rFonts w:eastAsiaTheme="majorEastAsia"/>
          <w:sz w:val="24"/>
          <w:szCs w:val="24"/>
        </w:rPr>
        <w:t xml:space="preserve">несвоевременная постановка на диспансерный </w:t>
      </w:r>
      <w:r w:rsidR="00A458F7" w:rsidRPr="00AE2B25">
        <w:rPr>
          <w:rStyle w:val="ac"/>
          <w:rFonts w:eastAsiaTheme="majorEastAsia"/>
          <w:sz w:val="24"/>
          <w:szCs w:val="24"/>
        </w:rPr>
        <w:t>учёт</w:t>
      </w:r>
      <w:r w:rsidRPr="00AE2B25">
        <w:rPr>
          <w:rStyle w:val="ac"/>
          <w:rFonts w:eastAsiaTheme="majorEastAsia"/>
          <w:sz w:val="24"/>
          <w:szCs w:val="24"/>
        </w:rPr>
        <w:t>;</w:t>
      </w:r>
    </w:p>
    <w:p w14:paraId="553D1F36" w14:textId="77777777" w:rsidR="00CB781F" w:rsidRPr="00AE2B25" w:rsidRDefault="00CB781F" w:rsidP="00424F51">
      <w:pPr>
        <w:pStyle w:val="11"/>
        <w:numPr>
          <w:ilvl w:val="0"/>
          <w:numId w:val="41"/>
        </w:numPr>
        <w:tabs>
          <w:tab w:val="left" w:pos="709"/>
        </w:tabs>
        <w:spacing w:after="120"/>
        <w:ind w:firstLine="0"/>
        <w:jc w:val="both"/>
        <w:rPr>
          <w:rStyle w:val="ac"/>
          <w:sz w:val="24"/>
          <w:szCs w:val="24"/>
        </w:rPr>
      </w:pPr>
      <w:r w:rsidRPr="00AE2B25">
        <w:rPr>
          <w:rStyle w:val="ac"/>
          <w:rFonts w:eastAsiaTheme="majorEastAsia"/>
          <w:sz w:val="24"/>
          <w:szCs w:val="24"/>
        </w:rPr>
        <w:t>нерегулярность диспансерных осмотров.</w:t>
      </w:r>
    </w:p>
    <w:p w14:paraId="59F994A8" w14:textId="77777777" w:rsidR="008F5DB4" w:rsidRDefault="008F5DB4" w:rsidP="00847EF1">
      <w:pPr>
        <w:pStyle w:val="11"/>
        <w:tabs>
          <w:tab w:val="left" w:pos="1312"/>
        </w:tabs>
        <w:spacing w:after="120" w:line="240" w:lineRule="auto"/>
        <w:ind w:firstLine="0"/>
        <w:jc w:val="both"/>
        <w:rPr>
          <w:rStyle w:val="ac"/>
          <w:rFonts w:eastAsiaTheme="majorEastAsia"/>
          <w:sz w:val="24"/>
          <w:szCs w:val="24"/>
        </w:rPr>
      </w:pPr>
    </w:p>
    <w:p w14:paraId="32A4B4BD" w14:textId="77777777" w:rsidR="0057089D" w:rsidRDefault="0057089D" w:rsidP="00847EF1">
      <w:pPr>
        <w:pStyle w:val="11"/>
        <w:tabs>
          <w:tab w:val="left" w:pos="1312"/>
        </w:tabs>
        <w:spacing w:after="120" w:line="240" w:lineRule="auto"/>
        <w:ind w:firstLine="0"/>
        <w:jc w:val="both"/>
        <w:rPr>
          <w:rStyle w:val="ac"/>
          <w:rFonts w:eastAsiaTheme="majorEastAsia"/>
          <w:sz w:val="24"/>
          <w:szCs w:val="24"/>
        </w:rPr>
      </w:pPr>
    </w:p>
    <w:p w14:paraId="56C8CA1F" w14:textId="77777777" w:rsidR="00847EF1" w:rsidRDefault="00847EF1" w:rsidP="00847EF1">
      <w:pPr>
        <w:pStyle w:val="11"/>
        <w:tabs>
          <w:tab w:val="left" w:pos="1312"/>
        </w:tabs>
        <w:spacing w:after="120" w:line="240" w:lineRule="auto"/>
        <w:ind w:firstLine="0"/>
        <w:jc w:val="both"/>
        <w:rPr>
          <w:rStyle w:val="ac"/>
          <w:rFonts w:eastAsiaTheme="majorEastAsia"/>
          <w:i/>
          <w:iCs/>
        </w:rPr>
      </w:pPr>
    </w:p>
    <w:p w14:paraId="6FFEDFF9" w14:textId="77777777" w:rsidR="00CB781F" w:rsidRPr="00847EF1" w:rsidRDefault="00CB781F" w:rsidP="00C10BEC">
      <w:pPr>
        <w:pStyle w:val="52"/>
        <w:ind w:firstLine="0"/>
        <w:jc w:val="center"/>
        <w:outlineLvl w:val="0"/>
        <w:rPr>
          <w:b w:val="0"/>
          <w:bCs w:val="0"/>
        </w:rPr>
      </w:pPr>
      <w:bookmarkStart w:id="78" w:name="bookmark58"/>
      <w:bookmarkStart w:id="79" w:name="_Toc202877449"/>
      <w:r w:rsidRPr="00847EF1">
        <w:rPr>
          <w:rStyle w:val="51"/>
          <w:rFonts w:eastAsiaTheme="majorEastAsia"/>
          <w:b/>
          <w:bCs/>
        </w:rPr>
        <w:lastRenderedPageBreak/>
        <w:t>Список литературы</w:t>
      </w:r>
      <w:bookmarkEnd w:id="78"/>
      <w:bookmarkEnd w:id="79"/>
    </w:p>
    <w:p w14:paraId="1FE3560F"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7C5A89">
        <w:rPr>
          <w:rStyle w:val="ac"/>
          <w:rFonts w:eastAsiaTheme="majorEastAsia"/>
          <w:sz w:val="24"/>
          <w:szCs w:val="24"/>
          <w:lang w:val="en-US"/>
        </w:rPr>
        <w:t>Rosenberg WM, Gray JA et al. Evidence based medicine: what it is and what it isn't. BMJ 1996, January; 312 (7023): 71–72</w:t>
      </w:r>
      <w:proofErr w:type="gramStart"/>
      <w:r w:rsidRPr="007C5A89">
        <w:rPr>
          <w:rStyle w:val="ac"/>
          <w:rFonts w:eastAsiaTheme="majorEastAsia"/>
          <w:sz w:val="24"/>
          <w:szCs w:val="24"/>
          <w:lang w:val="en-US"/>
        </w:rPr>
        <w:t>..</w:t>
      </w:r>
      <w:proofErr w:type="gramEnd"/>
    </w:p>
    <w:p w14:paraId="6F694800"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rPr>
        <w:t>Федеральный закон от 21.11.2011 № 323-ФЗ (ред. от 03.04.2017) «Об основах охраны здоровья граждан в Российской Федерации».</w:t>
      </w:r>
    </w:p>
    <w:p w14:paraId="34FC1DF0" w14:textId="77777777" w:rsidR="00CB781F" w:rsidRPr="007C5A89" w:rsidRDefault="00CB781F" w:rsidP="00424F51">
      <w:pPr>
        <w:pStyle w:val="11"/>
        <w:numPr>
          <w:ilvl w:val="0"/>
          <w:numId w:val="42"/>
        </w:numPr>
        <w:tabs>
          <w:tab w:val="left" w:pos="709"/>
          <w:tab w:val="left" w:pos="1166"/>
        </w:tabs>
        <w:spacing w:line="276" w:lineRule="auto"/>
        <w:ind w:left="709" w:hanging="709"/>
        <w:jc w:val="both"/>
        <w:rPr>
          <w:sz w:val="24"/>
          <w:szCs w:val="24"/>
        </w:rPr>
      </w:pPr>
      <w:r w:rsidRPr="007C5A89">
        <w:rPr>
          <w:rStyle w:val="ac"/>
          <w:rFonts w:eastAsiaTheme="majorEastAsia"/>
          <w:sz w:val="24"/>
          <w:szCs w:val="24"/>
        </w:rPr>
        <w:t>Эпидемиологический словарь, 4-е издание. Под ред. Джона М. Ласта для</w:t>
      </w:r>
      <w:r w:rsidR="007C5A89">
        <w:rPr>
          <w:sz w:val="24"/>
          <w:szCs w:val="24"/>
        </w:rPr>
        <w:t xml:space="preserve"> </w:t>
      </w:r>
      <w:r w:rsidRPr="007C5A89">
        <w:rPr>
          <w:rStyle w:val="ac"/>
          <w:rFonts w:eastAsiaTheme="majorEastAsia"/>
          <w:sz w:val="24"/>
          <w:szCs w:val="24"/>
        </w:rPr>
        <w:t>Международной эпидемиологической ассоциации. М., 2009. 316 с..</w:t>
      </w:r>
    </w:p>
    <w:p w14:paraId="4715566E" w14:textId="77777777" w:rsidR="00CB781F" w:rsidRPr="007C5A89" w:rsidRDefault="00CB781F" w:rsidP="00424F51">
      <w:pPr>
        <w:pStyle w:val="11"/>
        <w:numPr>
          <w:ilvl w:val="0"/>
          <w:numId w:val="42"/>
        </w:numPr>
        <w:tabs>
          <w:tab w:val="left" w:pos="709"/>
          <w:tab w:val="left" w:pos="1166"/>
          <w:tab w:val="left" w:pos="4556"/>
          <w:tab w:val="left" w:pos="8588"/>
        </w:tabs>
        <w:spacing w:line="276" w:lineRule="auto"/>
        <w:ind w:left="709" w:hanging="709"/>
        <w:jc w:val="both"/>
        <w:rPr>
          <w:sz w:val="24"/>
          <w:szCs w:val="24"/>
        </w:rPr>
      </w:pPr>
      <w:r w:rsidRPr="007C5A89">
        <w:rPr>
          <w:rStyle w:val="ac"/>
          <w:rFonts w:eastAsiaTheme="majorEastAsia"/>
          <w:sz w:val="24"/>
          <w:szCs w:val="24"/>
        </w:rPr>
        <w:t>Федеральное агентство потехническому регулированию и</w:t>
      </w:r>
      <w:r w:rsidR="007C5A89">
        <w:rPr>
          <w:rStyle w:val="ac"/>
          <w:rFonts w:eastAsiaTheme="majorEastAsia"/>
          <w:sz w:val="24"/>
          <w:szCs w:val="24"/>
        </w:rPr>
        <w:t xml:space="preserve"> </w:t>
      </w:r>
      <w:r w:rsidRPr="007C5A89">
        <w:rPr>
          <w:rStyle w:val="ac"/>
          <w:rFonts w:eastAsiaTheme="majorEastAsia"/>
          <w:sz w:val="24"/>
          <w:szCs w:val="24"/>
        </w:rPr>
        <w:t>метрологии.Национальный стандарт Российской Федерации. ГОСТР 52379-2005. Надлежащая клиническая практика. Москва, 2005.</w:t>
      </w:r>
    </w:p>
    <w:p w14:paraId="18A1966D"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rPr>
        <w:t xml:space="preserve">Федеральный закон от 12.04.2010 № 61-ФЗ (ред. от 14.07.2022 </w:t>
      </w:r>
      <w:r w:rsidRPr="007C5A89">
        <w:rPr>
          <w:rStyle w:val="ac"/>
          <w:rFonts w:eastAsiaTheme="majorEastAsia"/>
          <w:sz w:val="24"/>
          <w:szCs w:val="24"/>
          <w:lang w:val="en-US"/>
        </w:rPr>
        <w:t>N</w:t>
      </w:r>
      <w:r w:rsidRPr="007C5A89">
        <w:rPr>
          <w:rStyle w:val="ac"/>
          <w:rFonts w:eastAsiaTheme="majorEastAsia"/>
          <w:sz w:val="24"/>
          <w:szCs w:val="24"/>
        </w:rPr>
        <w:t xml:space="preserve"> 311-ФЗ)) «Об обращении лекарственных средств</w:t>
      </w:r>
      <w:proofErr w:type="gramStart"/>
      <w:r w:rsidRPr="007C5A89">
        <w:rPr>
          <w:rStyle w:val="ac"/>
          <w:rFonts w:eastAsiaTheme="majorEastAsia"/>
          <w:sz w:val="24"/>
          <w:szCs w:val="24"/>
        </w:rPr>
        <w:t>»..</w:t>
      </w:r>
      <w:proofErr w:type="gramEnd"/>
    </w:p>
    <w:p w14:paraId="0A148C9F"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7C5A89">
        <w:rPr>
          <w:rStyle w:val="ac"/>
          <w:rFonts w:eastAsiaTheme="majorEastAsia"/>
          <w:sz w:val="24"/>
          <w:szCs w:val="24"/>
          <w:lang w:val="en-US"/>
        </w:rPr>
        <w:t>Jansen RW, Lipsitz LA. Postprandial hypotension: epidemiology, pathophysiology, and clinical management. Ann Int Med 1995;122(4):286–295.</w:t>
      </w:r>
    </w:p>
    <w:p w14:paraId="51636C01" w14:textId="77777777" w:rsidR="00CB781F" w:rsidRPr="007C5A89" w:rsidRDefault="00CB781F" w:rsidP="00424F51">
      <w:pPr>
        <w:pStyle w:val="11"/>
        <w:numPr>
          <w:ilvl w:val="0"/>
          <w:numId w:val="42"/>
        </w:numPr>
        <w:tabs>
          <w:tab w:val="left" w:pos="709"/>
          <w:tab w:val="left" w:pos="5542"/>
          <w:tab w:val="left" w:pos="9208"/>
        </w:tabs>
        <w:spacing w:line="276" w:lineRule="auto"/>
        <w:ind w:left="709" w:hanging="709"/>
        <w:jc w:val="both"/>
        <w:rPr>
          <w:sz w:val="24"/>
          <w:szCs w:val="24"/>
        </w:rPr>
      </w:pPr>
      <w:r w:rsidRPr="007C5A89">
        <w:rPr>
          <w:rStyle w:val="ac"/>
          <w:rFonts w:eastAsiaTheme="majorEastAsia"/>
          <w:sz w:val="24"/>
          <w:szCs w:val="24"/>
        </w:rPr>
        <w:t>Малая медицинская энциклопедия. М.: Медицинская энциклопедия, 1991—96 гг. [Электронный</w:t>
      </w:r>
      <w:r w:rsidR="007C5A89">
        <w:rPr>
          <w:rStyle w:val="ac"/>
          <w:rFonts w:eastAsiaTheme="majorEastAsia"/>
          <w:sz w:val="24"/>
          <w:szCs w:val="24"/>
        </w:rPr>
        <w:t xml:space="preserve"> </w:t>
      </w:r>
      <w:r w:rsidRPr="007C5A89">
        <w:rPr>
          <w:rStyle w:val="ac"/>
          <w:rFonts w:eastAsiaTheme="majorEastAsia"/>
          <w:sz w:val="24"/>
          <w:szCs w:val="24"/>
        </w:rPr>
        <w:t>ресурс].</w:t>
      </w:r>
      <w:r w:rsidR="007C5A89" w:rsidRPr="007C5A89">
        <w:rPr>
          <w:rStyle w:val="ac"/>
          <w:rFonts w:eastAsiaTheme="majorEastAsia"/>
          <w:sz w:val="24"/>
          <w:szCs w:val="24"/>
        </w:rPr>
        <w:t xml:space="preserve"> </w:t>
      </w:r>
      <w:r w:rsidRPr="007C5A89">
        <w:rPr>
          <w:rStyle w:val="ac"/>
          <w:rFonts w:eastAsiaTheme="majorEastAsia"/>
          <w:sz w:val="24"/>
          <w:szCs w:val="24"/>
        </w:rPr>
        <w:t>Режим</w:t>
      </w:r>
      <w:r w:rsidR="007C5A89">
        <w:rPr>
          <w:sz w:val="24"/>
          <w:szCs w:val="24"/>
        </w:rPr>
        <w:t xml:space="preserve"> </w:t>
      </w:r>
      <w:r w:rsidRPr="007C5A89">
        <w:rPr>
          <w:rStyle w:val="ac"/>
          <w:rFonts w:eastAsiaTheme="majorEastAsia"/>
          <w:sz w:val="24"/>
          <w:szCs w:val="24"/>
        </w:rPr>
        <w:t>доступа:</w:t>
      </w:r>
      <w:hyperlink r:id="rId12" w:history="1">
        <w:r w:rsidRPr="007C5A89">
          <w:rPr>
            <w:rStyle w:val="ac"/>
            <w:rFonts w:eastAsiaTheme="majorEastAsia"/>
            <w:sz w:val="24"/>
            <w:szCs w:val="24"/>
          </w:rPr>
          <w:t>http://dic.academic.ru/dic.nsf/enc_medicine/28878/Синдром</w:t>
        </w:r>
      </w:hyperlink>
      <w:r w:rsidRPr="007C5A89">
        <w:rPr>
          <w:rStyle w:val="ac"/>
          <w:rFonts w:eastAsiaTheme="majorEastAsia"/>
          <w:sz w:val="24"/>
          <w:szCs w:val="24"/>
        </w:rPr>
        <w:t>.</w:t>
      </w:r>
    </w:p>
    <w:p w14:paraId="6E333DB3"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rPr>
        <w:t xml:space="preserve">Общероссийская общественная организация «Российская ассоциация геронтологов и гериатров». Клинические рекомендации «Старческая астения». </w:t>
      </w:r>
      <w:proofErr w:type="gramStart"/>
      <w:r w:rsidRPr="007C5A89">
        <w:rPr>
          <w:rStyle w:val="ac"/>
          <w:rFonts w:eastAsiaTheme="majorEastAsia"/>
          <w:sz w:val="24"/>
          <w:szCs w:val="24"/>
        </w:rPr>
        <w:t>2020.,</w:t>
      </w:r>
      <w:proofErr w:type="gramEnd"/>
      <w:r w:rsidRPr="007C5A89">
        <w:rPr>
          <w:rStyle w:val="ac"/>
          <w:rFonts w:eastAsiaTheme="majorEastAsia"/>
          <w:sz w:val="24"/>
          <w:szCs w:val="24"/>
        </w:rPr>
        <w:t xml:space="preserve"> </w:t>
      </w:r>
      <w:hyperlink r:id="rId13" w:history="1">
        <w:r w:rsidRPr="007C5A89">
          <w:rPr>
            <w:rStyle w:val="ac"/>
            <w:rFonts w:eastAsiaTheme="majorEastAsia"/>
            <w:sz w:val="24"/>
            <w:szCs w:val="24"/>
            <w:lang w:val="en-US"/>
          </w:rPr>
          <w:t>https</w:t>
        </w:r>
        <w:r w:rsidRPr="007C5A89">
          <w:rPr>
            <w:rStyle w:val="ac"/>
            <w:rFonts w:eastAsiaTheme="majorEastAsia"/>
            <w:sz w:val="24"/>
            <w:szCs w:val="24"/>
          </w:rPr>
          <w:t>://</w:t>
        </w:r>
        <w:r w:rsidRPr="007C5A89">
          <w:rPr>
            <w:rStyle w:val="ac"/>
            <w:rFonts w:eastAsiaTheme="majorEastAsia"/>
            <w:sz w:val="24"/>
            <w:szCs w:val="24"/>
            <w:lang w:val="en-US"/>
          </w:rPr>
          <w:t>cr</w:t>
        </w:r>
        <w:r w:rsidRPr="007C5A89">
          <w:rPr>
            <w:rStyle w:val="ac"/>
            <w:rFonts w:eastAsiaTheme="majorEastAsia"/>
            <w:sz w:val="24"/>
            <w:szCs w:val="24"/>
          </w:rPr>
          <w:t>.</w:t>
        </w:r>
        <w:r w:rsidRPr="007C5A89">
          <w:rPr>
            <w:rStyle w:val="ac"/>
            <w:rFonts w:eastAsiaTheme="majorEastAsia"/>
            <w:sz w:val="24"/>
            <w:szCs w:val="24"/>
            <w:lang w:val="en-US"/>
          </w:rPr>
          <w:t>minzdrav</w:t>
        </w:r>
        <w:r w:rsidRPr="007C5A89">
          <w:rPr>
            <w:rStyle w:val="ac"/>
            <w:rFonts w:eastAsiaTheme="majorEastAsia"/>
            <w:sz w:val="24"/>
            <w:szCs w:val="24"/>
          </w:rPr>
          <w:t>.</w:t>
        </w:r>
        <w:r w:rsidRPr="007C5A89">
          <w:rPr>
            <w:rStyle w:val="ac"/>
            <w:rFonts w:eastAsiaTheme="majorEastAsia"/>
            <w:sz w:val="24"/>
            <w:szCs w:val="24"/>
            <w:lang w:val="en-US"/>
          </w:rPr>
          <w:t>gov</w:t>
        </w:r>
        <w:r w:rsidRPr="007C5A89">
          <w:rPr>
            <w:rStyle w:val="ac"/>
            <w:rFonts w:eastAsiaTheme="majorEastAsia"/>
            <w:sz w:val="24"/>
            <w:szCs w:val="24"/>
          </w:rPr>
          <w:t>.</w:t>
        </w:r>
        <w:r w:rsidRPr="007C5A89">
          <w:rPr>
            <w:rStyle w:val="ac"/>
            <w:rFonts w:eastAsiaTheme="majorEastAsia"/>
            <w:sz w:val="24"/>
            <w:szCs w:val="24"/>
            <w:lang w:val="en-US"/>
          </w:rPr>
          <w:t>ru</w:t>
        </w:r>
        <w:r w:rsidRPr="007C5A89">
          <w:rPr>
            <w:rStyle w:val="ac"/>
            <w:rFonts w:eastAsiaTheme="majorEastAsia"/>
            <w:sz w:val="24"/>
            <w:szCs w:val="24"/>
          </w:rPr>
          <w:t>/</w:t>
        </w:r>
        <w:r w:rsidRPr="007C5A89">
          <w:rPr>
            <w:rStyle w:val="ac"/>
            <w:rFonts w:eastAsiaTheme="majorEastAsia"/>
            <w:sz w:val="24"/>
            <w:szCs w:val="24"/>
            <w:lang w:val="en-US"/>
          </w:rPr>
          <w:t>recomend</w:t>
        </w:r>
        <w:r w:rsidRPr="007C5A89">
          <w:rPr>
            <w:rStyle w:val="ac"/>
            <w:rFonts w:eastAsiaTheme="majorEastAsia"/>
            <w:sz w:val="24"/>
            <w:szCs w:val="24"/>
          </w:rPr>
          <w:t>/613_1</w:t>
        </w:r>
      </w:hyperlink>
      <w:r w:rsidRPr="007C5A89">
        <w:rPr>
          <w:rStyle w:val="ac"/>
          <w:rFonts w:eastAsiaTheme="majorEastAsia"/>
          <w:sz w:val="24"/>
          <w:szCs w:val="24"/>
        </w:rPr>
        <w:t>.</w:t>
      </w:r>
    </w:p>
    <w:p w14:paraId="3ED2E5FA" w14:textId="77777777" w:rsidR="00CB781F" w:rsidRPr="007C5A89" w:rsidRDefault="00CB781F" w:rsidP="00424F51">
      <w:pPr>
        <w:pStyle w:val="11"/>
        <w:numPr>
          <w:ilvl w:val="0"/>
          <w:numId w:val="42"/>
        </w:numPr>
        <w:tabs>
          <w:tab w:val="left" w:pos="709"/>
          <w:tab w:val="left" w:pos="4222"/>
          <w:tab w:val="left" w:pos="4596"/>
          <w:tab w:val="left" w:pos="6506"/>
          <w:tab w:val="left" w:pos="8369"/>
        </w:tabs>
        <w:spacing w:line="276" w:lineRule="auto"/>
        <w:ind w:left="709" w:hanging="709"/>
        <w:jc w:val="both"/>
        <w:rPr>
          <w:sz w:val="24"/>
          <w:szCs w:val="24"/>
        </w:rPr>
      </w:pPr>
      <w:r w:rsidRPr="007C5A89">
        <w:rPr>
          <w:rStyle w:val="ac"/>
          <w:rFonts w:eastAsiaTheme="majorEastAsia"/>
          <w:sz w:val="24"/>
          <w:szCs w:val="24"/>
        </w:rPr>
        <w:t>Андреева Н. С., Реброва О. Ю., Зорин Н. А. и др. Системы оценки достоверности научных доказательств</w:t>
      </w:r>
      <w:r w:rsidR="007C5A89">
        <w:rPr>
          <w:rStyle w:val="ac"/>
          <w:rFonts w:eastAsiaTheme="majorEastAsia"/>
          <w:sz w:val="24"/>
          <w:szCs w:val="24"/>
        </w:rPr>
        <w:t xml:space="preserve"> </w:t>
      </w:r>
      <w:r w:rsidRPr="007C5A89">
        <w:rPr>
          <w:rStyle w:val="ac"/>
          <w:rFonts w:eastAsiaTheme="majorEastAsia"/>
          <w:sz w:val="24"/>
          <w:szCs w:val="24"/>
        </w:rPr>
        <w:t>и</w:t>
      </w:r>
      <w:r w:rsidR="007C5A89">
        <w:rPr>
          <w:rStyle w:val="ac"/>
          <w:rFonts w:eastAsiaTheme="majorEastAsia"/>
          <w:sz w:val="24"/>
          <w:szCs w:val="24"/>
        </w:rPr>
        <w:t xml:space="preserve"> </w:t>
      </w:r>
      <w:r w:rsidRPr="007C5A89">
        <w:rPr>
          <w:rStyle w:val="ac"/>
          <w:rFonts w:eastAsiaTheme="majorEastAsia"/>
          <w:sz w:val="24"/>
          <w:szCs w:val="24"/>
        </w:rPr>
        <w:t>убедительност</w:t>
      </w:r>
      <w:r w:rsidR="007C5A89">
        <w:rPr>
          <w:rStyle w:val="ac"/>
          <w:rFonts w:eastAsiaTheme="majorEastAsia"/>
          <w:sz w:val="24"/>
          <w:szCs w:val="24"/>
        </w:rPr>
        <w:t xml:space="preserve">и </w:t>
      </w:r>
      <w:r w:rsidRPr="007C5A89">
        <w:rPr>
          <w:rStyle w:val="ac"/>
          <w:rFonts w:eastAsiaTheme="majorEastAsia"/>
          <w:sz w:val="24"/>
          <w:szCs w:val="24"/>
        </w:rPr>
        <w:t>рекомендаций:</w:t>
      </w:r>
      <w:r w:rsidR="007C5A89">
        <w:rPr>
          <w:rStyle w:val="ac"/>
          <w:rFonts w:eastAsiaTheme="majorEastAsia"/>
          <w:sz w:val="24"/>
          <w:szCs w:val="24"/>
        </w:rPr>
        <w:t xml:space="preserve"> </w:t>
      </w:r>
      <w:r w:rsidRPr="007C5A89">
        <w:rPr>
          <w:rStyle w:val="ac"/>
          <w:rFonts w:eastAsiaTheme="majorEastAsia"/>
          <w:sz w:val="24"/>
          <w:szCs w:val="24"/>
        </w:rPr>
        <w:t>сравнительная</w:t>
      </w:r>
      <w:r w:rsidR="007C5A89">
        <w:rPr>
          <w:sz w:val="24"/>
          <w:szCs w:val="24"/>
        </w:rPr>
        <w:t xml:space="preserve"> </w:t>
      </w:r>
      <w:r w:rsidRPr="007C5A89">
        <w:rPr>
          <w:rStyle w:val="ac"/>
          <w:rFonts w:eastAsiaTheme="majorEastAsia"/>
          <w:sz w:val="24"/>
          <w:szCs w:val="24"/>
        </w:rPr>
        <w:t>характеристика и перспективы унификации. Медицинские технологии. Оценка и выбор. 2012. №. 4. С. 10–24..</w:t>
      </w:r>
    </w:p>
    <w:p w14:paraId="3BCD7BAA"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7C5A89">
        <w:rPr>
          <w:rStyle w:val="ac"/>
          <w:rFonts w:eastAsiaTheme="majorEastAsia"/>
          <w:sz w:val="24"/>
          <w:szCs w:val="24"/>
          <w:lang w:val="en-US"/>
        </w:rPr>
        <w:t>Rapsomaniki E et al. Blood pressure and incidence of twelve cardiovascular diseases: lifetime risks, healthy life-years lost, and age-specific associations in 1• 25 million people. The Lancet 383.9932 (2014):1899–1911</w:t>
      </w:r>
      <w:proofErr w:type="gramStart"/>
      <w:r w:rsidRPr="007C5A89">
        <w:rPr>
          <w:rStyle w:val="ac"/>
          <w:rFonts w:eastAsiaTheme="majorEastAsia"/>
          <w:sz w:val="24"/>
          <w:szCs w:val="24"/>
          <w:lang w:val="en-US"/>
        </w:rPr>
        <w:t>..</w:t>
      </w:r>
      <w:proofErr w:type="gramEnd"/>
    </w:p>
    <w:p w14:paraId="550E0C69"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lang w:val="en-US"/>
        </w:rPr>
        <w:t xml:space="preserve">Ehret GB, Caulfield MJ. Genes for blood pressure: an opportunity to understand hypertension. Eur Heart J </w:t>
      </w:r>
      <w:r w:rsidRPr="007C5A89">
        <w:rPr>
          <w:rStyle w:val="ac"/>
          <w:rFonts w:eastAsiaTheme="majorEastAsia"/>
          <w:sz w:val="24"/>
          <w:szCs w:val="24"/>
        </w:rPr>
        <w:t>2013</w:t>
      </w:r>
      <w:proofErr w:type="gramStart"/>
      <w:r w:rsidRPr="007C5A89">
        <w:rPr>
          <w:rStyle w:val="ac"/>
          <w:rFonts w:eastAsiaTheme="majorEastAsia"/>
          <w:sz w:val="24"/>
          <w:szCs w:val="24"/>
        </w:rPr>
        <w:t>;34:951</w:t>
      </w:r>
      <w:proofErr w:type="gramEnd"/>
      <w:r w:rsidRPr="007C5A89">
        <w:rPr>
          <w:rStyle w:val="ac"/>
          <w:rFonts w:eastAsiaTheme="majorEastAsia"/>
          <w:sz w:val="24"/>
          <w:szCs w:val="24"/>
        </w:rPr>
        <w:t>–961..</w:t>
      </w:r>
    </w:p>
    <w:p w14:paraId="16FF0851" w14:textId="77777777" w:rsidR="00CB781F" w:rsidRPr="007C5A89" w:rsidRDefault="00CB781F" w:rsidP="00424F51">
      <w:pPr>
        <w:pStyle w:val="11"/>
        <w:numPr>
          <w:ilvl w:val="0"/>
          <w:numId w:val="42"/>
        </w:numPr>
        <w:tabs>
          <w:tab w:val="left" w:pos="709"/>
          <w:tab w:val="left" w:pos="1168"/>
        </w:tabs>
        <w:spacing w:line="276" w:lineRule="auto"/>
        <w:ind w:left="709" w:firstLine="0"/>
        <w:jc w:val="both"/>
        <w:rPr>
          <w:sz w:val="24"/>
          <w:szCs w:val="24"/>
        </w:rPr>
      </w:pPr>
      <w:r w:rsidRPr="007C5A89">
        <w:rPr>
          <w:rStyle w:val="ac"/>
          <w:rFonts w:eastAsiaTheme="majorEastAsia"/>
          <w:sz w:val="24"/>
          <w:szCs w:val="24"/>
          <w:lang w:val="en-US"/>
        </w:rPr>
        <w:t>«2023 ESH Guidelines for the management of arterial hypertension The Task Force for the</w:t>
      </w:r>
      <w:r w:rsidR="007C5A89" w:rsidRPr="007C5A89">
        <w:rPr>
          <w:sz w:val="24"/>
          <w:szCs w:val="24"/>
          <w:lang w:val="en-US"/>
        </w:rPr>
        <w:t xml:space="preserve"> </w:t>
      </w:r>
      <w:r w:rsidRPr="007C5A89">
        <w:rPr>
          <w:rStyle w:val="ac"/>
          <w:rFonts w:eastAsiaTheme="majorEastAsia"/>
          <w:sz w:val="24"/>
          <w:szCs w:val="24"/>
          <w:lang w:val="en-US"/>
        </w:rPr>
        <w:t>management of arterial hypertension of the European Society of Hypertension Endorsed by the</w:t>
      </w:r>
      <w:r w:rsidR="007C5A89" w:rsidRPr="007C5A89">
        <w:rPr>
          <w:rStyle w:val="ac"/>
          <w:rFonts w:eastAsiaTheme="majorEastAsia"/>
          <w:sz w:val="24"/>
          <w:szCs w:val="24"/>
          <w:lang w:val="en-US"/>
        </w:rPr>
        <w:t xml:space="preserve"> </w:t>
      </w:r>
      <w:r w:rsidRPr="007C5A89">
        <w:rPr>
          <w:rStyle w:val="ac"/>
          <w:rFonts w:eastAsiaTheme="majorEastAsia"/>
          <w:sz w:val="24"/>
          <w:szCs w:val="24"/>
          <w:lang w:val="en-US"/>
        </w:rPr>
        <w:t xml:space="preserve">European Renal Association (ERA),» </w:t>
      </w:r>
      <w:r w:rsidRPr="007C5A89">
        <w:rPr>
          <w:rStyle w:val="ac"/>
          <w:rFonts w:eastAsiaTheme="majorEastAsia"/>
          <w:i/>
          <w:iCs/>
          <w:sz w:val="24"/>
          <w:szCs w:val="24"/>
          <w:lang w:val="en-US"/>
        </w:rPr>
        <w:t xml:space="preserve">and the International Society of Hypertension(ISH). Journal of Hypertension ():10.1097/HJH.0000000000003480, June 21, 2023. </w:t>
      </w:r>
      <w:r w:rsidRPr="007C5A89">
        <w:rPr>
          <w:rStyle w:val="ac"/>
          <w:rFonts w:eastAsiaTheme="majorEastAsia"/>
          <w:i/>
          <w:iCs/>
          <w:sz w:val="24"/>
          <w:szCs w:val="24"/>
        </w:rPr>
        <w:t xml:space="preserve">| </w:t>
      </w:r>
      <w:r w:rsidRPr="007C5A89">
        <w:rPr>
          <w:rStyle w:val="ac"/>
          <w:rFonts w:eastAsiaTheme="majorEastAsia"/>
          <w:i/>
          <w:iCs/>
          <w:sz w:val="24"/>
          <w:szCs w:val="24"/>
          <w:lang w:val="en-US"/>
        </w:rPr>
        <w:t>DOI: 10.1097/HJH.0000000000003480.</w:t>
      </w:r>
    </w:p>
    <w:p w14:paraId="50EEBBAE"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F03632">
        <w:rPr>
          <w:rStyle w:val="ac"/>
          <w:rFonts w:eastAsiaTheme="majorEastAsia"/>
          <w:sz w:val="24"/>
          <w:szCs w:val="24"/>
          <w:lang w:val="fr-FR"/>
        </w:rPr>
        <w:t xml:space="preserve">Elliott P, Stamler J, Nichols R, et al. </w:t>
      </w:r>
      <w:r w:rsidRPr="007C5A89">
        <w:rPr>
          <w:rStyle w:val="ac"/>
          <w:rFonts w:eastAsiaTheme="majorEastAsia"/>
          <w:sz w:val="24"/>
          <w:szCs w:val="24"/>
          <w:lang w:val="en-US"/>
        </w:rPr>
        <w:t xml:space="preserve">Intersalt revisited: further analyses of 24 hour sodium excretion and </w:t>
      </w:r>
      <w:proofErr w:type="gramStart"/>
      <w:r w:rsidRPr="007C5A89">
        <w:rPr>
          <w:rStyle w:val="ac"/>
          <w:rFonts w:eastAsiaTheme="majorEastAsia"/>
          <w:sz w:val="24"/>
          <w:szCs w:val="24"/>
          <w:lang w:val="en-US"/>
        </w:rPr>
        <w:t>blood .</w:t>
      </w:r>
      <w:proofErr w:type="gramEnd"/>
      <w:r w:rsidRPr="007C5A89">
        <w:rPr>
          <w:rStyle w:val="ac"/>
          <w:rFonts w:eastAsiaTheme="majorEastAsia"/>
          <w:sz w:val="24"/>
          <w:szCs w:val="24"/>
          <w:lang w:val="en-US"/>
        </w:rPr>
        <w:t xml:space="preserve"> pressure within and across populations. Intersalt Cooperative Research Group. </w:t>
      </w:r>
      <w:r w:rsidRPr="007C5A89">
        <w:rPr>
          <w:rStyle w:val="ac"/>
          <w:rFonts w:eastAsiaTheme="majorEastAsia"/>
          <w:sz w:val="24"/>
          <w:szCs w:val="24"/>
        </w:rPr>
        <w:t xml:space="preserve">. </w:t>
      </w:r>
      <w:r w:rsidRPr="007C5A89">
        <w:rPr>
          <w:rStyle w:val="ac"/>
          <w:rFonts w:eastAsiaTheme="majorEastAsia"/>
          <w:sz w:val="24"/>
          <w:szCs w:val="24"/>
          <w:lang w:val="en-US"/>
        </w:rPr>
        <w:t xml:space="preserve">BMJ </w:t>
      </w:r>
      <w:r w:rsidRPr="007C5A89">
        <w:rPr>
          <w:rStyle w:val="ac"/>
          <w:rFonts w:eastAsiaTheme="majorEastAsia"/>
          <w:sz w:val="24"/>
          <w:szCs w:val="24"/>
        </w:rPr>
        <w:t>1996</w:t>
      </w:r>
      <w:proofErr w:type="gramStart"/>
      <w:r w:rsidRPr="007C5A89">
        <w:rPr>
          <w:rStyle w:val="ac"/>
          <w:rFonts w:eastAsiaTheme="majorEastAsia"/>
          <w:sz w:val="24"/>
          <w:szCs w:val="24"/>
        </w:rPr>
        <w:t>;312:1249</w:t>
      </w:r>
      <w:proofErr w:type="gramEnd"/>
      <w:r w:rsidRPr="007C5A89">
        <w:rPr>
          <w:rStyle w:val="ac"/>
          <w:rFonts w:eastAsiaTheme="majorEastAsia"/>
          <w:sz w:val="24"/>
          <w:szCs w:val="24"/>
        </w:rPr>
        <w:t>–1253..</w:t>
      </w:r>
    </w:p>
    <w:p w14:paraId="71A2DB26"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lang w:val="en-US"/>
        </w:rPr>
        <w:t xml:space="preserve">«Guo Y, Li X, Wang Z, Yu B. Gut Microbiota Dysbiosis in Human Hypertension: A Systematic Review of Observational Studies. Front Cardiovasc Med. </w:t>
      </w:r>
      <w:r w:rsidRPr="007C5A89">
        <w:rPr>
          <w:rStyle w:val="ac"/>
          <w:rFonts w:eastAsiaTheme="majorEastAsia"/>
          <w:sz w:val="24"/>
          <w:szCs w:val="24"/>
        </w:rPr>
        <w:t>2021</w:t>
      </w:r>
      <w:proofErr w:type="gramStart"/>
      <w:r w:rsidRPr="007C5A89">
        <w:rPr>
          <w:rStyle w:val="ac"/>
          <w:rFonts w:eastAsiaTheme="majorEastAsia"/>
          <w:sz w:val="24"/>
          <w:szCs w:val="24"/>
        </w:rPr>
        <w:t>;8:650227</w:t>
      </w:r>
      <w:proofErr w:type="gramEnd"/>
      <w:r w:rsidRPr="007C5A89">
        <w:rPr>
          <w:rStyle w:val="ac"/>
          <w:rFonts w:eastAsiaTheme="majorEastAsia"/>
          <w:sz w:val="24"/>
          <w:szCs w:val="24"/>
        </w:rPr>
        <w:t>».</w:t>
      </w:r>
    </w:p>
    <w:p w14:paraId="0FBE31F3"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7C5A89">
        <w:rPr>
          <w:rStyle w:val="ac"/>
          <w:rFonts w:eastAsiaTheme="majorEastAsia"/>
          <w:sz w:val="24"/>
          <w:szCs w:val="24"/>
          <w:lang w:val="en-US"/>
        </w:rPr>
        <w:t>«Wilck N, Matus MG, Kearney SM, et al. Salt-responsive gut commensal modulates TH17 axis and disease.».</w:t>
      </w:r>
    </w:p>
    <w:p w14:paraId="0E8EF58C"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7C5A89">
        <w:rPr>
          <w:rStyle w:val="ac"/>
          <w:rFonts w:eastAsiaTheme="majorEastAsia"/>
          <w:sz w:val="24"/>
          <w:szCs w:val="24"/>
          <w:lang w:val="en-US"/>
        </w:rPr>
        <w:t>«Griendling KK, Camargo LL, Rios FJ, et al. Oxidative stress and hypertension. Circ Res 2021; 128:993–1020.».</w:t>
      </w:r>
    </w:p>
    <w:p w14:paraId="1D6EAD2A"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rPr>
        <w:lastRenderedPageBreak/>
        <w:t xml:space="preserve">Кушаковский М. С. Эссенциальная гипертензия (гипертоническая болезнь). Причины, механизмы, клиника, лечение. </w:t>
      </w:r>
      <w:proofErr w:type="gramStart"/>
      <w:r w:rsidRPr="007C5A89">
        <w:rPr>
          <w:rStyle w:val="ac"/>
          <w:rFonts w:eastAsiaTheme="majorEastAsia"/>
          <w:sz w:val="24"/>
          <w:szCs w:val="24"/>
        </w:rPr>
        <w:t>СПб.,</w:t>
      </w:r>
      <w:proofErr w:type="gramEnd"/>
      <w:r w:rsidRPr="007C5A89">
        <w:rPr>
          <w:rStyle w:val="ac"/>
          <w:rFonts w:eastAsiaTheme="majorEastAsia"/>
          <w:sz w:val="24"/>
          <w:szCs w:val="24"/>
        </w:rPr>
        <w:t xml:space="preserve"> 2002..</w:t>
      </w:r>
    </w:p>
    <w:p w14:paraId="39F5EBAA"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rPr>
        <w:t>Ланг Г. Ф. Гипертоническая болезнь. М.: Медгиз, 1950. 459 с..</w:t>
      </w:r>
    </w:p>
    <w:p w14:paraId="2A5EB692"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rPr>
        <w:t>Постнов Ю. В., Орлов С. Н. Первичная гипертензия как патология клеточных мембран. М.: Медицина, 1987. 192 с..</w:t>
      </w:r>
    </w:p>
    <w:p w14:paraId="0E8EC267"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rPr>
        <w:t xml:space="preserve">Мясников А. Л. Гипертоническая болезнь. М.: Медгиз, </w:t>
      </w:r>
      <w:proofErr w:type="gramStart"/>
      <w:r w:rsidRPr="007C5A89">
        <w:rPr>
          <w:rStyle w:val="ac"/>
          <w:rFonts w:eastAsiaTheme="majorEastAsia"/>
          <w:sz w:val="24"/>
          <w:szCs w:val="24"/>
        </w:rPr>
        <w:t>1954..</w:t>
      </w:r>
      <w:proofErr w:type="gramEnd"/>
    </w:p>
    <w:p w14:paraId="15C4A836"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lang w:val="en-US"/>
        </w:rPr>
        <w:t xml:space="preserve">« Page IH. Pathogenesis of arterial hypertension. J Am Med Assoc </w:t>
      </w:r>
      <w:r w:rsidRPr="007C5A89">
        <w:rPr>
          <w:rStyle w:val="ac"/>
          <w:rFonts w:eastAsiaTheme="majorEastAsia"/>
          <w:sz w:val="24"/>
          <w:szCs w:val="24"/>
        </w:rPr>
        <w:t>1949; 140:451–458.».</w:t>
      </w:r>
    </w:p>
    <w:p w14:paraId="3475DB56"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rPr>
        <w:t>Распространенность факторов риска неинфекционных заболеваний в российской популяции в 2012–2013 гг. Результаты исследования ЭССЕ-РФ. Кардиоваскулярная терапия и профилактика 2014; 13(6):4–</w:t>
      </w:r>
      <w:proofErr w:type="gramStart"/>
      <w:r w:rsidRPr="007C5A89">
        <w:rPr>
          <w:rStyle w:val="ac"/>
          <w:rFonts w:eastAsiaTheme="majorEastAsia"/>
          <w:sz w:val="24"/>
          <w:szCs w:val="24"/>
        </w:rPr>
        <w:t>11..</w:t>
      </w:r>
      <w:proofErr w:type="gramEnd"/>
    </w:p>
    <w:p w14:paraId="286C432B"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rPr>
        <w:t>Бойцов С. А., Баланова Ю. А., Шальнова С. А., Деев А. Д. и др. Артериальная гипертония среди лиц 25–64 лет: распространенность, осведомленность, лечение и контроль. По материалам исследования ЭССЕ. Кардиоваскулярная терапия и профилактика. 2014;4:4-14..</w:t>
      </w:r>
    </w:p>
    <w:p w14:paraId="5C5982B0"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7C5A89">
        <w:rPr>
          <w:rStyle w:val="ac"/>
          <w:rFonts w:eastAsiaTheme="majorEastAsia"/>
          <w:sz w:val="24"/>
          <w:szCs w:val="24"/>
          <w:lang w:val="en-US"/>
        </w:rPr>
        <w:t>Kearney PM, Whelton M, Reynolds K, et al. Global burden of hypertension: analysis of worldwide data. Lancet 2005</w:t>
      </w:r>
      <w:proofErr w:type="gramStart"/>
      <w:r w:rsidRPr="007C5A89">
        <w:rPr>
          <w:rStyle w:val="ac"/>
          <w:rFonts w:eastAsiaTheme="majorEastAsia"/>
          <w:sz w:val="24"/>
          <w:szCs w:val="24"/>
          <w:lang w:val="en-US"/>
        </w:rPr>
        <w:t>;365:217</w:t>
      </w:r>
      <w:proofErr w:type="gramEnd"/>
      <w:r w:rsidRPr="007C5A89">
        <w:rPr>
          <w:rStyle w:val="ac"/>
          <w:rFonts w:eastAsiaTheme="majorEastAsia"/>
          <w:sz w:val="24"/>
          <w:szCs w:val="24"/>
          <w:lang w:val="en-US"/>
        </w:rPr>
        <w:t>–223..</w:t>
      </w:r>
    </w:p>
    <w:p w14:paraId="70F7915F"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lang w:val="en-US"/>
        </w:rPr>
        <w:t xml:space="preserve">Worldwide trends in hypertension prevalence and progress in treatment and control from 1990 to 2019: a pooled analysis of 1201 population-representative studies with 104 million participants. NCD Risk Factor Collaboration (NCD-RisC)., Lancet </w:t>
      </w:r>
      <w:r w:rsidRPr="007C5A89">
        <w:rPr>
          <w:rStyle w:val="ac"/>
          <w:rFonts w:eastAsiaTheme="majorEastAsia"/>
          <w:sz w:val="24"/>
          <w:szCs w:val="24"/>
        </w:rPr>
        <w:t xml:space="preserve">2021; 398: 957–80. </w:t>
      </w:r>
      <w:proofErr w:type="gramStart"/>
      <w:r w:rsidRPr="007C5A89">
        <w:rPr>
          <w:rStyle w:val="ac"/>
          <w:rFonts w:eastAsiaTheme="majorEastAsia"/>
          <w:sz w:val="24"/>
          <w:szCs w:val="24"/>
          <w:lang w:val="en-US"/>
        </w:rPr>
        <w:t>doi:</w:t>
      </w:r>
      <w:proofErr w:type="gramEnd"/>
      <w:r w:rsidRPr="007C5A89">
        <w:rPr>
          <w:rStyle w:val="ac"/>
          <w:rFonts w:eastAsiaTheme="majorEastAsia"/>
          <w:sz w:val="24"/>
          <w:szCs w:val="24"/>
          <w:lang w:val="en-US"/>
        </w:rPr>
        <w:t xml:space="preserve">10.1016/ S0140-6736(21) </w:t>
      </w:r>
      <w:r w:rsidRPr="007C5A89">
        <w:rPr>
          <w:rStyle w:val="ac"/>
          <w:rFonts w:eastAsiaTheme="majorEastAsia"/>
          <w:sz w:val="24"/>
          <w:szCs w:val="24"/>
        </w:rPr>
        <w:t>01330-1..</w:t>
      </w:r>
    </w:p>
    <w:p w14:paraId="6490D7E1"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F03632">
        <w:rPr>
          <w:rStyle w:val="ac"/>
          <w:rFonts w:eastAsiaTheme="majorEastAsia"/>
          <w:sz w:val="24"/>
          <w:szCs w:val="24"/>
          <w:lang w:val="fr-FR"/>
        </w:rPr>
        <w:t xml:space="preserve">Franklin SS, Lopez VA, Wong ND, et al. </w:t>
      </w:r>
      <w:r w:rsidRPr="007C5A89">
        <w:rPr>
          <w:rStyle w:val="ac"/>
          <w:rFonts w:eastAsiaTheme="majorEastAsia"/>
          <w:sz w:val="24"/>
          <w:szCs w:val="24"/>
          <w:lang w:val="en-US"/>
        </w:rPr>
        <w:t>Single versus combined blood pressure components and risk for cardiovascular disease: the Framingham Heart Study. Circulation 2009</w:t>
      </w:r>
      <w:proofErr w:type="gramStart"/>
      <w:r w:rsidRPr="007C5A89">
        <w:rPr>
          <w:rStyle w:val="ac"/>
          <w:rFonts w:eastAsiaTheme="majorEastAsia"/>
          <w:sz w:val="24"/>
          <w:szCs w:val="24"/>
          <w:lang w:val="en-US"/>
        </w:rPr>
        <w:t>;119:243</w:t>
      </w:r>
      <w:proofErr w:type="gramEnd"/>
      <w:r w:rsidRPr="007C5A89">
        <w:rPr>
          <w:rStyle w:val="ac"/>
          <w:rFonts w:eastAsiaTheme="majorEastAsia"/>
          <w:sz w:val="24"/>
          <w:szCs w:val="24"/>
          <w:lang w:val="en-US"/>
        </w:rPr>
        <w:t>–250..</w:t>
      </w:r>
    </w:p>
    <w:p w14:paraId="23B6C202"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lang w:val="en-US"/>
        </w:rPr>
        <w:t xml:space="preserve">Williams B, Mancia G, Spiering W et al. 2018 ESC/ESH Guidelines for the management of arterial hypertension: The Task Force for the management of arterial hypertension of the European Society of Cardiology and the European Society of Hypertension:, The Task Force for the management of arterial hypertension of the European Society of Cardiology and the European Society of Hypertension. JHypertens </w:t>
      </w:r>
      <w:r w:rsidRPr="007C5A89">
        <w:rPr>
          <w:rStyle w:val="ac"/>
          <w:rFonts w:eastAsiaTheme="majorEastAsia"/>
          <w:sz w:val="24"/>
          <w:szCs w:val="24"/>
        </w:rPr>
        <w:t>2018</w:t>
      </w:r>
      <w:proofErr w:type="gramStart"/>
      <w:r w:rsidRPr="007C5A89">
        <w:rPr>
          <w:rStyle w:val="ac"/>
          <w:rFonts w:eastAsiaTheme="majorEastAsia"/>
          <w:sz w:val="24"/>
          <w:szCs w:val="24"/>
        </w:rPr>
        <w:t>;36</w:t>
      </w:r>
      <w:proofErr w:type="gramEnd"/>
      <w:r w:rsidRPr="007C5A89">
        <w:rPr>
          <w:rStyle w:val="ac"/>
          <w:rFonts w:eastAsiaTheme="majorEastAsia"/>
          <w:sz w:val="24"/>
          <w:szCs w:val="24"/>
        </w:rPr>
        <w:t>(10):1953–2041..</w:t>
      </w:r>
    </w:p>
    <w:p w14:paraId="353D9674"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7C5A89">
        <w:rPr>
          <w:rStyle w:val="ac"/>
          <w:rFonts w:eastAsiaTheme="majorEastAsia"/>
          <w:sz w:val="24"/>
          <w:szCs w:val="24"/>
          <w:lang w:val="en-US"/>
        </w:rPr>
        <w:t>Lewington S, Clarke R, Qizilbash N et al. Age-specific relevance of usual blood pressure to vascular mortality: a meta-analysis of individual data for one million adults in 61 prospective studies. Lancet 2002</w:t>
      </w:r>
      <w:proofErr w:type="gramStart"/>
      <w:r w:rsidRPr="007C5A89">
        <w:rPr>
          <w:rStyle w:val="ac"/>
          <w:rFonts w:eastAsiaTheme="majorEastAsia"/>
          <w:sz w:val="24"/>
          <w:szCs w:val="24"/>
          <w:lang w:val="en-US"/>
        </w:rPr>
        <w:t>;360:1903</w:t>
      </w:r>
      <w:proofErr w:type="gramEnd"/>
      <w:r w:rsidRPr="007C5A89">
        <w:rPr>
          <w:rStyle w:val="ac"/>
          <w:rFonts w:eastAsiaTheme="majorEastAsia"/>
          <w:sz w:val="24"/>
          <w:szCs w:val="24"/>
          <w:lang w:val="en-US"/>
        </w:rPr>
        <w:t>–1913..</w:t>
      </w:r>
    </w:p>
    <w:p w14:paraId="16C19DCF"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F03632">
        <w:rPr>
          <w:rStyle w:val="ac"/>
          <w:rFonts w:eastAsiaTheme="majorEastAsia"/>
          <w:sz w:val="24"/>
          <w:szCs w:val="24"/>
          <w:lang w:val="fr-FR"/>
        </w:rPr>
        <w:t xml:space="preserve">Lip GYH, Coca A, Kahan T, et al. </w:t>
      </w:r>
      <w:r w:rsidRPr="007C5A89">
        <w:rPr>
          <w:rStyle w:val="ac"/>
          <w:rFonts w:eastAsiaTheme="majorEastAsia"/>
          <w:sz w:val="24"/>
          <w:szCs w:val="24"/>
          <w:lang w:val="en-US"/>
        </w:rPr>
        <w:t>Hypertension and cardiac arrhythmias: executive summary of a consensus document from the European Heart Rhythm Association (EHRA) and ESC Council on Hypertension, endorsed by the Heart Rhythm Society (HRS)</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 xml:space="preserve"> Asia- Pacific Heart Rhythm Society (APHRS), and Sociedad Latinoamericana de Estimulacion Cardiaca y Electrofisiologia (SOLEACE). Eur Heart J Cardiovasc Pharmacother 2017</w:t>
      </w:r>
      <w:proofErr w:type="gramStart"/>
      <w:r w:rsidRPr="007C5A89">
        <w:rPr>
          <w:rStyle w:val="ac"/>
          <w:rFonts w:eastAsiaTheme="majorEastAsia"/>
          <w:sz w:val="24"/>
          <w:szCs w:val="24"/>
          <w:lang w:val="en-US"/>
        </w:rPr>
        <w:t>;3:235</w:t>
      </w:r>
      <w:proofErr w:type="gramEnd"/>
      <w:r w:rsidRPr="007C5A89">
        <w:rPr>
          <w:rStyle w:val="ac"/>
          <w:rFonts w:eastAsiaTheme="majorEastAsia"/>
          <w:sz w:val="24"/>
          <w:szCs w:val="24"/>
          <w:lang w:val="en-US"/>
        </w:rPr>
        <w:t>–250..</w:t>
      </w:r>
    </w:p>
    <w:p w14:paraId="1CCFD47C"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7C5A89">
        <w:rPr>
          <w:rStyle w:val="ac"/>
          <w:rFonts w:eastAsiaTheme="majorEastAsia"/>
          <w:sz w:val="24"/>
          <w:szCs w:val="24"/>
          <w:lang w:val="en-US"/>
        </w:rPr>
        <w:t>Gottesman RF, Albert MS, Alonso A, et al. Associations between midlife vascular risk factors and 25-year incident dementia in the Atherosclerosis Risk in Communities (ARIC) cohort. JAMA Neurol 2017</w:t>
      </w:r>
      <w:proofErr w:type="gramStart"/>
      <w:r w:rsidRPr="007C5A89">
        <w:rPr>
          <w:rStyle w:val="ac"/>
          <w:rFonts w:eastAsiaTheme="majorEastAsia"/>
          <w:sz w:val="24"/>
          <w:szCs w:val="24"/>
          <w:lang w:val="en-US"/>
        </w:rPr>
        <w:t>;74:1246</w:t>
      </w:r>
      <w:proofErr w:type="gramEnd"/>
      <w:r w:rsidRPr="007C5A89">
        <w:rPr>
          <w:rStyle w:val="ac"/>
          <w:rFonts w:eastAsiaTheme="majorEastAsia"/>
          <w:sz w:val="24"/>
          <w:szCs w:val="24"/>
          <w:lang w:val="en-US"/>
        </w:rPr>
        <w:t>–1254..</w:t>
      </w:r>
    </w:p>
    <w:p w14:paraId="6C175B0E"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F03632">
        <w:rPr>
          <w:rStyle w:val="ac"/>
          <w:rFonts w:eastAsiaTheme="majorEastAsia"/>
          <w:sz w:val="24"/>
          <w:szCs w:val="24"/>
          <w:lang w:val="fr-FR"/>
        </w:rPr>
        <w:t xml:space="preserve">Rovio SP, Pahkala K, Nevalainen J et al. </w:t>
      </w:r>
      <w:r w:rsidRPr="007C5A89">
        <w:rPr>
          <w:rStyle w:val="ac"/>
          <w:rFonts w:eastAsiaTheme="majorEastAsia"/>
          <w:sz w:val="24"/>
          <w:szCs w:val="24"/>
          <w:lang w:val="en-US"/>
        </w:rPr>
        <w:t>Cardiovascular risk factors from childhood and midlife cognitive performance: the Young Finns study. J Am Coll Cardiol 2017</w:t>
      </w:r>
      <w:proofErr w:type="gramStart"/>
      <w:r w:rsidRPr="007C5A89">
        <w:rPr>
          <w:rStyle w:val="ac"/>
          <w:rFonts w:eastAsiaTheme="majorEastAsia"/>
          <w:sz w:val="24"/>
          <w:szCs w:val="24"/>
          <w:lang w:val="en-US"/>
        </w:rPr>
        <w:t>;69:2279</w:t>
      </w:r>
      <w:proofErr w:type="gramEnd"/>
      <w:r w:rsidRPr="007C5A89">
        <w:rPr>
          <w:rStyle w:val="ac"/>
          <w:rFonts w:eastAsiaTheme="majorEastAsia"/>
          <w:sz w:val="24"/>
          <w:szCs w:val="24"/>
          <w:lang w:val="en-US"/>
        </w:rPr>
        <w:t>– 2289..</w:t>
      </w:r>
    </w:p>
    <w:p w14:paraId="570D2943"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lang w:val="en-US"/>
        </w:rPr>
        <w:t xml:space="preserve">Vishram JK, Borglykke A, Andreasen AH, et al, MORGAM Project. Impact of age on the importance of systolic and diastolic blood pressures for stroke risk: the MOnica, Risk, </w:t>
      </w:r>
      <w:r w:rsidRPr="007C5A89">
        <w:rPr>
          <w:rStyle w:val="ac"/>
          <w:rFonts w:eastAsiaTheme="majorEastAsia"/>
          <w:sz w:val="24"/>
          <w:szCs w:val="24"/>
          <w:lang w:val="en-US"/>
        </w:rPr>
        <w:lastRenderedPageBreak/>
        <w:t xml:space="preserve">Genetics, Archiving, and Monograph (MORGAM) project. Hypertension </w:t>
      </w:r>
      <w:r w:rsidRPr="007C5A89">
        <w:rPr>
          <w:rStyle w:val="ac"/>
          <w:rFonts w:eastAsiaTheme="majorEastAsia"/>
          <w:sz w:val="24"/>
          <w:szCs w:val="24"/>
        </w:rPr>
        <w:t>2012</w:t>
      </w:r>
      <w:proofErr w:type="gramStart"/>
      <w:r w:rsidRPr="007C5A89">
        <w:rPr>
          <w:rStyle w:val="ac"/>
          <w:rFonts w:eastAsiaTheme="majorEastAsia"/>
          <w:sz w:val="24"/>
          <w:szCs w:val="24"/>
        </w:rPr>
        <w:t>;60:1117</w:t>
      </w:r>
      <w:proofErr w:type="gramEnd"/>
      <w:r w:rsidRPr="007C5A89">
        <w:rPr>
          <w:rStyle w:val="ac"/>
          <w:rFonts w:eastAsiaTheme="majorEastAsia"/>
          <w:sz w:val="24"/>
          <w:szCs w:val="24"/>
        </w:rPr>
        <w:t>– 1123.</w:t>
      </w:r>
    </w:p>
    <w:p w14:paraId="2EF4CEE0"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lang w:val="en-US"/>
        </w:rPr>
        <w:t xml:space="preserve">Brown DW, Giles WH, Greenlund KJ. Blood pressure parameters and risk of fatal stroke, NHANES II mortality study. Am J Hypertens </w:t>
      </w:r>
      <w:r w:rsidRPr="007C5A89">
        <w:rPr>
          <w:rStyle w:val="ac"/>
          <w:rFonts w:eastAsiaTheme="majorEastAsia"/>
          <w:sz w:val="24"/>
          <w:szCs w:val="24"/>
        </w:rPr>
        <w:t>2007</w:t>
      </w:r>
      <w:proofErr w:type="gramStart"/>
      <w:r w:rsidRPr="007C5A89">
        <w:rPr>
          <w:rStyle w:val="ac"/>
          <w:rFonts w:eastAsiaTheme="majorEastAsia"/>
          <w:sz w:val="24"/>
          <w:szCs w:val="24"/>
        </w:rPr>
        <w:t>;20:338</w:t>
      </w:r>
      <w:proofErr w:type="gramEnd"/>
      <w:r w:rsidRPr="007C5A89">
        <w:rPr>
          <w:rStyle w:val="ac"/>
          <w:rFonts w:eastAsiaTheme="majorEastAsia"/>
          <w:sz w:val="24"/>
          <w:szCs w:val="24"/>
        </w:rPr>
        <w:t>–341..</w:t>
      </w:r>
    </w:p>
    <w:p w14:paraId="00B1318F"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lang w:val="en-US"/>
        </w:rPr>
        <w:t xml:space="preserve">Franklin SS, Khan SA, Wong ND, et al. Is pulse pressure useful in predicting risk for coronary heart disease? The Framingham heart study. Circulation </w:t>
      </w:r>
      <w:r w:rsidRPr="007C5A89">
        <w:rPr>
          <w:rStyle w:val="ac"/>
          <w:rFonts w:eastAsiaTheme="majorEastAsia"/>
          <w:sz w:val="24"/>
          <w:szCs w:val="24"/>
        </w:rPr>
        <w:t>1999</w:t>
      </w:r>
      <w:proofErr w:type="gramStart"/>
      <w:r w:rsidRPr="007C5A89">
        <w:rPr>
          <w:rStyle w:val="ac"/>
          <w:rFonts w:eastAsiaTheme="majorEastAsia"/>
          <w:sz w:val="24"/>
          <w:szCs w:val="24"/>
        </w:rPr>
        <w:t>;100:354</w:t>
      </w:r>
      <w:proofErr w:type="gramEnd"/>
      <w:r w:rsidRPr="007C5A89">
        <w:rPr>
          <w:rStyle w:val="ac"/>
          <w:rFonts w:eastAsiaTheme="majorEastAsia"/>
          <w:sz w:val="24"/>
          <w:szCs w:val="24"/>
        </w:rPr>
        <w:t>–360..</w:t>
      </w:r>
    </w:p>
    <w:p w14:paraId="28C6E7AF"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lang w:val="en-US"/>
        </w:rPr>
        <w:t>Domanski M, Mitchell G, Pfeffer M, Neaton JD, Norman J, Svendsen K, Grimm R, Cohen J, Stamler J, MRFIT Research Group. Pulse pressure and cardiovascular disease-related</w:t>
      </w:r>
    </w:p>
    <w:p w14:paraId="71B2E8E8" w14:textId="77777777" w:rsidR="00CB781F" w:rsidRPr="007C5A89" w:rsidRDefault="00CB781F" w:rsidP="007C5A89">
      <w:pPr>
        <w:pStyle w:val="11"/>
        <w:tabs>
          <w:tab w:val="left" w:pos="709"/>
        </w:tabs>
        <w:spacing w:line="276" w:lineRule="auto"/>
        <w:ind w:left="709" w:hanging="709"/>
        <w:jc w:val="both"/>
        <w:rPr>
          <w:sz w:val="24"/>
          <w:szCs w:val="24"/>
          <w:lang w:val="en-US"/>
        </w:rPr>
      </w:pPr>
      <w:proofErr w:type="gramStart"/>
      <w:r w:rsidRPr="007C5A89">
        <w:rPr>
          <w:rStyle w:val="ac"/>
          <w:rFonts w:eastAsiaTheme="majorEastAsia"/>
          <w:sz w:val="24"/>
          <w:szCs w:val="24"/>
          <w:lang w:val="en-US"/>
        </w:rPr>
        <w:t>mortality</w:t>
      </w:r>
      <w:proofErr w:type="gramEnd"/>
      <w:r w:rsidRPr="007C5A89">
        <w:rPr>
          <w:rStyle w:val="ac"/>
          <w:rFonts w:eastAsiaTheme="majorEastAsia"/>
          <w:sz w:val="24"/>
          <w:szCs w:val="24"/>
          <w:lang w:val="en-US"/>
        </w:rPr>
        <w:t>: follow-up study of the Multiple Risk Factor Intervention Trial (MRFIT)., JAMA 2002;287:2677–2683..</w:t>
      </w:r>
    </w:p>
    <w:p w14:paraId="779E0ACB"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rPr>
        <w:t>Кобалава Ж. Д., Конради А. О., Недогода С. В. и др. Меморандум экспертов Российского кардиологического общества по рекомендациям Европейского общества кардиологов/Европейского общества по артериальной гипертензии по лечению артериальной гипертензии, 2018 г. Российский кардиологический журнал. 2018;(12):131–42..</w:t>
      </w:r>
    </w:p>
    <w:p w14:paraId="051115BF"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F03632">
        <w:rPr>
          <w:rStyle w:val="ac"/>
          <w:rFonts w:eastAsiaTheme="majorEastAsia"/>
          <w:sz w:val="24"/>
          <w:szCs w:val="24"/>
          <w:lang w:val="fr-FR"/>
        </w:rPr>
        <w:t xml:space="preserve">Reino-Gonzalez S. et al. </w:t>
      </w:r>
      <w:r w:rsidRPr="007C5A89">
        <w:rPr>
          <w:rStyle w:val="ac"/>
          <w:rFonts w:eastAsiaTheme="majorEastAsia"/>
          <w:sz w:val="24"/>
          <w:szCs w:val="24"/>
          <w:lang w:val="en-US"/>
        </w:rPr>
        <w:t>How in-office and ambulatory BP monitoring compare: A systematic review and meta-analysis. – 2017</w:t>
      </w:r>
      <w:proofErr w:type="gramStart"/>
      <w:r w:rsidRPr="007C5A89">
        <w:rPr>
          <w:rStyle w:val="ac"/>
          <w:rFonts w:eastAsiaTheme="majorEastAsia"/>
          <w:sz w:val="24"/>
          <w:szCs w:val="24"/>
          <w:lang w:val="en-US"/>
        </w:rPr>
        <w:t>..</w:t>
      </w:r>
      <w:proofErr w:type="gramEnd"/>
    </w:p>
    <w:p w14:paraId="7B7BE792"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lang w:val="en-US"/>
        </w:rPr>
        <w:t xml:space="preserve">Kollias A., Ntineri A., Stergiou G. S. Association of night-time home blood pressure with night-time ambulatory blood pressure and target-organ damage: a systematic review and meta-analysis //Journal of hypertension. – 2017. – </w:t>
      </w:r>
      <w:r w:rsidRPr="007C5A89">
        <w:rPr>
          <w:rStyle w:val="ac"/>
          <w:rFonts w:eastAsiaTheme="majorEastAsia"/>
          <w:sz w:val="24"/>
          <w:szCs w:val="24"/>
        </w:rPr>
        <w:t>Т</w:t>
      </w:r>
      <w:r w:rsidRPr="007C5A89">
        <w:rPr>
          <w:rStyle w:val="ac"/>
          <w:rFonts w:eastAsiaTheme="majorEastAsia"/>
          <w:sz w:val="24"/>
          <w:szCs w:val="24"/>
          <w:lang w:val="en-US"/>
        </w:rPr>
        <w:t xml:space="preserve">. 35. – №. </w:t>
      </w:r>
      <w:r w:rsidRPr="007C5A89">
        <w:rPr>
          <w:rStyle w:val="ac"/>
          <w:rFonts w:eastAsiaTheme="majorEastAsia"/>
          <w:sz w:val="24"/>
          <w:szCs w:val="24"/>
        </w:rPr>
        <w:t>3. – С. 442-452..</w:t>
      </w:r>
    </w:p>
    <w:p w14:paraId="5B6FCC2A"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F03632">
        <w:rPr>
          <w:rStyle w:val="ac"/>
          <w:rFonts w:eastAsiaTheme="majorEastAsia"/>
          <w:sz w:val="24"/>
          <w:szCs w:val="24"/>
          <w:lang w:val="fr-FR"/>
        </w:rPr>
        <w:t xml:space="preserve">Fagard RH, Celis H, Thijs L, et al. </w:t>
      </w:r>
      <w:r w:rsidRPr="007C5A89">
        <w:rPr>
          <w:rStyle w:val="ac"/>
          <w:rFonts w:eastAsiaTheme="majorEastAsia"/>
          <w:sz w:val="24"/>
          <w:szCs w:val="24"/>
          <w:lang w:val="en-US"/>
        </w:rPr>
        <w:t>Daytime and night-time blood pressure as predictors of death and cause-specific cardiovascular events in hypertension. Hypertension 2008; 51:55– 61</w:t>
      </w:r>
      <w:proofErr w:type="gramStart"/>
      <w:r w:rsidRPr="007C5A89">
        <w:rPr>
          <w:rStyle w:val="ac"/>
          <w:rFonts w:eastAsiaTheme="majorEastAsia"/>
          <w:sz w:val="24"/>
          <w:szCs w:val="24"/>
          <w:lang w:val="en-US"/>
        </w:rPr>
        <w:t>..</w:t>
      </w:r>
      <w:proofErr w:type="gramEnd"/>
    </w:p>
    <w:p w14:paraId="6AF85879"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lang w:val="en-US"/>
        </w:rPr>
        <w:t xml:space="preserve">Ward AM, Takahashi O, Stevens R, Heneghan C. Home measurement of blood pressure and cardiovascular disease: systematic review and meta-analysis of prospective studies. J Hypertens </w:t>
      </w:r>
      <w:r w:rsidRPr="007C5A89">
        <w:rPr>
          <w:rStyle w:val="ac"/>
          <w:rFonts w:eastAsiaTheme="majorEastAsia"/>
          <w:sz w:val="24"/>
          <w:szCs w:val="24"/>
        </w:rPr>
        <w:t>2012; 30:449–456</w:t>
      </w:r>
      <w:proofErr w:type="gramStart"/>
      <w:r w:rsidRPr="007C5A89">
        <w:rPr>
          <w:rStyle w:val="ac"/>
          <w:rFonts w:eastAsiaTheme="majorEastAsia"/>
          <w:sz w:val="24"/>
          <w:szCs w:val="24"/>
        </w:rPr>
        <w:t>..</w:t>
      </w:r>
      <w:proofErr w:type="gramEnd"/>
    </w:p>
    <w:p w14:paraId="54670567"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F03632">
        <w:rPr>
          <w:rStyle w:val="ac"/>
          <w:rFonts w:eastAsiaTheme="majorEastAsia"/>
          <w:sz w:val="24"/>
          <w:szCs w:val="24"/>
          <w:lang w:val="fr-FR"/>
        </w:rPr>
        <w:t xml:space="preserve">Mancia G, Facchetti R, Bombelli M, et al. </w:t>
      </w:r>
      <w:r w:rsidRPr="007C5A89">
        <w:rPr>
          <w:rStyle w:val="ac"/>
          <w:rFonts w:eastAsiaTheme="majorEastAsia"/>
          <w:sz w:val="24"/>
          <w:szCs w:val="24"/>
          <w:lang w:val="en-US"/>
        </w:rPr>
        <w:t>Long-term risk of mortality associated with selective and combined elevation in office, home and ambulatory blood pressure. Hypertension 2006; 47:846–853</w:t>
      </w:r>
      <w:proofErr w:type="gramStart"/>
      <w:r w:rsidRPr="007C5A89">
        <w:rPr>
          <w:rStyle w:val="ac"/>
          <w:rFonts w:eastAsiaTheme="majorEastAsia"/>
          <w:sz w:val="24"/>
          <w:szCs w:val="24"/>
          <w:lang w:val="en-US"/>
        </w:rPr>
        <w:t>..</w:t>
      </w:r>
      <w:proofErr w:type="gramEnd"/>
    </w:p>
    <w:p w14:paraId="0F472C8B"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7C5A89">
        <w:rPr>
          <w:rStyle w:val="ac"/>
          <w:rFonts w:eastAsiaTheme="majorEastAsia"/>
          <w:sz w:val="24"/>
          <w:szCs w:val="24"/>
          <w:lang w:val="en-US"/>
        </w:rPr>
        <w:t>Fagard RH, Cornelissen VA. Incidence of cardiovascular events in white-coat, masked and sustained hypertension vs. true normotension: a meta-analysis. J Hypertens 2007; 25:2193– 219</w:t>
      </w:r>
      <w:proofErr w:type="gramStart"/>
      <w:r w:rsidRPr="007C5A89">
        <w:rPr>
          <w:rStyle w:val="ac"/>
          <w:rFonts w:eastAsiaTheme="majorEastAsia"/>
          <w:sz w:val="24"/>
          <w:szCs w:val="24"/>
          <w:lang w:val="en-US"/>
        </w:rPr>
        <w:t>..</w:t>
      </w:r>
      <w:proofErr w:type="gramEnd"/>
    </w:p>
    <w:p w14:paraId="38848818"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lang w:val="en-US"/>
        </w:rPr>
        <w:t xml:space="preserve">Rimoldi SF, Scherrer U, Messerli FH. Secondary arterial hypertension: when, who, and how to screen? Eur Heart J </w:t>
      </w:r>
      <w:r w:rsidRPr="007C5A89">
        <w:rPr>
          <w:rStyle w:val="ac"/>
          <w:rFonts w:eastAsiaTheme="majorEastAsia"/>
          <w:sz w:val="24"/>
          <w:szCs w:val="24"/>
        </w:rPr>
        <w:t>2014</w:t>
      </w:r>
      <w:proofErr w:type="gramStart"/>
      <w:r w:rsidRPr="007C5A89">
        <w:rPr>
          <w:rStyle w:val="ac"/>
          <w:rFonts w:eastAsiaTheme="majorEastAsia"/>
          <w:sz w:val="24"/>
          <w:szCs w:val="24"/>
        </w:rPr>
        <w:t>;35:1245</w:t>
      </w:r>
      <w:proofErr w:type="gramEnd"/>
      <w:r w:rsidRPr="007C5A89">
        <w:rPr>
          <w:rStyle w:val="ac"/>
          <w:rFonts w:eastAsiaTheme="majorEastAsia"/>
          <w:sz w:val="24"/>
          <w:szCs w:val="24"/>
        </w:rPr>
        <w:t>–1254..</w:t>
      </w:r>
    </w:p>
    <w:p w14:paraId="4F65D204"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7C5A89">
        <w:rPr>
          <w:rStyle w:val="ac"/>
          <w:rFonts w:eastAsiaTheme="majorEastAsia"/>
          <w:sz w:val="24"/>
          <w:szCs w:val="24"/>
          <w:lang w:val="en-US"/>
        </w:rPr>
        <w:t>Carey RM, Calhoun DA, Bakris GL. Resistant Hypertension: Detection, Evaluation, and Management: A Scientific Statement From the American Heart Association. Hypertension. 2018 Nov</w:t>
      </w:r>
      <w:proofErr w:type="gramStart"/>
      <w:r w:rsidRPr="007C5A89">
        <w:rPr>
          <w:rStyle w:val="ac"/>
          <w:rFonts w:eastAsiaTheme="majorEastAsia"/>
          <w:sz w:val="24"/>
          <w:szCs w:val="24"/>
          <w:lang w:val="en-US"/>
        </w:rPr>
        <w:t>;72</w:t>
      </w:r>
      <w:proofErr w:type="gramEnd"/>
      <w:r w:rsidRPr="007C5A89">
        <w:rPr>
          <w:rStyle w:val="ac"/>
          <w:rFonts w:eastAsiaTheme="majorEastAsia"/>
          <w:sz w:val="24"/>
          <w:szCs w:val="24"/>
          <w:lang w:val="en-US"/>
        </w:rPr>
        <w:t>(5):e53-e90..</w:t>
      </w:r>
    </w:p>
    <w:p w14:paraId="1036C05E"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F03632">
        <w:rPr>
          <w:rStyle w:val="ac"/>
          <w:rFonts w:eastAsiaTheme="majorEastAsia"/>
          <w:sz w:val="24"/>
          <w:szCs w:val="24"/>
          <w:lang w:val="fr-FR"/>
        </w:rPr>
        <w:t xml:space="preserve">Noubiap JJ, Nansseu JR, Nyaga UF et al. </w:t>
      </w:r>
      <w:r w:rsidRPr="007C5A89">
        <w:rPr>
          <w:rStyle w:val="ac"/>
          <w:rFonts w:eastAsiaTheme="majorEastAsia"/>
          <w:sz w:val="24"/>
          <w:szCs w:val="24"/>
          <w:lang w:val="en-US"/>
        </w:rPr>
        <w:t>Global prevalence of resistant hypertension: a meta-analysis of data from 3.2 million patients Heart 2019</w:t>
      </w:r>
      <w:proofErr w:type="gramStart"/>
      <w:r w:rsidRPr="007C5A89">
        <w:rPr>
          <w:rStyle w:val="ac"/>
          <w:rFonts w:eastAsiaTheme="majorEastAsia"/>
          <w:sz w:val="24"/>
          <w:szCs w:val="24"/>
          <w:lang w:val="en-US"/>
        </w:rPr>
        <w:t>;105:98</w:t>
      </w:r>
      <w:proofErr w:type="gramEnd"/>
      <w:r w:rsidRPr="007C5A89">
        <w:rPr>
          <w:rStyle w:val="ac"/>
          <w:rFonts w:eastAsiaTheme="majorEastAsia"/>
          <w:sz w:val="24"/>
          <w:szCs w:val="24"/>
          <w:lang w:val="en-US"/>
        </w:rPr>
        <w:t>–105..</w:t>
      </w:r>
    </w:p>
    <w:p w14:paraId="1F7E929E"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lang w:val="en-US"/>
        </w:rPr>
        <w:t>Albasri A. et al. A comparison of blood pressure in community pharmacies with ambulatory, home and general practitioner office readings: systematic review and meta</w:t>
      </w:r>
      <w:r w:rsidRPr="007C5A89">
        <w:rPr>
          <w:rStyle w:val="ac"/>
          <w:rFonts w:eastAsiaTheme="majorEastAsia"/>
          <w:sz w:val="24"/>
          <w:szCs w:val="24"/>
          <w:lang w:val="en-US"/>
        </w:rPr>
        <w:softHyphen/>
        <w:t xml:space="preserve">analysis //Journal of hypertension. – 2017. – </w:t>
      </w:r>
      <w:r w:rsidRPr="007C5A89">
        <w:rPr>
          <w:rStyle w:val="ac"/>
          <w:rFonts w:eastAsiaTheme="majorEastAsia"/>
          <w:sz w:val="24"/>
          <w:szCs w:val="24"/>
        </w:rPr>
        <w:t>Т</w:t>
      </w:r>
      <w:r w:rsidRPr="007C5A89">
        <w:rPr>
          <w:rStyle w:val="ac"/>
          <w:rFonts w:eastAsiaTheme="majorEastAsia"/>
          <w:sz w:val="24"/>
          <w:szCs w:val="24"/>
          <w:lang w:val="en-US"/>
        </w:rPr>
        <w:t xml:space="preserve">. 35. – №. </w:t>
      </w:r>
      <w:r w:rsidRPr="007C5A89">
        <w:rPr>
          <w:rStyle w:val="ac"/>
          <w:rFonts w:eastAsiaTheme="majorEastAsia"/>
          <w:sz w:val="24"/>
          <w:szCs w:val="24"/>
        </w:rPr>
        <w:t>10. – С. 1919..</w:t>
      </w:r>
    </w:p>
    <w:p w14:paraId="55CB8147"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7C5A89">
        <w:rPr>
          <w:rStyle w:val="ac"/>
          <w:rFonts w:eastAsiaTheme="majorEastAsia"/>
          <w:sz w:val="24"/>
          <w:szCs w:val="24"/>
          <w:lang w:val="en-US"/>
        </w:rPr>
        <w:t xml:space="preserve">Sega R, Facchetti R, Bombelli M, et al.Prognostic value of ambulatory and home blood pressures compared with office blood pressure in the general population: follow-up results from the Pressioni Arteriose Monitorate e Loro Associazioni (PAMELA) </w:t>
      </w:r>
      <w:proofErr w:type="gramStart"/>
      <w:r w:rsidRPr="007C5A89">
        <w:rPr>
          <w:rStyle w:val="ac"/>
          <w:rFonts w:eastAsiaTheme="majorEastAsia"/>
          <w:sz w:val="24"/>
          <w:szCs w:val="24"/>
          <w:lang w:val="en-US"/>
        </w:rPr>
        <w:t>study.,</w:t>
      </w:r>
      <w:proofErr w:type="gramEnd"/>
      <w:r w:rsidRPr="007C5A89">
        <w:rPr>
          <w:rStyle w:val="ac"/>
          <w:rFonts w:eastAsiaTheme="majorEastAsia"/>
          <w:sz w:val="24"/>
          <w:szCs w:val="24"/>
          <w:lang w:val="en-US"/>
        </w:rPr>
        <w:t xml:space="preserve"> </w:t>
      </w:r>
      <w:r w:rsidRPr="007C5A89">
        <w:rPr>
          <w:rStyle w:val="ac"/>
          <w:rFonts w:eastAsiaTheme="majorEastAsia"/>
          <w:sz w:val="24"/>
          <w:szCs w:val="24"/>
          <w:lang w:val="en-US"/>
        </w:rPr>
        <w:lastRenderedPageBreak/>
        <w:t>Circulation 2005;111:1777–1783..</w:t>
      </w:r>
    </w:p>
    <w:p w14:paraId="7B2B5E60"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lang w:val="en-US"/>
        </w:rPr>
        <w:t xml:space="preserve">«Stergiou GS, Palatini P, Parati G, et al., European Society of Hypertension Council and the European Society of Hypertension Working Group on Blood Pressure Monitoring and Cardiovascular Variability.,» </w:t>
      </w:r>
      <w:r w:rsidRPr="007C5A89">
        <w:rPr>
          <w:rStyle w:val="ac"/>
          <w:rFonts w:eastAsiaTheme="majorEastAsia"/>
          <w:i/>
          <w:iCs/>
          <w:sz w:val="24"/>
          <w:szCs w:val="24"/>
          <w:lang w:val="en-US"/>
        </w:rPr>
        <w:t xml:space="preserve">2021 European Society of Hypertension practice guidelines for office and out-of-office blood pressure measurement. J Hypertens </w:t>
      </w:r>
      <w:r w:rsidRPr="007C5A89">
        <w:rPr>
          <w:rStyle w:val="ac"/>
          <w:rFonts w:eastAsiaTheme="majorEastAsia"/>
          <w:i/>
          <w:iCs/>
          <w:sz w:val="24"/>
          <w:szCs w:val="24"/>
        </w:rPr>
        <w:t>2021; 39:1293–1302.</w:t>
      </w:r>
    </w:p>
    <w:p w14:paraId="49D0840F"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lang w:val="en-US"/>
        </w:rPr>
        <w:t>«Stergiou GS, Mukkamala R, Avolio A, et al., European Society of Hypertension Working Group on Blood Pressure Monitoring and Cardiovascular Variability. Cuffless blood pressure measuring devices:</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 xml:space="preserve"> </w:t>
      </w:r>
      <w:r w:rsidRPr="007C5A89">
        <w:rPr>
          <w:rStyle w:val="ac"/>
          <w:rFonts w:eastAsiaTheme="majorEastAsia"/>
          <w:i/>
          <w:iCs/>
          <w:sz w:val="24"/>
          <w:szCs w:val="24"/>
          <w:lang w:val="en-US"/>
        </w:rPr>
        <w:t xml:space="preserve">review and statement by the European Society of Hypertension Working Group on Blood Pressure Monitoring and Cardiovascular Variability. J Hypertens </w:t>
      </w:r>
      <w:r w:rsidRPr="007C5A89">
        <w:rPr>
          <w:rStyle w:val="ac"/>
          <w:rFonts w:eastAsiaTheme="majorEastAsia"/>
          <w:i/>
          <w:iCs/>
          <w:sz w:val="24"/>
          <w:szCs w:val="24"/>
        </w:rPr>
        <w:t>2022; 40:1449–1460. .</w:t>
      </w:r>
    </w:p>
    <w:p w14:paraId="5F66FE9A"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7C5A89">
        <w:rPr>
          <w:rStyle w:val="ac"/>
          <w:rFonts w:eastAsiaTheme="majorEastAsia"/>
          <w:sz w:val="24"/>
          <w:szCs w:val="24"/>
          <w:lang w:val="en-US"/>
        </w:rPr>
        <w:t>Clark CE, Taylor RS, Shore AC, et al. Association of a difference in systolic blood pressure between arms with vascular disease and mortality: a systematic review and meta-analysis. Lancet 2012</w:t>
      </w:r>
      <w:proofErr w:type="gramStart"/>
      <w:r w:rsidRPr="007C5A89">
        <w:rPr>
          <w:rStyle w:val="ac"/>
          <w:rFonts w:eastAsiaTheme="majorEastAsia"/>
          <w:sz w:val="24"/>
          <w:szCs w:val="24"/>
          <w:lang w:val="en-US"/>
        </w:rPr>
        <w:t>;379:905</w:t>
      </w:r>
      <w:proofErr w:type="gramEnd"/>
      <w:r w:rsidRPr="007C5A89">
        <w:rPr>
          <w:rStyle w:val="ac"/>
          <w:rFonts w:eastAsiaTheme="majorEastAsia"/>
          <w:sz w:val="24"/>
          <w:szCs w:val="24"/>
          <w:lang w:val="en-US"/>
        </w:rPr>
        <w:t>–914..</w:t>
      </w:r>
    </w:p>
    <w:p w14:paraId="0D423AE8"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7C5A89">
        <w:rPr>
          <w:rStyle w:val="ac"/>
          <w:rFonts w:eastAsiaTheme="majorEastAsia"/>
          <w:sz w:val="24"/>
          <w:szCs w:val="24"/>
          <w:lang w:val="en-US"/>
        </w:rPr>
        <w:t>Tucker KL, Sheppard JP, Stevens R et al. Self-monitoring of blood pressure in hypertension: a systematic review and individual patient data meta-analysis. PLoS Med 2017</w:t>
      </w:r>
      <w:proofErr w:type="gramStart"/>
      <w:r w:rsidRPr="007C5A89">
        <w:rPr>
          <w:rStyle w:val="ac"/>
          <w:rFonts w:eastAsiaTheme="majorEastAsia"/>
          <w:sz w:val="24"/>
          <w:szCs w:val="24"/>
          <w:lang w:val="en-US"/>
        </w:rPr>
        <w:t>;14:e1002389</w:t>
      </w:r>
      <w:proofErr w:type="gramEnd"/>
      <w:r w:rsidRPr="007C5A89">
        <w:rPr>
          <w:rStyle w:val="ac"/>
          <w:rFonts w:eastAsiaTheme="majorEastAsia"/>
          <w:sz w:val="24"/>
          <w:szCs w:val="24"/>
          <w:lang w:val="en-US"/>
        </w:rPr>
        <w:t>..</w:t>
      </w:r>
    </w:p>
    <w:p w14:paraId="40DA8B68"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7C5A89">
        <w:rPr>
          <w:rStyle w:val="ac"/>
          <w:rFonts w:eastAsiaTheme="majorEastAsia"/>
          <w:sz w:val="24"/>
          <w:szCs w:val="24"/>
          <w:lang w:val="en-US"/>
        </w:rPr>
        <w:t>«Yang WY, Melgarejo JD, Thijs Let al., International Database on Ambulatory Blood Pressure in Relation to Cardiovascular Outcomes (IDACO) Investigators. Association of office and ambulatory blood pressure with mortality and cardiovascular outcomes.</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 xml:space="preserve"> </w:t>
      </w:r>
      <w:r w:rsidRPr="007C5A89">
        <w:rPr>
          <w:rStyle w:val="ac"/>
          <w:rFonts w:eastAsiaTheme="majorEastAsia"/>
          <w:i/>
          <w:iCs/>
          <w:sz w:val="24"/>
          <w:szCs w:val="24"/>
          <w:lang w:val="en-US"/>
        </w:rPr>
        <w:t>JAMA 2019; 322:409–420..</w:t>
      </w:r>
    </w:p>
    <w:p w14:paraId="1B22E64E"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lang w:val="en-US"/>
        </w:rPr>
        <w:t xml:space="preserve">«Fujiwara T, Hoshide S, Kanegae H, Kario K. Cardiovascular event risks associated with masked nocturnal hypertension defined by home blood pressure monitoring in the J-HOP Nocturnal Blood Pressure Study. Hypertension </w:t>
      </w:r>
      <w:r w:rsidRPr="007C5A89">
        <w:rPr>
          <w:rStyle w:val="ac"/>
          <w:rFonts w:eastAsiaTheme="majorEastAsia"/>
          <w:sz w:val="24"/>
          <w:szCs w:val="24"/>
        </w:rPr>
        <w:t>2020; 76:259–266.».</w:t>
      </w:r>
    </w:p>
    <w:p w14:paraId="24EA09CA"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lang w:val="en-US"/>
        </w:rPr>
        <w:t>«Stergiou GS, Palatini P, Parati G, et al., European Society of Hypertension Council and the European Society of Hypertension Working Group on Blood Pressure Monitoring and Cardiovascular Variability. 2021 European Society of Hypertension practice</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 xml:space="preserve"> </w:t>
      </w:r>
      <w:r w:rsidRPr="007C5A89">
        <w:rPr>
          <w:rStyle w:val="ac"/>
          <w:rFonts w:eastAsiaTheme="majorEastAsia"/>
          <w:i/>
          <w:iCs/>
          <w:sz w:val="24"/>
          <w:szCs w:val="24"/>
          <w:lang w:val="en-US"/>
        </w:rPr>
        <w:t xml:space="preserve">guidelines for office and out-of-office blood pressure measurement. J Hypertens </w:t>
      </w:r>
      <w:r w:rsidRPr="007C5A89">
        <w:rPr>
          <w:rStyle w:val="ac"/>
          <w:rFonts w:eastAsiaTheme="majorEastAsia"/>
          <w:i/>
          <w:iCs/>
          <w:sz w:val="24"/>
          <w:szCs w:val="24"/>
        </w:rPr>
        <w:t>2021; 39:1293– 1302</w:t>
      </w:r>
      <w:proofErr w:type="gramStart"/>
      <w:r w:rsidRPr="007C5A89">
        <w:rPr>
          <w:rStyle w:val="ac"/>
          <w:rFonts w:eastAsiaTheme="majorEastAsia"/>
          <w:i/>
          <w:iCs/>
          <w:sz w:val="24"/>
          <w:szCs w:val="24"/>
        </w:rPr>
        <w:t>..</w:t>
      </w:r>
      <w:proofErr w:type="gramEnd"/>
    </w:p>
    <w:p w14:paraId="418660DA"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F03632">
        <w:rPr>
          <w:rStyle w:val="ac"/>
          <w:rFonts w:eastAsiaTheme="majorEastAsia"/>
          <w:sz w:val="24"/>
          <w:szCs w:val="24"/>
          <w:lang w:val="fr-FR"/>
        </w:rPr>
        <w:t xml:space="preserve">«Parati G, Bilo G, Kollias A, et al. </w:t>
      </w:r>
      <w:r w:rsidRPr="007C5A89">
        <w:rPr>
          <w:rStyle w:val="ac"/>
          <w:rFonts w:eastAsiaTheme="majorEastAsia"/>
          <w:sz w:val="24"/>
          <w:szCs w:val="24"/>
          <w:lang w:val="en-US"/>
        </w:rPr>
        <w:t>Blood pressure variability: methodological aspects, clinical relevance and practical indications for management - a European Society of Hypertension position paper 0. J Hypertens 2023; 41:527–544.».</w:t>
      </w:r>
    </w:p>
    <w:p w14:paraId="5B3E5632"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7C5A89">
        <w:rPr>
          <w:rStyle w:val="ac"/>
          <w:rFonts w:eastAsiaTheme="majorEastAsia"/>
          <w:sz w:val="24"/>
          <w:szCs w:val="24"/>
          <w:lang w:val="en-US"/>
        </w:rPr>
        <w:t>«Wang N, Harris K, Hamet P, , et al. Cumulative systolic blood pressure load and cardiovascular risk in patients with diabetes. J Am Coll Cardiol 2022; 80:1147–1155.».</w:t>
      </w:r>
    </w:p>
    <w:p w14:paraId="017DB58D"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7C5A89">
        <w:rPr>
          <w:rStyle w:val="ac"/>
          <w:rFonts w:eastAsiaTheme="majorEastAsia"/>
          <w:sz w:val="24"/>
          <w:szCs w:val="24"/>
          <w:lang w:val="en-US"/>
        </w:rPr>
        <w:t>«Mahfoud F, Mancia G, Schmieder RE, et al. Cardiovascular risk reduction after renal denervation according to time in therapeutic systolic blood pressure range. J Am Coll Cardiol 2022; 80:1871–1880.».</w:t>
      </w:r>
    </w:p>
    <w:p w14:paraId="4EAA9F97"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F03632">
        <w:rPr>
          <w:rStyle w:val="ac"/>
          <w:rFonts w:eastAsiaTheme="majorEastAsia"/>
          <w:sz w:val="24"/>
          <w:szCs w:val="24"/>
          <w:lang w:val="fr-FR"/>
        </w:rPr>
        <w:t xml:space="preserve">«Cheng YB, Thijs L, Aparicio LS, et al. </w:t>
      </w:r>
      <w:r w:rsidRPr="007C5A89">
        <w:rPr>
          <w:rStyle w:val="ac"/>
          <w:rFonts w:eastAsiaTheme="majorEastAsia"/>
          <w:sz w:val="24"/>
          <w:szCs w:val="24"/>
          <w:lang w:val="en-US"/>
        </w:rPr>
        <w:t>Risk stratification by cross-classification of central and brachial systolic blood pressure. Hypertension 2022; 79:1101–1111.».</w:t>
      </w:r>
    </w:p>
    <w:p w14:paraId="02B934A2"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F03632">
        <w:rPr>
          <w:rStyle w:val="ac"/>
          <w:rFonts w:eastAsiaTheme="majorEastAsia"/>
          <w:sz w:val="24"/>
          <w:szCs w:val="24"/>
          <w:lang w:val="fr-FR"/>
        </w:rPr>
        <w:t xml:space="preserve">«Sharman JE, Avolio AP, Baulmann J, et al. </w:t>
      </w:r>
      <w:r w:rsidRPr="007C5A89">
        <w:rPr>
          <w:rStyle w:val="ac"/>
          <w:rFonts w:eastAsiaTheme="majorEastAsia"/>
          <w:sz w:val="24"/>
          <w:szCs w:val="24"/>
          <w:lang w:val="en-US"/>
        </w:rPr>
        <w:t>Validation of noninvasive central blood pressure devices: ARTERY Society task force consensus statement on protocol standardization. Eur Heart J 2017; 38:2805–2812».</w:t>
      </w:r>
    </w:p>
    <w:p w14:paraId="1624E274"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F03632">
        <w:rPr>
          <w:rStyle w:val="ac"/>
          <w:rFonts w:eastAsiaTheme="majorEastAsia"/>
          <w:sz w:val="24"/>
          <w:szCs w:val="24"/>
          <w:lang w:val="fr-FR"/>
        </w:rPr>
        <w:t xml:space="preserve">« Palatini P, Rosei EA, Avolio A, et al. </w:t>
      </w:r>
      <w:r w:rsidRPr="007C5A89">
        <w:rPr>
          <w:rStyle w:val="ac"/>
          <w:rFonts w:eastAsiaTheme="majorEastAsia"/>
          <w:sz w:val="24"/>
          <w:szCs w:val="24"/>
          <w:lang w:val="en-US"/>
        </w:rPr>
        <w:t>Isolated systolic hypertension in the young: a</w:t>
      </w:r>
    </w:p>
    <w:p w14:paraId="20102714" w14:textId="77777777" w:rsidR="00CB781F" w:rsidRPr="007C5A89" w:rsidRDefault="00CB781F" w:rsidP="007C5A89">
      <w:pPr>
        <w:pStyle w:val="11"/>
        <w:tabs>
          <w:tab w:val="left" w:pos="709"/>
        </w:tabs>
        <w:spacing w:line="276" w:lineRule="auto"/>
        <w:ind w:left="709" w:hanging="709"/>
        <w:jc w:val="both"/>
        <w:rPr>
          <w:sz w:val="24"/>
          <w:szCs w:val="24"/>
        </w:rPr>
      </w:pPr>
      <w:r w:rsidRPr="007C5A89">
        <w:rPr>
          <w:rStyle w:val="ac"/>
          <w:rFonts w:eastAsiaTheme="majorEastAsia"/>
          <w:sz w:val="24"/>
          <w:szCs w:val="24"/>
          <w:lang w:val="en-US"/>
        </w:rPr>
        <w:t xml:space="preserve">position paper endorsed by the European Society of Hypertension. J Hypertens. </w:t>
      </w:r>
      <w:r w:rsidRPr="007C5A89">
        <w:rPr>
          <w:rStyle w:val="ac"/>
          <w:rFonts w:eastAsiaTheme="majorEastAsia"/>
          <w:sz w:val="24"/>
          <w:szCs w:val="24"/>
        </w:rPr>
        <w:t xml:space="preserve">2018;36(6):1222-1236. </w:t>
      </w:r>
      <w:r w:rsidRPr="007C5A89">
        <w:rPr>
          <w:rStyle w:val="ac"/>
          <w:rFonts w:eastAsiaTheme="majorEastAsia"/>
          <w:sz w:val="24"/>
          <w:szCs w:val="24"/>
          <w:lang w:val="en-US"/>
        </w:rPr>
        <w:t>doi: 10.1097/HJH.0000000000001726».</w:t>
      </w:r>
    </w:p>
    <w:p w14:paraId="26B7F7D1"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lang w:val="en-US"/>
        </w:rPr>
        <w:t xml:space="preserve">«Kario K. Orthostatic hypertension-a new haemodynamic cardiovascular risk factor. Nat </w:t>
      </w:r>
      <w:r w:rsidRPr="007C5A89">
        <w:rPr>
          <w:rStyle w:val="ac"/>
          <w:rFonts w:eastAsiaTheme="majorEastAsia"/>
          <w:sz w:val="24"/>
          <w:szCs w:val="24"/>
          <w:lang w:val="en-US"/>
        </w:rPr>
        <w:lastRenderedPageBreak/>
        <w:t xml:space="preserve">Rev Nephrol </w:t>
      </w:r>
      <w:r w:rsidRPr="007C5A89">
        <w:rPr>
          <w:rStyle w:val="ac"/>
          <w:rFonts w:eastAsiaTheme="majorEastAsia"/>
          <w:sz w:val="24"/>
          <w:szCs w:val="24"/>
        </w:rPr>
        <w:t>2013; 9:726–738.».</w:t>
      </w:r>
    </w:p>
    <w:p w14:paraId="7AAAE6B0"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F03632">
        <w:rPr>
          <w:rStyle w:val="ac"/>
          <w:rFonts w:eastAsiaTheme="majorEastAsia"/>
          <w:sz w:val="24"/>
          <w:szCs w:val="24"/>
          <w:lang w:val="fr-FR"/>
        </w:rPr>
        <w:t xml:space="preserve">«Kostis WJ, Sargsyan D, Mekkaoui C, et al. </w:t>
      </w:r>
      <w:r w:rsidRPr="007C5A89">
        <w:rPr>
          <w:rStyle w:val="ac"/>
          <w:rFonts w:eastAsiaTheme="majorEastAsia"/>
          <w:sz w:val="24"/>
          <w:szCs w:val="24"/>
          <w:lang w:val="en-US"/>
        </w:rPr>
        <w:t>Association of orthostatic hypertension with mortality in the Systolic Hypertension in the Elderly Program. J Hum Hypertens 2019; 33:735–740.».</w:t>
      </w:r>
    </w:p>
    <w:p w14:paraId="0960DF02"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F03632">
        <w:rPr>
          <w:rStyle w:val="ac"/>
          <w:rFonts w:eastAsiaTheme="majorEastAsia"/>
          <w:sz w:val="24"/>
          <w:szCs w:val="24"/>
          <w:lang w:val="fr-FR"/>
        </w:rPr>
        <w:t xml:space="preserve">«Dani M, Dirksen A, Taraborrelli P, et al. </w:t>
      </w:r>
      <w:r w:rsidRPr="007C5A89">
        <w:rPr>
          <w:rStyle w:val="ac"/>
          <w:rFonts w:eastAsiaTheme="majorEastAsia"/>
          <w:sz w:val="24"/>
          <w:szCs w:val="24"/>
          <w:lang w:val="en-US"/>
        </w:rPr>
        <w:t>Orthostatic hypotension in older people: considerations, diagnosis and management. Clin Med (Lond) 2021; 21:e275–e282</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w:t>
      </w:r>
    </w:p>
    <w:p w14:paraId="645806F2"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7C5A89">
        <w:rPr>
          <w:rStyle w:val="ac"/>
          <w:rFonts w:eastAsiaTheme="majorEastAsia"/>
          <w:sz w:val="24"/>
          <w:szCs w:val="24"/>
          <w:lang w:val="en-US"/>
        </w:rPr>
        <w:t xml:space="preserve">SCORE2-OP working group and ESC Cardiovascular risk collaboration, SCORE2-OP risk prediction algorithms: estimating incident cardiovascular event risk in older persons in four geographical risk regions,, European Heart Journal, Volume 42, Issue 25, 1 July 2021, Pages 2455–2467, </w:t>
      </w:r>
      <w:hyperlink r:id="rId14" w:history="1">
        <w:r w:rsidRPr="007C5A89">
          <w:rPr>
            <w:rStyle w:val="ac"/>
            <w:rFonts w:eastAsiaTheme="majorEastAsia"/>
            <w:sz w:val="24"/>
            <w:szCs w:val="24"/>
            <w:lang w:val="en-US"/>
          </w:rPr>
          <w:t>https://doi.org/10.1093/eurheartj/ehab312</w:t>
        </w:r>
      </w:hyperlink>
      <w:r w:rsidRPr="007C5A89">
        <w:rPr>
          <w:rStyle w:val="ac"/>
          <w:rFonts w:eastAsiaTheme="majorEastAsia"/>
          <w:sz w:val="24"/>
          <w:szCs w:val="24"/>
          <w:lang w:val="en-US"/>
        </w:rPr>
        <w:t>..</w:t>
      </w:r>
    </w:p>
    <w:p w14:paraId="200F6D19"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7C5A89">
        <w:rPr>
          <w:rStyle w:val="ac"/>
          <w:rFonts w:eastAsiaTheme="majorEastAsia"/>
          <w:sz w:val="24"/>
          <w:szCs w:val="24"/>
          <w:lang w:val="en-US"/>
        </w:rPr>
        <w:t>SCORE2 working group and ESC Cardiovascular risk collaboration, SCORE2 risk prediction algorithms: new models to estimate 10-year risk of cardiovascular disease in Europe</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 xml:space="preserve"> European Heart Journal, Volume 42, Issue 25, 1 July 2021, Pages 2439–2454, </w:t>
      </w:r>
      <w:hyperlink r:id="rId15" w:history="1">
        <w:r w:rsidRPr="007C5A89">
          <w:rPr>
            <w:rStyle w:val="ac"/>
            <w:rFonts w:eastAsiaTheme="majorEastAsia"/>
            <w:sz w:val="24"/>
            <w:szCs w:val="24"/>
            <w:lang w:val="en-US"/>
          </w:rPr>
          <w:t>https://doi.org/10.1093/eurheartj/ehab309</w:t>
        </w:r>
      </w:hyperlink>
      <w:r w:rsidRPr="007C5A89">
        <w:rPr>
          <w:rStyle w:val="ac"/>
          <w:rFonts w:eastAsiaTheme="majorEastAsia"/>
          <w:sz w:val="24"/>
          <w:szCs w:val="24"/>
          <w:lang w:val="en-US"/>
        </w:rPr>
        <w:t>..</w:t>
      </w:r>
    </w:p>
    <w:p w14:paraId="0AD9233D"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7C5A89">
        <w:rPr>
          <w:rStyle w:val="ac"/>
          <w:rFonts w:eastAsiaTheme="majorEastAsia"/>
          <w:sz w:val="24"/>
          <w:szCs w:val="24"/>
          <w:lang w:val="en-US"/>
        </w:rPr>
        <w:t>Sehestedt T, Jeppesen J, Hansen TW, et al. Risk prediction is improved by adding markers of subclinical organ damage to SCORE. Eur Heart J 2010</w:t>
      </w:r>
      <w:proofErr w:type="gramStart"/>
      <w:r w:rsidRPr="007C5A89">
        <w:rPr>
          <w:rStyle w:val="ac"/>
          <w:rFonts w:eastAsiaTheme="majorEastAsia"/>
          <w:sz w:val="24"/>
          <w:szCs w:val="24"/>
          <w:lang w:val="en-US"/>
        </w:rPr>
        <w:t>;31:883</w:t>
      </w:r>
      <w:proofErr w:type="gramEnd"/>
      <w:r w:rsidRPr="007C5A89">
        <w:rPr>
          <w:rStyle w:val="ac"/>
          <w:rFonts w:eastAsiaTheme="majorEastAsia"/>
          <w:sz w:val="24"/>
          <w:szCs w:val="24"/>
          <w:lang w:val="en-US"/>
        </w:rPr>
        <w:t>–891..</w:t>
      </w:r>
    </w:p>
    <w:p w14:paraId="472995C1"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lang w:val="en-US"/>
        </w:rPr>
        <w:t>Smart NA, Dieberg G, Ladhani M, Titus T. Early referral to specialist nephrology services for preventing the progression to end-stage kidney disease. Cochrane Database Syst Rev 2014;(6):CD007333. doi: 10.1002/14651858.CD007333.pub2.</w:t>
      </w:r>
    </w:p>
    <w:p w14:paraId="2162E89A"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7C5A89">
        <w:rPr>
          <w:rStyle w:val="ac"/>
          <w:rFonts w:eastAsiaTheme="majorEastAsia"/>
          <w:sz w:val="24"/>
          <w:szCs w:val="24"/>
          <w:lang w:val="en-US"/>
        </w:rPr>
        <w:t xml:space="preserve">Black C, Sharma P, Scotland G et al. Early referral strategies for management of people with markers of renal disease: a systematic review of the evidence of clinical effectiveness, cost-effectiveness and economic analysis., Health Technol Assess 2010;14(21):1-184. </w:t>
      </w:r>
      <w:proofErr w:type="gramStart"/>
      <w:r w:rsidRPr="007C5A89">
        <w:rPr>
          <w:rStyle w:val="ac"/>
          <w:rFonts w:eastAsiaTheme="majorEastAsia"/>
          <w:sz w:val="24"/>
          <w:szCs w:val="24"/>
          <w:lang w:val="en-US"/>
        </w:rPr>
        <w:t>doi</w:t>
      </w:r>
      <w:proofErr w:type="gramEnd"/>
      <w:r w:rsidRPr="007C5A89">
        <w:rPr>
          <w:rStyle w:val="ac"/>
          <w:rFonts w:eastAsiaTheme="majorEastAsia"/>
          <w:sz w:val="24"/>
          <w:szCs w:val="24"/>
          <w:lang w:val="en-US"/>
        </w:rPr>
        <w:t>: 10.3310/hta14210 .</w:t>
      </w:r>
    </w:p>
    <w:p w14:paraId="6A822D77"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7C5A89">
        <w:rPr>
          <w:rStyle w:val="ac"/>
          <w:rFonts w:eastAsiaTheme="majorEastAsia"/>
          <w:sz w:val="24"/>
          <w:szCs w:val="24"/>
          <w:lang w:val="en-US"/>
        </w:rPr>
        <w:t>Chan MR, Dall AT, Fletcher KE et al. Outcomes in patients with chronic kidney disease referred late to nephrologists: a meta-analysis. Am J Med 2007;120(12):1063-70. doi: 10.1016/j.amjmed.2007.04.024.</w:t>
      </w:r>
    </w:p>
    <w:p w14:paraId="1F17200D"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lang w:val="en-US"/>
        </w:rPr>
        <w:t xml:space="preserve">Hunt SC, Williams RR, Barlow GK. A comparison of positive family history definitions for defining risk of future disease. J Chronic Dis </w:t>
      </w:r>
      <w:r w:rsidRPr="007C5A89">
        <w:rPr>
          <w:rStyle w:val="ac"/>
          <w:rFonts w:eastAsiaTheme="majorEastAsia"/>
          <w:sz w:val="24"/>
          <w:szCs w:val="24"/>
        </w:rPr>
        <w:t>1986; 39:809–821</w:t>
      </w:r>
      <w:proofErr w:type="gramStart"/>
      <w:r w:rsidRPr="007C5A89">
        <w:rPr>
          <w:rStyle w:val="ac"/>
          <w:rFonts w:eastAsiaTheme="majorEastAsia"/>
          <w:sz w:val="24"/>
          <w:szCs w:val="24"/>
        </w:rPr>
        <w:t>..</w:t>
      </w:r>
      <w:proofErr w:type="gramEnd"/>
    </w:p>
    <w:p w14:paraId="553542D3"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lang w:val="en-US"/>
        </w:rPr>
        <w:t xml:space="preserve">Friedman GD, Selby JV, Quesenberry CP Jr, et al Precursors of essential hypertension: body weight, alcohol and salt use and parental history of hypertension. Prev Med </w:t>
      </w:r>
      <w:r w:rsidRPr="007C5A89">
        <w:rPr>
          <w:rStyle w:val="ac"/>
          <w:rFonts w:eastAsiaTheme="majorEastAsia"/>
          <w:sz w:val="24"/>
          <w:szCs w:val="24"/>
        </w:rPr>
        <w:t>1988</w:t>
      </w:r>
      <w:proofErr w:type="gramStart"/>
      <w:r w:rsidRPr="007C5A89">
        <w:rPr>
          <w:rStyle w:val="ac"/>
          <w:rFonts w:eastAsiaTheme="majorEastAsia"/>
          <w:sz w:val="24"/>
          <w:szCs w:val="24"/>
        </w:rPr>
        <w:t>;17:387</w:t>
      </w:r>
      <w:proofErr w:type="gramEnd"/>
      <w:r w:rsidRPr="007C5A89">
        <w:rPr>
          <w:rStyle w:val="ac"/>
          <w:rFonts w:eastAsiaTheme="majorEastAsia"/>
          <w:sz w:val="24"/>
          <w:szCs w:val="24"/>
        </w:rPr>
        <w:t>–402..</w:t>
      </w:r>
    </w:p>
    <w:p w14:paraId="77518A04"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lang w:val="en-US"/>
        </w:rPr>
        <w:t xml:space="preserve">Shi Y. et al. Resting heart rate and the risk of hypertension and heart failure: a dose– response meta-analysis of prospective studies //Journal of hypertension. – 2018. – </w:t>
      </w:r>
      <w:r w:rsidRPr="007C5A89">
        <w:rPr>
          <w:rStyle w:val="ac"/>
          <w:rFonts w:eastAsiaTheme="majorEastAsia"/>
          <w:sz w:val="24"/>
          <w:szCs w:val="24"/>
        </w:rPr>
        <w:t>Т</w:t>
      </w:r>
      <w:r w:rsidRPr="007C5A89">
        <w:rPr>
          <w:rStyle w:val="ac"/>
          <w:rFonts w:eastAsiaTheme="majorEastAsia"/>
          <w:sz w:val="24"/>
          <w:szCs w:val="24"/>
          <w:lang w:val="en-US"/>
        </w:rPr>
        <w:t xml:space="preserve">. 36. – №. </w:t>
      </w:r>
      <w:r w:rsidRPr="007C5A89">
        <w:rPr>
          <w:rStyle w:val="ac"/>
          <w:rFonts w:eastAsiaTheme="majorEastAsia"/>
          <w:sz w:val="24"/>
          <w:szCs w:val="24"/>
        </w:rPr>
        <w:t>5. – С. 995-1004..</w:t>
      </w:r>
    </w:p>
    <w:p w14:paraId="0E28B4D7"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rPr>
        <w:t>«Алгоритмы специализированной медицинской помощи больным сахарным диабетом / Под редакцией И.И. Дедова, М.В. Шестаковой, А.Ю. Майорова. – 10-й выпуск – М.; 2021.</w:t>
      </w:r>
      <w:r w:rsidRPr="007C5A89">
        <w:rPr>
          <w:rStyle w:val="ac"/>
          <w:rFonts w:eastAsiaTheme="majorEastAsia"/>
          <w:sz w:val="24"/>
          <w:szCs w:val="24"/>
          <w:lang w:val="en-US"/>
        </w:rPr>
        <w:t>DOI</w:t>
      </w:r>
      <w:r w:rsidRPr="007C5A89">
        <w:rPr>
          <w:rStyle w:val="ac"/>
          <w:rFonts w:eastAsiaTheme="majorEastAsia"/>
          <w:sz w:val="24"/>
          <w:szCs w:val="24"/>
        </w:rPr>
        <w:t>: 10.14341/</w:t>
      </w:r>
      <w:r w:rsidRPr="007C5A89">
        <w:rPr>
          <w:rStyle w:val="ac"/>
          <w:rFonts w:eastAsiaTheme="majorEastAsia"/>
          <w:sz w:val="24"/>
          <w:szCs w:val="24"/>
          <w:lang w:val="en-US"/>
        </w:rPr>
        <w:t>DM</w:t>
      </w:r>
      <w:r w:rsidRPr="007C5A89">
        <w:rPr>
          <w:rStyle w:val="ac"/>
          <w:rFonts w:eastAsiaTheme="majorEastAsia"/>
          <w:sz w:val="24"/>
          <w:szCs w:val="24"/>
        </w:rPr>
        <w:t>12802».</w:t>
      </w:r>
    </w:p>
    <w:p w14:paraId="4AAE5979"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rPr>
        <w:t>«КР290. Сахарный диабет 2 типа у взрослых, Общественная организация</w:t>
      </w:r>
    </w:p>
    <w:p w14:paraId="1DAB47BB" w14:textId="77777777" w:rsidR="00CB781F" w:rsidRPr="007C5A89" w:rsidRDefault="00CB781F" w:rsidP="007C5A89">
      <w:pPr>
        <w:pStyle w:val="11"/>
        <w:tabs>
          <w:tab w:val="left" w:pos="709"/>
        </w:tabs>
        <w:spacing w:line="276" w:lineRule="auto"/>
        <w:ind w:left="709" w:hanging="709"/>
        <w:jc w:val="both"/>
        <w:rPr>
          <w:sz w:val="24"/>
          <w:szCs w:val="24"/>
        </w:rPr>
      </w:pPr>
      <w:r w:rsidRPr="007C5A89">
        <w:rPr>
          <w:rStyle w:val="ac"/>
          <w:rFonts w:eastAsiaTheme="majorEastAsia"/>
          <w:sz w:val="24"/>
          <w:szCs w:val="24"/>
        </w:rPr>
        <w:t xml:space="preserve">«Российская ассоциация эндокринологов», 2022г. [Электронный ресурс </w:t>
      </w:r>
      <w:hyperlink r:id="rId16" w:history="1">
        <w:proofErr w:type="gramStart"/>
        <w:r w:rsidRPr="007C5A89">
          <w:rPr>
            <w:rStyle w:val="ac"/>
            <w:rFonts w:eastAsiaTheme="majorEastAsia"/>
            <w:sz w:val="24"/>
            <w:szCs w:val="24"/>
            <w:lang w:val="en-US"/>
          </w:rPr>
          <w:t>https</w:t>
        </w:r>
        <w:r w:rsidRPr="007C5A89">
          <w:rPr>
            <w:rStyle w:val="ac"/>
            <w:rFonts w:eastAsiaTheme="majorEastAsia"/>
            <w:sz w:val="24"/>
            <w:szCs w:val="24"/>
          </w:rPr>
          <w:t>://</w:t>
        </w:r>
        <w:r w:rsidRPr="007C5A89">
          <w:rPr>
            <w:rStyle w:val="ac"/>
            <w:rFonts w:eastAsiaTheme="majorEastAsia"/>
            <w:sz w:val="24"/>
            <w:szCs w:val="24"/>
            <w:lang w:val="en-US"/>
          </w:rPr>
          <w:t>cr</w:t>
        </w:r>
        <w:r w:rsidRPr="007C5A89">
          <w:rPr>
            <w:rStyle w:val="ac"/>
            <w:rFonts w:eastAsiaTheme="majorEastAsia"/>
            <w:sz w:val="24"/>
            <w:szCs w:val="24"/>
          </w:rPr>
          <w:t>.</w:t>
        </w:r>
        <w:r w:rsidRPr="007C5A89">
          <w:rPr>
            <w:rStyle w:val="ac"/>
            <w:rFonts w:eastAsiaTheme="majorEastAsia"/>
            <w:sz w:val="24"/>
            <w:szCs w:val="24"/>
            <w:lang w:val="en-US"/>
          </w:rPr>
          <w:t>minzdrav</w:t>
        </w:r>
        <w:r w:rsidRPr="007C5A89">
          <w:rPr>
            <w:rStyle w:val="ac"/>
            <w:rFonts w:eastAsiaTheme="majorEastAsia"/>
            <w:sz w:val="24"/>
            <w:szCs w:val="24"/>
          </w:rPr>
          <w:t>.</w:t>
        </w:r>
        <w:r w:rsidRPr="007C5A89">
          <w:rPr>
            <w:rStyle w:val="ac"/>
            <w:rFonts w:eastAsiaTheme="majorEastAsia"/>
            <w:sz w:val="24"/>
            <w:szCs w:val="24"/>
            <w:lang w:val="en-US"/>
          </w:rPr>
          <w:t>gov</w:t>
        </w:r>
        <w:r w:rsidRPr="007C5A89">
          <w:rPr>
            <w:rStyle w:val="ac"/>
            <w:rFonts w:eastAsiaTheme="majorEastAsia"/>
            <w:sz w:val="24"/>
            <w:szCs w:val="24"/>
          </w:rPr>
          <w:t>.</w:t>
        </w:r>
        <w:r w:rsidRPr="007C5A89">
          <w:rPr>
            <w:rStyle w:val="ac"/>
            <w:rFonts w:eastAsiaTheme="majorEastAsia"/>
            <w:sz w:val="24"/>
            <w:szCs w:val="24"/>
            <w:lang w:val="en-US"/>
          </w:rPr>
          <w:t>ru</w:t>
        </w:r>
        <w:r w:rsidRPr="007C5A89">
          <w:rPr>
            <w:rStyle w:val="ac"/>
            <w:rFonts w:eastAsiaTheme="majorEastAsia"/>
            <w:sz w:val="24"/>
            <w:szCs w:val="24"/>
          </w:rPr>
          <w:t>/</w:t>
        </w:r>
        <w:r w:rsidRPr="007C5A89">
          <w:rPr>
            <w:rStyle w:val="ac"/>
            <w:rFonts w:eastAsiaTheme="majorEastAsia"/>
            <w:sz w:val="24"/>
            <w:szCs w:val="24"/>
            <w:lang w:val="en-US"/>
          </w:rPr>
          <w:t>recomend</w:t>
        </w:r>
        <w:r w:rsidRPr="007C5A89">
          <w:rPr>
            <w:rStyle w:val="ac"/>
            <w:rFonts w:eastAsiaTheme="majorEastAsia"/>
            <w:sz w:val="24"/>
            <w:szCs w:val="24"/>
          </w:rPr>
          <w:t>/290_2</w:t>
        </w:r>
      </w:hyperlink>
      <w:r w:rsidRPr="007C5A89">
        <w:rPr>
          <w:rStyle w:val="ac"/>
          <w:rFonts w:eastAsiaTheme="majorEastAsia"/>
          <w:sz w:val="24"/>
          <w:szCs w:val="24"/>
        </w:rPr>
        <w:t xml:space="preserve"> ]</w:t>
      </w:r>
      <w:proofErr w:type="gramEnd"/>
      <w:r w:rsidRPr="007C5A89">
        <w:rPr>
          <w:rStyle w:val="ac"/>
          <w:rFonts w:eastAsiaTheme="majorEastAsia"/>
          <w:sz w:val="24"/>
          <w:szCs w:val="24"/>
        </w:rPr>
        <w:t>.».</w:t>
      </w:r>
    </w:p>
    <w:p w14:paraId="4EEBA36E"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lang w:val="en-US"/>
        </w:rPr>
        <w:t xml:space="preserve">Cosentino F, Grant P, Aboyans V et al. 2019 ESC Guidelines on diabetes, pre-diabetes, and cardiovascular diseases developed in collaboration with the EASD: The Task Force for diabetes, pre-diabetes, and cardiovascular diseases of the, European Society of Cardiology (ESC) and the European Association for the Study of Diabetes (EASD). Eur Heart J </w:t>
      </w:r>
      <w:r w:rsidRPr="007C5A89">
        <w:rPr>
          <w:rStyle w:val="ac"/>
          <w:rFonts w:eastAsiaTheme="majorEastAsia"/>
          <w:sz w:val="24"/>
          <w:szCs w:val="24"/>
        </w:rPr>
        <w:t>2019.</w:t>
      </w:r>
    </w:p>
    <w:p w14:paraId="40E98C47"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lang w:val="en-US"/>
        </w:rPr>
        <w:t xml:space="preserve">Emerging Risk Factors Collaboration. Diabetes mellitus, fasting blood glucose </w:t>
      </w:r>
      <w:r w:rsidRPr="007C5A89">
        <w:rPr>
          <w:rStyle w:val="ac"/>
          <w:rFonts w:eastAsiaTheme="majorEastAsia"/>
          <w:sz w:val="24"/>
          <w:szCs w:val="24"/>
          <w:lang w:val="en-US"/>
        </w:rPr>
        <w:lastRenderedPageBreak/>
        <w:t xml:space="preserve">concentration, and risk of vascular disease: a collaborative meta-analysis of 102 prospective studies. The Lancet </w:t>
      </w:r>
      <w:r w:rsidRPr="007C5A89">
        <w:rPr>
          <w:rStyle w:val="ac"/>
          <w:rFonts w:eastAsiaTheme="majorEastAsia"/>
          <w:sz w:val="24"/>
          <w:szCs w:val="24"/>
        </w:rPr>
        <w:t>375.9733 (2010): 2215–2222</w:t>
      </w:r>
      <w:proofErr w:type="gramStart"/>
      <w:r w:rsidRPr="007C5A89">
        <w:rPr>
          <w:rStyle w:val="ac"/>
          <w:rFonts w:eastAsiaTheme="majorEastAsia"/>
          <w:sz w:val="24"/>
          <w:szCs w:val="24"/>
        </w:rPr>
        <w:t>..</w:t>
      </w:r>
      <w:proofErr w:type="gramEnd"/>
    </w:p>
    <w:p w14:paraId="5AB7470C"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lang w:val="en-US"/>
        </w:rPr>
        <w:t xml:space="preserve">Wilson PW, Cupples CF, Kannel WB. Is hyperglycemia associated with cardiovascular disease? The Framingham Study. Amer. Heart J </w:t>
      </w:r>
      <w:r w:rsidRPr="007C5A89">
        <w:rPr>
          <w:rStyle w:val="ac"/>
          <w:rFonts w:eastAsiaTheme="majorEastAsia"/>
          <w:sz w:val="24"/>
          <w:szCs w:val="24"/>
        </w:rPr>
        <w:t>1991</w:t>
      </w:r>
      <w:proofErr w:type="gramStart"/>
      <w:r w:rsidRPr="007C5A89">
        <w:rPr>
          <w:rStyle w:val="ac"/>
          <w:rFonts w:eastAsiaTheme="majorEastAsia"/>
          <w:sz w:val="24"/>
          <w:szCs w:val="24"/>
        </w:rPr>
        <w:t>;121:586</w:t>
      </w:r>
      <w:proofErr w:type="gramEnd"/>
      <w:r w:rsidRPr="007C5A89">
        <w:rPr>
          <w:rStyle w:val="ac"/>
          <w:rFonts w:eastAsiaTheme="majorEastAsia"/>
          <w:sz w:val="24"/>
          <w:szCs w:val="24"/>
        </w:rPr>
        <w:t>–90..</w:t>
      </w:r>
    </w:p>
    <w:p w14:paraId="442D8D99"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F03632">
        <w:rPr>
          <w:rStyle w:val="ac"/>
          <w:rFonts w:eastAsiaTheme="majorEastAsia"/>
          <w:sz w:val="24"/>
          <w:szCs w:val="24"/>
          <w:lang w:val="fr-FR"/>
        </w:rPr>
        <w:t xml:space="preserve">Izzo R, de Simone G, Trimarco V. et al. </w:t>
      </w:r>
      <w:r w:rsidRPr="007C5A89">
        <w:rPr>
          <w:rStyle w:val="ac"/>
          <w:rFonts w:eastAsiaTheme="majorEastAsia"/>
          <w:sz w:val="24"/>
          <w:szCs w:val="24"/>
          <w:lang w:val="en-US"/>
        </w:rPr>
        <w:t xml:space="preserve">Hypertensive target organ damage predicts incident diabetes mellitus. EurHeartJ. </w:t>
      </w:r>
      <w:proofErr w:type="gramStart"/>
      <w:r w:rsidRPr="007C5A89">
        <w:rPr>
          <w:rStyle w:val="ac"/>
          <w:rFonts w:eastAsiaTheme="majorEastAsia"/>
          <w:sz w:val="24"/>
          <w:szCs w:val="24"/>
          <w:lang w:val="en-US"/>
        </w:rPr>
        <w:t>epub</w:t>
      </w:r>
      <w:proofErr w:type="gramEnd"/>
      <w:r w:rsidRPr="007C5A89">
        <w:rPr>
          <w:rStyle w:val="ac"/>
          <w:rFonts w:eastAsiaTheme="majorEastAsia"/>
          <w:sz w:val="24"/>
          <w:szCs w:val="24"/>
          <w:lang w:val="en-US"/>
        </w:rPr>
        <w:t xml:space="preserve"> 27 June 2013..</w:t>
      </w:r>
    </w:p>
    <w:p w14:paraId="229DF230"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lang w:val="en-US"/>
        </w:rPr>
        <w:t xml:space="preserve">Matsushita K. et al. Comparison of risk prediction using the CKD-EPI equation and the MDRD study equation for estimated glomerular filtration rate //Jama. – 2012. – </w:t>
      </w:r>
      <w:r w:rsidRPr="007C5A89">
        <w:rPr>
          <w:rStyle w:val="ac"/>
          <w:rFonts w:eastAsiaTheme="majorEastAsia"/>
          <w:sz w:val="24"/>
          <w:szCs w:val="24"/>
        </w:rPr>
        <w:t>Т</w:t>
      </w:r>
      <w:r w:rsidRPr="007C5A89">
        <w:rPr>
          <w:rStyle w:val="ac"/>
          <w:rFonts w:eastAsiaTheme="majorEastAsia"/>
          <w:sz w:val="24"/>
          <w:szCs w:val="24"/>
          <w:lang w:val="en-US"/>
        </w:rPr>
        <w:t xml:space="preserve">. 307. – №. </w:t>
      </w:r>
      <w:r w:rsidRPr="007C5A89">
        <w:rPr>
          <w:rStyle w:val="ac"/>
          <w:rFonts w:eastAsiaTheme="majorEastAsia"/>
          <w:sz w:val="24"/>
          <w:szCs w:val="24"/>
        </w:rPr>
        <w:t>18. – С. 1941-1951..</w:t>
      </w:r>
    </w:p>
    <w:p w14:paraId="2060D97B"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F03632">
        <w:rPr>
          <w:rStyle w:val="ac"/>
          <w:rFonts w:eastAsiaTheme="majorEastAsia"/>
          <w:sz w:val="24"/>
          <w:szCs w:val="24"/>
          <w:lang w:val="fr-FR"/>
        </w:rPr>
        <w:t xml:space="preserve">De Haan M. W. et al. </w:t>
      </w:r>
      <w:r w:rsidRPr="007C5A89">
        <w:rPr>
          <w:rStyle w:val="ac"/>
          <w:rFonts w:eastAsiaTheme="majorEastAsia"/>
          <w:sz w:val="24"/>
          <w:szCs w:val="24"/>
          <w:lang w:val="en-US"/>
        </w:rPr>
        <w:t xml:space="preserve">Renovascular disease in patients with hypertension: detection with duplex ultrasound //Journal of human hypertension. – 2002. – </w:t>
      </w:r>
      <w:r w:rsidRPr="007C5A89">
        <w:rPr>
          <w:rStyle w:val="ac"/>
          <w:rFonts w:eastAsiaTheme="majorEastAsia"/>
          <w:sz w:val="24"/>
          <w:szCs w:val="24"/>
        </w:rPr>
        <w:t>Т</w:t>
      </w:r>
      <w:r w:rsidRPr="007C5A89">
        <w:rPr>
          <w:rStyle w:val="ac"/>
          <w:rFonts w:eastAsiaTheme="majorEastAsia"/>
          <w:sz w:val="24"/>
          <w:szCs w:val="24"/>
          <w:lang w:val="en-US"/>
        </w:rPr>
        <w:t xml:space="preserve">. 16. – №. </w:t>
      </w:r>
      <w:r w:rsidRPr="007C5A89">
        <w:rPr>
          <w:rStyle w:val="ac"/>
          <w:rFonts w:eastAsiaTheme="majorEastAsia"/>
          <w:sz w:val="24"/>
          <w:szCs w:val="24"/>
        </w:rPr>
        <w:t>7. – С. 501..</w:t>
      </w:r>
    </w:p>
    <w:p w14:paraId="3E840672"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7C5A89">
        <w:rPr>
          <w:rStyle w:val="ac"/>
          <w:rFonts w:eastAsiaTheme="majorEastAsia"/>
          <w:sz w:val="24"/>
          <w:szCs w:val="24"/>
          <w:lang w:val="en-US"/>
        </w:rPr>
        <w:t>Mahmoodi, Bakhtawar K., et al. Associations of kidney disease measures with mortality and end-stage renal disease in individuals with and without hypertension: a meta-analysis. The Lancet 380.9854 (2012):1649–1661</w:t>
      </w:r>
      <w:proofErr w:type="gramStart"/>
      <w:r w:rsidRPr="007C5A89">
        <w:rPr>
          <w:rStyle w:val="ac"/>
          <w:rFonts w:eastAsiaTheme="majorEastAsia"/>
          <w:sz w:val="24"/>
          <w:szCs w:val="24"/>
          <w:lang w:val="en-US"/>
        </w:rPr>
        <w:t>..</w:t>
      </w:r>
      <w:proofErr w:type="gramEnd"/>
    </w:p>
    <w:p w14:paraId="69F8172F"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F03632">
        <w:rPr>
          <w:rStyle w:val="ac"/>
          <w:rFonts w:eastAsiaTheme="majorEastAsia"/>
          <w:sz w:val="24"/>
          <w:szCs w:val="24"/>
          <w:lang w:val="fr-FR"/>
        </w:rPr>
        <w:t xml:space="preserve">Van Der Velde M. et al. </w:t>
      </w:r>
      <w:r w:rsidRPr="007C5A89">
        <w:rPr>
          <w:rStyle w:val="ac"/>
          <w:rFonts w:eastAsiaTheme="majorEastAsia"/>
          <w:sz w:val="24"/>
          <w:szCs w:val="24"/>
          <w:lang w:val="en-US"/>
        </w:rPr>
        <w:t>Lower estimated glomerular filtration rate and higher albuminuria are associated with all-cause and cardiovascular mortality. A collaborative meta-analysis of high-risk population cohorts. Kidney international 79.12 (2011): 1341–52.</w:t>
      </w:r>
    </w:p>
    <w:p w14:paraId="6D9E42C2"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7C5A89">
        <w:rPr>
          <w:rStyle w:val="ac"/>
          <w:rFonts w:eastAsiaTheme="majorEastAsia"/>
          <w:sz w:val="24"/>
          <w:szCs w:val="24"/>
          <w:lang w:val="en-US"/>
        </w:rPr>
        <w:t>Earley A, Miskulin D, Lamb EJ et al. Estimating equations for glomerular filtration rate in the era of creatinine standardization: a systematic review. Ann Intern Med 2012; 156: 785– 795</w:t>
      </w:r>
      <w:proofErr w:type="gramStart"/>
      <w:r w:rsidRPr="007C5A89">
        <w:rPr>
          <w:rStyle w:val="ac"/>
          <w:rFonts w:eastAsiaTheme="majorEastAsia"/>
          <w:sz w:val="24"/>
          <w:szCs w:val="24"/>
          <w:lang w:val="en-US"/>
        </w:rPr>
        <w:t>..</w:t>
      </w:r>
      <w:proofErr w:type="gramEnd"/>
    </w:p>
    <w:p w14:paraId="6B7400C3"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lang w:val="en-US"/>
        </w:rPr>
        <w:t xml:space="preserve">Zachrisson K. et al. Duplex ultrasound for identifying renal artery stenosis: direct criteria re-evaluated //Acta Radiologica. – 2017. – </w:t>
      </w:r>
      <w:r w:rsidRPr="007C5A89">
        <w:rPr>
          <w:rStyle w:val="ac"/>
          <w:rFonts w:eastAsiaTheme="majorEastAsia"/>
          <w:sz w:val="24"/>
          <w:szCs w:val="24"/>
        </w:rPr>
        <w:t>Т</w:t>
      </w:r>
      <w:r w:rsidRPr="007C5A89">
        <w:rPr>
          <w:rStyle w:val="ac"/>
          <w:rFonts w:eastAsiaTheme="majorEastAsia"/>
          <w:sz w:val="24"/>
          <w:szCs w:val="24"/>
          <w:lang w:val="en-US"/>
        </w:rPr>
        <w:t xml:space="preserve">. 58. – №. </w:t>
      </w:r>
      <w:r w:rsidRPr="007C5A89">
        <w:rPr>
          <w:rStyle w:val="ac"/>
          <w:rFonts w:eastAsiaTheme="majorEastAsia"/>
          <w:sz w:val="24"/>
          <w:szCs w:val="24"/>
        </w:rPr>
        <w:t>2. – С. 176-182..</w:t>
      </w:r>
    </w:p>
    <w:p w14:paraId="5C4E3572"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7C5A89">
        <w:rPr>
          <w:rStyle w:val="ac"/>
          <w:rFonts w:eastAsiaTheme="majorEastAsia"/>
          <w:sz w:val="24"/>
          <w:szCs w:val="24"/>
          <w:lang w:val="en-US"/>
        </w:rPr>
        <w:t xml:space="preserve">Matsushita K. et al. Kidney measures beyond traditional risk factors for cardiovascular prediction: A collaborative meta-analysis //The lancet. Diabetes &amp; endocrinology. – 2015. – </w:t>
      </w:r>
      <w:r w:rsidRPr="007C5A89">
        <w:rPr>
          <w:rStyle w:val="ac"/>
          <w:rFonts w:eastAsiaTheme="majorEastAsia"/>
          <w:sz w:val="24"/>
          <w:szCs w:val="24"/>
        </w:rPr>
        <w:t>Т</w:t>
      </w:r>
      <w:r w:rsidRPr="007C5A89">
        <w:rPr>
          <w:rStyle w:val="ac"/>
          <w:rFonts w:eastAsiaTheme="majorEastAsia"/>
          <w:sz w:val="24"/>
          <w:szCs w:val="24"/>
          <w:lang w:val="en-US"/>
        </w:rPr>
        <w:t xml:space="preserve">. 3. – №. 7. – </w:t>
      </w:r>
      <w:r w:rsidRPr="007C5A89">
        <w:rPr>
          <w:rStyle w:val="ac"/>
          <w:rFonts w:eastAsiaTheme="majorEastAsia"/>
          <w:sz w:val="24"/>
          <w:szCs w:val="24"/>
        </w:rPr>
        <w:t>С</w:t>
      </w:r>
      <w:r w:rsidRPr="007C5A89">
        <w:rPr>
          <w:rStyle w:val="ac"/>
          <w:rFonts w:eastAsiaTheme="majorEastAsia"/>
          <w:sz w:val="24"/>
          <w:szCs w:val="24"/>
          <w:lang w:val="en-US"/>
        </w:rPr>
        <w:t>. 514</w:t>
      </w:r>
      <w:proofErr w:type="gramStart"/>
      <w:r w:rsidRPr="007C5A89">
        <w:rPr>
          <w:rStyle w:val="ac"/>
          <w:rFonts w:eastAsiaTheme="majorEastAsia"/>
          <w:sz w:val="24"/>
          <w:szCs w:val="24"/>
          <w:lang w:val="en-US"/>
        </w:rPr>
        <w:t>..</w:t>
      </w:r>
      <w:proofErr w:type="gramEnd"/>
    </w:p>
    <w:p w14:paraId="3F6532F3"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lang w:val="en-US"/>
        </w:rPr>
        <w:t xml:space="preserve">Gerstein HC, Mann JF, Yi Q, Zinman B, et al. HOPE Study Investigators. Albuminuria and risk of cardiovascular events, death, and heart failure in diabetic and nondiabetic individuals. JAMA </w:t>
      </w:r>
      <w:r w:rsidRPr="007C5A89">
        <w:rPr>
          <w:rStyle w:val="ac"/>
          <w:rFonts w:eastAsiaTheme="majorEastAsia"/>
          <w:sz w:val="24"/>
          <w:szCs w:val="24"/>
        </w:rPr>
        <w:t>2001</w:t>
      </w:r>
      <w:proofErr w:type="gramStart"/>
      <w:r w:rsidRPr="007C5A89">
        <w:rPr>
          <w:rStyle w:val="ac"/>
          <w:rFonts w:eastAsiaTheme="majorEastAsia"/>
          <w:sz w:val="24"/>
          <w:szCs w:val="24"/>
        </w:rPr>
        <w:t>;286:421</w:t>
      </w:r>
      <w:proofErr w:type="gramEnd"/>
      <w:r w:rsidRPr="007C5A89">
        <w:rPr>
          <w:rStyle w:val="ac"/>
          <w:rFonts w:eastAsiaTheme="majorEastAsia"/>
          <w:sz w:val="24"/>
          <w:szCs w:val="24"/>
        </w:rPr>
        <w:t>–426..</w:t>
      </w:r>
    </w:p>
    <w:p w14:paraId="28607AA2"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lang w:val="en-US"/>
        </w:rPr>
        <w:t xml:space="preserve">Boekholdt SM et al. Association of LDL cholesterol, non–HDL cholesterol, and apolipoprotein B levels with risk of cardiovascular events among patients treated with statins: a meta-analysis //Jama. — 2012. — </w:t>
      </w:r>
      <w:r w:rsidRPr="007C5A89">
        <w:rPr>
          <w:rStyle w:val="ac"/>
          <w:rFonts w:eastAsiaTheme="majorEastAsia"/>
          <w:sz w:val="24"/>
          <w:szCs w:val="24"/>
        </w:rPr>
        <w:t>Т</w:t>
      </w:r>
      <w:r w:rsidRPr="007C5A89">
        <w:rPr>
          <w:rStyle w:val="ac"/>
          <w:rFonts w:eastAsiaTheme="majorEastAsia"/>
          <w:sz w:val="24"/>
          <w:szCs w:val="24"/>
          <w:lang w:val="en-US"/>
        </w:rPr>
        <w:t xml:space="preserve">. 307. — №. </w:t>
      </w:r>
      <w:r w:rsidRPr="007C5A89">
        <w:rPr>
          <w:rStyle w:val="ac"/>
          <w:rFonts w:eastAsiaTheme="majorEastAsia"/>
          <w:sz w:val="24"/>
          <w:szCs w:val="24"/>
        </w:rPr>
        <w:t>12. — С. 1302-1309..</w:t>
      </w:r>
    </w:p>
    <w:p w14:paraId="184D50FA"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F03632">
        <w:rPr>
          <w:rStyle w:val="ac"/>
          <w:rFonts w:eastAsiaTheme="majorEastAsia"/>
          <w:sz w:val="24"/>
          <w:szCs w:val="24"/>
          <w:lang w:val="fr-FR"/>
        </w:rPr>
        <w:t xml:space="preserve">Caggiula A. W. et al. </w:t>
      </w:r>
      <w:r w:rsidRPr="007C5A89">
        <w:rPr>
          <w:rStyle w:val="ac"/>
          <w:rFonts w:eastAsiaTheme="majorEastAsia"/>
          <w:sz w:val="24"/>
          <w:szCs w:val="24"/>
          <w:lang w:val="en-US"/>
        </w:rPr>
        <w:t xml:space="preserve">The multiple risk factor intervention trial (MRFIT): IV. Intervention on blood lipids //Preventive Medicine. </w:t>
      </w:r>
      <w:r w:rsidRPr="007C5A89">
        <w:rPr>
          <w:rStyle w:val="ac"/>
          <w:rFonts w:eastAsiaTheme="majorEastAsia"/>
          <w:sz w:val="24"/>
          <w:szCs w:val="24"/>
        </w:rPr>
        <w:t>– 1981. – Т. 10. – №. 4. – С. 443-475..</w:t>
      </w:r>
    </w:p>
    <w:p w14:paraId="69283C2B"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F03632">
        <w:rPr>
          <w:rStyle w:val="ac"/>
          <w:rFonts w:eastAsiaTheme="majorEastAsia"/>
          <w:sz w:val="24"/>
          <w:szCs w:val="24"/>
          <w:lang w:val="fr-FR"/>
        </w:rPr>
        <w:t xml:space="preserve">Prospective Studies Collaboration et al. </w:t>
      </w:r>
      <w:r w:rsidRPr="007C5A89">
        <w:rPr>
          <w:rStyle w:val="ac"/>
          <w:rFonts w:eastAsiaTheme="majorEastAsia"/>
          <w:sz w:val="24"/>
          <w:szCs w:val="24"/>
          <w:lang w:val="en-US"/>
        </w:rPr>
        <w:t xml:space="preserve">Blood cholesterol and vascular mortality by age, sex, and blood pressure: a meta-analysis of individual data from 61 prospective studies with 55 000 vascular deaths //The Lancet. – 2007. – </w:t>
      </w:r>
      <w:r w:rsidRPr="007C5A89">
        <w:rPr>
          <w:rStyle w:val="ac"/>
          <w:rFonts w:eastAsiaTheme="majorEastAsia"/>
          <w:sz w:val="24"/>
          <w:szCs w:val="24"/>
        </w:rPr>
        <w:t>Т</w:t>
      </w:r>
      <w:r w:rsidRPr="007C5A89">
        <w:rPr>
          <w:rStyle w:val="ac"/>
          <w:rFonts w:eastAsiaTheme="majorEastAsia"/>
          <w:sz w:val="24"/>
          <w:szCs w:val="24"/>
          <w:lang w:val="en-US"/>
        </w:rPr>
        <w:t xml:space="preserve">. 370. – №. </w:t>
      </w:r>
      <w:r w:rsidRPr="007C5A89">
        <w:rPr>
          <w:rStyle w:val="ac"/>
          <w:rFonts w:eastAsiaTheme="majorEastAsia"/>
          <w:sz w:val="24"/>
          <w:szCs w:val="24"/>
        </w:rPr>
        <w:t>9602. – С. 1.</w:t>
      </w:r>
    </w:p>
    <w:p w14:paraId="4799240C"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F03632">
        <w:rPr>
          <w:rStyle w:val="ac"/>
          <w:rFonts w:eastAsiaTheme="majorEastAsia"/>
          <w:sz w:val="24"/>
          <w:szCs w:val="24"/>
          <w:lang w:val="fr-FR"/>
        </w:rPr>
        <w:t xml:space="preserve">Geleijnse JM, Kok FJ, Grobbee DE. </w:t>
      </w:r>
      <w:r w:rsidRPr="007C5A89">
        <w:rPr>
          <w:rStyle w:val="ac"/>
          <w:rFonts w:eastAsiaTheme="majorEastAsia"/>
          <w:sz w:val="24"/>
          <w:szCs w:val="24"/>
          <w:lang w:val="en-US"/>
        </w:rPr>
        <w:t xml:space="preserve">Blood pressure response to changes in sodium and potassium intake: a metaregression analysis of randomised trials. Journal of human hypertension </w:t>
      </w:r>
      <w:r w:rsidRPr="007C5A89">
        <w:rPr>
          <w:rStyle w:val="ac"/>
          <w:rFonts w:eastAsiaTheme="majorEastAsia"/>
          <w:sz w:val="24"/>
          <w:szCs w:val="24"/>
        </w:rPr>
        <w:t>17.7(2003):471</w:t>
      </w:r>
      <w:proofErr w:type="gramStart"/>
      <w:r w:rsidRPr="007C5A89">
        <w:rPr>
          <w:rStyle w:val="ac"/>
          <w:rFonts w:eastAsiaTheme="majorEastAsia"/>
          <w:sz w:val="24"/>
          <w:szCs w:val="24"/>
        </w:rPr>
        <w:t>..</w:t>
      </w:r>
      <w:proofErr w:type="gramEnd"/>
    </w:p>
    <w:p w14:paraId="5908C5D0"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lang w:val="en-US"/>
        </w:rPr>
        <w:t xml:space="preserve">Macdonald JE, Struthers AD. hat is the optimal serum potassium level in cardiovascular patients? Journal of the American College of Cardiology </w:t>
      </w:r>
      <w:r w:rsidRPr="007C5A89">
        <w:rPr>
          <w:rStyle w:val="ac"/>
          <w:rFonts w:eastAsiaTheme="majorEastAsia"/>
          <w:sz w:val="24"/>
          <w:szCs w:val="24"/>
        </w:rPr>
        <w:t>43.2 (2004):155–161</w:t>
      </w:r>
      <w:proofErr w:type="gramStart"/>
      <w:r w:rsidRPr="007C5A89">
        <w:rPr>
          <w:rStyle w:val="ac"/>
          <w:rFonts w:eastAsiaTheme="majorEastAsia"/>
          <w:sz w:val="24"/>
          <w:szCs w:val="24"/>
        </w:rPr>
        <w:t>..</w:t>
      </w:r>
      <w:proofErr w:type="gramEnd"/>
    </w:p>
    <w:p w14:paraId="40999427"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lang w:val="en-US"/>
        </w:rPr>
        <w:t xml:space="preserve">Wang J. et al. Hyperuricemia and risk of incident hypertension: a systematic review and meta-analysis of observational studies //PloS one. – 2014. – </w:t>
      </w:r>
      <w:r w:rsidRPr="007C5A89">
        <w:rPr>
          <w:rStyle w:val="ac"/>
          <w:rFonts w:eastAsiaTheme="majorEastAsia"/>
          <w:sz w:val="24"/>
          <w:szCs w:val="24"/>
        </w:rPr>
        <w:t>Т</w:t>
      </w:r>
      <w:r w:rsidRPr="007C5A89">
        <w:rPr>
          <w:rStyle w:val="ac"/>
          <w:rFonts w:eastAsiaTheme="majorEastAsia"/>
          <w:sz w:val="24"/>
          <w:szCs w:val="24"/>
          <w:lang w:val="en-US"/>
        </w:rPr>
        <w:t xml:space="preserve">. 9. – №. </w:t>
      </w:r>
      <w:r w:rsidRPr="007C5A89">
        <w:rPr>
          <w:rStyle w:val="ac"/>
          <w:rFonts w:eastAsiaTheme="majorEastAsia"/>
          <w:sz w:val="24"/>
          <w:szCs w:val="24"/>
        </w:rPr>
        <w:t xml:space="preserve">12. – С. </w:t>
      </w:r>
      <w:r w:rsidRPr="007C5A89">
        <w:rPr>
          <w:rStyle w:val="ac"/>
          <w:rFonts w:eastAsiaTheme="majorEastAsia"/>
          <w:sz w:val="24"/>
          <w:szCs w:val="24"/>
          <w:lang w:val="en-US"/>
        </w:rPr>
        <w:t>e</w:t>
      </w:r>
      <w:proofErr w:type="gramStart"/>
      <w:r w:rsidRPr="007C5A89">
        <w:rPr>
          <w:rStyle w:val="ac"/>
          <w:rFonts w:eastAsiaTheme="majorEastAsia"/>
          <w:sz w:val="24"/>
          <w:szCs w:val="24"/>
          <w:lang w:val="en-US"/>
        </w:rPr>
        <w:t>114259</w:t>
      </w:r>
      <w:r w:rsidRPr="007C5A89">
        <w:rPr>
          <w:rStyle w:val="ac"/>
          <w:rFonts w:eastAsiaTheme="majorEastAsia"/>
          <w:sz w:val="24"/>
          <w:szCs w:val="24"/>
        </w:rPr>
        <w:t>..</w:t>
      </w:r>
      <w:proofErr w:type="gramEnd"/>
    </w:p>
    <w:p w14:paraId="5ED582F8"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7C5A89">
        <w:rPr>
          <w:rStyle w:val="ac"/>
          <w:rFonts w:eastAsiaTheme="majorEastAsia"/>
          <w:sz w:val="24"/>
          <w:szCs w:val="24"/>
          <w:lang w:val="en-US"/>
        </w:rPr>
        <w:t>Grayson PC et al. Hyperuricemia and incident hypertension: a systematic review and meta‐ analysis</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 xml:space="preserve"> Arthritis care &amp; research 63.1 (2011):102–110</w:t>
      </w:r>
      <w:proofErr w:type="gramStart"/>
      <w:r w:rsidRPr="007C5A89">
        <w:rPr>
          <w:rStyle w:val="ac"/>
          <w:rFonts w:eastAsiaTheme="majorEastAsia"/>
          <w:sz w:val="24"/>
          <w:szCs w:val="24"/>
          <w:lang w:val="en-US"/>
        </w:rPr>
        <w:t>..</w:t>
      </w:r>
      <w:proofErr w:type="gramEnd"/>
    </w:p>
    <w:p w14:paraId="400E4606"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7C5A89">
        <w:rPr>
          <w:rStyle w:val="ac"/>
          <w:rFonts w:eastAsiaTheme="majorEastAsia"/>
          <w:sz w:val="24"/>
          <w:szCs w:val="24"/>
          <w:lang w:val="en-US"/>
        </w:rPr>
        <w:lastRenderedPageBreak/>
        <w:t>Palmer TM et al. Association of plasma uric acid with ischaemic heart disease and blood pressure: mendelian randomisation analysis of two large cohorts. Bmj 347 (2013): f4262</w:t>
      </w:r>
      <w:proofErr w:type="gramStart"/>
      <w:r w:rsidRPr="007C5A89">
        <w:rPr>
          <w:rStyle w:val="ac"/>
          <w:rFonts w:eastAsiaTheme="majorEastAsia"/>
          <w:sz w:val="24"/>
          <w:szCs w:val="24"/>
          <w:lang w:val="en-US"/>
        </w:rPr>
        <w:t>..</w:t>
      </w:r>
      <w:proofErr w:type="gramEnd"/>
    </w:p>
    <w:p w14:paraId="7EA13D86"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7C5A89">
        <w:rPr>
          <w:rStyle w:val="ac"/>
          <w:rFonts w:eastAsiaTheme="majorEastAsia"/>
          <w:sz w:val="24"/>
          <w:szCs w:val="24"/>
          <w:lang w:val="en-US"/>
        </w:rPr>
        <w:t>Lehtonen AO, Puukka P, Varis J et al. Prevalence and prognosis of ECG abnormalities in normotensive and hypertensive individuals. J Hypertens 2016</w:t>
      </w:r>
      <w:proofErr w:type="gramStart"/>
      <w:r w:rsidRPr="007C5A89">
        <w:rPr>
          <w:rStyle w:val="ac"/>
          <w:rFonts w:eastAsiaTheme="majorEastAsia"/>
          <w:sz w:val="24"/>
          <w:szCs w:val="24"/>
          <w:lang w:val="en-US"/>
        </w:rPr>
        <w:t>;34:959</w:t>
      </w:r>
      <w:proofErr w:type="gramEnd"/>
      <w:r w:rsidRPr="007C5A89">
        <w:rPr>
          <w:rStyle w:val="ac"/>
          <w:rFonts w:eastAsiaTheme="majorEastAsia"/>
          <w:sz w:val="24"/>
          <w:szCs w:val="24"/>
          <w:lang w:val="en-US"/>
        </w:rPr>
        <w:t>–966..</w:t>
      </w:r>
    </w:p>
    <w:p w14:paraId="0AC24CB9"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lang w:val="en-US"/>
        </w:rPr>
        <w:t xml:space="preserve">Vanezis, A. P., &amp; Bhopal, R. (2008). Validity of electrocardiographic classification of left ventricular hypertrophy across adult ethnic groups with echocardiography as a standard. Journal of Electrocardiology, </w:t>
      </w:r>
      <w:r w:rsidRPr="007C5A89">
        <w:rPr>
          <w:rStyle w:val="ac"/>
          <w:rFonts w:eastAsiaTheme="majorEastAsia"/>
          <w:sz w:val="24"/>
          <w:szCs w:val="24"/>
        </w:rPr>
        <w:t xml:space="preserve">41(5), 404–412., </w:t>
      </w:r>
      <w:r w:rsidRPr="007C5A89">
        <w:rPr>
          <w:rStyle w:val="ac"/>
          <w:rFonts w:eastAsiaTheme="majorEastAsia"/>
          <w:sz w:val="24"/>
          <w:szCs w:val="24"/>
          <w:lang w:val="en-US"/>
        </w:rPr>
        <w:t>doi:10.1016/j.jelectrocard.2008.02.013.</w:t>
      </w:r>
    </w:p>
    <w:p w14:paraId="5B05FF3E"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lang w:val="en-US"/>
        </w:rPr>
        <w:t xml:space="preserve">Schillaci, G., Battista, F., &amp; Pucci, G. (2012). A review of the role of electrocardiography in the diagnosis of left ventricular hypertrophy in hypertension. Journal of electrocardiology, </w:t>
      </w:r>
      <w:r w:rsidRPr="007C5A89">
        <w:rPr>
          <w:rStyle w:val="ac"/>
          <w:rFonts w:eastAsiaTheme="majorEastAsia"/>
          <w:sz w:val="24"/>
          <w:szCs w:val="24"/>
        </w:rPr>
        <w:t>45(6), 617–623</w:t>
      </w:r>
      <w:proofErr w:type="gramStart"/>
      <w:r w:rsidRPr="007C5A89">
        <w:rPr>
          <w:rStyle w:val="ac"/>
          <w:rFonts w:eastAsiaTheme="majorEastAsia"/>
          <w:sz w:val="24"/>
          <w:szCs w:val="24"/>
        </w:rPr>
        <w:t>..</w:t>
      </w:r>
      <w:proofErr w:type="gramEnd"/>
    </w:p>
    <w:p w14:paraId="101DC38B"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lang w:val="en-US"/>
        </w:rPr>
      </w:pPr>
      <w:r w:rsidRPr="007C5A89">
        <w:rPr>
          <w:rStyle w:val="ac"/>
          <w:rFonts w:eastAsiaTheme="majorEastAsia"/>
          <w:sz w:val="24"/>
          <w:szCs w:val="24"/>
          <w:lang w:val="en-US"/>
        </w:rPr>
        <w:t>Kahn S, Frishman WH, Weissman S et al. Left ventricular hypertrophy on electrocardiogram: prognostic implications from a 10-year cohort study of older subjects: a report from the Bronx Longitudinal Aging Study. J Am Geriatr Soc 1996</w:t>
      </w:r>
      <w:proofErr w:type="gramStart"/>
      <w:r w:rsidRPr="007C5A89">
        <w:rPr>
          <w:rStyle w:val="ac"/>
          <w:rFonts w:eastAsiaTheme="majorEastAsia"/>
          <w:sz w:val="24"/>
          <w:szCs w:val="24"/>
          <w:lang w:val="en-US"/>
        </w:rPr>
        <w:t>;44:524</w:t>
      </w:r>
      <w:proofErr w:type="gramEnd"/>
      <w:r w:rsidRPr="007C5A89">
        <w:rPr>
          <w:rStyle w:val="ac"/>
          <w:rFonts w:eastAsiaTheme="majorEastAsia"/>
          <w:sz w:val="24"/>
          <w:szCs w:val="24"/>
          <w:lang w:val="en-US"/>
        </w:rPr>
        <w:t>–529..</w:t>
      </w:r>
    </w:p>
    <w:p w14:paraId="60E3730D" w14:textId="77777777" w:rsidR="00CB781F" w:rsidRPr="007C5A89" w:rsidRDefault="00CB781F" w:rsidP="00424F51">
      <w:pPr>
        <w:pStyle w:val="11"/>
        <w:numPr>
          <w:ilvl w:val="0"/>
          <w:numId w:val="42"/>
        </w:numPr>
        <w:tabs>
          <w:tab w:val="left" w:pos="709"/>
        </w:tabs>
        <w:spacing w:line="276" w:lineRule="auto"/>
        <w:ind w:left="709" w:hanging="709"/>
        <w:jc w:val="both"/>
        <w:rPr>
          <w:sz w:val="24"/>
          <w:szCs w:val="24"/>
        </w:rPr>
      </w:pPr>
      <w:r w:rsidRPr="007C5A89">
        <w:rPr>
          <w:rStyle w:val="ac"/>
          <w:rFonts w:eastAsiaTheme="majorEastAsia"/>
          <w:sz w:val="24"/>
          <w:szCs w:val="24"/>
          <w:lang w:val="en-US"/>
        </w:rPr>
        <w:t xml:space="preserve">Okin PM, Devereux RB, Jern S, et al. LIFE Study Investigators. Regression of electrocardiographic left ventricular hypertrophy during antihypertensive treatment and the prediction of major cardiovascular events. JAMA </w:t>
      </w:r>
      <w:r w:rsidRPr="007C5A89">
        <w:rPr>
          <w:rStyle w:val="ac"/>
          <w:rFonts w:eastAsiaTheme="majorEastAsia"/>
          <w:sz w:val="24"/>
          <w:szCs w:val="24"/>
        </w:rPr>
        <w:t>2004</w:t>
      </w:r>
      <w:proofErr w:type="gramStart"/>
      <w:r w:rsidRPr="007C5A89">
        <w:rPr>
          <w:rStyle w:val="ac"/>
          <w:rFonts w:eastAsiaTheme="majorEastAsia"/>
          <w:sz w:val="24"/>
          <w:szCs w:val="24"/>
        </w:rPr>
        <w:t>;292:2343</w:t>
      </w:r>
      <w:proofErr w:type="gramEnd"/>
      <w:r w:rsidRPr="007C5A89">
        <w:rPr>
          <w:rStyle w:val="ac"/>
          <w:rFonts w:eastAsiaTheme="majorEastAsia"/>
          <w:sz w:val="24"/>
          <w:szCs w:val="24"/>
        </w:rPr>
        <w:t>–2349..</w:t>
      </w:r>
    </w:p>
    <w:p w14:paraId="10C1A579"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Verdecchia P, Angeli F, Borgioni C. et al. Changes in cardiovascular risk by reduction of left ventricular mass in hypertension: a meta-analysis. American Journal of Hypertension. 2003. </w:t>
      </w:r>
      <w:r w:rsidRPr="007C5A89">
        <w:rPr>
          <w:rStyle w:val="ac"/>
          <w:rFonts w:eastAsiaTheme="majorEastAsia"/>
          <w:sz w:val="24"/>
          <w:szCs w:val="24"/>
        </w:rPr>
        <w:t>16(11), 895–899</w:t>
      </w:r>
      <w:proofErr w:type="gramStart"/>
      <w:r w:rsidRPr="007C5A89">
        <w:rPr>
          <w:rStyle w:val="ac"/>
          <w:rFonts w:eastAsiaTheme="majorEastAsia"/>
          <w:sz w:val="24"/>
          <w:szCs w:val="24"/>
        </w:rPr>
        <w:t>..</w:t>
      </w:r>
      <w:proofErr w:type="gramEnd"/>
    </w:p>
    <w:p w14:paraId="6FF5CE13"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Sundstrom J, Lind L, Arnlov J et al. Echocardiographic and electrocardiographic diagnoses of left ventricular hypertrophy predict mortality independently of each other in a population of elderly men. Circulation 2001</w:t>
      </w:r>
      <w:proofErr w:type="gramStart"/>
      <w:r w:rsidRPr="007C5A89">
        <w:rPr>
          <w:rStyle w:val="ac"/>
          <w:rFonts w:eastAsiaTheme="majorEastAsia"/>
          <w:sz w:val="24"/>
          <w:szCs w:val="24"/>
          <w:lang w:val="en-US"/>
        </w:rPr>
        <w:t>;103:2346</w:t>
      </w:r>
      <w:proofErr w:type="gramEnd"/>
      <w:r w:rsidRPr="007C5A89">
        <w:rPr>
          <w:rStyle w:val="ac"/>
          <w:rFonts w:eastAsiaTheme="majorEastAsia"/>
          <w:sz w:val="24"/>
          <w:szCs w:val="24"/>
          <w:lang w:val="en-US"/>
        </w:rPr>
        <w:t>–51..</w:t>
      </w:r>
    </w:p>
    <w:p w14:paraId="43EF94CE"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Levy D, Garrison RJ, Savage DO et al. </w:t>
      </w:r>
      <w:r w:rsidRPr="007C5A89">
        <w:rPr>
          <w:rStyle w:val="ac"/>
          <w:rFonts w:eastAsiaTheme="majorEastAsia"/>
          <w:sz w:val="24"/>
          <w:szCs w:val="24"/>
          <w:lang w:val="en-US"/>
        </w:rPr>
        <w:t>Prognostic implications of echocardiographically determined left ventricular mass in the Framingham Heart Study. N Engl J Med 1990</w:t>
      </w:r>
      <w:proofErr w:type="gramStart"/>
      <w:r w:rsidRPr="007C5A89">
        <w:rPr>
          <w:rStyle w:val="ac"/>
          <w:rFonts w:eastAsiaTheme="majorEastAsia"/>
          <w:sz w:val="24"/>
          <w:szCs w:val="24"/>
          <w:lang w:val="en-US"/>
        </w:rPr>
        <w:t>;322:1561</w:t>
      </w:r>
      <w:proofErr w:type="gramEnd"/>
      <w:r w:rsidRPr="007C5A89">
        <w:rPr>
          <w:rStyle w:val="ac"/>
          <w:rFonts w:eastAsiaTheme="majorEastAsia"/>
          <w:sz w:val="24"/>
          <w:szCs w:val="24"/>
          <w:lang w:val="en-US"/>
        </w:rPr>
        <w:t>–6..</w:t>
      </w:r>
    </w:p>
    <w:p w14:paraId="592C7DDF"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Perrone-Filardi P, Coca A, Galderisi M et al. Non-invasive cardiovascular imaging for evaluating subclinical target organ damage in hypertensive patients: a consensus paper from the European Association of Cardiovascular Imaging (EACVI)</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 xml:space="preserve"> the European Society of Cardiology Council on Hypertension, and the European Society of Hypertension (ESH). Eur Heart J Cardiovasc Imaging 2017</w:t>
      </w:r>
      <w:proofErr w:type="gramStart"/>
      <w:r w:rsidRPr="007C5A89">
        <w:rPr>
          <w:rStyle w:val="ac"/>
          <w:rFonts w:eastAsiaTheme="majorEastAsia"/>
          <w:sz w:val="24"/>
          <w:szCs w:val="24"/>
          <w:lang w:val="en-US"/>
        </w:rPr>
        <w:t>;18:945</w:t>
      </w:r>
      <w:proofErr w:type="gramEnd"/>
      <w:r w:rsidRPr="007C5A89">
        <w:rPr>
          <w:rStyle w:val="ac"/>
          <w:rFonts w:eastAsiaTheme="majorEastAsia"/>
          <w:sz w:val="24"/>
          <w:szCs w:val="24"/>
          <w:lang w:val="en-US"/>
        </w:rPr>
        <w:t>–960..</w:t>
      </w:r>
    </w:p>
    <w:p w14:paraId="1AE5C874"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«Spittell, Peter C., et al. "Screening for abdominal aortic aneurysm during transthoracic echocardiography in a hypertensive patient population." Journal of the American Society of Echocardiography 10.7 (1997): 722-727.».</w:t>
      </w:r>
    </w:p>
    <w:p w14:paraId="7C47C7F4"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«Aboyans, Victor, et al. "Screening abdominal aorta aneurysm during echocardiography: literature review and proposal for a French nationwide study." Archives of cardiovascular diseases 103.10 (2010): 552-558.».</w:t>
      </w:r>
    </w:p>
    <w:p w14:paraId="68CED639"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«Shukha, Yousef, et al. "Screening of Abdominal Aortic Aneurysm Using Portable Transthoracic Echocardiography among Patients with Acute Coronary Syndrome." Cardiology Research and Practice 2020 (2020).».</w:t>
      </w:r>
    </w:p>
    <w:p w14:paraId="61FD28D7"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«Park, Hyung-Bok. "Clinical Usefulness of Additional Screening for Abdominal Aortic Aneurysm during Transthoracic Echocardiography." Journal of Cardiovascular Imaging </w:t>
      </w:r>
      <w:r w:rsidRPr="007C5A89">
        <w:rPr>
          <w:rStyle w:val="ac"/>
          <w:rFonts w:eastAsiaTheme="majorEastAsia"/>
          <w:sz w:val="24"/>
          <w:szCs w:val="24"/>
        </w:rPr>
        <w:t>28.4 (2020): 265.».</w:t>
      </w:r>
    </w:p>
    <w:p w14:paraId="48149BAB"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F03632">
        <w:rPr>
          <w:rStyle w:val="ac"/>
          <w:rFonts w:eastAsiaTheme="majorEastAsia"/>
          <w:sz w:val="24"/>
          <w:szCs w:val="24"/>
          <w:lang w:val="fr-FR"/>
        </w:rPr>
        <w:t xml:space="preserve">Jahromi A. S. et al. </w:t>
      </w:r>
      <w:r w:rsidRPr="007C5A89">
        <w:rPr>
          <w:rStyle w:val="ac"/>
          <w:rFonts w:eastAsiaTheme="majorEastAsia"/>
          <w:sz w:val="24"/>
          <w:szCs w:val="24"/>
          <w:lang w:val="en-US"/>
        </w:rPr>
        <w:t xml:space="preserve">Sensitivity and specificity of color duplex ultrasound measurement in the estimation of internal carotid artery stenosis: a systematic review and meta-analysis //Journal of vascular surgery. – 2005. – </w:t>
      </w:r>
      <w:r w:rsidRPr="007C5A89">
        <w:rPr>
          <w:rStyle w:val="ac"/>
          <w:rFonts w:eastAsiaTheme="majorEastAsia"/>
          <w:sz w:val="24"/>
          <w:szCs w:val="24"/>
        </w:rPr>
        <w:t>Т</w:t>
      </w:r>
      <w:r w:rsidRPr="007C5A89">
        <w:rPr>
          <w:rStyle w:val="ac"/>
          <w:rFonts w:eastAsiaTheme="majorEastAsia"/>
          <w:sz w:val="24"/>
          <w:szCs w:val="24"/>
          <w:lang w:val="en-US"/>
        </w:rPr>
        <w:t xml:space="preserve">. 41. – №. </w:t>
      </w:r>
      <w:r w:rsidRPr="007C5A89">
        <w:rPr>
          <w:rStyle w:val="ac"/>
          <w:rFonts w:eastAsiaTheme="majorEastAsia"/>
          <w:sz w:val="24"/>
          <w:szCs w:val="24"/>
        </w:rPr>
        <w:t>6. – С. 962-972..</w:t>
      </w:r>
    </w:p>
    <w:p w14:paraId="59A4C79C"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F03632">
        <w:rPr>
          <w:rStyle w:val="ac"/>
          <w:rFonts w:eastAsiaTheme="majorEastAsia"/>
          <w:sz w:val="24"/>
          <w:szCs w:val="24"/>
          <w:lang w:val="fr-FR"/>
        </w:rPr>
        <w:lastRenderedPageBreak/>
        <w:t xml:space="preserve">Mourad J. J. et al. </w:t>
      </w:r>
      <w:r w:rsidRPr="007C5A89">
        <w:rPr>
          <w:rStyle w:val="ac"/>
          <w:rFonts w:eastAsiaTheme="majorEastAsia"/>
          <w:sz w:val="24"/>
          <w:szCs w:val="24"/>
          <w:lang w:val="en-US"/>
        </w:rPr>
        <w:t xml:space="preserve">Screening of unrecognized peripheral arterial disease (PAD) using ankle- brachial index in high cardiovascular risk patients free from symptomatic PAD //Journal of vascular surgery. – 2009. – </w:t>
      </w:r>
      <w:r w:rsidRPr="007C5A89">
        <w:rPr>
          <w:rStyle w:val="ac"/>
          <w:rFonts w:eastAsiaTheme="majorEastAsia"/>
          <w:sz w:val="24"/>
          <w:szCs w:val="24"/>
        </w:rPr>
        <w:t>Т</w:t>
      </w:r>
      <w:r w:rsidRPr="007C5A89">
        <w:rPr>
          <w:rStyle w:val="ac"/>
          <w:rFonts w:eastAsiaTheme="majorEastAsia"/>
          <w:sz w:val="24"/>
          <w:szCs w:val="24"/>
          <w:lang w:val="en-US"/>
        </w:rPr>
        <w:t xml:space="preserve">. 50. – №. </w:t>
      </w:r>
      <w:r w:rsidRPr="007C5A89">
        <w:rPr>
          <w:rStyle w:val="ac"/>
          <w:rFonts w:eastAsiaTheme="majorEastAsia"/>
          <w:sz w:val="24"/>
          <w:szCs w:val="24"/>
        </w:rPr>
        <w:t>3. – С. 572-580..</w:t>
      </w:r>
    </w:p>
    <w:p w14:paraId="218A995E"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Vlachopoulos, C., Aznaouridis, K., Terentes-Printzios, D., Ioakeimidis, N., &amp; Stefanadis, C. (2012). </w:t>
      </w:r>
      <w:r w:rsidRPr="007C5A89">
        <w:rPr>
          <w:rStyle w:val="ac"/>
          <w:rFonts w:eastAsiaTheme="majorEastAsia"/>
          <w:sz w:val="24"/>
          <w:szCs w:val="24"/>
          <w:lang w:val="en-US"/>
        </w:rPr>
        <w:t>Prediction of Cardiovascular Events and All-Cause Mortality With Brachial- Ankle Elasticity Index: A Systematic Review and Meta-Analysis., Hypertension, 60(2), 556–562</w:t>
      </w:r>
      <w:proofErr w:type="gramStart"/>
      <w:r w:rsidRPr="007C5A89">
        <w:rPr>
          <w:rStyle w:val="ac"/>
          <w:rFonts w:eastAsiaTheme="majorEastAsia"/>
          <w:sz w:val="24"/>
          <w:szCs w:val="24"/>
          <w:lang w:val="en-US"/>
        </w:rPr>
        <w:t>..</w:t>
      </w:r>
      <w:proofErr w:type="gramEnd"/>
    </w:p>
    <w:p w14:paraId="5D2A81FD"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F03632">
        <w:rPr>
          <w:rStyle w:val="ac"/>
          <w:rFonts w:eastAsiaTheme="majorEastAsia"/>
          <w:sz w:val="24"/>
          <w:szCs w:val="24"/>
          <w:lang w:val="fr-FR"/>
        </w:rPr>
        <w:t xml:space="preserve">Fuchs F. D. et al. </w:t>
      </w:r>
      <w:r w:rsidRPr="007C5A89">
        <w:rPr>
          <w:rStyle w:val="ac"/>
          <w:rFonts w:eastAsiaTheme="majorEastAsia"/>
          <w:sz w:val="24"/>
          <w:szCs w:val="24"/>
          <w:lang w:val="en-US"/>
        </w:rPr>
        <w:t xml:space="preserve">Study of the usefulness of optic fundi examination of patients with hypertension in a clinical setting //Journal of human hypertension. – 1995. – </w:t>
      </w:r>
      <w:r w:rsidRPr="007C5A89">
        <w:rPr>
          <w:rStyle w:val="ac"/>
          <w:rFonts w:eastAsiaTheme="majorEastAsia"/>
          <w:sz w:val="24"/>
          <w:szCs w:val="24"/>
        </w:rPr>
        <w:t>Т</w:t>
      </w:r>
      <w:r w:rsidRPr="007C5A89">
        <w:rPr>
          <w:rStyle w:val="ac"/>
          <w:rFonts w:eastAsiaTheme="majorEastAsia"/>
          <w:sz w:val="24"/>
          <w:szCs w:val="24"/>
          <w:lang w:val="en-US"/>
        </w:rPr>
        <w:t xml:space="preserve">. 9. – №. </w:t>
      </w:r>
      <w:r w:rsidRPr="007C5A89">
        <w:rPr>
          <w:rStyle w:val="ac"/>
          <w:rFonts w:eastAsiaTheme="majorEastAsia"/>
          <w:sz w:val="24"/>
          <w:szCs w:val="24"/>
        </w:rPr>
        <w:t>7. – С. 547-551..</w:t>
      </w:r>
    </w:p>
    <w:p w14:paraId="42C9B4C1"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Breslin DJ, Gifford RW Jr, Fairbairn JF II, Kearns TP. Prognostic importance of ophthalmoscopic findings in essential hypertension. JAMA 1966</w:t>
      </w:r>
      <w:proofErr w:type="gramStart"/>
      <w:r w:rsidRPr="007C5A89">
        <w:rPr>
          <w:rStyle w:val="ac"/>
          <w:rFonts w:eastAsiaTheme="majorEastAsia"/>
          <w:sz w:val="24"/>
          <w:szCs w:val="24"/>
          <w:lang w:val="en-US"/>
        </w:rPr>
        <w:t>;195:335</w:t>
      </w:r>
      <w:proofErr w:type="gramEnd"/>
      <w:r w:rsidRPr="007C5A89">
        <w:rPr>
          <w:rStyle w:val="ac"/>
          <w:rFonts w:eastAsiaTheme="majorEastAsia"/>
          <w:sz w:val="24"/>
          <w:szCs w:val="24"/>
          <w:lang w:val="en-US"/>
        </w:rPr>
        <w:t>–338..</w:t>
      </w:r>
    </w:p>
    <w:p w14:paraId="4F2834E4"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Dimmitt SB, West JN, Eames SM et al. Usefulness of ophthalmoscopy in mild to moderate hypertension. Lancet 1989</w:t>
      </w:r>
      <w:proofErr w:type="gramStart"/>
      <w:r w:rsidRPr="007C5A89">
        <w:rPr>
          <w:rStyle w:val="ac"/>
          <w:rFonts w:eastAsiaTheme="majorEastAsia"/>
          <w:sz w:val="24"/>
          <w:szCs w:val="24"/>
          <w:lang w:val="en-US"/>
        </w:rPr>
        <w:t>;1:1103</w:t>
      </w:r>
      <w:proofErr w:type="gramEnd"/>
      <w:r w:rsidRPr="007C5A89">
        <w:rPr>
          <w:rStyle w:val="ac"/>
          <w:rFonts w:eastAsiaTheme="majorEastAsia"/>
          <w:sz w:val="24"/>
          <w:szCs w:val="24"/>
          <w:lang w:val="en-US"/>
        </w:rPr>
        <w:t>–1106..</w:t>
      </w:r>
    </w:p>
    <w:p w14:paraId="5481F46E"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White P. M., Wardlaw J. M., Easton V. Can noninvasive imaging accurately depict intracranial aneurysms? A systematic review //Radiology. </w:t>
      </w:r>
      <w:r w:rsidRPr="007C5A89">
        <w:rPr>
          <w:rStyle w:val="ac"/>
          <w:rFonts w:eastAsiaTheme="majorEastAsia"/>
          <w:sz w:val="24"/>
          <w:szCs w:val="24"/>
        </w:rPr>
        <w:t>– 2000. – Т. 217. – №. 2. – С. 361-370..</w:t>
      </w:r>
    </w:p>
    <w:p w14:paraId="188B057E"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 xml:space="preserve">Beynon R. et al. Is MRI better than CT for detecting a vascular component to dementia? A systematic review and meta-analysis //BMC neurology. – 2012. – </w:t>
      </w:r>
      <w:r w:rsidRPr="007C5A89">
        <w:rPr>
          <w:rStyle w:val="ac"/>
          <w:rFonts w:eastAsiaTheme="majorEastAsia"/>
          <w:sz w:val="24"/>
          <w:szCs w:val="24"/>
        </w:rPr>
        <w:t>Т</w:t>
      </w:r>
      <w:r w:rsidRPr="007C5A89">
        <w:rPr>
          <w:rStyle w:val="ac"/>
          <w:rFonts w:eastAsiaTheme="majorEastAsia"/>
          <w:sz w:val="24"/>
          <w:szCs w:val="24"/>
          <w:lang w:val="en-US"/>
        </w:rPr>
        <w:t xml:space="preserve">. 12. – №. 1. – </w:t>
      </w:r>
      <w:r w:rsidRPr="007C5A89">
        <w:rPr>
          <w:rStyle w:val="ac"/>
          <w:rFonts w:eastAsiaTheme="majorEastAsia"/>
          <w:sz w:val="24"/>
          <w:szCs w:val="24"/>
        </w:rPr>
        <w:t>С</w:t>
      </w:r>
      <w:r w:rsidRPr="007C5A89">
        <w:rPr>
          <w:rStyle w:val="ac"/>
          <w:rFonts w:eastAsiaTheme="majorEastAsia"/>
          <w:sz w:val="24"/>
          <w:szCs w:val="24"/>
          <w:lang w:val="en-US"/>
        </w:rPr>
        <w:t>. 33</w:t>
      </w:r>
      <w:proofErr w:type="gramStart"/>
      <w:r w:rsidRPr="007C5A89">
        <w:rPr>
          <w:rStyle w:val="ac"/>
          <w:rFonts w:eastAsiaTheme="majorEastAsia"/>
          <w:sz w:val="24"/>
          <w:szCs w:val="24"/>
          <w:lang w:val="en-US"/>
        </w:rPr>
        <w:t>..</w:t>
      </w:r>
      <w:proofErr w:type="gramEnd"/>
    </w:p>
    <w:p w14:paraId="285E6AF9"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F03632">
        <w:rPr>
          <w:rStyle w:val="ac"/>
          <w:rFonts w:eastAsiaTheme="majorEastAsia"/>
          <w:sz w:val="24"/>
          <w:szCs w:val="24"/>
          <w:lang w:val="fr-FR"/>
        </w:rPr>
        <w:t xml:space="preserve">Creavin S. T. et al. </w:t>
      </w:r>
      <w:r w:rsidRPr="007C5A89">
        <w:rPr>
          <w:rStyle w:val="ac"/>
          <w:rFonts w:eastAsiaTheme="majorEastAsia"/>
          <w:sz w:val="24"/>
          <w:szCs w:val="24"/>
          <w:lang w:val="en-US"/>
        </w:rPr>
        <w:t xml:space="preserve">Mini‐Mental State Examination (MMSE) for the detection of dementia in clinically unevaluated people aged 65 and over in community and primary care populations //Cochrane Database of Systematic Reviews. – 2016. – №. </w:t>
      </w:r>
      <w:r w:rsidRPr="007C5A89">
        <w:rPr>
          <w:rStyle w:val="ac"/>
          <w:rFonts w:eastAsiaTheme="majorEastAsia"/>
          <w:sz w:val="24"/>
          <w:szCs w:val="24"/>
        </w:rPr>
        <w:t>1..</w:t>
      </w:r>
    </w:p>
    <w:p w14:paraId="493A8EC6"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Tsoi KK, Chan JY, Hirai HW, et al. </w:t>
      </w:r>
      <w:r w:rsidRPr="007C5A89">
        <w:rPr>
          <w:rStyle w:val="ac"/>
          <w:rFonts w:eastAsiaTheme="majorEastAsia"/>
          <w:sz w:val="24"/>
          <w:szCs w:val="24"/>
          <w:lang w:val="en-US"/>
        </w:rPr>
        <w:t>Cognitive tests to detect dementia: a systematic review and meta-analysis. JAMA Intern Med 2015</w:t>
      </w:r>
      <w:proofErr w:type="gramStart"/>
      <w:r w:rsidRPr="007C5A89">
        <w:rPr>
          <w:rStyle w:val="ac"/>
          <w:rFonts w:eastAsiaTheme="majorEastAsia"/>
          <w:sz w:val="24"/>
          <w:szCs w:val="24"/>
          <w:lang w:val="en-US"/>
        </w:rPr>
        <w:t>;175:1450</w:t>
      </w:r>
      <w:proofErr w:type="gramEnd"/>
      <w:r w:rsidRPr="007C5A89">
        <w:rPr>
          <w:rStyle w:val="ac"/>
          <w:rFonts w:eastAsiaTheme="majorEastAsia"/>
          <w:sz w:val="24"/>
          <w:szCs w:val="24"/>
          <w:lang w:val="en-US"/>
        </w:rPr>
        <w:t>–1458..</w:t>
      </w:r>
    </w:p>
    <w:p w14:paraId="6684243C"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Mach F, Baigent C, Catapano A et al. 2019 ESC/EAS Guidelines for the management of dyslipidaemias: lipid modification to reduce cardiovascular risk: The Task Force for the management of dyslipidaemias of the European Society of Cardiology (ESC), and European Atherosclerosis Society (EAS). Eur Heart J </w:t>
      </w:r>
      <w:r w:rsidRPr="007C5A89">
        <w:rPr>
          <w:rStyle w:val="ac"/>
          <w:rFonts w:eastAsiaTheme="majorEastAsia"/>
          <w:sz w:val="24"/>
          <w:szCs w:val="24"/>
        </w:rPr>
        <w:t>2019.</w:t>
      </w:r>
    </w:p>
    <w:p w14:paraId="766EF79F"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Ebrahim, S., &amp; Smith, G. D. (1998). Lowering blood pressure: a systematic review of sustained effects of non-pharmacological interventions. Journal of Public Health, </w:t>
      </w:r>
      <w:r w:rsidRPr="007C5A89">
        <w:rPr>
          <w:rStyle w:val="ac"/>
          <w:rFonts w:eastAsiaTheme="majorEastAsia"/>
          <w:sz w:val="24"/>
          <w:szCs w:val="24"/>
        </w:rPr>
        <w:t>20(4), 441–448</w:t>
      </w:r>
      <w:proofErr w:type="gramStart"/>
      <w:r w:rsidRPr="007C5A89">
        <w:rPr>
          <w:rStyle w:val="ac"/>
          <w:rFonts w:eastAsiaTheme="majorEastAsia"/>
          <w:sz w:val="24"/>
          <w:szCs w:val="24"/>
        </w:rPr>
        <w:t>..</w:t>
      </w:r>
      <w:proofErr w:type="gramEnd"/>
    </w:p>
    <w:p w14:paraId="1A1E8932"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Ettehad D, Emdin CA, Kiran A, et al. Blood pressure lowering for prevention of cardiovascular disease and death: a systematic review and meta-analysis. Lancet 2016</w:t>
      </w:r>
      <w:proofErr w:type="gramStart"/>
      <w:r w:rsidRPr="007C5A89">
        <w:rPr>
          <w:rStyle w:val="ac"/>
          <w:rFonts w:eastAsiaTheme="majorEastAsia"/>
          <w:sz w:val="24"/>
          <w:szCs w:val="24"/>
          <w:lang w:val="en-US"/>
        </w:rPr>
        <w:t>;387:957</w:t>
      </w:r>
      <w:proofErr w:type="gramEnd"/>
      <w:r w:rsidRPr="007C5A89">
        <w:rPr>
          <w:rStyle w:val="ac"/>
          <w:rFonts w:eastAsiaTheme="majorEastAsia"/>
          <w:sz w:val="24"/>
          <w:szCs w:val="24"/>
          <w:lang w:val="en-US"/>
        </w:rPr>
        <w:t>–967..</w:t>
      </w:r>
    </w:p>
    <w:p w14:paraId="20821583"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Thomopoulos C, Parati G, Zanchetti A. Effects of blood pressure lowering on outcome incidence in hypertension: 7. Effects of more vs. less intensive blood pressure lowering and different achieved blood pressure levels — updated overview and meta-analyses, of randomized trials. J Hypertens 2016</w:t>
      </w:r>
      <w:proofErr w:type="gramStart"/>
      <w:r w:rsidRPr="007C5A89">
        <w:rPr>
          <w:rStyle w:val="ac"/>
          <w:rFonts w:eastAsiaTheme="majorEastAsia"/>
          <w:sz w:val="24"/>
          <w:szCs w:val="24"/>
          <w:lang w:val="en-US"/>
        </w:rPr>
        <w:t>;34:613</w:t>
      </w:r>
      <w:proofErr w:type="gramEnd"/>
      <w:r w:rsidRPr="007C5A89">
        <w:rPr>
          <w:rStyle w:val="ac"/>
          <w:rFonts w:eastAsiaTheme="majorEastAsia"/>
          <w:sz w:val="24"/>
          <w:szCs w:val="24"/>
          <w:lang w:val="en-US"/>
        </w:rPr>
        <w:t>–622..</w:t>
      </w:r>
    </w:p>
    <w:p w14:paraId="39800DF8"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«Thomopoulos C. Target blood pressure in isolated systolic hypertension. A meta-analysis of randomized outcome trials. J Hypertens 2023</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in press].».</w:t>
      </w:r>
    </w:p>
    <w:p w14:paraId="00A4B299"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Beckett NS, Peters R, Fletcher AE et al. HYVET Study Group. Treatment of hypertension in patients 80 years of age or older. N Engl J Med </w:t>
      </w:r>
      <w:r w:rsidRPr="007C5A89">
        <w:rPr>
          <w:rStyle w:val="ac"/>
          <w:rFonts w:eastAsiaTheme="majorEastAsia"/>
          <w:sz w:val="24"/>
          <w:szCs w:val="24"/>
        </w:rPr>
        <w:t>2008</w:t>
      </w:r>
      <w:proofErr w:type="gramStart"/>
      <w:r w:rsidRPr="007C5A89">
        <w:rPr>
          <w:rStyle w:val="ac"/>
          <w:rFonts w:eastAsiaTheme="majorEastAsia"/>
          <w:sz w:val="24"/>
          <w:szCs w:val="24"/>
        </w:rPr>
        <w:t>;358:1887</w:t>
      </w:r>
      <w:proofErr w:type="gramEnd"/>
      <w:r w:rsidRPr="007C5A89">
        <w:rPr>
          <w:rStyle w:val="ac"/>
          <w:rFonts w:eastAsiaTheme="majorEastAsia"/>
          <w:sz w:val="24"/>
          <w:szCs w:val="24"/>
        </w:rPr>
        <w:t>–1898..</w:t>
      </w:r>
    </w:p>
    <w:p w14:paraId="49644058"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Thijs, Lutgarde, et al. A meta-analysis of outcome trials in elderly hypertensives. Journal of hypertension </w:t>
      </w:r>
      <w:r w:rsidRPr="007C5A89">
        <w:rPr>
          <w:rStyle w:val="ac"/>
          <w:rFonts w:eastAsiaTheme="majorEastAsia"/>
          <w:sz w:val="24"/>
          <w:szCs w:val="24"/>
        </w:rPr>
        <w:t>10.10 (1992): 1103–1109</w:t>
      </w:r>
      <w:proofErr w:type="gramStart"/>
      <w:r w:rsidRPr="007C5A89">
        <w:rPr>
          <w:rStyle w:val="ac"/>
          <w:rFonts w:eastAsiaTheme="majorEastAsia"/>
          <w:sz w:val="24"/>
          <w:szCs w:val="24"/>
        </w:rPr>
        <w:t>..</w:t>
      </w:r>
      <w:proofErr w:type="gramEnd"/>
    </w:p>
    <w:p w14:paraId="2605429E"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F03632">
        <w:rPr>
          <w:rStyle w:val="ac"/>
          <w:rFonts w:eastAsiaTheme="majorEastAsia"/>
          <w:sz w:val="24"/>
          <w:szCs w:val="24"/>
          <w:lang w:val="fr-FR"/>
        </w:rPr>
        <w:t xml:space="preserve">Lonn EM, Bosch J, Lopez-Jaramillo P et al. </w:t>
      </w:r>
      <w:r w:rsidRPr="007C5A89">
        <w:rPr>
          <w:rStyle w:val="ac"/>
          <w:rFonts w:eastAsiaTheme="majorEastAsia"/>
          <w:sz w:val="24"/>
          <w:szCs w:val="24"/>
          <w:lang w:val="en-US"/>
        </w:rPr>
        <w:t xml:space="preserve">HOPE-3 Investigators. Blood-pressure </w:t>
      </w:r>
      <w:r w:rsidRPr="007C5A89">
        <w:rPr>
          <w:rStyle w:val="ac"/>
          <w:rFonts w:eastAsiaTheme="majorEastAsia"/>
          <w:sz w:val="24"/>
          <w:szCs w:val="24"/>
          <w:lang w:val="en-US"/>
        </w:rPr>
        <w:lastRenderedPageBreak/>
        <w:t xml:space="preserve">lowering in. intermediate-risk persons without cardiovascular disease. N Engl J Med. </w:t>
      </w:r>
      <w:r w:rsidRPr="007C5A89">
        <w:rPr>
          <w:rStyle w:val="ac"/>
          <w:rFonts w:eastAsiaTheme="majorEastAsia"/>
          <w:sz w:val="24"/>
          <w:szCs w:val="24"/>
        </w:rPr>
        <w:t>2016</w:t>
      </w:r>
      <w:proofErr w:type="gramStart"/>
      <w:r w:rsidRPr="007C5A89">
        <w:rPr>
          <w:rStyle w:val="ac"/>
          <w:rFonts w:eastAsiaTheme="majorEastAsia"/>
          <w:sz w:val="24"/>
          <w:szCs w:val="24"/>
        </w:rPr>
        <w:t>;374:2009</w:t>
      </w:r>
      <w:proofErr w:type="gramEnd"/>
      <w:r w:rsidRPr="007C5A89">
        <w:rPr>
          <w:rStyle w:val="ac"/>
          <w:rFonts w:eastAsiaTheme="majorEastAsia"/>
          <w:sz w:val="24"/>
          <w:szCs w:val="24"/>
        </w:rPr>
        <w:t>–2020.</w:t>
      </w:r>
    </w:p>
    <w:p w14:paraId="32D973C0"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Agarwal R et al. Role of home blood pressure monitoring in overcoming therapeutic inertia and improving hypertension control: a systematic review and meta-analysis. Hypertension 57.1 (2011): 29–38</w:t>
      </w:r>
      <w:proofErr w:type="gramStart"/>
      <w:r w:rsidRPr="007C5A89">
        <w:rPr>
          <w:rStyle w:val="ac"/>
          <w:rFonts w:eastAsiaTheme="majorEastAsia"/>
          <w:sz w:val="24"/>
          <w:szCs w:val="24"/>
          <w:lang w:val="en-US"/>
        </w:rPr>
        <w:t>..</w:t>
      </w:r>
      <w:proofErr w:type="gramEnd"/>
    </w:p>
    <w:p w14:paraId="5B3A6A1C"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Sundstrom J, Arima H, Jackson R, et al. Blood Pressure-Lowering Treatment Trialists’ Collaboration. Effects of blood pressure reduction in mild hypertension: a systematic review and meta-analysis. Ann Intern Med </w:t>
      </w:r>
      <w:r w:rsidRPr="007C5A89">
        <w:rPr>
          <w:rStyle w:val="ac"/>
          <w:rFonts w:eastAsiaTheme="majorEastAsia"/>
          <w:sz w:val="24"/>
          <w:szCs w:val="24"/>
        </w:rPr>
        <w:t>2015</w:t>
      </w:r>
      <w:proofErr w:type="gramStart"/>
      <w:r w:rsidRPr="007C5A89">
        <w:rPr>
          <w:rStyle w:val="ac"/>
          <w:rFonts w:eastAsiaTheme="majorEastAsia"/>
          <w:sz w:val="24"/>
          <w:szCs w:val="24"/>
        </w:rPr>
        <w:t>;162:184</w:t>
      </w:r>
      <w:proofErr w:type="gramEnd"/>
      <w:r w:rsidRPr="007C5A89">
        <w:rPr>
          <w:rStyle w:val="ac"/>
          <w:rFonts w:eastAsiaTheme="majorEastAsia"/>
          <w:sz w:val="24"/>
          <w:szCs w:val="24"/>
        </w:rPr>
        <w:t>–191..</w:t>
      </w:r>
    </w:p>
    <w:p w14:paraId="6B059A72"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«Visseren, Frank LJ, et al. "2021 ESC Guidelines on cardiovascular disease prevention in clinical practice: Developed by the Task Force for cardiovascular disease prevention in clinical practice with representatives of the European Society of Cardiology</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 xml:space="preserve"> </w:t>
      </w:r>
      <w:r w:rsidRPr="007C5A89">
        <w:rPr>
          <w:rStyle w:val="ac"/>
          <w:rFonts w:eastAsiaTheme="majorEastAsia"/>
          <w:i/>
          <w:iCs/>
          <w:sz w:val="24"/>
          <w:szCs w:val="24"/>
          <w:lang w:val="en-US"/>
        </w:rPr>
        <w:t>and 12 medical societies With the special contribution of the European Association of Preventive Cardiology (EAPC)." European heart journal 42.34 (2021): 3227-3337</w:t>
      </w:r>
      <w:proofErr w:type="gramStart"/>
      <w:r w:rsidRPr="007C5A89">
        <w:rPr>
          <w:rStyle w:val="ac"/>
          <w:rFonts w:eastAsiaTheme="majorEastAsia"/>
          <w:i/>
          <w:iCs/>
          <w:sz w:val="24"/>
          <w:szCs w:val="24"/>
          <w:lang w:val="en-US"/>
        </w:rPr>
        <w:t>..</w:t>
      </w:r>
      <w:proofErr w:type="gramEnd"/>
    </w:p>
    <w:p w14:paraId="5103054B"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Williamson JD, Supiano MA, Applegate WB et al. SPRINT Research Group. Intensive vs standard blood pressure control and cardiovascular disease outcomes in adults aged &gt;_75 years: a randomized clinical trial. JAMA </w:t>
      </w:r>
      <w:r w:rsidRPr="007C5A89">
        <w:rPr>
          <w:rStyle w:val="ac"/>
          <w:rFonts w:eastAsiaTheme="majorEastAsia"/>
          <w:sz w:val="24"/>
          <w:szCs w:val="24"/>
        </w:rPr>
        <w:t>2016</w:t>
      </w:r>
      <w:proofErr w:type="gramStart"/>
      <w:r w:rsidRPr="007C5A89">
        <w:rPr>
          <w:rStyle w:val="ac"/>
          <w:rFonts w:eastAsiaTheme="majorEastAsia"/>
          <w:sz w:val="24"/>
          <w:szCs w:val="24"/>
        </w:rPr>
        <w:t>;315:2673</w:t>
      </w:r>
      <w:proofErr w:type="gramEnd"/>
      <w:r w:rsidRPr="007C5A89">
        <w:rPr>
          <w:rStyle w:val="ac"/>
          <w:rFonts w:eastAsiaTheme="majorEastAsia"/>
          <w:sz w:val="24"/>
          <w:szCs w:val="24"/>
        </w:rPr>
        <w:t>–2682..</w:t>
      </w:r>
    </w:p>
    <w:p w14:paraId="7BEEEE13"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Beckett N, Peters R, Leonetti G, Duggan J, Fagard R, Thijs L, Narkiewicz K,McCormack T, Banya W, Fletcher A, Bulpitt C, HYVET Study Group. Subgroup and per-protocol analyses from the Hypertension in the Very Elderly Trial. J Hypertens </w:t>
      </w:r>
      <w:r w:rsidRPr="007C5A89">
        <w:rPr>
          <w:rStyle w:val="ac"/>
          <w:rFonts w:eastAsiaTheme="majorEastAsia"/>
          <w:sz w:val="24"/>
          <w:szCs w:val="24"/>
        </w:rPr>
        <w:t>2014</w:t>
      </w:r>
      <w:proofErr w:type="gramStart"/>
      <w:r w:rsidRPr="007C5A89">
        <w:rPr>
          <w:rStyle w:val="ac"/>
          <w:rFonts w:eastAsiaTheme="majorEastAsia"/>
          <w:sz w:val="24"/>
          <w:szCs w:val="24"/>
        </w:rPr>
        <w:t>;32:1478</w:t>
      </w:r>
      <w:proofErr w:type="gramEnd"/>
      <w:r w:rsidRPr="007C5A89">
        <w:rPr>
          <w:rStyle w:val="ac"/>
          <w:rFonts w:eastAsiaTheme="majorEastAsia"/>
          <w:sz w:val="24"/>
          <w:szCs w:val="24"/>
        </w:rPr>
        <w:t>– 1487..</w:t>
      </w:r>
    </w:p>
    <w:p w14:paraId="18305B52"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«Jaeger, Byron C., et al. </w:t>
      </w:r>
      <w:r w:rsidRPr="007C5A89">
        <w:rPr>
          <w:rStyle w:val="ac"/>
          <w:rFonts w:eastAsiaTheme="majorEastAsia"/>
          <w:sz w:val="24"/>
          <w:szCs w:val="24"/>
          <w:lang w:val="en-US"/>
        </w:rPr>
        <w:t xml:space="preserve">"Longer-Term All-Cause and Cardiovascular Mortality </w:t>
      </w:r>
      <w:proofErr w:type="gramStart"/>
      <w:r w:rsidRPr="007C5A89">
        <w:rPr>
          <w:rStyle w:val="ac"/>
          <w:rFonts w:eastAsiaTheme="majorEastAsia"/>
          <w:sz w:val="24"/>
          <w:szCs w:val="24"/>
          <w:lang w:val="en-US"/>
        </w:rPr>
        <w:t>With</w:t>
      </w:r>
      <w:proofErr w:type="gramEnd"/>
      <w:r w:rsidRPr="007C5A89">
        <w:rPr>
          <w:rStyle w:val="ac"/>
          <w:rFonts w:eastAsiaTheme="majorEastAsia"/>
          <w:sz w:val="24"/>
          <w:szCs w:val="24"/>
          <w:lang w:val="en-US"/>
        </w:rPr>
        <w:t xml:space="preserve"> Intensive Blood Pressure Control: A Secondary Analysis of a Randomized Clinical Trial." JAMA cardiology 7.11 (2022): 1138-1146.».</w:t>
      </w:r>
    </w:p>
    <w:p w14:paraId="122C1B8E"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Hao G. et al. Effects of ACEI/ARB in hypertensive patients with type 2 diabetes mellitus: a meta-analysis of randomized controlled studies //BMC cardiovascular disorders. – 2014. – </w:t>
      </w:r>
      <w:r w:rsidRPr="007C5A89">
        <w:rPr>
          <w:rStyle w:val="ac"/>
          <w:rFonts w:eastAsiaTheme="majorEastAsia"/>
          <w:sz w:val="24"/>
          <w:szCs w:val="24"/>
        </w:rPr>
        <w:t>Т</w:t>
      </w:r>
      <w:r w:rsidRPr="007C5A89">
        <w:rPr>
          <w:rStyle w:val="ac"/>
          <w:rFonts w:eastAsiaTheme="majorEastAsia"/>
          <w:sz w:val="24"/>
          <w:szCs w:val="24"/>
          <w:lang w:val="en-US"/>
        </w:rPr>
        <w:t xml:space="preserve">. 14. – №. </w:t>
      </w:r>
      <w:r w:rsidRPr="007C5A89">
        <w:rPr>
          <w:rStyle w:val="ac"/>
          <w:rFonts w:eastAsiaTheme="majorEastAsia"/>
          <w:sz w:val="24"/>
          <w:szCs w:val="24"/>
        </w:rPr>
        <w:t>1. – С. 148..</w:t>
      </w:r>
    </w:p>
    <w:p w14:paraId="4129C3FE"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F03632">
        <w:rPr>
          <w:rStyle w:val="ac"/>
          <w:rFonts w:eastAsiaTheme="majorEastAsia"/>
          <w:sz w:val="24"/>
          <w:szCs w:val="24"/>
          <w:lang w:val="fr-FR"/>
        </w:rPr>
        <w:t xml:space="preserve">Garrison S. R. et al. </w:t>
      </w:r>
      <w:r w:rsidRPr="007C5A89">
        <w:rPr>
          <w:rStyle w:val="ac"/>
          <w:rFonts w:eastAsiaTheme="majorEastAsia"/>
          <w:sz w:val="24"/>
          <w:szCs w:val="24"/>
          <w:lang w:val="en-US"/>
        </w:rPr>
        <w:t xml:space="preserve">Blood pressure targets for hypertension in older adults //Cochrane Database of Systematic Reviews. – 2017. – №. </w:t>
      </w:r>
      <w:r w:rsidRPr="007C5A89">
        <w:rPr>
          <w:rStyle w:val="ac"/>
          <w:rFonts w:eastAsiaTheme="majorEastAsia"/>
          <w:sz w:val="24"/>
          <w:szCs w:val="24"/>
        </w:rPr>
        <w:t>8..</w:t>
      </w:r>
    </w:p>
    <w:p w14:paraId="7A50C3F5"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«Mancia G, Giannattasio C. Diagnostic and therapeutic problems of isolated systolic hypertension. J Hypertens </w:t>
      </w:r>
      <w:r w:rsidRPr="007C5A89">
        <w:rPr>
          <w:rStyle w:val="ac"/>
          <w:rFonts w:eastAsiaTheme="majorEastAsia"/>
          <w:sz w:val="24"/>
          <w:szCs w:val="24"/>
        </w:rPr>
        <w:t>2015; 33:33–43.».</w:t>
      </w:r>
    </w:p>
    <w:p w14:paraId="077A824C"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Prospective Studies Collaboration et al. </w:t>
      </w:r>
      <w:r w:rsidRPr="007C5A89">
        <w:rPr>
          <w:rStyle w:val="ac"/>
          <w:rFonts w:eastAsiaTheme="majorEastAsia"/>
          <w:sz w:val="24"/>
          <w:szCs w:val="24"/>
          <w:lang w:val="en-US"/>
        </w:rPr>
        <w:t>Age-specific relevance of usual blood pressure to vascular mortality: a meta-analysis of individual data for one million adults in 61 prospective studies. The Lancet 2002</w:t>
      </w:r>
      <w:proofErr w:type="gramStart"/>
      <w:r w:rsidRPr="007C5A89">
        <w:rPr>
          <w:rStyle w:val="ac"/>
          <w:rFonts w:eastAsiaTheme="majorEastAsia"/>
          <w:sz w:val="24"/>
          <w:szCs w:val="24"/>
          <w:lang w:val="en-US"/>
        </w:rPr>
        <w:t>;360</w:t>
      </w:r>
      <w:proofErr w:type="gramEnd"/>
      <w:r w:rsidRPr="007C5A89">
        <w:rPr>
          <w:rStyle w:val="ac"/>
          <w:rFonts w:eastAsiaTheme="majorEastAsia"/>
          <w:sz w:val="24"/>
          <w:szCs w:val="24"/>
          <w:lang w:val="en-US"/>
        </w:rPr>
        <w:t>(9349):1903–1913..</w:t>
      </w:r>
    </w:p>
    <w:p w14:paraId="01E54D7E" w14:textId="77777777" w:rsidR="00CB781F" w:rsidRPr="00913E30" w:rsidRDefault="00CB781F" w:rsidP="00424F51">
      <w:pPr>
        <w:pStyle w:val="11"/>
        <w:numPr>
          <w:ilvl w:val="0"/>
          <w:numId w:val="42"/>
        </w:numPr>
        <w:tabs>
          <w:tab w:val="left" w:pos="709"/>
          <w:tab w:val="left" w:pos="1280"/>
          <w:tab w:val="left" w:pos="2594"/>
          <w:tab w:val="left" w:pos="3516"/>
          <w:tab w:val="left" w:pos="4630"/>
          <w:tab w:val="left" w:pos="5609"/>
          <w:tab w:val="left" w:pos="6948"/>
          <w:tab w:val="left" w:pos="7922"/>
          <w:tab w:val="left" w:pos="8642"/>
          <w:tab w:val="left" w:pos="9425"/>
        </w:tabs>
        <w:spacing w:line="276" w:lineRule="auto"/>
        <w:ind w:left="709" w:hanging="709"/>
        <w:jc w:val="both"/>
        <w:rPr>
          <w:sz w:val="24"/>
          <w:szCs w:val="24"/>
          <w:lang w:val="en-US"/>
        </w:rPr>
      </w:pPr>
      <w:r w:rsidRPr="007C5A89">
        <w:rPr>
          <w:rStyle w:val="ac"/>
          <w:rFonts w:eastAsiaTheme="majorEastAsia"/>
          <w:sz w:val="24"/>
          <w:szCs w:val="24"/>
          <w:lang w:val="en-US"/>
        </w:rPr>
        <w:t>Whelton</w:t>
      </w:r>
      <w:r w:rsidRPr="007C5A89">
        <w:rPr>
          <w:rStyle w:val="ac"/>
          <w:rFonts w:eastAsiaTheme="majorEastAsia"/>
          <w:sz w:val="24"/>
          <w:szCs w:val="24"/>
          <w:lang w:val="en-US"/>
        </w:rPr>
        <w:tab/>
        <w:t>PK,</w:t>
      </w:r>
      <w:r w:rsidRPr="007C5A89">
        <w:rPr>
          <w:rStyle w:val="ac"/>
          <w:rFonts w:eastAsiaTheme="majorEastAsia"/>
          <w:sz w:val="24"/>
          <w:szCs w:val="24"/>
          <w:lang w:val="en-US"/>
        </w:rPr>
        <w:tab/>
        <w:t>Carey</w:t>
      </w:r>
      <w:r w:rsidRPr="007C5A89">
        <w:rPr>
          <w:rStyle w:val="ac"/>
          <w:rFonts w:eastAsiaTheme="majorEastAsia"/>
          <w:sz w:val="24"/>
          <w:szCs w:val="24"/>
          <w:lang w:val="en-US"/>
        </w:rPr>
        <w:tab/>
        <w:t>RM,</w:t>
      </w:r>
      <w:r w:rsidRPr="007C5A89">
        <w:rPr>
          <w:rStyle w:val="ac"/>
          <w:rFonts w:eastAsiaTheme="majorEastAsia"/>
          <w:sz w:val="24"/>
          <w:szCs w:val="24"/>
          <w:lang w:val="en-US"/>
        </w:rPr>
        <w:tab/>
        <w:t>Aronow</w:t>
      </w:r>
      <w:r w:rsidRPr="007C5A89">
        <w:rPr>
          <w:rStyle w:val="ac"/>
          <w:rFonts w:eastAsiaTheme="majorEastAsia"/>
          <w:sz w:val="24"/>
          <w:szCs w:val="24"/>
          <w:lang w:val="en-US"/>
        </w:rPr>
        <w:tab/>
        <w:t>WS,</w:t>
      </w:r>
      <w:r w:rsidRPr="007C5A89">
        <w:rPr>
          <w:rStyle w:val="ac"/>
          <w:rFonts w:eastAsiaTheme="majorEastAsia"/>
          <w:sz w:val="24"/>
          <w:szCs w:val="24"/>
          <w:lang w:val="en-US"/>
        </w:rPr>
        <w:tab/>
        <w:t>et</w:t>
      </w:r>
      <w:r w:rsidRPr="007C5A89">
        <w:rPr>
          <w:rStyle w:val="ac"/>
          <w:rFonts w:eastAsiaTheme="majorEastAsia"/>
          <w:sz w:val="24"/>
          <w:szCs w:val="24"/>
          <w:lang w:val="en-US"/>
        </w:rPr>
        <w:tab/>
        <w:t>al.</w:t>
      </w:r>
      <w:r w:rsidR="00913E30" w:rsidRPr="00913E30">
        <w:rPr>
          <w:rStyle w:val="ac"/>
          <w:rFonts w:eastAsiaTheme="majorEastAsia"/>
          <w:sz w:val="24"/>
          <w:szCs w:val="24"/>
          <w:lang w:val="en-US"/>
        </w:rPr>
        <w:t xml:space="preserve"> </w:t>
      </w:r>
      <w:r w:rsidRPr="007C5A89">
        <w:rPr>
          <w:rStyle w:val="ac"/>
          <w:rFonts w:eastAsiaTheme="majorEastAsia"/>
          <w:sz w:val="24"/>
          <w:szCs w:val="24"/>
          <w:lang w:val="en-US"/>
        </w:rPr>
        <w:t>2017</w:t>
      </w:r>
      <w:r w:rsidR="00913E30" w:rsidRPr="00913E30">
        <w:rPr>
          <w:sz w:val="24"/>
          <w:szCs w:val="24"/>
          <w:lang w:val="en-US"/>
        </w:rPr>
        <w:t xml:space="preserve"> </w:t>
      </w:r>
      <w:r w:rsidRPr="00913E30">
        <w:rPr>
          <w:rStyle w:val="ac"/>
          <w:rFonts w:eastAsiaTheme="majorEastAsia"/>
          <w:sz w:val="24"/>
          <w:szCs w:val="24"/>
          <w:lang w:val="en-US"/>
        </w:rPr>
        <w:t>ACC/AHA/AAPA/ABC/ACPM/AGS/APhA/ASH/ASPC/NMA/PCNA guideline for the prevention, detection, evaluation, and management of high blood pressure in adults: a report of the American College of Cardiology/, American Heart Association Task Force on Clinical Practice Guidelines. Hypertension. 2018</w:t>
      </w:r>
      <w:proofErr w:type="gramStart"/>
      <w:r w:rsidRPr="00913E30">
        <w:rPr>
          <w:rStyle w:val="ac"/>
          <w:rFonts w:eastAsiaTheme="majorEastAsia"/>
          <w:sz w:val="24"/>
          <w:szCs w:val="24"/>
          <w:lang w:val="en-US"/>
        </w:rPr>
        <w:t>;71:e13</w:t>
      </w:r>
      <w:proofErr w:type="gramEnd"/>
      <w:r w:rsidRPr="00913E30">
        <w:rPr>
          <w:rStyle w:val="ac"/>
          <w:rFonts w:eastAsiaTheme="majorEastAsia"/>
          <w:sz w:val="24"/>
          <w:szCs w:val="24"/>
          <w:lang w:val="en-US"/>
        </w:rPr>
        <w:t>–e115. DOI: 10.1161/308. HYP.0000000000000065</w:t>
      </w:r>
      <w:proofErr w:type="gramStart"/>
      <w:r w:rsidRPr="00913E30">
        <w:rPr>
          <w:rStyle w:val="ac"/>
          <w:rFonts w:eastAsiaTheme="majorEastAsia"/>
          <w:sz w:val="24"/>
          <w:szCs w:val="24"/>
          <w:lang w:val="en-US"/>
        </w:rPr>
        <w:t>..</w:t>
      </w:r>
      <w:proofErr w:type="gramEnd"/>
    </w:p>
    <w:p w14:paraId="54DA90DF"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«Benetos A, Bulpitt CJ, Petrovic M, et al. An Expert Opinion </w:t>
      </w:r>
      <w:proofErr w:type="gramStart"/>
      <w:r w:rsidRPr="007C5A89">
        <w:rPr>
          <w:rStyle w:val="ac"/>
          <w:rFonts w:eastAsiaTheme="majorEastAsia"/>
          <w:sz w:val="24"/>
          <w:szCs w:val="24"/>
          <w:lang w:val="en-US"/>
        </w:rPr>
        <w:t>From</w:t>
      </w:r>
      <w:proofErr w:type="gramEnd"/>
      <w:r w:rsidRPr="007C5A89">
        <w:rPr>
          <w:rStyle w:val="ac"/>
          <w:rFonts w:eastAsiaTheme="majorEastAsia"/>
          <w:sz w:val="24"/>
          <w:szCs w:val="24"/>
          <w:lang w:val="en-US"/>
        </w:rPr>
        <w:t xml:space="preserve"> the European Society of Hypertension- European Union Geriatric Medicine Society Working Group on the Management of Hypertension in Very Old, Frail Subjects. Hypertension (Dallas, Tex: </w:t>
      </w:r>
      <w:r w:rsidRPr="007C5A89">
        <w:rPr>
          <w:rStyle w:val="ac"/>
          <w:rFonts w:eastAsiaTheme="majorEastAsia"/>
          <w:sz w:val="24"/>
          <w:szCs w:val="24"/>
        </w:rPr>
        <w:t>1979</w:t>
      </w:r>
      <w:proofErr w:type="gramStart"/>
      <w:r w:rsidRPr="007C5A89">
        <w:rPr>
          <w:rStyle w:val="ac"/>
          <w:rFonts w:eastAsiaTheme="majorEastAsia"/>
          <w:sz w:val="24"/>
          <w:szCs w:val="24"/>
        </w:rPr>
        <w:t>)»</w:t>
      </w:r>
      <w:proofErr w:type="gramEnd"/>
      <w:r w:rsidRPr="007C5A89">
        <w:rPr>
          <w:rStyle w:val="ac"/>
          <w:rFonts w:eastAsiaTheme="majorEastAsia"/>
          <w:sz w:val="24"/>
          <w:szCs w:val="24"/>
        </w:rPr>
        <w:t>.</w:t>
      </w:r>
    </w:p>
    <w:p w14:paraId="5FF49A65"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Dickinson HO, Mason JM, Nicolson DJ et al. Lifestyle interventions to reduce raised blood pressure: a systematic review of randomized controlled trials. J Hypertens 2006</w:t>
      </w:r>
      <w:proofErr w:type="gramStart"/>
      <w:r w:rsidRPr="007C5A89">
        <w:rPr>
          <w:rStyle w:val="ac"/>
          <w:rFonts w:eastAsiaTheme="majorEastAsia"/>
          <w:sz w:val="24"/>
          <w:szCs w:val="24"/>
          <w:lang w:val="en-US"/>
        </w:rPr>
        <w:t>;24:215</w:t>
      </w:r>
      <w:proofErr w:type="gramEnd"/>
      <w:r w:rsidRPr="007C5A89">
        <w:rPr>
          <w:rStyle w:val="ac"/>
          <w:rFonts w:eastAsiaTheme="majorEastAsia"/>
          <w:sz w:val="24"/>
          <w:szCs w:val="24"/>
          <w:lang w:val="en-US"/>
        </w:rPr>
        <w:t xml:space="preserve">– </w:t>
      </w:r>
      <w:r w:rsidRPr="007C5A89">
        <w:rPr>
          <w:rStyle w:val="ac"/>
          <w:rFonts w:eastAsiaTheme="majorEastAsia"/>
          <w:sz w:val="24"/>
          <w:szCs w:val="24"/>
          <w:lang w:val="en-US"/>
        </w:rPr>
        <w:lastRenderedPageBreak/>
        <w:t>233..</w:t>
      </w:r>
    </w:p>
    <w:p w14:paraId="45D40E4D"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Lim SS et al. A comparative risk assessment of burden of disease and injury attributable to 67 risk factors and risk factor clusters in 21 regions, 1990–2010: a systematic analysis for the Global Burden of Disease Study 2010., The Lancet 380.9859 (2012): 2224–2260..</w:t>
      </w:r>
    </w:p>
    <w:p w14:paraId="7335723E"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He FJ, Li J, Macgregor GA. Effect of longer-term modest salt reduction on blood pressure. Cochrane Database Syst Rev 2013</w:t>
      </w:r>
      <w:proofErr w:type="gramStart"/>
      <w:r w:rsidRPr="007C5A89">
        <w:rPr>
          <w:rStyle w:val="ac"/>
          <w:rFonts w:eastAsiaTheme="majorEastAsia"/>
          <w:sz w:val="24"/>
          <w:szCs w:val="24"/>
          <w:lang w:val="en-US"/>
        </w:rPr>
        <w:t>;4:CD004937</w:t>
      </w:r>
      <w:proofErr w:type="gramEnd"/>
      <w:r w:rsidRPr="007C5A89">
        <w:rPr>
          <w:rStyle w:val="ac"/>
          <w:rFonts w:eastAsiaTheme="majorEastAsia"/>
          <w:sz w:val="24"/>
          <w:szCs w:val="24"/>
          <w:lang w:val="en-US"/>
        </w:rPr>
        <w:t>..</w:t>
      </w:r>
    </w:p>
    <w:p w14:paraId="646C9F4B"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Graudal NA, Hubeck-Graudal T, Jurgens G. Effects of low-sodium diet vs. highsodium diet on blood pressure, renin, aldosterone, catecholamines, cholesterol, and triglyceride (Cochrane Review). Am J Hypertens </w:t>
      </w:r>
      <w:r w:rsidRPr="007C5A89">
        <w:rPr>
          <w:rStyle w:val="ac"/>
          <w:rFonts w:eastAsiaTheme="majorEastAsia"/>
          <w:sz w:val="24"/>
          <w:szCs w:val="24"/>
        </w:rPr>
        <w:t>2012</w:t>
      </w:r>
      <w:proofErr w:type="gramStart"/>
      <w:r w:rsidRPr="007C5A89">
        <w:rPr>
          <w:rStyle w:val="ac"/>
          <w:rFonts w:eastAsiaTheme="majorEastAsia"/>
          <w:sz w:val="24"/>
          <w:szCs w:val="24"/>
        </w:rPr>
        <w:t>;25:1</w:t>
      </w:r>
      <w:proofErr w:type="gramEnd"/>
      <w:r w:rsidRPr="007C5A89">
        <w:rPr>
          <w:rStyle w:val="ac"/>
          <w:rFonts w:eastAsiaTheme="majorEastAsia"/>
          <w:sz w:val="24"/>
          <w:szCs w:val="24"/>
        </w:rPr>
        <w:t>–15..</w:t>
      </w:r>
    </w:p>
    <w:p w14:paraId="3627FA4E"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Taylor RS, Ashton KE, Moxham T, et al. Reduced dietary salt for the prevention of cardiovascular disease: a meta-analysis of randomized controlled trials (Cochrane review). Am J Hypertens 2011</w:t>
      </w:r>
      <w:proofErr w:type="gramStart"/>
      <w:r w:rsidRPr="007C5A89">
        <w:rPr>
          <w:rStyle w:val="ac"/>
          <w:rFonts w:eastAsiaTheme="majorEastAsia"/>
          <w:sz w:val="24"/>
          <w:szCs w:val="24"/>
          <w:lang w:val="en-US"/>
        </w:rPr>
        <w:t>;24:843</w:t>
      </w:r>
      <w:proofErr w:type="gramEnd"/>
      <w:r w:rsidRPr="007C5A89">
        <w:rPr>
          <w:rStyle w:val="ac"/>
          <w:rFonts w:eastAsiaTheme="majorEastAsia"/>
          <w:sz w:val="24"/>
          <w:szCs w:val="24"/>
          <w:lang w:val="en-US"/>
        </w:rPr>
        <w:t>–853..</w:t>
      </w:r>
    </w:p>
    <w:p w14:paraId="36BA580E"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Aburto NJ, Ziolkovska A, Hooper L, et al. Effect of lower sodium intake on health: systematic review and meta-analyses. BMJ 2013</w:t>
      </w:r>
      <w:proofErr w:type="gramStart"/>
      <w:r w:rsidRPr="007C5A89">
        <w:rPr>
          <w:rStyle w:val="ac"/>
          <w:rFonts w:eastAsiaTheme="majorEastAsia"/>
          <w:sz w:val="24"/>
          <w:szCs w:val="24"/>
          <w:lang w:val="en-US"/>
        </w:rPr>
        <w:t>;346:f1326</w:t>
      </w:r>
      <w:proofErr w:type="gramEnd"/>
      <w:r w:rsidRPr="007C5A89">
        <w:rPr>
          <w:rStyle w:val="ac"/>
          <w:rFonts w:eastAsiaTheme="majorEastAsia"/>
          <w:sz w:val="24"/>
          <w:szCs w:val="24"/>
          <w:lang w:val="en-US"/>
        </w:rPr>
        <w:t>..</w:t>
      </w:r>
    </w:p>
    <w:p w14:paraId="25D0E322"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B.Neal et al. Effect of Salt Substitution on Cardiovascular Events and Death. N Engl J Med 2021; 385:1067-1077. DOI: 10.1056/NEJMoa2105675.</w:t>
      </w:r>
    </w:p>
    <w:p w14:paraId="59A66538"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Xin Xue et al. Effects of alcohol reduction on blood pressure: a meta-analysis of randomized controlled trials. Hypertension 38.5 (2001): 1112–1117</w:t>
      </w:r>
      <w:proofErr w:type="gramStart"/>
      <w:r w:rsidRPr="007C5A89">
        <w:rPr>
          <w:rStyle w:val="ac"/>
          <w:rFonts w:eastAsiaTheme="majorEastAsia"/>
          <w:sz w:val="24"/>
          <w:szCs w:val="24"/>
          <w:lang w:val="en-US"/>
        </w:rPr>
        <w:t>..</w:t>
      </w:r>
      <w:proofErr w:type="gramEnd"/>
    </w:p>
    <w:p w14:paraId="5F85F553"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Gay H. C. et al. Effects of different dietary interventions on blood pressure: systematic review and meta-analysis of randomized controlled trials //Hypertension. – 2016. – </w:t>
      </w:r>
      <w:r w:rsidRPr="007C5A89">
        <w:rPr>
          <w:rStyle w:val="ac"/>
          <w:rFonts w:eastAsiaTheme="majorEastAsia"/>
          <w:sz w:val="24"/>
          <w:szCs w:val="24"/>
        </w:rPr>
        <w:t>Т</w:t>
      </w:r>
      <w:r w:rsidRPr="007C5A89">
        <w:rPr>
          <w:rStyle w:val="ac"/>
          <w:rFonts w:eastAsiaTheme="majorEastAsia"/>
          <w:sz w:val="24"/>
          <w:szCs w:val="24"/>
          <w:lang w:val="en-US"/>
        </w:rPr>
        <w:t xml:space="preserve">. 67. – №. </w:t>
      </w:r>
      <w:r w:rsidRPr="007C5A89">
        <w:rPr>
          <w:rStyle w:val="ac"/>
          <w:rFonts w:eastAsiaTheme="majorEastAsia"/>
          <w:sz w:val="24"/>
          <w:szCs w:val="24"/>
        </w:rPr>
        <w:t>4. – С. 733-739..</w:t>
      </w:r>
    </w:p>
    <w:p w14:paraId="31216524"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«Filippini T, Naska A, Kasdagli MI, Torres D, Lopes C, Carvalho C, et al. </w:t>
      </w:r>
      <w:r w:rsidRPr="007C5A89">
        <w:rPr>
          <w:rStyle w:val="ac"/>
          <w:rFonts w:eastAsiaTheme="majorEastAsia"/>
          <w:sz w:val="24"/>
          <w:szCs w:val="24"/>
          <w:lang w:val="en-US"/>
        </w:rPr>
        <w:t>Potassium intake and blood pressure: a dose-response meta-analysis of randomized controlled trials. J Am Heart Assoc 2020; 9:e015719</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w:t>
      </w:r>
    </w:p>
    <w:p w14:paraId="6931F6CF"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«Aburto NJ, Hanson S, Gutierrez H, Hooper L, Elliott P, Cappuccio FP. Effect of increased potassium intake on cardiovascular risk factors and disease: systematic review and meta</w:t>
      </w:r>
      <w:r w:rsidRPr="007C5A89">
        <w:rPr>
          <w:rStyle w:val="ac"/>
          <w:rFonts w:eastAsiaTheme="majorEastAsia"/>
          <w:sz w:val="24"/>
          <w:szCs w:val="24"/>
          <w:lang w:val="en-US"/>
        </w:rPr>
        <w:softHyphen/>
        <w:t>analyses. BMJ 2013; 346:f1378</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w:t>
      </w:r>
    </w:p>
    <w:p w14:paraId="3CD65025"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«Poorolajal J, Zeraati F, Soltanian AR, Sheikh V, Hooshmand E, Maleki A. Oral potassium supplementation for management of essential hypertension: a meta-analysis of randomized controlled trials. PLoS One </w:t>
      </w:r>
      <w:r w:rsidRPr="007C5A89">
        <w:rPr>
          <w:rStyle w:val="ac"/>
          <w:rFonts w:eastAsiaTheme="majorEastAsia"/>
          <w:sz w:val="24"/>
          <w:szCs w:val="24"/>
        </w:rPr>
        <w:t xml:space="preserve">2017; </w:t>
      </w:r>
      <w:r w:rsidRPr="007C5A89">
        <w:rPr>
          <w:rStyle w:val="ac"/>
          <w:rFonts w:eastAsiaTheme="majorEastAsia"/>
          <w:sz w:val="24"/>
          <w:szCs w:val="24"/>
          <w:lang w:val="en-US"/>
        </w:rPr>
        <w:t>12:e0174967</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w:t>
      </w:r>
    </w:p>
    <w:p w14:paraId="04CD7955"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Neter JE, Stam BE, Kok FJ, et al. Influence of weight reduction on blood pressure: a meta</w:t>
      </w:r>
      <w:r w:rsidRPr="007C5A89">
        <w:rPr>
          <w:rStyle w:val="ac"/>
          <w:rFonts w:eastAsiaTheme="majorEastAsia"/>
          <w:sz w:val="24"/>
          <w:szCs w:val="24"/>
          <w:lang w:val="en-US"/>
        </w:rPr>
        <w:softHyphen/>
        <w:t>analysis of randomized controlled trials.Hypertension 2003</w:t>
      </w:r>
      <w:proofErr w:type="gramStart"/>
      <w:r w:rsidRPr="007C5A89">
        <w:rPr>
          <w:rStyle w:val="ac"/>
          <w:rFonts w:eastAsiaTheme="majorEastAsia"/>
          <w:sz w:val="24"/>
          <w:szCs w:val="24"/>
          <w:lang w:val="en-US"/>
        </w:rPr>
        <w:t>;42:878</w:t>
      </w:r>
      <w:proofErr w:type="gramEnd"/>
      <w:r w:rsidRPr="007C5A89">
        <w:rPr>
          <w:rStyle w:val="ac"/>
          <w:rFonts w:eastAsiaTheme="majorEastAsia"/>
          <w:sz w:val="24"/>
          <w:szCs w:val="24"/>
          <w:lang w:val="en-US"/>
        </w:rPr>
        <w:t>–884..</w:t>
      </w:r>
    </w:p>
    <w:p w14:paraId="59B455D8"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Flegal KM, Kit BK, Orpana H, Graubard BI. Association of all-cause mortality with overweight and obesity using standard body mass index categories: a systematic review and meta-analysis. JAMA </w:t>
      </w:r>
      <w:r w:rsidRPr="007C5A89">
        <w:rPr>
          <w:rStyle w:val="ac"/>
          <w:rFonts w:eastAsiaTheme="majorEastAsia"/>
          <w:sz w:val="24"/>
          <w:szCs w:val="24"/>
        </w:rPr>
        <w:t>2013</w:t>
      </w:r>
      <w:proofErr w:type="gramStart"/>
      <w:r w:rsidRPr="007C5A89">
        <w:rPr>
          <w:rStyle w:val="ac"/>
          <w:rFonts w:eastAsiaTheme="majorEastAsia"/>
          <w:sz w:val="24"/>
          <w:szCs w:val="24"/>
        </w:rPr>
        <w:t>;309:71</w:t>
      </w:r>
      <w:proofErr w:type="gramEnd"/>
      <w:r w:rsidRPr="007C5A89">
        <w:rPr>
          <w:rStyle w:val="ac"/>
          <w:rFonts w:eastAsiaTheme="majorEastAsia"/>
          <w:sz w:val="24"/>
          <w:szCs w:val="24"/>
        </w:rPr>
        <w:t>–82..</w:t>
      </w:r>
    </w:p>
    <w:p w14:paraId="764E207F"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Berrington de Gonzalez A et al. </w:t>
      </w:r>
      <w:r w:rsidRPr="007C5A89">
        <w:rPr>
          <w:rStyle w:val="ac"/>
          <w:rFonts w:eastAsiaTheme="majorEastAsia"/>
          <w:sz w:val="24"/>
          <w:szCs w:val="24"/>
          <w:lang w:val="en-US"/>
        </w:rPr>
        <w:t>Body-mass index and mortality among 1.46 million white adults. New England Journal of Medicine 363.23 (2010): 2211–2219</w:t>
      </w:r>
      <w:proofErr w:type="gramStart"/>
      <w:r w:rsidRPr="007C5A89">
        <w:rPr>
          <w:rStyle w:val="ac"/>
          <w:rFonts w:eastAsiaTheme="majorEastAsia"/>
          <w:sz w:val="24"/>
          <w:szCs w:val="24"/>
          <w:lang w:val="en-US"/>
        </w:rPr>
        <w:t>..</w:t>
      </w:r>
      <w:proofErr w:type="gramEnd"/>
    </w:p>
    <w:p w14:paraId="2E41B0F5"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Leitzmann MF et al. Physical activity recommendations and decreased risk of mortality. Archives of internal medicine 167.22 (2007): 2453–2460</w:t>
      </w:r>
      <w:proofErr w:type="gramStart"/>
      <w:r w:rsidRPr="007C5A89">
        <w:rPr>
          <w:rStyle w:val="ac"/>
          <w:rFonts w:eastAsiaTheme="majorEastAsia"/>
          <w:sz w:val="24"/>
          <w:szCs w:val="24"/>
          <w:lang w:val="en-US"/>
        </w:rPr>
        <w:t>..</w:t>
      </w:r>
      <w:proofErr w:type="gramEnd"/>
    </w:p>
    <w:p w14:paraId="292E748E"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Rossi A et al. The impact of physical activity on mortality in patients with high blood pressure: a systematic review. Journal of hypertension </w:t>
      </w:r>
      <w:r w:rsidRPr="007C5A89">
        <w:rPr>
          <w:rStyle w:val="ac"/>
          <w:rFonts w:eastAsiaTheme="majorEastAsia"/>
          <w:sz w:val="24"/>
          <w:szCs w:val="24"/>
        </w:rPr>
        <w:t>30.7 (2012): 1277–1288</w:t>
      </w:r>
      <w:proofErr w:type="gramStart"/>
      <w:r w:rsidRPr="007C5A89">
        <w:rPr>
          <w:rStyle w:val="ac"/>
          <w:rFonts w:eastAsiaTheme="majorEastAsia"/>
          <w:sz w:val="24"/>
          <w:szCs w:val="24"/>
        </w:rPr>
        <w:t>..</w:t>
      </w:r>
      <w:proofErr w:type="gramEnd"/>
    </w:p>
    <w:p w14:paraId="763A4559"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Shinton R, Beevers G. Meta-analysis of relation between cigarette smoking and stroke. Bmj </w:t>
      </w:r>
      <w:r w:rsidRPr="007C5A89">
        <w:rPr>
          <w:rStyle w:val="ac"/>
          <w:rFonts w:eastAsiaTheme="majorEastAsia"/>
          <w:sz w:val="24"/>
          <w:szCs w:val="24"/>
        </w:rPr>
        <w:t>298.6676 (1989): 789–794</w:t>
      </w:r>
      <w:proofErr w:type="gramStart"/>
      <w:r w:rsidRPr="007C5A89">
        <w:rPr>
          <w:rStyle w:val="ac"/>
          <w:rFonts w:eastAsiaTheme="majorEastAsia"/>
          <w:sz w:val="24"/>
          <w:szCs w:val="24"/>
        </w:rPr>
        <w:t>..</w:t>
      </w:r>
      <w:proofErr w:type="gramEnd"/>
    </w:p>
    <w:p w14:paraId="34835866"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He Jiang et al. Passive smoking and the risk of coronary heart disease—a meta-analysis of epidemiologic studies. New England Journal of Medicine 340.12 (1999): 920-926</w:t>
      </w:r>
      <w:proofErr w:type="gramStart"/>
      <w:r w:rsidRPr="007C5A89">
        <w:rPr>
          <w:rStyle w:val="ac"/>
          <w:rFonts w:eastAsiaTheme="majorEastAsia"/>
          <w:sz w:val="24"/>
          <w:szCs w:val="24"/>
          <w:lang w:val="en-US"/>
        </w:rPr>
        <w:t>..</w:t>
      </w:r>
      <w:proofErr w:type="gramEnd"/>
    </w:p>
    <w:p w14:paraId="2DE31EA4"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lastRenderedPageBreak/>
        <w:t>Linneberg A et al. Effect of smoking on blood pressure and resting heart rate: a mendelian randomization meta-analysis in the CARTA Consortium. Circulation: Cardiovascular Genetics 8.6 (2015): 832–841</w:t>
      </w:r>
      <w:proofErr w:type="gramStart"/>
      <w:r w:rsidRPr="007C5A89">
        <w:rPr>
          <w:rStyle w:val="ac"/>
          <w:rFonts w:eastAsiaTheme="majorEastAsia"/>
          <w:sz w:val="24"/>
          <w:szCs w:val="24"/>
          <w:lang w:val="en-US"/>
        </w:rPr>
        <w:t>..</w:t>
      </w:r>
      <w:proofErr w:type="gramEnd"/>
    </w:p>
    <w:p w14:paraId="7D1B4E65"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Matsuzaki M, Ogihara T, Umemoto S et al. </w:t>
      </w:r>
      <w:r w:rsidRPr="007C5A89">
        <w:rPr>
          <w:rStyle w:val="ac"/>
          <w:rFonts w:eastAsiaTheme="majorEastAsia"/>
          <w:sz w:val="24"/>
          <w:szCs w:val="24"/>
          <w:lang w:val="en-US"/>
        </w:rPr>
        <w:t>Combination Therapy of Hypertension to Prevent Cardiovascular Events Trial Group. Prevention of cardiovascular events with</w:t>
      </w:r>
    </w:p>
    <w:p w14:paraId="1B9B6A36" w14:textId="77777777" w:rsidR="00CB781F" w:rsidRPr="007C5A89" w:rsidRDefault="00CB781F" w:rsidP="007C5A89">
      <w:pPr>
        <w:pStyle w:val="11"/>
        <w:tabs>
          <w:tab w:val="left" w:pos="709"/>
        </w:tabs>
        <w:spacing w:line="276" w:lineRule="auto"/>
        <w:ind w:left="709" w:hanging="709"/>
        <w:jc w:val="both"/>
        <w:rPr>
          <w:sz w:val="24"/>
          <w:szCs w:val="24"/>
        </w:rPr>
      </w:pPr>
      <w:proofErr w:type="gramStart"/>
      <w:r w:rsidRPr="007C5A89">
        <w:rPr>
          <w:rStyle w:val="ac"/>
          <w:rFonts w:eastAsiaTheme="majorEastAsia"/>
          <w:sz w:val="24"/>
          <w:szCs w:val="24"/>
          <w:lang w:val="en-US"/>
        </w:rPr>
        <w:t>calcium</w:t>
      </w:r>
      <w:proofErr w:type="gramEnd"/>
      <w:r w:rsidRPr="007C5A89">
        <w:rPr>
          <w:rStyle w:val="ac"/>
          <w:rFonts w:eastAsiaTheme="majorEastAsia"/>
          <w:sz w:val="24"/>
          <w:szCs w:val="24"/>
          <w:lang w:val="en-US"/>
        </w:rPr>
        <w:t xml:space="preserve"> channel blocker-based combination therapies in patients with hypertension:, a randomized controlled trial. J Hypertens </w:t>
      </w:r>
      <w:r w:rsidRPr="007C5A89">
        <w:rPr>
          <w:rStyle w:val="ac"/>
          <w:rFonts w:eastAsiaTheme="majorEastAsia"/>
          <w:sz w:val="24"/>
          <w:szCs w:val="24"/>
        </w:rPr>
        <w:t>2011</w:t>
      </w:r>
      <w:proofErr w:type="gramStart"/>
      <w:r w:rsidRPr="007C5A89">
        <w:rPr>
          <w:rStyle w:val="ac"/>
          <w:rFonts w:eastAsiaTheme="majorEastAsia"/>
          <w:sz w:val="24"/>
          <w:szCs w:val="24"/>
        </w:rPr>
        <w:t>;29:1649</w:t>
      </w:r>
      <w:proofErr w:type="gramEnd"/>
      <w:r w:rsidRPr="007C5A89">
        <w:rPr>
          <w:rStyle w:val="ac"/>
          <w:rFonts w:eastAsiaTheme="majorEastAsia"/>
          <w:sz w:val="24"/>
          <w:szCs w:val="24"/>
        </w:rPr>
        <w:t>–1659..</w:t>
      </w:r>
    </w:p>
    <w:p w14:paraId="34465449" w14:textId="77777777" w:rsidR="00CB781F" w:rsidRPr="00CB5718" w:rsidRDefault="00CB781F" w:rsidP="00424F51">
      <w:pPr>
        <w:pStyle w:val="11"/>
        <w:numPr>
          <w:ilvl w:val="0"/>
          <w:numId w:val="42"/>
        </w:numPr>
        <w:tabs>
          <w:tab w:val="left" w:pos="709"/>
          <w:tab w:val="left" w:pos="1280"/>
          <w:tab w:val="left" w:pos="2743"/>
        </w:tabs>
        <w:spacing w:line="276" w:lineRule="auto"/>
        <w:ind w:left="709" w:hanging="709"/>
        <w:jc w:val="both"/>
        <w:rPr>
          <w:sz w:val="24"/>
          <w:szCs w:val="24"/>
          <w:lang w:val="en-US"/>
        </w:rPr>
      </w:pPr>
      <w:r w:rsidRPr="007C5A89">
        <w:rPr>
          <w:rStyle w:val="ac"/>
          <w:rFonts w:eastAsiaTheme="majorEastAsia"/>
          <w:sz w:val="24"/>
          <w:szCs w:val="24"/>
          <w:lang w:val="en-US"/>
        </w:rPr>
        <w:t>MacDonald TM, Williams B, Webb DJ et al. British Hypertension Society Programme of Prevention And Treatment of Hypertension With Algorithm-based Therapy (PATHWAY)., Combination therapy is superior to sequential monotherapy for the initial treatment of hypertension:</w:t>
      </w:r>
      <w:r w:rsidRPr="007C5A89">
        <w:rPr>
          <w:rStyle w:val="ac"/>
          <w:rFonts w:eastAsiaTheme="majorEastAsia"/>
          <w:sz w:val="24"/>
          <w:szCs w:val="24"/>
          <w:lang w:val="en-US"/>
        </w:rPr>
        <w:tab/>
        <w:t>a double-blind randomized controlled trial. J Am Heart Assoc</w:t>
      </w:r>
      <w:r w:rsidR="00CB5718" w:rsidRPr="00483268">
        <w:rPr>
          <w:sz w:val="24"/>
          <w:szCs w:val="24"/>
          <w:lang w:val="en-US"/>
        </w:rPr>
        <w:t xml:space="preserve"> </w:t>
      </w:r>
      <w:r w:rsidRPr="00CB5718">
        <w:rPr>
          <w:rStyle w:val="ac"/>
          <w:rFonts w:eastAsiaTheme="majorEastAsia"/>
          <w:sz w:val="24"/>
          <w:szCs w:val="24"/>
          <w:lang w:val="en-US"/>
        </w:rPr>
        <w:t>2017</w:t>
      </w:r>
      <w:proofErr w:type="gramStart"/>
      <w:r w:rsidRPr="00CB5718">
        <w:rPr>
          <w:rStyle w:val="ac"/>
          <w:rFonts w:eastAsiaTheme="majorEastAsia"/>
          <w:sz w:val="24"/>
          <w:szCs w:val="24"/>
          <w:lang w:val="en-US"/>
        </w:rPr>
        <w:t>;6:e006986</w:t>
      </w:r>
      <w:proofErr w:type="gramEnd"/>
      <w:r w:rsidRPr="00483268">
        <w:rPr>
          <w:rStyle w:val="ac"/>
          <w:rFonts w:eastAsiaTheme="majorEastAsia"/>
          <w:sz w:val="24"/>
          <w:szCs w:val="24"/>
          <w:lang w:val="en-US"/>
        </w:rPr>
        <w:t>..</w:t>
      </w:r>
    </w:p>
    <w:p w14:paraId="091C56FB"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Egan BM, Bandyopadhyay D, Shaftman SR et al. Initial monotherapy and combination therapy and hypertension control the first year. Hypertension 2012</w:t>
      </w:r>
      <w:proofErr w:type="gramStart"/>
      <w:r w:rsidRPr="007C5A89">
        <w:rPr>
          <w:rStyle w:val="ac"/>
          <w:rFonts w:eastAsiaTheme="majorEastAsia"/>
          <w:sz w:val="24"/>
          <w:szCs w:val="24"/>
          <w:lang w:val="en-US"/>
        </w:rPr>
        <w:t>;59:1124</w:t>
      </w:r>
      <w:proofErr w:type="gramEnd"/>
      <w:r w:rsidRPr="007C5A89">
        <w:rPr>
          <w:rStyle w:val="ac"/>
          <w:rFonts w:eastAsiaTheme="majorEastAsia"/>
          <w:sz w:val="24"/>
          <w:szCs w:val="24"/>
          <w:lang w:val="en-US"/>
        </w:rPr>
        <w:t>–1131..</w:t>
      </w:r>
    </w:p>
    <w:p w14:paraId="1F418239"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Corrao G, Parodi A, Zambon A, et al. </w:t>
      </w:r>
      <w:r w:rsidRPr="007C5A89">
        <w:rPr>
          <w:rStyle w:val="ac"/>
          <w:rFonts w:eastAsiaTheme="majorEastAsia"/>
          <w:sz w:val="24"/>
          <w:szCs w:val="24"/>
          <w:lang w:val="en-US"/>
        </w:rPr>
        <w:t>Reduced discontinuation of antihypertensive treatment by two-drug combination as first step. Evidence from daily life practice. J Hypertens 2010</w:t>
      </w:r>
      <w:proofErr w:type="gramStart"/>
      <w:r w:rsidRPr="007C5A89">
        <w:rPr>
          <w:rStyle w:val="ac"/>
          <w:rFonts w:eastAsiaTheme="majorEastAsia"/>
          <w:sz w:val="24"/>
          <w:szCs w:val="24"/>
          <w:lang w:val="en-US"/>
        </w:rPr>
        <w:t>;28:1584</w:t>
      </w:r>
      <w:proofErr w:type="gramEnd"/>
      <w:r w:rsidRPr="007C5A89">
        <w:rPr>
          <w:rStyle w:val="ac"/>
          <w:rFonts w:eastAsiaTheme="majorEastAsia"/>
          <w:sz w:val="24"/>
          <w:szCs w:val="24"/>
          <w:lang w:val="en-US"/>
        </w:rPr>
        <w:t>–1590..</w:t>
      </w:r>
    </w:p>
    <w:p w14:paraId="2F2D9089"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Garjón J. et al. First‐line combination therapy versus first‐line monotherapy for primary hypertension //Cochrane Database of Systematic Reviews. – 2017. – №. </w:t>
      </w:r>
      <w:r w:rsidRPr="007C5A89">
        <w:rPr>
          <w:rStyle w:val="ac"/>
          <w:rFonts w:eastAsiaTheme="majorEastAsia"/>
          <w:sz w:val="24"/>
          <w:szCs w:val="24"/>
        </w:rPr>
        <w:t>1..</w:t>
      </w:r>
    </w:p>
    <w:p w14:paraId="020EAAB8"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Hermida RC, Crespo JJ, Domínguez-Sardiña M, et al; Hygia Project Investigators. Bedtime hypertension treatment improves cardiovascular risk reduction: the Hygia Chronotherapy Trial. Eur Heart J. </w:t>
      </w:r>
      <w:r w:rsidRPr="007C5A89">
        <w:rPr>
          <w:rStyle w:val="ac"/>
          <w:rFonts w:eastAsiaTheme="majorEastAsia"/>
          <w:sz w:val="24"/>
          <w:szCs w:val="24"/>
        </w:rPr>
        <w:t xml:space="preserve">2020 </w:t>
      </w:r>
      <w:r w:rsidRPr="007C5A89">
        <w:rPr>
          <w:rStyle w:val="ac"/>
          <w:rFonts w:eastAsiaTheme="majorEastAsia"/>
          <w:sz w:val="24"/>
          <w:szCs w:val="24"/>
          <w:lang w:val="en-US"/>
        </w:rPr>
        <w:t xml:space="preserve">Dec </w:t>
      </w:r>
      <w:r w:rsidRPr="007C5A89">
        <w:rPr>
          <w:rStyle w:val="ac"/>
          <w:rFonts w:eastAsiaTheme="majorEastAsia"/>
          <w:sz w:val="24"/>
          <w:szCs w:val="24"/>
        </w:rPr>
        <w:t xml:space="preserve">21;41(48):4565-4576. </w:t>
      </w:r>
      <w:proofErr w:type="gramStart"/>
      <w:r w:rsidRPr="007C5A89">
        <w:rPr>
          <w:rStyle w:val="ac"/>
          <w:rFonts w:eastAsiaTheme="majorEastAsia"/>
          <w:sz w:val="24"/>
          <w:szCs w:val="24"/>
          <w:lang w:val="en-US"/>
        </w:rPr>
        <w:t>doi</w:t>
      </w:r>
      <w:proofErr w:type="gramEnd"/>
      <w:r w:rsidRPr="007C5A89">
        <w:rPr>
          <w:rStyle w:val="ac"/>
          <w:rFonts w:eastAsiaTheme="majorEastAsia"/>
          <w:sz w:val="24"/>
          <w:szCs w:val="24"/>
          <w:lang w:val="en-US"/>
        </w:rPr>
        <w:t>: 10.1093/eurheartj/ehz754</w:t>
      </w:r>
      <w:r w:rsidRPr="007C5A89">
        <w:rPr>
          <w:rStyle w:val="ac"/>
          <w:rFonts w:eastAsiaTheme="majorEastAsia"/>
          <w:sz w:val="24"/>
          <w:szCs w:val="24"/>
        </w:rPr>
        <w:t>..</w:t>
      </w:r>
    </w:p>
    <w:p w14:paraId="07B80B3F" w14:textId="77777777" w:rsidR="00CB781F" w:rsidRPr="00CB5718" w:rsidRDefault="00CB781F" w:rsidP="00424F51">
      <w:pPr>
        <w:pStyle w:val="11"/>
        <w:numPr>
          <w:ilvl w:val="0"/>
          <w:numId w:val="42"/>
        </w:numPr>
        <w:tabs>
          <w:tab w:val="left" w:pos="709"/>
          <w:tab w:val="left" w:pos="1280"/>
          <w:tab w:val="left" w:pos="3012"/>
          <w:tab w:val="left" w:pos="5292"/>
          <w:tab w:val="left" w:pos="6694"/>
          <w:tab w:val="left" w:pos="9540"/>
        </w:tabs>
        <w:spacing w:line="276" w:lineRule="auto"/>
        <w:ind w:left="709" w:hanging="709"/>
        <w:jc w:val="both"/>
        <w:rPr>
          <w:sz w:val="24"/>
          <w:szCs w:val="24"/>
          <w:lang w:val="en-US"/>
        </w:rPr>
      </w:pPr>
      <w:r w:rsidRPr="00F03632">
        <w:rPr>
          <w:rStyle w:val="ac"/>
          <w:rFonts w:eastAsiaTheme="majorEastAsia"/>
          <w:sz w:val="24"/>
          <w:szCs w:val="24"/>
          <w:lang w:val="fr-FR"/>
        </w:rPr>
        <w:t xml:space="preserve">Poulter NR, Savopoulos C, Anjum A, et al. </w:t>
      </w:r>
      <w:r w:rsidRPr="007C5A89">
        <w:rPr>
          <w:rStyle w:val="ac"/>
          <w:rFonts w:eastAsiaTheme="majorEastAsia"/>
          <w:sz w:val="24"/>
          <w:szCs w:val="24"/>
          <w:lang w:val="en-US"/>
        </w:rPr>
        <w:t>Randomized Crossover Trial of the Impact of Morning or Evening Dosing of Antihypertensive Agents on 24-Hour Ambulatory Blood Pressure.</w:t>
      </w:r>
      <w:r w:rsidRPr="007C5A89">
        <w:rPr>
          <w:rStyle w:val="ac"/>
          <w:rFonts w:eastAsiaTheme="majorEastAsia"/>
          <w:sz w:val="24"/>
          <w:szCs w:val="24"/>
          <w:lang w:val="en-US"/>
        </w:rPr>
        <w:tab/>
        <w:t>Hypertension.</w:t>
      </w:r>
      <w:r w:rsidRPr="007C5A89">
        <w:rPr>
          <w:rStyle w:val="ac"/>
          <w:rFonts w:eastAsiaTheme="majorEastAsia"/>
          <w:sz w:val="24"/>
          <w:szCs w:val="24"/>
          <w:lang w:val="en-US"/>
        </w:rPr>
        <w:tab/>
        <w:t>2018</w:t>
      </w:r>
      <w:r w:rsidRPr="007C5A89">
        <w:rPr>
          <w:rStyle w:val="ac"/>
          <w:rFonts w:eastAsiaTheme="majorEastAsia"/>
          <w:sz w:val="24"/>
          <w:szCs w:val="24"/>
          <w:lang w:val="en-US"/>
        </w:rPr>
        <w:tab/>
        <w:t>Oct;72(4):870-873.,</w:t>
      </w:r>
      <w:r w:rsidR="00CB5718" w:rsidRPr="00483268">
        <w:rPr>
          <w:rStyle w:val="ac"/>
          <w:rFonts w:eastAsiaTheme="majorEastAsia"/>
          <w:sz w:val="24"/>
          <w:szCs w:val="24"/>
          <w:lang w:val="en-US"/>
        </w:rPr>
        <w:t xml:space="preserve"> </w:t>
      </w:r>
      <w:r w:rsidRPr="007C5A89">
        <w:rPr>
          <w:rStyle w:val="ac"/>
          <w:rFonts w:eastAsiaTheme="majorEastAsia"/>
          <w:sz w:val="24"/>
          <w:szCs w:val="24"/>
          <w:lang w:val="en-US"/>
        </w:rPr>
        <w:t>doi:</w:t>
      </w:r>
      <w:r w:rsidR="00CB5718" w:rsidRPr="00483268">
        <w:rPr>
          <w:sz w:val="24"/>
          <w:szCs w:val="24"/>
          <w:lang w:val="en-US"/>
        </w:rPr>
        <w:t xml:space="preserve"> </w:t>
      </w:r>
      <w:r w:rsidRPr="00CB5718">
        <w:rPr>
          <w:rStyle w:val="ac"/>
          <w:rFonts w:eastAsiaTheme="majorEastAsia"/>
          <w:sz w:val="24"/>
          <w:szCs w:val="24"/>
          <w:lang w:val="en-US"/>
        </w:rPr>
        <w:t xml:space="preserve">10.1161/HYPERTENSIONAHA.118.11101. PMID: </w:t>
      </w:r>
      <w:r w:rsidRPr="00483268">
        <w:rPr>
          <w:rStyle w:val="ac"/>
          <w:rFonts w:eastAsiaTheme="majorEastAsia"/>
          <w:sz w:val="24"/>
          <w:szCs w:val="24"/>
          <w:lang w:val="en-US"/>
        </w:rPr>
        <w:t>30354703</w:t>
      </w:r>
      <w:proofErr w:type="gramStart"/>
      <w:r w:rsidRPr="00483268">
        <w:rPr>
          <w:rStyle w:val="ac"/>
          <w:rFonts w:eastAsiaTheme="majorEastAsia"/>
          <w:sz w:val="24"/>
          <w:szCs w:val="24"/>
          <w:lang w:val="en-US"/>
        </w:rPr>
        <w:t>..</w:t>
      </w:r>
      <w:proofErr w:type="gramEnd"/>
    </w:p>
    <w:p w14:paraId="3A941E6C"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Mackenzie IS, Rogers A, Poulter NR, et al; TIME Study Group. Cardiovascular outcomes in adults with hypertension with evening versus morning dosing of usual antihypertensives in the UK (TIME study): a prospective, randomised, open-label, blinded-endpoint, clinical trial. Lancet. </w:t>
      </w:r>
      <w:r w:rsidRPr="007C5A89">
        <w:rPr>
          <w:rStyle w:val="ac"/>
          <w:rFonts w:eastAsiaTheme="majorEastAsia"/>
          <w:sz w:val="24"/>
          <w:szCs w:val="24"/>
        </w:rPr>
        <w:t xml:space="preserve">2022 </w:t>
      </w:r>
      <w:r w:rsidRPr="007C5A89">
        <w:rPr>
          <w:rStyle w:val="ac"/>
          <w:rFonts w:eastAsiaTheme="majorEastAsia"/>
          <w:sz w:val="24"/>
          <w:szCs w:val="24"/>
          <w:lang w:val="en-US"/>
        </w:rPr>
        <w:t xml:space="preserve">Oct </w:t>
      </w:r>
      <w:r w:rsidRPr="007C5A89">
        <w:rPr>
          <w:rStyle w:val="ac"/>
          <w:rFonts w:eastAsiaTheme="majorEastAsia"/>
          <w:sz w:val="24"/>
          <w:szCs w:val="24"/>
        </w:rPr>
        <w:t xml:space="preserve">22;400(10361):1417-1425. </w:t>
      </w:r>
      <w:r w:rsidRPr="007C5A89">
        <w:rPr>
          <w:rStyle w:val="ac"/>
          <w:rFonts w:eastAsiaTheme="majorEastAsia"/>
          <w:sz w:val="24"/>
          <w:szCs w:val="24"/>
          <w:lang w:val="en-US"/>
        </w:rPr>
        <w:t>doi: 10.1016/S0140-6736(22)01786-X.</w:t>
      </w:r>
    </w:p>
    <w:p w14:paraId="5F5FD7FC"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Volpe M, Christian Rump L, Ammentorp B, Laeis P. Efficacy and safety of triple antihypertensive therapy with the olmesartan/amlodipine/hydrochlorothiazide combination. Clin Drug Investig </w:t>
      </w:r>
      <w:r w:rsidRPr="007C5A89">
        <w:rPr>
          <w:rStyle w:val="ac"/>
          <w:rFonts w:eastAsiaTheme="majorEastAsia"/>
          <w:sz w:val="24"/>
          <w:szCs w:val="24"/>
        </w:rPr>
        <w:t>2012</w:t>
      </w:r>
      <w:proofErr w:type="gramStart"/>
      <w:r w:rsidRPr="007C5A89">
        <w:rPr>
          <w:rStyle w:val="ac"/>
          <w:rFonts w:eastAsiaTheme="majorEastAsia"/>
          <w:sz w:val="24"/>
          <w:szCs w:val="24"/>
        </w:rPr>
        <w:t>;32:649</w:t>
      </w:r>
      <w:proofErr w:type="gramEnd"/>
      <w:r w:rsidRPr="007C5A89">
        <w:rPr>
          <w:rStyle w:val="ac"/>
          <w:rFonts w:eastAsiaTheme="majorEastAsia"/>
          <w:sz w:val="24"/>
          <w:szCs w:val="24"/>
        </w:rPr>
        <w:t>–664..</w:t>
      </w:r>
    </w:p>
    <w:p w14:paraId="7AEDC964"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Pongpanich P. et al. The benefits of angiotensin-converting enzyme inhibitors/angiotensin II receptor blockers combined with calcium channel blockers on metabolic, renal, and cardiovascular outcomes in hypertensive patients: a meta-analysis, International urology and nephrology. – 2018. – </w:t>
      </w:r>
      <w:r w:rsidRPr="007C5A89">
        <w:rPr>
          <w:rStyle w:val="ac"/>
          <w:rFonts w:eastAsiaTheme="majorEastAsia"/>
          <w:sz w:val="24"/>
          <w:szCs w:val="24"/>
        </w:rPr>
        <w:t>Т</w:t>
      </w:r>
      <w:r w:rsidRPr="007C5A89">
        <w:rPr>
          <w:rStyle w:val="ac"/>
          <w:rFonts w:eastAsiaTheme="majorEastAsia"/>
          <w:sz w:val="24"/>
          <w:szCs w:val="24"/>
          <w:lang w:val="en-US"/>
        </w:rPr>
        <w:t xml:space="preserve">. 50. – №. </w:t>
      </w:r>
      <w:r w:rsidRPr="007C5A89">
        <w:rPr>
          <w:rStyle w:val="ac"/>
          <w:rFonts w:eastAsiaTheme="majorEastAsia"/>
          <w:sz w:val="24"/>
          <w:szCs w:val="24"/>
        </w:rPr>
        <w:t>12. – С. 2261-2278..</w:t>
      </w:r>
    </w:p>
    <w:p w14:paraId="0F540248"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Makani H. et al. Efficacy and safety of dual blockade of the renin-angiotensin system: meta</w:t>
      </w:r>
      <w:r w:rsidRPr="007C5A89">
        <w:rPr>
          <w:rStyle w:val="ac"/>
          <w:rFonts w:eastAsiaTheme="majorEastAsia"/>
          <w:sz w:val="24"/>
          <w:szCs w:val="24"/>
          <w:lang w:val="en-US"/>
        </w:rPr>
        <w:softHyphen/>
        <w:t>analysis of randomised trials. Bmj 346 (2013): f360</w:t>
      </w:r>
      <w:proofErr w:type="gramStart"/>
      <w:r w:rsidRPr="007C5A89">
        <w:rPr>
          <w:rStyle w:val="ac"/>
          <w:rFonts w:eastAsiaTheme="majorEastAsia"/>
          <w:sz w:val="24"/>
          <w:szCs w:val="24"/>
          <w:lang w:val="en-US"/>
        </w:rPr>
        <w:t>..</w:t>
      </w:r>
      <w:proofErr w:type="gramEnd"/>
    </w:p>
    <w:p w14:paraId="24E84EDD"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Fried LF, Emanuele N, Zhang JH, et al. NEPHRON-D Investigators. Combined angiotensin inhibition for the treatment of diabetic nephropathy. N Engl J Med </w:t>
      </w:r>
      <w:r w:rsidRPr="007C5A89">
        <w:rPr>
          <w:rStyle w:val="ac"/>
          <w:rFonts w:eastAsiaTheme="majorEastAsia"/>
          <w:sz w:val="24"/>
          <w:szCs w:val="24"/>
        </w:rPr>
        <w:t>2013</w:t>
      </w:r>
      <w:proofErr w:type="gramStart"/>
      <w:r w:rsidRPr="007C5A89">
        <w:rPr>
          <w:rStyle w:val="ac"/>
          <w:rFonts w:eastAsiaTheme="majorEastAsia"/>
          <w:sz w:val="24"/>
          <w:szCs w:val="24"/>
        </w:rPr>
        <w:t>;369:1892</w:t>
      </w:r>
      <w:proofErr w:type="gramEnd"/>
      <w:r w:rsidRPr="007C5A89">
        <w:rPr>
          <w:rStyle w:val="ac"/>
          <w:rFonts w:eastAsiaTheme="majorEastAsia"/>
          <w:sz w:val="24"/>
          <w:szCs w:val="24"/>
        </w:rPr>
        <w:t>–1903..</w:t>
      </w:r>
    </w:p>
    <w:p w14:paraId="7F262B6E"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Yusuf S, Teo KK, Pogue J, et al. </w:t>
      </w:r>
      <w:r w:rsidRPr="007C5A89">
        <w:rPr>
          <w:rStyle w:val="ac"/>
          <w:rFonts w:eastAsiaTheme="majorEastAsia"/>
          <w:sz w:val="24"/>
          <w:szCs w:val="24"/>
          <w:lang w:val="en-US"/>
        </w:rPr>
        <w:t>ONTARGET Investigators, Telmisartan, ramipril, or both in patients at high risk for vascular events. N Engl J Med 2008</w:t>
      </w:r>
      <w:proofErr w:type="gramStart"/>
      <w:r w:rsidRPr="007C5A89">
        <w:rPr>
          <w:rStyle w:val="ac"/>
          <w:rFonts w:eastAsiaTheme="majorEastAsia"/>
          <w:sz w:val="24"/>
          <w:szCs w:val="24"/>
          <w:lang w:val="en-US"/>
        </w:rPr>
        <w:t>;358:1547</w:t>
      </w:r>
      <w:proofErr w:type="gramEnd"/>
      <w:r w:rsidRPr="007C5A89">
        <w:rPr>
          <w:rStyle w:val="ac"/>
          <w:rFonts w:eastAsiaTheme="majorEastAsia"/>
          <w:sz w:val="24"/>
          <w:szCs w:val="24"/>
          <w:lang w:val="en-US"/>
        </w:rPr>
        <w:t>–1559..</w:t>
      </w:r>
    </w:p>
    <w:p w14:paraId="765D0F2C"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w:t>
      </w:r>
      <w:hyperlink r:id="rId17" w:history="1">
        <w:r w:rsidRPr="007C5A89">
          <w:rPr>
            <w:rStyle w:val="ac"/>
            <w:rFonts w:eastAsiaTheme="majorEastAsia"/>
            <w:sz w:val="24"/>
            <w:szCs w:val="24"/>
            <w:lang w:val="en-US"/>
          </w:rPr>
          <w:t>https://www.who.int/europe/activities/promoting-a-more-responsible-use-of-</w:t>
        </w:r>
        <w:r w:rsidRPr="007C5A89">
          <w:rPr>
            <w:rStyle w:val="ac"/>
            <w:rFonts w:eastAsiaTheme="majorEastAsia"/>
            <w:sz w:val="24"/>
            <w:szCs w:val="24"/>
            <w:lang w:val="en-US"/>
          </w:rPr>
          <w:lastRenderedPageBreak/>
          <w:t>medicines»</w:t>
        </w:r>
      </w:hyperlink>
      <w:r w:rsidRPr="007C5A89">
        <w:rPr>
          <w:rStyle w:val="ac"/>
          <w:rFonts w:eastAsiaTheme="majorEastAsia"/>
          <w:sz w:val="24"/>
          <w:szCs w:val="24"/>
          <w:lang w:val="en-US"/>
        </w:rPr>
        <w:t>.</w:t>
      </w:r>
    </w:p>
    <w:p w14:paraId="6B1C00B2"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Thomopoulos C, Parati G, Zanchetti A. Effects of blood pressure-lowering on outcome incidence in hypertension: 5. Head-to-head comparisons of various classes of antihypertensive drugs — overview and meta-analyses. J Hypertens 2015</w:t>
      </w:r>
      <w:proofErr w:type="gramStart"/>
      <w:r w:rsidRPr="007C5A89">
        <w:rPr>
          <w:rStyle w:val="ac"/>
          <w:rFonts w:eastAsiaTheme="majorEastAsia"/>
          <w:sz w:val="24"/>
          <w:szCs w:val="24"/>
          <w:lang w:val="en-US"/>
        </w:rPr>
        <w:t>;33:1321</w:t>
      </w:r>
      <w:proofErr w:type="gramEnd"/>
      <w:r w:rsidRPr="007C5A89">
        <w:rPr>
          <w:rStyle w:val="ac"/>
          <w:rFonts w:eastAsiaTheme="majorEastAsia"/>
          <w:sz w:val="24"/>
          <w:szCs w:val="24"/>
          <w:lang w:val="en-US"/>
        </w:rPr>
        <w:t>–1341..</w:t>
      </w:r>
    </w:p>
    <w:p w14:paraId="2C53944B"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Reboldi G, Angeli F, Cavallini C, Gentile G, Mancia G, Verdecchia P. Comparison between angiotensin-converting enzyme inhibitors and angiotensin receptor blockers on the risk of myocardial infarction, stroke and death: a meta-analysis. J Hypertens </w:t>
      </w:r>
      <w:r w:rsidRPr="007C5A89">
        <w:rPr>
          <w:rStyle w:val="ac"/>
          <w:rFonts w:eastAsiaTheme="majorEastAsia"/>
          <w:sz w:val="24"/>
          <w:szCs w:val="24"/>
        </w:rPr>
        <w:t>2008;26.</w:t>
      </w:r>
    </w:p>
    <w:p w14:paraId="1D6CBCD1"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Thomopoulos C, Parati G, Zanchetti A. Effects of blood-pressure-lowering treatment in hypertension: 9. Discontinuations for adverse events attributed to different classes of antihypertensive drugs: meta-analyses of randomized trials., J Hypertens 2016;34:1921– 1932.</w:t>
      </w:r>
    </w:p>
    <w:p w14:paraId="6F9460E9"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Kronish IM, Woodward M, Sergie Z, et al. Meta-analysis: impact of drug class on adherence to antihypertensives. Circulation 2011</w:t>
      </w:r>
      <w:proofErr w:type="gramStart"/>
      <w:r w:rsidRPr="007C5A89">
        <w:rPr>
          <w:rStyle w:val="ac"/>
          <w:rFonts w:eastAsiaTheme="majorEastAsia"/>
          <w:sz w:val="24"/>
          <w:szCs w:val="24"/>
          <w:lang w:val="en-US"/>
        </w:rPr>
        <w:t>;123:1611</w:t>
      </w:r>
      <w:proofErr w:type="gramEnd"/>
      <w:r w:rsidRPr="007C5A89">
        <w:rPr>
          <w:rStyle w:val="ac"/>
          <w:rFonts w:eastAsiaTheme="majorEastAsia"/>
          <w:sz w:val="24"/>
          <w:szCs w:val="24"/>
          <w:lang w:val="en-US"/>
        </w:rPr>
        <w:t>–1621..</w:t>
      </w:r>
    </w:p>
    <w:p w14:paraId="2A56B352"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«Thomopoulos C, Parati G, Zanchetti A. Effects of blood-pressure-lowering treatment on outcome incidence. 12. Effects in individuals with high-normal and normal blood pressure: overview and meta-analyses of randomized trials. J Hypertens </w:t>
      </w:r>
      <w:r w:rsidRPr="007C5A89">
        <w:rPr>
          <w:rStyle w:val="ac"/>
          <w:rFonts w:eastAsiaTheme="majorEastAsia"/>
          <w:sz w:val="24"/>
          <w:szCs w:val="24"/>
        </w:rPr>
        <w:t>2017</w:t>
      </w:r>
      <w:proofErr w:type="gramStart"/>
      <w:r w:rsidRPr="007C5A89">
        <w:rPr>
          <w:rStyle w:val="ac"/>
          <w:rFonts w:eastAsiaTheme="majorEastAsia"/>
          <w:sz w:val="24"/>
          <w:szCs w:val="24"/>
        </w:rPr>
        <w:t>;35:2150</w:t>
      </w:r>
      <w:proofErr w:type="gramEnd"/>
      <w:r w:rsidRPr="007C5A89">
        <w:rPr>
          <w:rStyle w:val="ac"/>
          <w:rFonts w:eastAsiaTheme="majorEastAsia"/>
          <w:sz w:val="24"/>
          <w:szCs w:val="24"/>
        </w:rPr>
        <w:t>–2160.».</w:t>
      </w:r>
    </w:p>
    <w:p w14:paraId="5B2A2130"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«Ishani A, Cushman WC, Leatherman SM, et al. Chlorthalidone vs. Hydrochlorothiazide for hypertension–cardiovascular events. N Engl J Med. 2022</w:t>
      </w:r>
      <w:proofErr w:type="gramStart"/>
      <w:r w:rsidRPr="007C5A89">
        <w:rPr>
          <w:rStyle w:val="ac"/>
          <w:rFonts w:eastAsiaTheme="majorEastAsia"/>
          <w:sz w:val="24"/>
          <w:szCs w:val="24"/>
          <w:lang w:val="en-US"/>
        </w:rPr>
        <w:t>;387:2401</w:t>
      </w:r>
      <w:proofErr w:type="gramEnd"/>
      <w:r w:rsidRPr="007C5A89">
        <w:rPr>
          <w:rStyle w:val="ac"/>
          <w:rFonts w:eastAsiaTheme="majorEastAsia"/>
          <w:sz w:val="24"/>
          <w:szCs w:val="24"/>
          <w:lang w:val="en-US"/>
        </w:rPr>
        <w:t>–10».</w:t>
      </w:r>
    </w:p>
    <w:p w14:paraId="7A480474"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Olde Engberink, Rik HG, et al. "Effects of thiazide-type and thiazide-like diuretics on cardiovascular events and mortality: systematic review and meta-analysis." Hypertension 65.5 (2015): 1033-1040</w:t>
      </w:r>
      <w:proofErr w:type="gramStart"/>
      <w:r w:rsidRPr="007C5A89">
        <w:rPr>
          <w:rStyle w:val="ac"/>
          <w:rFonts w:eastAsiaTheme="majorEastAsia"/>
          <w:sz w:val="24"/>
          <w:szCs w:val="24"/>
          <w:lang w:val="en-US"/>
        </w:rPr>
        <w:t>..</w:t>
      </w:r>
      <w:proofErr w:type="gramEnd"/>
    </w:p>
    <w:p w14:paraId="37DFC410"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Roush, George C., and Franz H. Messerli. "Chlorthalidone versus hydrochlorothiazide: major cardiovascular events, blood pressure, left ventricular </w:t>
      </w:r>
      <w:proofErr w:type="gramStart"/>
      <w:r w:rsidRPr="007C5A89">
        <w:rPr>
          <w:rStyle w:val="ac"/>
          <w:rFonts w:eastAsiaTheme="majorEastAsia"/>
          <w:sz w:val="24"/>
          <w:szCs w:val="24"/>
          <w:lang w:val="en-US"/>
        </w:rPr>
        <w:t>mass,</w:t>
      </w:r>
      <w:proofErr w:type="gramEnd"/>
      <w:r w:rsidRPr="007C5A89">
        <w:rPr>
          <w:rStyle w:val="ac"/>
          <w:rFonts w:eastAsiaTheme="majorEastAsia"/>
          <w:sz w:val="24"/>
          <w:szCs w:val="24"/>
          <w:lang w:val="en-US"/>
        </w:rPr>
        <w:t xml:space="preserve"> and adverse effects." Journal of Hypertension </w:t>
      </w:r>
      <w:r w:rsidRPr="007C5A89">
        <w:rPr>
          <w:rStyle w:val="ac"/>
          <w:rFonts w:eastAsiaTheme="majorEastAsia"/>
          <w:sz w:val="24"/>
          <w:szCs w:val="24"/>
        </w:rPr>
        <w:t>39.6 (2021): 1254-1260</w:t>
      </w:r>
      <w:proofErr w:type="gramStart"/>
      <w:r w:rsidRPr="007C5A89">
        <w:rPr>
          <w:rStyle w:val="ac"/>
          <w:rFonts w:eastAsiaTheme="majorEastAsia"/>
          <w:sz w:val="24"/>
          <w:szCs w:val="24"/>
        </w:rPr>
        <w:t>..</w:t>
      </w:r>
      <w:proofErr w:type="gramEnd"/>
    </w:p>
    <w:p w14:paraId="1E715F46"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Corrao G, Zambon A, Parodi A, et al. </w:t>
      </w:r>
      <w:r w:rsidRPr="007C5A89">
        <w:rPr>
          <w:rStyle w:val="ac"/>
          <w:rFonts w:eastAsiaTheme="majorEastAsia"/>
          <w:sz w:val="24"/>
          <w:szCs w:val="24"/>
          <w:lang w:val="en-US"/>
        </w:rPr>
        <w:t>Discontinuation of and changes in drug therapy for hypertension among newly-treated patients: a population-based study in Italy. J Hypertens 2008</w:t>
      </w:r>
      <w:proofErr w:type="gramStart"/>
      <w:r w:rsidRPr="007C5A89">
        <w:rPr>
          <w:rStyle w:val="ac"/>
          <w:rFonts w:eastAsiaTheme="majorEastAsia"/>
          <w:sz w:val="24"/>
          <w:szCs w:val="24"/>
          <w:lang w:val="en-US"/>
        </w:rPr>
        <w:t>;26:819</w:t>
      </w:r>
      <w:proofErr w:type="gramEnd"/>
      <w:r w:rsidRPr="007C5A89">
        <w:rPr>
          <w:rStyle w:val="ac"/>
          <w:rFonts w:eastAsiaTheme="majorEastAsia"/>
          <w:sz w:val="24"/>
          <w:szCs w:val="24"/>
          <w:lang w:val="en-US"/>
        </w:rPr>
        <w:t>–824..</w:t>
      </w:r>
    </w:p>
    <w:p w14:paraId="7E60C283"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Brown MJ, Williams B, Morant SV, et al. Effect of amiloride, or amiloride plus hydrochlorothiazide, versus hydro- chlorothiazide on glucose tolerance and blood pressure (PATHWAY-3):, a parallel-group, double-blind randomised phase 4 trial. Lancet Diabetes Endocrinol 2016</w:t>
      </w:r>
      <w:proofErr w:type="gramStart"/>
      <w:r w:rsidRPr="007C5A89">
        <w:rPr>
          <w:rStyle w:val="ac"/>
          <w:rFonts w:eastAsiaTheme="majorEastAsia"/>
          <w:sz w:val="24"/>
          <w:szCs w:val="24"/>
          <w:lang w:val="en-US"/>
        </w:rPr>
        <w:t>;4:136</w:t>
      </w:r>
      <w:proofErr w:type="gramEnd"/>
      <w:r w:rsidRPr="007C5A89">
        <w:rPr>
          <w:rStyle w:val="ac"/>
          <w:rFonts w:eastAsiaTheme="majorEastAsia"/>
          <w:sz w:val="24"/>
          <w:szCs w:val="24"/>
          <w:lang w:val="en-US"/>
        </w:rPr>
        <w:t>–147. .</w:t>
      </w:r>
    </w:p>
    <w:p w14:paraId="611323BC"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«Cushman WC, Ford CE, Cutler JA, et al., ALLHAT Collaborative Research Group. Success and predictors of blood pressure control in diverse North American settings: the antihypertensive and lipid-lowering treatment to prevent heart attack trial (ALLHAT).</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 xml:space="preserve"> </w:t>
      </w:r>
      <w:r w:rsidRPr="007C5A89">
        <w:rPr>
          <w:rStyle w:val="ac"/>
          <w:rFonts w:eastAsiaTheme="majorEastAsia"/>
          <w:i/>
          <w:iCs/>
          <w:sz w:val="24"/>
          <w:szCs w:val="24"/>
          <w:lang w:val="en-US"/>
        </w:rPr>
        <w:t>J Clin Hypertens (Greenwich) 2002; 4:393–404 .</w:t>
      </w:r>
    </w:p>
    <w:p w14:paraId="364EBEC9"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«Palmer BF. Metabolic complications associated with use of diuretics. Semin Nephrol. </w:t>
      </w:r>
      <w:r w:rsidRPr="007C5A89">
        <w:rPr>
          <w:rStyle w:val="ac"/>
          <w:rFonts w:eastAsiaTheme="majorEastAsia"/>
          <w:sz w:val="24"/>
          <w:szCs w:val="24"/>
        </w:rPr>
        <w:t>2011;31(6):542-52».</w:t>
      </w:r>
    </w:p>
    <w:p w14:paraId="05F9F68C"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Rimoldi SF et al. Efficacy and safety of calcium channel blocker/diuretics combination therapy in hypertensive patients: a meta‐analysis. The Journal of Clinical Hypertension 17.3 (2015):193–199</w:t>
      </w:r>
      <w:proofErr w:type="gramStart"/>
      <w:r w:rsidRPr="007C5A89">
        <w:rPr>
          <w:rStyle w:val="ac"/>
          <w:rFonts w:eastAsiaTheme="majorEastAsia"/>
          <w:sz w:val="24"/>
          <w:szCs w:val="24"/>
          <w:lang w:val="en-US"/>
        </w:rPr>
        <w:t>..</w:t>
      </w:r>
      <w:proofErr w:type="gramEnd"/>
    </w:p>
    <w:p w14:paraId="6173FDF2"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Wald DS et al. Combination therapy versus monotherapy in reducing blood pressure: meta</w:t>
      </w:r>
      <w:r w:rsidRPr="007C5A89">
        <w:rPr>
          <w:rStyle w:val="ac"/>
          <w:rFonts w:eastAsiaTheme="majorEastAsia"/>
          <w:sz w:val="24"/>
          <w:szCs w:val="24"/>
          <w:lang w:val="en-US"/>
        </w:rPr>
        <w:softHyphen/>
        <w:t>analysis on 11,000 participants from 42 trials. The American journal of medicine 122.3 (2009):290–300</w:t>
      </w:r>
      <w:proofErr w:type="gramStart"/>
      <w:r w:rsidRPr="007C5A89">
        <w:rPr>
          <w:rStyle w:val="ac"/>
          <w:rFonts w:eastAsiaTheme="majorEastAsia"/>
          <w:sz w:val="24"/>
          <w:szCs w:val="24"/>
          <w:lang w:val="en-US"/>
        </w:rPr>
        <w:t>..</w:t>
      </w:r>
      <w:proofErr w:type="gramEnd"/>
    </w:p>
    <w:p w14:paraId="39E229BF"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Kang Seng et al. A systematic review and meta-analysis of the efficacy and safety of a fixed, low-dose perindopril-indapamide combination as first-line treatment of </w:t>
      </w:r>
      <w:r w:rsidRPr="007C5A89">
        <w:rPr>
          <w:rStyle w:val="ac"/>
          <w:rFonts w:eastAsiaTheme="majorEastAsia"/>
          <w:sz w:val="24"/>
          <w:szCs w:val="24"/>
          <w:lang w:val="en-US"/>
        </w:rPr>
        <w:lastRenderedPageBreak/>
        <w:t xml:space="preserve">hypertension. Clinical therapeutics </w:t>
      </w:r>
      <w:r w:rsidRPr="007C5A89">
        <w:rPr>
          <w:rStyle w:val="ac"/>
          <w:rFonts w:eastAsiaTheme="majorEastAsia"/>
          <w:sz w:val="24"/>
          <w:szCs w:val="24"/>
        </w:rPr>
        <w:t>26.2 (2004): 257–270</w:t>
      </w:r>
      <w:proofErr w:type="gramStart"/>
      <w:r w:rsidRPr="007C5A89">
        <w:rPr>
          <w:rStyle w:val="ac"/>
          <w:rFonts w:eastAsiaTheme="majorEastAsia"/>
          <w:sz w:val="24"/>
          <w:szCs w:val="24"/>
        </w:rPr>
        <w:t>..</w:t>
      </w:r>
      <w:proofErr w:type="gramEnd"/>
    </w:p>
    <w:p w14:paraId="34684F64"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«Kizilirmak P, Uresin Y, Yildiz OB. The Efficacy and Safety of Triple vs Dual Combination of Angiotensin II Receptor Blocker and Calcium Channel Blocker and Diuretic: A Systematic Review and Meta‐Analysis.</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 xml:space="preserve"> </w:t>
      </w:r>
      <w:r w:rsidRPr="007C5A89">
        <w:rPr>
          <w:rStyle w:val="ac"/>
          <w:rFonts w:eastAsiaTheme="majorEastAsia"/>
          <w:i/>
          <w:iCs/>
          <w:sz w:val="24"/>
          <w:szCs w:val="24"/>
          <w:lang w:val="en-US"/>
        </w:rPr>
        <w:t>The Journal of Clinical Hypertension 15.3 (2013): 193-200..</w:t>
      </w:r>
    </w:p>
    <w:p w14:paraId="20BA825A"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«Salam A, Atkins ER, Hsu B, Webster R, Patel A, Rodgers A. Efficacy and safety of triple versus dual combination blood pressure-lowering drug therapy: a systematic review and meta-analysis of randomized controlled trials. Journal of hypertension.</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 xml:space="preserve"> </w:t>
      </w:r>
      <w:r w:rsidRPr="007C5A89">
        <w:rPr>
          <w:rStyle w:val="ac"/>
          <w:rFonts w:eastAsiaTheme="majorEastAsia"/>
          <w:i/>
          <w:iCs/>
          <w:sz w:val="24"/>
          <w:szCs w:val="24"/>
          <w:lang w:val="en-US"/>
        </w:rPr>
        <w:t xml:space="preserve">Journal of hypertension. </w:t>
      </w:r>
      <w:r w:rsidRPr="007C5A89">
        <w:rPr>
          <w:rStyle w:val="ac"/>
          <w:rFonts w:eastAsiaTheme="majorEastAsia"/>
          <w:i/>
          <w:iCs/>
          <w:sz w:val="24"/>
          <w:szCs w:val="24"/>
        </w:rPr>
        <w:t xml:space="preserve">2019 </w:t>
      </w:r>
      <w:r w:rsidRPr="007C5A89">
        <w:rPr>
          <w:rStyle w:val="ac"/>
          <w:rFonts w:eastAsiaTheme="majorEastAsia"/>
          <w:i/>
          <w:iCs/>
          <w:sz w:val="24"/>
          <w:szCs w:val="24"/>
          <w:lang w:val="en-US"/>
        </w:rPr>
        <w:t xml:space="preserve">Aug </w:t>
      </w:r>
      <w:r w:rsidRPr="007C5A89">
        <w:rPr>
          <w:rStyle w:val="ac"/>
          <w:rFonts w:eastAsiaTheme="majorEastAsia"/>
          <w:i/>
          <w:iCs/>
          <w:sz w:val="24"/>
          <w:szCs w:val="24"/>
        </w:rPr>
        <w:t>1;37(8):1567-</w:t>
      </w:r>
      <w:proofErr w:type="gramStart"/>
      <w:r w:rsidRPr="007C5A89">
        <w:rPr>
          <w:rStyle w:val="ac"/>
          <w:rFonts w:eastAsiaTheme="majorEastAsia"/>
          <w:i/>
          <w:iCs/>
          <w:sz w:val="24"/>
          <w:szCs w:val="24"/>
        </w:rPr>
        <w:t>73..</w:t>
      </w:r>
      <w:proofErr w:type="gramEnd"/>
    </w:p>
    <w:p w14:paraId="2E277410"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«Agarwal R, Sinha AD, Cramer AE, Balmes-Fenwick M, Dickinson JH, Ouyang F, et al. Chlorthalidone for hypertension in advanced chronic kidney disease. N Engl J Med 2021; 385:2507–2519.».</w:t>
      </w:r>
    </w:p>
    <w:p w14:paraId="3A9C5A96"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Webb AJS et al. Effects of antihypertensive-drug class on interindividual variation in blood pressure and risk of stroke: a systematic review and meta-analysis. The Lancet 375.9718 (2010): 906–915</w:t>
      </w:r>
      <w:proofErr w:type="gramStart"/>
      <w:r w:rsidRPr="007C5A89">
        <w:rPr>
          <w:rStyle w:val="ac"/>
          <w:rFonts w:eastAsiaTheme="majorEastAsia"/>
          <w:sz w:val="24"/>
          <w:szCs w:val="24"/>
          <w:lang w:val="en-US"/>
        </w:rPr>
        <w:t>..</w:t>
      </w:r>
      <w:proofErr w:type="gramEnd"/>
    </w:p>
    <w:p w14:paraId="1B4BFEFE"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Thomopoulos C, Parati G, Zanchetti A. Effects of blood pressure lowering on outcome incidence in hypertension: 4. Effects of various classes of antihypertensive drugs — overview and meta-analyses. J Hypertens 2015</w:t>
      </w:r>
      <w:proofErr w:type="gramStart"/>
      <w:r w:rsidRPr="007C5A89">
        <w:rPr>
          <w:rStyle w:val="ac"/>
          <w:rFonts w:eastAsiaTheme="majorEastAsia"/>
          <w:sz w:val="24"/>
          <w:szCs w:val="24"/>
          <w:lang w:val="en-US"/>
        </w:rPr>
        <w:t>;33:195</w:t>
      </w:r>
      <w:proofErr w:type="gramEnd"/>
      <w:r w:rsidRPr="007C5A89">
        <w:rPr>
          <w:rStyle w:val="ac"/>
          <w:rFonts w:eastAsiaTheme="majorEastAsia"/>
          <w:sz w:val="24"/>
          <w:szCs w:val="24"/>
          <w:lang w:val="en-US"/>
        </w:rPr>
        <w:t>–211.</w:t>
      </w:r>
    </w:p>
    <w:p w14:paraId="4D820939"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F03632">
        <w:rPr>
          <w:rStyle w:val="ac"/>
          <w:rFonts w:eastAsiaTheme="majorEastAsia"/>
          <w:sz w:val="24"/>
          <w:szCs w:val="24"/>
          <w:lang w:val="fr-FR"/>
        </w:rPr>
        <w:t xml:space="preserve">Schmieder R.E. et al. </w:t>
      </w:r>
      <w:r w:rsidRPr="007C5A89">
        <w:rPr>
          <w:rStyle w:val="ac"/>
          <w:rFonts w:eastAsiaTheme="majorEastAsia"/>
          <w:sz w:val="24"/>
          <w:szCs w:val="24"/>
          <w:lang w:val="en-US"/>
        </w:rPr>
        <w:t xml:space="preserve">The effect of sacubitril/valsartan compared to olmesartan on cardiovascular remodeling in subjects with essential hypertension: the results of a randomized, double-blind, active-controlled study. Eur Heart J. </w:t>
      </w:r>
      <w:r w:rsidRPr="007C5A89">
        <w:rPr>
          <w:rStyle w:val="ac"/>
          <w:rFonts w:eastAsiaTheme="majorEastAsia"/>
          <w:sz w:val="24"/>
          <w:szCs w:val="24"/>
        </w:rPr>
        <w:t>2017;38(44):3308–3317.</w:t>
      </w:r>
    </w:p>
    <w:p w14:paraId="10A8BD55"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 xml:space="preserve">Williams B. et al. Effects of Sacubitril/Valsartan </w:t>
      </w:r>
      <w:proofErr w:type="gramStart"/>
      <w:r w:rsidRPr="007C5A89">
        <w:rPr>
          <w:rStyle w:val="ac"/>
          <w:rFonts w:eastAsiaTheme="majorEastAsia"/>
          <w:sz w:val="24"/>
          <w:szCs w:val="24"/>
          <w:lang w:val="en-US"/>
        </w:rPr>
        <w:t>Versus</w:t>
      </w:r>
      <w:proofErr w:type="gramEnd"/>
      <w:r w:rsidRPr="007C5A89">
        <w:rPr>
          <w:rStyle w:val="ac"/>
          <w:rFonts w:eastAsiaTheme="majorEastAsia"/>
          <w:sz w:val="24"/>
          <w:szCs w:val="24"/>
          <w:lang w:val="en-US"/>
        </w:rPr>
        <w:t xml:space="preserve"> Olmesartan on Central Hemodynamics in the Elderly With Systolic Hypertension The PARAMETER Study/ Hypertension. 2017</w:t>
      </w:r>
      <w:proofErr w:type="gramStart"/>
      <w:r w:rsidRPr="007C5A89">
        <w:rPr>
          <w:rStyle w:val="ac"/>
          <w:rFonts w:eastAsiaTheme="majorEastAsia"/>
          <w:sz w:val="24"/>
          <w:szCs w:val="24"/>
          <w:lang w:val="en-US"/>
        </w:rPr>
        <w:t>;69:411</w:t>
      </w:r>
      <w:proofErr w:type="gramEnd"/>
      <w:r w:rsidRPr="007C5A89">
        <w:rPr>
          <w:rStyle w:val="ac"/>
          <w:rFonts w:eastAsiaTheme="majorEastAsia"/>
          <w:sz w:val="24"/>
          <w:szCs w:val="24"/>
          <w:lang w:val="en-US"/>
        </w:rPr>
        <w:t>-420.</w:t>
      </w:r>
    </w:p>
    <w:p w14:paraId="34740F64"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Izzo J.L., Zappe D.H., Jia Y. et al. </w:t>
      </w:r>
      <w:r w:rsidRPr="007C5A89">
        <w:rPr>
          <w:rStyle w:val="ac"/>
          <w:rFonts w:eastAsiaTheme="majorEastAsia"/>
          <w:sz w:val="24"/>
          <w:szCs w:val="24"/>
          <w:lang w:val="en-US"/>
        </w:rPr>
        <w:t>Efficacy and Safety of Crystalline Valsartan/Sacubitril (LCZ696) Compared With Placebo and Combinations of Free Valsartan and Sacubitril in Patients With Systolic Hypertension: The RATIO Study/, Cardiovasc Pharmacol. 2017</w:t>
      </w:r>
      <w:proofErr w:type="gramStart"/>
      <w:r w:rsidRPr="007C5A89">
        <w:rPr>
          <w:rStyle w:val="ac"/>
          <w:rFonts w:eastAsiaTheme="majorEastAsia"/>
          <w:sz w:val="24"/>
          <w:szCs w:val="24"/>
          <w:lang w:val="en-US"/>
        </w:rPr>
        <w:t>;69:374</w:t>
      </w:r>
      <w:proofErr w:type="gramEnd"/>
      <w:r w:rsidRPr="007C5A89">
        <w:rPr>
          <w:rStyle w:val="ac"/>
          <w:rFonts w:eastAsiaTheme="majorEastAsia"/>
          <w:sz w:val="24"/>
          <w:szCs w:val="24"/>
          <w:lang w:val="en-US"/>
        </w:rPr>
        <w:t>–381.</w:t>
      </w:r>
    </w:p>
    <w:p w14:paraId="637F3AEE"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Jackson A.M., Jhund S.P., Anand A.S. et al. Sacubitril–valsartan as a treatment for apparent resistant hypertension in patients with heart failure and preserved ejection fraction/ Euro Heart J. 2021;42:3741-3752.</w:t>
      </w:r>
    </w:p>
    <w:p w14:paraId="2304A0DE" w14:textId="77777777" w:rsidR="00CB781F" w:rsidRPr="007C5A89" w:rsidRDefault="00CB781F" w:rsidP="00424F51">
      <w:pPr>
        <w:pStyle w:val="11"/>
        <w:numPr>
          <w:ilvl w:val="0"/>
          <w:numId w:val="42"/>
        </w:numPr>
        <w:tabs>
          <w:tab w:val="left" w:pos="709"/>
          <w:tab w:val="left" w:pos="1280"/>
          <w:tab w:val="left" w:pos="2801"/>
        </w:tabs>
        <w:spacing w:line="276" w:lineRule="auto"/>
        <w:ind w:left="709" w:hanging="709"/>
        <w:jc w:val="both"/>
        <w:rPr>
          <w:sz w:val="24"/>
          <w:szCs w:val="24"/>
          <w:lang w:val="en-US"/>
        </w:rPr>
      </w:pPr>
      <w:r w:rsidRPr="007C5A89">
        <w:rPr>
          <w:rStyle w:val="ac"/>
          <w:rFonts w:eastAsiaTheme="majorEastAsia"/>
          <w:sz w:val="24"/>
          <w:szCs w:val="24"/>
          <w:lang w:val="en-US"/>
        </w:rPr>
        <w:t>Geng Q. et al. Effects of LCZ696 (Sacubitril/Valsartan) on Blood Pressure in Patients with Hypertension:</w:t>
      </w:r>
      <w:r w:rsidRPr="007C5A89">
        <w:rPr>
          <w:rStyle w:val="ac"/>
          <w:rFonts w:eastAsiaTheme="majorEastAsia"/>
          <w:sz w:val="24"/>
          <w:szCs w:val="24"/>
          <w:lang w:val="en-US"/>
        </w:rPr>
        <w:tab/>
        <w:t>A Meta-Analysis of Randomized Controlled Trials/ Cardiology</w:t>
      </w:r>
    </w:p>
    <w:p w14:paraId="039C276A" w14:textId="77777777" w:rsidR="00CB781F" w:rsidRPr="007C5A89" w:rsidRDefault="00CB781F" w:rsidP="007C5A89">
      <w:pPr>
        <w:pStyle w:val="11"/>
        <w:tabs>
          <w:tab w:val="left" w:pos="709"/>
        </w:tabs>
        <w:spacing w:line="276" w:lineRule="auto"/>
        <w:ind w:left="709" w:hanging="709"/>
        <w:jc w:val="both"/>
        <w:rPr>
          <w:sz w:val="24"/>
          <w:szCs w:val="24"/>
        </w:rPr>
      </w:pPr>
      <w:r w:rsidRPr="007C5A89">
        <w:rPr>
          <w:rStyle w:val="ac"/>
          <w:rFonts w:eastAsiaTheme="majorEastAsia"/>
          <w:sz w:val="24"/>
          <w:szCs w:val="24"/>
        </w:rPr>
        <w:t>2020;145:589–598.</w:t>
      </w:r>
    </w:p>
    <w:p w14:paraId="18A0BAEB"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Li Q. et al. Effect and safety of LCZ696 in the treatment of hypertension A meta-analysis of 9 RCT studies/ Medicine (Baltimore). 2019</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 xml:space="preserve"> 98(28):e16093.</w:t>
      </w:r>
    </w:p>
    <w:p w14:paraId="692F7FB1"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Zhao Y. et al. The Effects of LCZ696 in Patients With Hypertension Compared With Angiotensin Receptor Blockers: A Meta-Analysis of Randomized Controlled Trials/ J Cardiovasc Pharmacol Ther. 2017; 22(5):447-457.</w:t>
      </w:r>
    </w:p>
    <w:p w14:paraId="5E429D97"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Wang J. et al. Efficacy and safety of sacubitril/valsartan (LCZ696) add-on to amlodipine in Asian patients with systolic hypertension uncontrolled with amlodipine monotherapy/ J Hypertens. 2017;35(4):877-885.</w:t>
      </w:r>
    </w:p>
    <w:p w14:paraId="3CA48019"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Solomon S.D. et al. </w:t>
      </w:r>
      <w:r w:rsidRPr="007C5A89">
        <w:rPr>
          <w:rStyle w:val="ac"/>
          <w:rFonts w:eastAsiaTheme="majorEastAsia"/>
          <w:sz w:val="24"/>
          <w:szCs w:val="24"/>
          <w:lang w:val="en-US"/>
        </w:rPr>
        <w:t>Sacubitril/Valsartan Across the Spectrum of Ejection Fraction in Heart Failure/ Circulation. 2020</w:t>
      </w:r>
      <w:proofErr w:type="gramStart"/>
      <w:r w:rsidRPr="007C5A89">
        <w:rPr>
          <w:rStyle w:val="ac"/>
          <w:rFonts w:eastAsiaTheme="majorEastAsia"/>
          <w:sz w:val="24"/>
          <w:szCs w:val="24"/>
          <w:lang w:val="en-US"/>
        </w:rPr>
        <w:t>;141:352</w:t>
      </w:r>
      <w:proofErr w:type="gramEnd"/>
      <w:r w:rsidRPr="007C5A89">
        <w:rPr>
          <w:rStyle w:val="ac"/>
          <w:rFonts w:eastAsiaTheme="majorEastAsia"/>
          <w:sz w:val="24"/>
          <w:szCs w:val="24"/>
          <w:lang w:val="en-US"/>
        </w:rPr>
        <w:t>–361.</w:t>
      </w:r>
    </w:p>
    <w:p w14:paraId="0DD31B8C"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McMurray J.J.V. et al. </w:t>
      </w:r>
      <w:r w:rsidRPr="007C5A89">
        <w:rPr>
          <w:rStyle w:val="ac"/>
          <w:rFonts w:eastAsiaTheme="majorEastAsia"/>
          <w:sz w:val="24"/>
          <w:szCs w:val="24"/>
          <w:lang w:val="en-US"/>
        </w:rPr>
        <w:t xml:space="preserve">Angiotensin–Neprilysin Inhibition versus Enalapril in Heart Failure/ </w:t>
      </w:r>
      <w:r w:rsidRPr="007C5A89">
        <w:rPr>
          <w:rStyle w:val="ac"/>
          <w:rFonts w:eastAsiaTheme="majorEastAsia"/>
          <w:sz w:val="24"/>
          <w:szCs w:val="24"/>
          <w:lang w:val="en-US"/>
        </w:rPr>
        <w:lastRenderedPageBreak/>
        <w:t>N Engl J Med 2014</w:t>
      </w:r>
      <w:proofErr w:type="gramStart"/>
      <w:r w:rsidRPr="007C5A89">
        <w:rPr>
          <w:rStyle w:val="ac"/>
          <w:rFonts w:eastAsiaTheme="majorEastAsia"/>
          <w:sz w:val="24"/>
          <w:szCs w:val="24"/>
          <w:lang w:val="en-US"/>
        </w:rPr>
        <w:t>;371:993</w:t>
      </w:r>
      <w:proofErr w:type="gramEnd"/>
      <w:r w:rsidRPr="007C5A89">
        <w:rPr>
          <w:rStyle w:val="ac"/>
          <w:rFonts w:eastAsiaTheme="majorEastAsia"/>
          <w:sz w:val="24"/>
          <w:szCs w:val="24"/>
          <w:lang w:val="en-US"/>
        </w:rPr>
        <w:t>-1004.</w:t>
      </w:r>
    </w:p>
    <w:p w14:paraId="76D482E0"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Bo¨hm M. et al. Systolic blood pressure, cardiovascular outcomes and efficacy and safety of sacubitril/valsartan (LCZ696) in patients with chronic heart failure and reduced ejection fraction: results from PARADIGM-HF/ Eur Heart J. 2017;38(15):1132-1143.</w:t>
      </w:r>
    </w:p>
    <w:p w14:paraId="51ADD458"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rPr>
        <w:t xml:space="preserve">Чазова И. Е., Мычка В. Б. Новые возможности в лечении больных с метаболическим синдромом: результаты исследования </w:t>
      </w:r>
      <w:r w:rsidRPr="007C5A89">
        <w:rPr>
          <w:rStyle w:val="ac"/>
          <w:rFonts w:eastAsiaTheme="majorEastAsia"/>
          <w:sz w:val="24"/>
          <w:szCs w:val="24"/>
          <w:lang w:val="en-US"/>
        </w:rPr>
        <w:t>ALMAZ</w:t>
      </w:r>
      <w:r w:rsidRPr="007C5A89">
        <w:rPr>
          <w:rStyle w:val="ac"/>
          <w:rFonts w:eastAsiaTheme="majorEastAsia"/>
          <w:sz w:val="24"/>
          <w:szCs w:val="24"/>
        </w:rPr>
        <w:t xml:space="preserve">, Системные гипертензии </w:t>
      </w:r>
      <w:proofErr w:type="gramStart"/>
      <w:r w:rsidRPr="007C5A89">
        <w:rPr>
          <w:rStyle w:val="ac"/>
          <w:rFonts w:eastAsiaTheme="majorEastAsia"/>
          <w:sz w:val="24"/>
          <w:szCs w:val="24"/>
        </w:rPr>
        <w:t>2006;2:14</w:t>
      </w:r>
      <w:proofErr w:type="gramEnd"/>
      <w:r w:rsidRPr="007C5A89">
        <w:rPr>
          <w:rStyle w:val="ac"/>
          <w:rFonts w:eastAsiaTheme="majorEastAsia"/>
          <w:sz w:val="24"/>
          <w:szCs w:val="24"/>
        </w:rPr>
        <w:t>– 17..</w:t>
      </w:r>
    </w:p>
    <w:p w14:paraId="14B80F4F"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Schlaich MP. Improved hypertension control with the imidazoline agonist moxonidine in a multinational metabolic syndrome population: principal results of the MERSY study. International journal of hypertension </w:t>
      </w:r>
      <w:r w:rsidRPr="007C5A89">
        <w:rPr>
          <w:rStyle w:val="ac"/>
          <w:rFonts w:eastAsiaTheme="majorEastAsia"/>
          <w:sz w:val="24"/>
          <w:szCs w:val="24"/>
        </w:rPr>
        <w:t>2013 (2013)</w:t>
      </w:r>
      <w:proofErr w:type="gramStart"/>
      <w:r w:rsidRPr="007C5A89">
        <w:rPr>
          <w:rStyle w:val="ac"/>
          <w:rFonts w:eastAsiaTheme="majorEastAsia"/>
          <w:sz w:val="24"/>
          <w:szCs w:val="24"/>
        </w:rPr>
        <w:t>..</w:t>
      </w:r>
      <w:proofErr w:type="gramEnd"/>
    </w:p>
    <w:p w14:paraId="74300D48"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Rayner B. Selective imidazoline agonist moxonidine plus the ACE inhibitor ramipril in hypertensive patients with impaired insulin sensitivity: partners in a successful MARRIAGE? Current medical research and opinion </w:t>
      </w:r>
      <w:r w:rsidRPr="007C5A89">
        <w:rPr>
          <w:rStyle w:val="ac"/>
          <w:rFonts w:eastAsiaTheme="majorEastAsia"/>
          <w:sz w:val="24"/>
          <w:szCs w:val="24"/>
        </w:rPr>
        <w:t>20.3 (2004): 359–367</w:t>
      </w:r>
      <w:proofErr w:type="gramStart"/>
      <w:r w:rsidRPr="007C5A89">
        <w:rPr>
          <w:rStyle w:val="ac"/>
          <w:rFonts w:eastAsiaTheme="majorEastAsia"/>
          <w:sz w:val="24"/>
          <w:szCs w:val="24"/>
        </w:rPr>
        <w:t>..</w:t>
      </w:r>
      <w:proofErr w:type="gramEnd"/>
    </w:p>
    <w:p w14:paraId="727A7D36"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Prichard, B. N. C., et al. </w:t>
      </w:r>
      <w:r w:rsidRPr="007C5A89">
        <w:rPr>
          <w:rStyle w:val="ac"/>
          <w:rFonts w:eastAsiaTheme="majorEastAsia"/>
          <w:sz w:val="24"/>
          <w:szCs w:val="24"/>
          <w:lang w:val="en-US"/>
        </w:rPr>
        <w:t>"Dose relation of blood pressure reduction with moxonidine: findings from three placebo-and active-controlled randomized studies." Journal of Clinical and Basic Cardiology 6.1 (2003): 49-51</w:t>
      </w:r>
      <w:proofErr w:type="gramStart"/>
      <w:r w:rsidRPr="007C5A89">
        <w:rPr>
          <w:rStyle w:val="ac"/>
          <w:rFonts w:eastAsiaTheme="majorEastAsia"/>
          <w:sz w:val="24"/>
          <w:szCs w:val="24"/>
          <w:lang w:val="en-US"/>
        </w:rPr>
        <w:t>..</w:t>
      </w:r>
      <w:proofErr w:type="gramEnd"/>
    </w:p>
    <w:p w14:paraId="60227CC6"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Williams B, MacDonald TM, Morant S, et al. British Hypertension Society's PATHWAY Studies Group. Spironolactone versus placebo, bisoprolol, and doxazosin to determine the optimal treatment for drug-resistant hypertension (PATHWAY-2)</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 xml:space="preserve"> a randomised, double</w:t>
      </w:r>
      <w:r w:rsidRPr="007C5A89">
        <w:rPr>
          <w:rStyle w:val="ac"/>
          <w:rFonts w:eastAsiaTheme="majorEastAsia"/>
          <w:sz w:val="24"/>
          <w:szCs w:val="24"/>
          <w:lang w:val="en-US"/>
        </w:rPr>
        <w:softHyphen/>
        <w:t xml:space="preserve">blind, crossover trial. Lancet </w:t>
      </w:r>
      <w:r w:rsidRPr="007C5A89">
        <w:rPr>
          <w:rStyle w:val="ac"/>
          <w:rFonts w:eastAsiaTheme="majorEastAsia"/>
          <w:sz w:val="24"/>
          <w:szCs w:val="24"/>
        </w:rPr>
        <w:t>2015</w:t>
      </w:r>
      <w:proofErr w:type="gramStart"/>
      <w:r w:rsidRPr="007C5A89">
        <w:rPr>
          <w:rStyle w:val="ac"/>
          <w:rFonts w:eastAsiaTheme="majorEastAsia"/>
          <w:sz w:val="24"/>
          <w:szCs w:val="24"/>
        </w:rPr>
        <w:t>;386:2059</w:t>
      </w:r>
      <w:proofErr w:type="gramEnd"/>
      <w:r w:rsidRPr="007C5A89">
        <w:rPr>
          <w:rStyle w:val="ac"/>
          <w:rFonts w:eastAsiaTheme="majorEastAsia"/>
          <w:sz w:val="24"/>
          <w:szCs w:val="24"/>
        </w:rPr>
        <w:t>–2068..</w:t>
      </w:r>
    </w:p>
    <w:p w14:paraId="26199105"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Chapman, Neil, et al. "Effect of doxazosin gastrointestinal therapeutic system as third-line antihypertensive therapy on blood pressure and lipids in the Anglo-Scandinavian Cardiac Outcomes Trial." Circulation 118.1 (2008): 42-48</w:t>
      </w:r>
      <w:proofErr w:type="gramStart"/>
      <w:r w:rsidRPr="007C5A89">
        <w:rPr>
          <w:rStyle w:val="ac"/>
          <w:rFonts w:eastAsiaTheme="majorEastAsia"/>
          <w:sz w:val="24"/>
          <w:szCs w:val="24"/>
          <w:lang w:val="en-US"/>
        </w:rPr>
        <w:t>..</w:t>
      </w:r>
      <w:proofErr w:type="gramEnd"/>
    </w:p>
    <w:p w14:paraId="3DDD4588"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Chernova, Irene, and Namrata Krishnan. "Resistant hypertension updated guidelines." Current Cardiology Reports 21.10 (2019): 1-10</w:t>
      </w:r>
      <w:proofErr w:type="gramStart"/>
      <w:r w:rsidRPr="007C5A89">
        <w:rPr>
          <w:rStyle w:val="ac"/>
          <w:rFonts w:eastAsiaTheme="majorEastAsia"/>
          <w:sz w:val="24"/>
          <w:szCs w:val="24"/>
          <w:lang w:val="en-US"/>
        </w:rPr>
        <w:t>..</w:t>
      </w:r>
      <w:proofErr w:type="gramEnd"/>
    </w:p>
    <w:p w14:paraId="6CC14EA4"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 xml:space="preserve">«Böhm, Michael, Kazuomi Kario, David E. Kandzari, Felix Mahfoud, Michael A. Weber, Roland E. Schmieder, Konstantinos Tsioufis et al. "Efficacy of catheter-based renal denervation in the absence of antihypertensive medications (SPYRAL HTN-OFF MED Pivotal):,» </w:t>
      </w:r>
      <w:r w:rsidRPr="007C5A89">
        <w:rPr>
          <w:rStyle w:val="ac"/>
          <w:rFonts w:eastAsiaTheme="majorEastAsia"/>
          <w:i/>
          <w:iCs/>
          <w:sz w:val="24"/>
          <w:szCs w:val="24"/>
          <w:lang w:val="en-US"/>
        </w:rPr>
        <w:t>a multicentre, randomised, sham-controlled trial." The Lancet 395, no. 10234 (2020): 1444-1451</w:t>
      </w:r>
      <w:proofErr w:type="gramStart"/>
      <w:r w:rsidRPr="007C5A89">
        <w:rPr>
          <w:rStyle w:val="ac"/>
          <w:rFonts w:eastAsiaTheme="majorEastAsia"/>
          <w:i/>
          <w:iCs/>
          <w:sz w:val="24"/>
          <w:szCs w:val="24"/>
          <w:lang w:val="en-US"/>
        </w:rPr>
        <w:t>..</w:t>
      </w:r>
      <w:proofErr w:type="gramEnd"/>
    </w:p>
    <w:p w14:paraId="4EF2DA6B"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«Azizi, M., Schmieder, R. E., Mahfoud, F., Weber, M. A., Daemen, J., Davies, J., ... </w:t>
      </w:r>
      <w:r w:rsidRPr="007C5A89">
        <w:rPr>
          <w:rStyle w:val="ac"/>
          <w:rFonts w:eastAsiaTheme="majorEastAsia"/>
          <w:sz w:val="24"/>
          <w:szCs w:val="24"/>
        </w:rPr>
        <w:t xml:space="preserve">&amp; </w:t>
      </w:r>
      <w:r w:rsidRPr="007C5A89">
        <w:rPr>
          <w:rStyle w:val="ac"/>
          <w:rFonts w:eastAsiaTheme="majorEastAsia"/>
          <w:sz w:val="24"/>
          <w:szCs w:val="24"/>
          <w:lang w:val="en-US"/>
        </w:rPr>
        <w:t xml:space="preserve">Renkin, J. </w:t>
      </w:r>
      <w:r w:rsidRPr="007C5A89">
        <w:rPr>
          <w:rStyle w:val="ac"/>
          <w:rFonts w:eastAsiaTheme="majorEastAsia"/>
          <w:sz w:val="24"/>
          <w:szCs w:val="24"/>
        </w:rPr>
        <w:t xml:space="preserve">(2018). </w:t>
      </w:r>
      <w:r w:rsidRPr="007C5A89">
        <w:rPr>
          <w:rStyle w:val="ac"/>
          <w:rFonts w:eastAsiaTheme="majorEastAsia"/>
          <w:sz w:val="24"/>
          <w:szCs w:val="24"/>
          <w:lang w:val="en-US"/>
        </w:rPr>
        <w:t>Endovascular ultrasound renal denervation to treat hypertension</w:t>
      </w:r>
    </w:p>
    <w:p w14:paraId="55B229FD" w14:textId="77777777" w:rsidR="00CB781F" w:rsidRPr="007C5A89" w:rsidRDefault="00CB781F" w:rsidP="007C5A89">
      <w:pPr>
        <w:pStyle w:val="11"/>
        <w:tabs>
          <w:tab w:val="left" w:pos="709"/>
        </w:tabs>
        <w:spacing w:line="276" w:lineRule="auto"/>
        <w:ind w:left="709" w:hanging="709"/>
        <w:jc w:val="both"/>
        <w:rPr>
          <w:sz w:val="24"/>
          <w:szCs w:val="24"/>
        </w:rPr>
      </w:pPr>
      <w:r w:rsidRPr="007C5A89">
        <w:rPr>
          <w:rStyle w:val="ac"/>
          <w:rFonts w:eastAsiaTheme="majorEastAsia"/>
          <w:sz w:val="24"/>
          <w:szCs w:val="24"/>
          <w:lang w:val="en-US"/>
        </w:rPr>
        <w:t>(RADIANCE-HTN SOLO): a multicentre, international, single-blind, randomised,</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 xml:space="preserve"> </w:t>
      </w:r>
      <w:r w:rsidRPr="007C5A89">
        <w:rPr>
          <w:rStyle w:val="ac"/>
          <w:rFonts w:eastAsiaTheme="majorEastAsia"/>
          <w:i/>
          <w:iCs/>
          <w:sz w:val="24"/>
          <w:szCs w:val="24"/>
          <w:lang w:val="en-US"/>
        </w:rPr>
        <w:t xml:space="preserve">sham- controlled trial. The Lancet, </w:t>
      </w:r>
      <w:r w:rsidRPr="007C5A89">
        <w:rPr>
          <w:rStyle w:val="ac"/>
          <w:rFonts w:eastAsiaTheme="majorEastAsia"/>
          <w:i/>
          <w:iCs/>
          <w:sz w:val="24"/>
          <w:szCs w:val="24"/>
        </w:rPr>
        <w:t>391(10137), 2335-2345</w:t>
      </w:r>
      <w:proofErr w:type="gramStart"/>
      <w:r w:rsidRPr="007C5A89">
        <w:rPr>
          <w:rStyle w:val="ac"/>
          <w:rFonts w:eastAsiaTheme="majorEastAsia"/>
          <w:i/>
          <w:iCs/>
          <w:sz w:val="24"/>
          <w:szCs w:val="24"/>
        </w:rPr>
        <w:t>..</w:t>
      </w:r>
      <w:proofErr w:type="gramEnd"/>
    </w:p>
    <w:p w14:paraId="2F01B710"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«Azizi, M., Sanghvi, K., Saxena, M., Gosse, P., Reilly, J. P., Levy, T., ... &amp; Ocampo, M. (2021). Ultrasound renal denervation for hypertension resistant to a triple medication pill (RADIANCE-HTN TRIO): a randomised, multicentre, single-blind,</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 xml:space="preserve"> </w:t>
      </w:r>
      <w:r w:rsidRPr="007C5A89">
        <w:rPr>
          <w:rStyle w:val="ac"/>
          <w:rFonts w:eastAsiaTheme="majorEastAsia"/>
          <w:i/>
          <w:iCs/>
          <w:sz w:val="24"/>
          <w:szCs w:val="24"/>
          <w:lang w:val="en-US"/>
        </w:rPr>
        <w:t xml:space="preserve">sham-controlled trial. The Lancet, </w:t>
      </w:r>
      <w:r w:rsidRPr="007C5A89">
        <w:rPr>
          <w:rStyle w:val="ac"/>
          <w:rFonts w:eastAsiaTheme="majorEastAsia"/>
          <w:i/>
          <w:iCs/>
          <w:sz w:val="24"/>
          <w:szCs w:val="24"/>
        </w:rPr>
        <w:t>397(10293), 2476-2486</w:t>
      </w:r>
      <w:proofErr w:type="gramStart"/>
      <w:r w:rsidRPr="007C5A89">
        <w:rPr>
          <w:rStyle w:val="ac"/>
          <w:rFonts w:eastAsiaTheme="majorEastAsia"/>
          <w:i/>
          <w:iCs/>
          <w:sz w:val="24"/>
          <w:szCs w:val="24"/>
        </w:rPr>
        <w:t>..</w:t>
      </w:r>
      <w:proofErr w:type="gramEnd"/>
    </w:p>
    <w:p w14:paraId="6FD8A6B8"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«Kandzari DE, Bohm M, Mahfoud F, Townsend RR, Weber MA, Pocock S, et al., SPYRAL HTN-ON MED Trial Investigators. Effect of renal denervation on blood pressure in the presence of antihypertensive drugs: 6-month efficacy and safety results from the</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 xml:space="preserve"> </w:t>
      </w:r>
      <w:r w:rsidRPr="007C5A89">
        <w:rPr>
          <w:rStyle w:val="ac"/>
          <w:rFonts w:eastAsiaTheme="majorEastAsia"/>
          <w:i/>
          <w:iCs/>
          <w:sz w:val="24"/>
          <w:szCs w:val="24"/>
          <w:lang w:val="en-US"/>
        </w:rPr>
        <w:t xml:space="preserve">SPYRAL HTN-ON MED proof-of-concept randomised trial. Lancet </w:t>
      </w:r>
      <w:r w:rsidRPr="007C5A89">
        <w:rPr>
          <w:rStyle w:val="ac"/>
          <w:rFonts w:eastAsiaTheme="majorEastAsia"/>
          <w:i/>
          <w:iCs/>
          <w:sz w:val="24"/>
          <w:szCs w:val="24"/>
        </w:rPr>
        <w:t>2018; 391:2346–2355.</w:t>
      </w:r>
    </w:p>
    <w:p w14:paraId="6580CCBD"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«Kandzari DE. SPYRAL HTN ON Med Extension. AHA. </w:t>
      </w:r>
      <w:r w:rsidRPr="007C5A89">
        <w:rPr>
          <w:rStyle w:val="ac"/>
          <w:rFonts w:eastAsiaTheme="majorEastAsia"/>
          <w:sz w:val="24"/>
          <w:szCs w:val="24"/>
        </w:rPr>
        <w:t>2022.».</w:t>
      </w:r>
    </w:p>
    <w:p w14:paraId="193B5E15"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«Biffi A, Dell’Oro R, Quarti-Trevano F, et al. </w:t>
      </w:r>
      <w:r w:rsidRPr="007C5A89">
        <w:rPr>
          <w:rStyle w:val="ac"/>
          <w:rFonts w:eastAsiaTheme="majorEastAsia"/>
          <w:sz w:val="24"/>
          <w:szCs w:val="24"/>
          <w:lang w:val="en-US"/>
        </w:rPr>
        <w:t xml:space="preserve">Effects of renal denervation on sympathetic nerve traffic and correlates in drug-resistant and uncontrolled hypertension: a systematic </w:t>
      </w:r>
      <w:r w:rsidRPr="007C5A89">
        <w:rPr>
          <w:rStyle w:val="ac"/>
          <w:rFonts w:eastAsiaTheme="majorEastAsia"/>
          <w:sz w:val="24"/>
          <w:szCs w:val="24"/>
          <w:lang w:val="en-US"/>
        </w:rPr>
        <w:lastRenderedPageBreak/>
        <w:t>review and meta-analysis. Hypertension 2023; 80:659–667.».</w:t>
      </w:r>
    </w:p>
    <w:p w14:paraId="159502EE"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DiBona GF. Physiology in perspective: the wisdom of the body. Neural </w:t>
      </w:r>
      <w:proofErr w:type="gramStart"/>
      <w:r w:rsidRPr="007C5A89">
        <w:rPr>
          <w:rStyle w:val="ac"/>
          <w:rFonts w:eastAsiaTheme="majorEastAsia"/>
          <w:sz w:val="24"/>
          <w:szCs w:val="24"/>
          <w:lang w:val="en-US"/>
        </w:rPr>
        <w:t>control .</w:t>
      </w:r>
      <w:proofErr w:type="gramEnd"/>
      <w:r w:rsidRPr="007C5A89">
        <w:rPr>
          <w:rStyle w:val="ac"/>
          <w:rFonts w:eastAsiaTheme="majorEastAsia"/>
          <w:sz w:val="24"/>
          <w:szCs w:val="24"/>
          <w:lang w:val="en-US"/>
        </w:rPr>
        <w:t xml:space="preserve"> of the kidney. Am J Physiol Regul Integr Comp Physiol </w:t>
      </w:r>
      <w:r w:rsidRPr="007C5A89">
        <w:rPr>
          <w:rStyle w:val="ac"/>
          <w:rFonts w:eastAsiaTheme="majorEastAsia"/>
          <w:sz w:val="24"/>
          <w:szCs w:val="24"/>
        </w:rPr>
        <w:t>2005</w:t>
      </w:r>
      <w:proofErr w:type="gramStart"/>
      <w:r w:rsidRPr="007C5A89">
        <w:rPr>
          <w:rStyle w:val="ac"/>
          <w:rFonts w:eastAsiaTheme="majorEastAsia"/>
          <w:sz w:val="24"/>
          <w:szCs w:val="24"/>
        </w:rPr>
        <w:t>;289:R633</w:t>
      </w:r>
      <w:proofErr w:type="gramEnd"/>
      <w:r w:rsidRPr="007C5A89">
        <w:rPr>
          <w:rStyle w:val="ac"/>
          <w:rFonts w:eastAsiaTheme="majorEastAsia"/>
          <w:sz w:val="24"/>
          <w:szCs w:val="24"/>
        </w:rPr>
        <w:t>–R641..</w:t>
      </w:r>
    </w:p>
    <w:p w14:paraId="109E19E3"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Narkiewicz K, Ratcliffe LE, Hart EC, et al. </w:t>
      </w:r>
      <w:r w:rsidRPr="007C5A89">
        <w:rPr>
          <w:rStyle w:val="ac"/>
          <w:rFonts w:eastAsiaTheme="majorEastAsia"/>
          <w:sz w:val="24"/>
          <w:szCs w:val="24"/>
          <w:lang w:val="en-US"/>
        </w:rPr>
        <w:t>Unilateral carotid body resection in resistant hypertension: a safety and feasibility trial. JACC Basic Transl Sci 2016</w:t>
      </w:r>
      <w:proofErr w:type="gramStart"/>
      <w:r w:rsidRPr="007C5A89">
        <w:rPr>
          <w:rStyle w:val="ac"/>
          <w:rFonts w:eastAsiaTheme="majorEastAsia"/>
          <w:sz w:val="24"/>
          <w:szCs w:val="24"/>
          <w:lang w:val="en-US"/>
        </w:rPr>
        <w:t>;1:313</w:t>
      </w:r>
      <w:proofErr w:type="gramEnd"/>
      <w:r w:rsidRPr="007C5A89">
        <w:rPr>
          <w:rStyle w:val="ac"/>
          <w:rFonts w:eastAsiaTheme="majorEastAsia"/>
          <w:sz w:val="24"/>
          <w:szCs w:val="24"/>
          <w:lang w:val="en-US"/>
        </w:rPr>
        <w:t>–324..</w:t>
      </w:r>
    </w:p>
    <w:p w14:paraId="1C53E080"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Mahfoud F, Bohm M, Azizi M et al. </w:t>
      </w:r>
      <w:r w:rsidRPr="007C5A89">
        <w:rPr>
          <w:rStyle w:val="ac"/>
          <w:rFonts w:eastAsiaTheme="majorEastAsia"/>
          <w:sz w:val="24"/>
          <w:szCs w:val="24"/>
          <w:lang w:val="en-US"/>
        </w:rPr>
        <w:t>Proceedings from the European Clinical Consensus Conference for Renal Denervation: considerations on future clinical trial design. Eur Heart J 2015</w:t>
      </w:r>
      <w:proofErr w:type="gramStart"/>
      <w:r w:rsidRPr="007C5A89">
        <w:rPr>
          <w:rStyle w:val="ac"/>
          <w:rFonts w:eastAsiaTheme="majorEastAsia"/>
          <w:sz w:val="24"/>
          <w:szCs w:val="24"/>
          <w:lang w:val="en-US"/>
        </w:rPr>
        <w:t>;36:2219</w:t>
      </w:r>
      <w:proofErr w:type="gramEnd"/>
      <w:r w:rsidRPr="007C5A89">
        <w:rPr>
          <w:rStyle w:val="ac"/>
          <w:rFonts w:eastAsiaTheme="majorEastAsia"/>
          <w:sz w:val="24"/>
          <w:szCs w:val="24"/>
          <w:lang w:val="en-US"/>
        </w:rPr>
        <w:t>–2227..</w:t>
      </w:r>
    </w:p>
    <w:p w14:paraId="58D84978"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«Kirtane AJ, Sharp ASP, Mahfoud F, et al., RADIANCE Investigators and Collaborators. Patient-level pooled analysis of ultrasound renal denervation in the sham-controlled RADIANCE II, RADIANCE-HTN SOLO, and RADIANCE-HTN TRIO trials. JAMA Cardiol </w:t>
      </w:r>
      <w:r w:rsidRPr="007C5A89">
        <w:rPr>
          <w:rStyle w:val="ac"/>
          <w:rFonts w:eastAsiaTheme="majorEastAsia"/>
          <w:sz w:val="24"/>
          <w:szCs w:val="24"/>
        </w:rPr>
        <w:t>2023; 8:464».</w:t>
      </w:r>
    </w:p>
    <w:p w14:paraId="7C87588E"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«Townsend RR, Walton A, Hettrick DA, et al. Review and meta-analysis of renal artery damage following percutaneous renal denervation with radiofrequency renal artery ablation. EuroIntervention 2020; 16:89–96.».</w:t>
      </w:r>
    </w:p>
    <w:p w14:paraId="6F5D493A"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«Lauder L, Azizi M, Kirtane AJ,et al. </w:t>
      </w:r>
      <w:r w:rsidRPr="007C5A89">
        <w:rPr>
          <w:rStyle w:val="ac"/>
          <w:rFonts w:eastAsiaTheme="majorEastAsia"/>
          <w:sz w:val="24"/>
          <w:szCs w:val="24"/>
          <w:lang w:val="en-US"/>
        </w:rPr>
        <w:t>Device-based therapies for arterial hypertension. Nat Rev Cardiol 2020; 17:614–628.».</w:t>
      </w:r>
    </w:p>
    <w:p w14:paraId="68CF29D5"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Sarafidis, P. A., Lazaridis, A. A., Ruiz-Hurtado, G. &amp; Ruilope, L. M. Blood pressure reduction in diabetes: lessons from ACCORD, SPRINT and EMPA-REG OUTCOME. Nat. Rev. Endocrinol. </w:t>
      </w:r>
      <w:hyperlink r:id="rId18" w:history="1">
        <w:r w:rsidRPr="007C5A89">
          <w:rPr>
            <w:rStyle w:val="ac"/>
            <w:rFonts w:eastAsiaTheme="majorEastAsia"/>
            <w:sz w:val="24"/>
            <w:szCs w:val="24"/>
            <w:lang w:val="en-US"/>
          </w:rPr>
          <w:t>http://dx.doi.org/10.1038/nrendo.2016.209</w:t>
        </w:r>
      </w:hyperlink>
      <w:r w:rsidRPr="007C5A89">
        <w:rPr>
          <w:rStyle w:val="ac"/>
          <w:rFonts w:eastAsiaTheme="majorEastAsia"/>
          <w:sz w:val="24"/>
          <w:szCs w:val="24"/>
          <w:lang w:val="en-US"/>
        </w:rPr>
        <w:t xml:space="preserve"> </w:t>
      </w:r>
      <w:r w:rsidRPr="007C5A89">
        <w:rPr>
          <w:rStyle w:val="ac"/>
          <w:rFonts w:eastAsiaTheme="majorEastAsia"/>
          <w:sz w:val="24"/>
          <w:szCs w:val="24"/>
        </w:rPr>
        <w:t>(2017)</w:t>
      </w:r>
      <w:proofErr w:type="gramStart"/>
      <w:r w:rsidRPr="007C5A89">
        <w:rPr>
          <w:rStyle w:val="ac"/>
          <w:rFonts w:eastAsiaTheme="majorEastAsia"/>
          <w:sz w:val="24"/>
          <w:szCs w:val="24"/>
        </w:rPr>
        <w:t>..</w:t>
      </w:r>
      <w:proofErr w:type="gramEnd"/>
    </w:p>
    <w:p w14:paraId="6E84C2A4"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Patel A, ADVANCE Collaborative Group, MacMahon S, et al. Effects of a fixed combination of perindopril and indapamide on macrovascular and microvascular outcomes in patients with type 2 diabetes mellitus (the ADVANCE trial): a randomised controlled trial</w:t>
      </w:r>
      <w:proofErr w:type="gramStart"/>
      <w:r w:rsidRPr="007C5A89">
        <w:rPr>
          <w:rStyle w:val="ac"/>
          <w:rFonts w:eastAsiaTheme="majorEastAsia"/>
          <w:sz w:val="24"/>
          <w:szCs w:val="24"/>
          <w:lang w:val="en-US"/>
        </w:rPr>
        <w:t>..</w:t>
      </w:r>
      <w:proofErr w:type="gramEnd"/>
    </w:p>
    <w:p w14:paraId="762C0DDA"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Thomopoulos C, Parati G, Zanchetti A. Effects of blood-pressure-lowering treatment on outcome incidence in hypertension: 10 — Should blood pressure management differ in hypertensive patients with and without diabetes mellitus</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 xml:space="preserve"> Overview and meta-analyses of randomized trials. J Hypertens </w:t>
      </w:r>
      <w:r w:rsidRPr="007C5A89">
        <w:rPr>
          <w:rStyle w:val="ac"/>
          <w:rFonts w:eastAsiaTheme="majorEastAsia"/>
          <w:sz w:val="24"/>
          <w:szCs w:val="24"/>
        </w:rPr>
        <w:t>2017</w:t>
      </w:r>
      <w:proofErr w:type="gramStart"/>
      <w:r w:rsidRPr="007C5A89">
        <w:rPr>
          <w:rStyle w:val="ac"/>
          <w:rFonts w:eastAsiaTheme="majorEastAsia"/>
          <w:sz w:val="24"/>
          <w:szCs w:val="24"/>
        </w:rPr>
        <w:t>;35:922</w:t>
      </w:r>
      <w:proofErr w:type="gramEnd"/>
      <w:r w:rsidRPr="007C5A89">
        <w:rPr>
          <w:rStyle w:val="ac"/>
          <w:rFonts w:eastAsiaTheme="majorEastAsia"/>
          <w:sz w:val="24"/>
          <w:szCs w:val="24"/>
        </w:rPr>
        <w:t>–944. .</w:t>
      </w:r>
    </w:p>
    <w:p w14:paraId="131C6334"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Kario K. et al. Comparative Effects of an Angiotensin II Receptor Blocker (ARB)/Diuretic vs. ARB/Calcium-Channel Blocker Combination on Uncontrolled Nocturnal Hypertension Evaluated by Information and Communication Technology-Based, Nocturnal Home Blood Pressure Monitoring―The NOCTURNE Study― //Circulation Journal. – 2017. – </w:t>
      </w:r>
      <w:r w:rsidRPr="007C5A89">
        <w:rPr>
          <w:rStyle w:val="ac"/>
          <w:rFonts w:eastAsiaTheme="majorEastAsia"/>
          <w:sz w:val="24"/>
          <w:szCs w:val="24"/>
        </w:rPr>
        <w:t>Т</w:t>
      </w:r>
      <w:r w:rsidRPr="007C5A89">
        <w:rPr>
          <w:rStyle w:val="ac"/>
          <w:rFonts w:eastAsiaTheme="majorEastAsia"/>
          <w:sz w:val="24"/>
          <w:szCs w:val="24"/>
          <w:lang w:val="en-US"/>
        </w:rPr>
        <w:t xml:space="preserve">. 81. – №. </w:t>
      </w:r>
      <w:r w:rsidRPr="007C5A89">
        <w:rPr>
          <w:rStyle w:val="ac"/>
          <w:rFonts w:eastAsiaTheme="majorEastAsia"/>
          <w:sz w:val="24"/>
          <w:szCs w:val="24"/>
        </w:rPr>
        <w:t>7. – С. 948-957..</w:t>
      </w:r>
    </w:p>
    <w:p w14:paraId="431670DF"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Tsai WC, Wu HY, Peng YS, et al. </w:t>
      </w:r>
      <w:r w:rsidRPr="007C5A89">
        <w:rPr>
          <w:rStyle w:val="ac"/>
          <w:rFonts w:eastAsiaTheme="majorEastAsia"/>
          <w:sz w:val="24"/>
          <w:szCs w:val="24"/>
          <w:lang w:val="en-US"/>
        </w:rPr>
        <w:t>Association of intensive blood pressure control and kidney disease progression in nondiabetic patients with chronic kidney disease: a systematic review and meta-analysis. JAMA Intern Med 2017</w:t>
      </w:r>
      <w:proofErr w:type="gramStart"/>
      <w:r w:rsidRPr="007C5A89">
        <w:rPr>
          <w:rStyle w:val="ac"/>
          <w:rFonts w:eastAsiaTheme="majorEastAsia"/>
          <w:sz w:val="24"/>
          <w:szCs w:val="24"/>
          <w:lang w:val="en-US"/>
        </w:rPr>
        <w:t>;177:792</w:t>
      </w:r>
      <w:proofErr w:type="gramEnd"/>
      <w:r w:rsidRPr="007C5A89">
        <w:rPr>
          <w:rStyle w:val="ac"/>
          <w:rFonts w:eastAsiaTheme="majorEastAsia"/>
          <w:sz w:val="24"/>
          <w:szCs w:val="24"/>
          <w:lang w:val="en-US"/>
        </w:rPr>
        <w:t>–799..</w:t>
      </w:r>
    </w:p>
    <w:p w14:paraId="4EF4F094"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SPRINT Research Group. A randomized trial of intensive versus standard blood pressure control. New England Journal of Medicine </w:t>
      </w:r>
      <w:r w:rsidRPr="007C5A89">
        <w:rPr>
          <w:rStyle w:val="ac"/>
          <w:rFonts w:eastAsiaTheme="majorEastAsia"/>
          <w:sz w:val="24"/>
          <w:szCs w:val="24"/>
        </w:rPr>
        <w:t>2015</w:t>
      </w:r>
      <w:proofErr w:type="gramStart"/>
      <w:r w:rsidRPr="007C5A89">
        <w:rPr>
          <w:rStyle w:val="ac"/>
          <w:rFonts w:eastAsiaTheme="majorEastAsia"/>
          <w:sz w:val="24"/>
          <w:szCs w:val="24"/>
        </w:rPr>
        <w:t>;373</w:t>
      </w:r>
      <w:proofErr w:type="gramEnd"/>
      <w:r w:rsidRPr="007C5A89">
        <w:rPr>
          <w:rStyle w:val="ac"/>
          <w:rFonts w:eastAsiaTheme="majorEastAsia"/>
          <w:sz w:val="24"/>
          <w:szCs w:val="24"/>
        </w:rPr>
        <w:t>(22):2103–2116..</w:t>
      </w:r>
    </w:p>
    <w:p w14:paraId="25BE483E"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Cheung AK, Rahman M, Reboussin DM, et al. </w:t>
      </w:r>
      <w:r w:rsidRPr="007C5A89">
        <w:rPr>
          <w:rStyle w:val="ac"/>
          <w:rFonts w:eastAsiaTheme="majorEastAsia"/>
          <w:sz w:val="24"/>
          <w:szCs w:val="24"/>
          <w:lang w:val="en-US"/>
        </w:rPr>
        <w:t>Effects of intensive BP control in CKD. J Am Soc Nephrol. 2017</w:t>
      </w:r>
      <w:proofErr w:type="gramStart"/>
      <w:r w:rsidRPr="007C5A89">
        <w:rPr>
          <w:rStyle w:val="ac"/>
          <w:rFonts w:eastAsiaTheme="majorEastAsia"/>
          <w:sz w:val="24"/>
          <w:szCs w:val="24"/>
          <w:lang w:val="en-US"/>
        </w:rPr>
        <w:t>;28:2812</w:t>
      </w:r>
      <w:proofErr w:type="gramEnd"/>
      <w:r w:rsidRPr="007C5A89">
        <w:rPr>
          <w:rStyle w:val="ac"/>
          <w:rFonts w:eastAsiaTheme="majorEastAsia"/>
          <w:sz w:val="24"/>
          <w:szCs w:val="24"/>
          <w:lang w:val="en-US"/>
        </w:rPr>
        <w:t>-2823..</w:t>
      </w:r>
    </w:p>
    <w:p w14:paraId="0FE62A46"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Kidney Disease: Improving Global Outcomes (KDIGO) Blood Pressure Work Group. KDIGO 2021 Clinical Practice Guideline for the Management of Blood Pressure in Chronic Kidney Disease. Kidney </w:t>
      </w:r>
      <w:r w:rsidRPr="007C5A89">
        <w:rPr>
          <w:rStyle w:val="ac"/>
          <w:rFonts w:eastAsiaTheme="majorEastAsia"/>
          <w:sz w:val="24"/>
          <w:szCs w:val="24"/>
        </w:rPr>
        <w:t>Int.2021</w:t>
      </w:r>
      <w:proofErr w:type="gramStart"/>
      <w:r w:rsidRPr="007C5A89">
        <w:rPr>
          <w:rStyle w:val="ac"/>
          <w:rFonts w:eastAsiaTheme="majorEastAsia"/>
          <w:sz w:val="24"/>
          <w:szCs w:val="24"/>
        </w:rPr>
        <w:t>;99</w:t>
      </w:r>
      <w:proofErr w:type="gramEnd"/>
      <w:r w:rsidRPr="007C5A89">
        <w:rPr>
          <w:rStyle w:val="ac"/>
          <w:rFonts w:eastAsiaTheme="majorEastAsia"/>
          <w:sz w:val="24"/>
          <w:szCs w:val="24"/>
        </w:rPr>
        <w:t>(3S):S1–S87..</w:t>
      </w:r>
    </w:p>
    <w:p w14:paraId="0BF0784E"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 xml:space="preserve">Papademetriou V, Zaheer M, Doumas M, et al. Cardiovascular Outcomes in Action to Control Cardiovascular Risk in Diabetes: Impact of Blood Pressure Level and Presence of </w:t>
      </w:r>
      <w:r w:rsidRPr="007C5A89">
        <w:rPr>
          <w:rStyle w:val="ac"/>
          <w:rFonts w:eastAsiaTheme="majorEastAsia"/>
          <w:sz w:val="24"/>
          <w:szCs w:val="24"/>
          <w:lang w:val="en-US"/>
        </w:rPr>
        <w:lastRenderedPageBreak/>
        <w:t>Kidney Disease. American Journal of Nephrology 2016;43(4):271-280.</w:t>
      </w:r>
    </w:p>
    <w:p w14:paraId="2343F6A5"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Blood Pressure Lowering Treatment Trialists Collaboration, Ninomiya T, Perkovic V, et al. Blood pressure lowering and major cardiovascular events in people with and without chronic kidney disease: meta-analysis of randomised controlled trials. BMJ. 2013;3.</w:t>
      </w:r>
    </w:p>
    <w:p w14:paraId="0159D529"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Beddhu S, Chertow GM, Greene T, et al. Effects of intensive systolic blood pressure lowering on cardiovascular events and mortality in patients with type 2 diabetes mellitus on standard glycemic control and in those without diabetes mellitus</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 xml:space="preserve"> reconciling results from ACCORD and SPRINT. J Am Heart Assoc. 2018</w:t>
      </w:r>
      <w:proofErr w:type="gramStart"/>
      <w:r w:rsidRPr="007C5A89">
        <w:rPr>
          <w:rStyle w:val="ac"/>
          <w:rFonts w:eastAsiaTheme="majorEastAsia"/>
          <w:sz w:val="24"/>
          <w:szCs w:val="24"/>
          <w:lang w:val="en-US"/>
        </w:rPr>
        <w:t>;7:e009326</w:t>
      </w:r>
      <w:proofErr w:type="gramEnd"/>
      <w:r w:rsidRPr="007C5A89">
        <w:rPr>
          <w:rStyle w:val="ac"/>
          <w:rFonts w:eastAsiaTheme="majorEastAsia"/>
          <w:sz w:val="24"/>
          <w:szCs w:val="24"/>
        </w:rPr>
        <w:t>..</w:t>
      </w:r>
    </w:p>
    <w:p w14:paraId="6E5348BA"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Tsujimoto T, Kajio H. Benefits of Intensive blood pressure treatment in patients with type 2 diabetes mellitus receiving standard but not intensive glycemic control. Hypertension. </w:t>
      </w:r>
      <w:r w:rsidRPr="007C5A89">
        <w:rPr>
          <w:rStyle w:val="ac"/>
          <w:rFonts w:eastAsiaTheme="majorEastAsia"/>
          <w:sz w:val="24"/>
          <w:szCs w:val="24"/>
        </w:rPr>
        <w:t>2018;72:323-330..</w:t>
      </w:r>
    </w:p>
    <w:p w14:paraId="0C1A08AD"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Aggarwal R, Petrie, Bala W, et al. </w:t>
      </w:r>
      <w:r w:rsidRPr="007C5A89">
        <w:rPr>
          <w:rStyle w:val="ac"/>
          <w:rFonts w:eastAsiaTheme="majorEastAsia"/>
          <w:sz w:val="24"/>
          <w:szCs w:val="24"/>
          <w:lang w:val="en-US"/>
        </w:rPr>
        <w:t>Mortality outcomes with intensive blood pressure targets in chronic kidney disease patients. Hypertension. 2019</w:t>
      </w:r>
      <w:proofErr w:type="gramStart"/>
      <w:r w:rsidRPr="007C5A89">
        <w:rPr>
          <w:rStyle w:val="ac"/>
          <w:rFonts w:eastAsiaTheme="majorEastAsia"/>
          <w:sz w:val="24"/>
          <w:szCs w:val="24"/>
          <w:lang w:val="en-US"/>
        </w:rPr>
        <w:t>;73:1275</w:t>
      </w:r>
      <w:proofErr w:type="gramEnd"/>
      <w:r w:rsidRPr="007C5A89">
        <w:rPr>
          <w:rStyle w:val="ac"/>
          <w:rFonts w:eastAsiaTheme="majorEastAsia"/>
          <w:sz w:val="24"/>
          <w:szCs w:val="24"/>
          <w:lang w:val="en-US"/>
        </w:rPr>
        <w:t>-1282..</w:t>
      </w:r>
    </w:p>
    <w:p w14:paraId="5DCB92A9"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Jafar TH, Stark PC, Schmid CH, et al. AIPRD Study Group. Progression of chronic kid</w:t>
      </w:r>
      <w:r w:rsidRPr="007C5A89">
        <w:rPr>
          <w:rStyle w:val="ac"/>
          <w:rFonts w:eastAsiaTheme="majorEastAsia"/>
          <w:sz w:val="24"/>
          <w:szCs w:val="24"/>
          <w:lang w:val="en-US"/>
        </w:rPr>
        <w:softHyphen/>
        <w:t xml:space="preserve">ney disease: the role of blood pressure control, proteinuria, and angiotensin- converting enzyme inhibition: a patient-level meta-analysis. Ann Intern Med </w:t>
      </w:r>
      <w:r w:rsidRPr="007C5A89">
        <w:rPr>
          <w:rStyle w:val="ac"/>
          <w:rFonts w:eastAsiaTheme="majorEastAsia"/>
          <w:sz w:val="24"/>
          <w:szCs w:val="24"/>
        </w:rPr>
        <w:t>2003</w:t>
      </w:r>
      <w:proofErr w:type="gramStart"/>
      <w:r w:rsidRPr="007C5A89">
        <w:rPr>
          <w:rStyle w:val="ac"/>
          <w:rFonts w:eastAsiaTheme="majorEastAsia"/>
          <w:sz w:val="24"/>
          <w:szCs w:val="24"/>
        </w:rPr>
        <w:t>;139:244</w:t>
      </w:r>
      <w:proofErr w:type="gramEnd"/>
      <w:r w:rsidRPr="007C5A89">
        <w:rPr>
          <w:rStyle w:val="ac"/>
          <w:rFonts w:eastAsiaTheme="majorEastAsia"/>
          <w:sz w:val="24"/>
          <w:szCs w:val="24"/>
        </w:rPr>
        <w:t>–25.</w:t>
      </w:r>
    </w:p>
    <w:p w14:paraId="65C657FA"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«Deng, Xiaojuan, et al. "ACEI and ARB Lower the Incidence of End‐Stage Renal Disease among Patients with Diabetic Nephropathy: A Meta‐analysis." Computational and Mathematical Methods in Medicine 2022.1 (2022): 6962654.».</w:t>
      </w:r>
    </w:p>
    <w:p w14:paraId="0529F1F5"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«Zhang, Yaru, et al. "ACE inhibitor benefit to kidney and cardiovascular outcomes for patients with non-dialysis chronic kidney disease stages 3–5: a network meta-analysis of randomised clinical trials." Drugs 80 (2020): 797-811.».</w:t>
      </w:r>
    </w:p>
    <w:p w14:paraId="3533F934"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«Xie, Xinfang, et al. "Renin-angiotensin system inhibitors and kidney and cardiovascular outcomes in patients with CKD: a Bayesian network meta-analysis of randomized clinical trials." American Journal of Kidney Diseases 67.5 (2016): 728-741.».</w:t>
      </w:r>
    </w:p>
    <w:p w14:paraId="25EC1862"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«Huang, Rongzhong, et al. "Comparative efficacy and safety of antihypertensive agents for adult diabetic patients with microalbuminuric kidney disease: a network meta-analysis." PloS one 12.1 (2017): e0168582.».</w:t>
      </w:r>
    </w:p>
    <w:p w14:paraId="6D702EEE"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«Cho, Miseung, et al. "Clinical outcomes of renin angiotensin system inhibitor-based dual antihypertensive regimens in chronic kidney disease: a network meta-analysis." Scientific Reports 13.1 (2023): 5727.».</w:t>
      </w:r>
    </w:p>
    <w:p w14:paraId="03C55DAC"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«Agarwal R, Sinha AD, Tu W. Chlorthalidone for resistant hypertension in advanced chronic kidney disease. Circulation </w:t>
      </w:r>
      <w:r w:rsidRPr="007C5A89">
        <w:rPr>
          <w:rStyle w:val="ac"/>
          <w:rFonts w:eastAsiaTheme="majorEastAsia"/>
          <w:sz w:val="24"/>
          <w:szCs w:val="24"/>
        </w:rPr>
        <w:t>2022; 146:718–720.».</w:t>
      </w:r>
    </w:p>
    <w:p w14:paraId="45A730AD"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 xml:space="preserve">Heerspink HJL, Stefánsson BV, Correa-Rotter R, Chertow GM, Greene T, et al; DAPA- CKD Trial Committees and Investigators. Dapagliflozin in Patients with Chronic Kidney Disease. N Engl J Med. 2020 Oct 8;383(15):1436-1446. </w:t>
      </w:r>
      <w:proofErr w:type="gramStart"/>
      <w:r w:rsidRPr="007C5A89">
        <w:rPr>
          <w:rStyle w:val="ac"/>
          <w:rFonts w:eastAsiaTheme="majorEastAsia"/>
          <w:sz w:val="24"/>
          <w:szCs w:val="24"/>
          <w:lang w:val="en-US"/>
        </w:rPr>
        <w:t>doi</w:t>
      </w:r>
      <w:proofErr w:type="gramEnd"/>
      <w:r w:rsidRPr="007C5A89">
        <w:rPr>
          <w:rStyle w:val="ac"/>
          <w:rFonts w:eastAsiaTheme="majorEastAsia"/>
          <w:sz w:val="24"/>
          <w:szCs w:val="24"/>
          <w:lang w:val="en-US"/>
        </w:rPr>
        <w:t>: 10.1056/NEJMoa2024816..</w:t>
      </w:r>
    </w:p>
    <w:p w14:paraId="3A034898"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 xml:space="preserve">EMPA-KIDNEY Collaborative Group, Herrington WG, Staplin N, Wanner C, Green JB, Hauske SJ, et al. Empagliflozin in Patients with Chronic Kidney Disease. N Engl J Med. 2022 Nov 4. </w:t>
      </w:r>
      <w:proofErr w:type="gramStart"/>
      <w:r w:rsidRPr="007C5A89">
        <w:rPr>
          <w:rStyle w:val="ac"/>
          <w:rFonts w:eastAsiaTheme="majorEastAsia"/>
          <w:sz w:val="24"/>
          <w:szCs w:val="24"/>
          <w:lang w:val="en-US"/>
        </w:rPr>
        <w:t>doi</w:t>
      </w:r>
      <w:proofErr w:type="gramEnd"/>
      <w:r w:rsidRPr="007C5A89">
        <w:rPr>
          <w:rStyle w:val="ac"/>
          <w:rFonts w:eastAsiaTheme="majorEastAsia"/>
          <w:sz w:val="24"/>
          <w:szCs w:val="24"/>
          <w:lang w:val="en-US"/>
        </w:rPr>
        <w:t>: 10.1056/NEJMoa2204233..</w:t>
      </w:r>
    </w:p>
    <w:p w14:paraId="2B04D0B4"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«Agarwal R, Filippatos G, Pitt B, et al. Cardiovascular and kidney outcomes with finerenone in patients with type 2 diabetes and chronic kidney disease: the FIDELITY pooled analysis. Eur Heart J 2022; 43:474–484.».</w:t>
      </w:r>
    </w:p>
    <w:p w14:paraId="72C748ED"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«Bakris GL, Agarwal R, Anker SD, et al. Effect of Finerenone on Chronic Kidney Disease Outcomes in Type 2 Diabetes. N Engl J Med 2020; 383:2219–2229.».</w:t>
      </w:r>
    </w:p>
    <w:p w14:paraId="6245AD7F"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«Brunstrom M, Carlberg B. Association of blood pressure lowering with mortality and </w:t>
      </w:r>
      <w:r w:rsidRPr="007C5A89">
        <w:rPr>
          <w:rStyle w:val="ac"/>
          <w:rFonts w:eastAsiaTheme="majorEastAsia"/>
          <w:sz w:val="24"/>
          <w:szCs w:val="24"/>
          <w:lang w:val="en-US"/>
        </w:rPr>
        <w:lastRenderedPageBreak/>
        <w:t xml:space="preserve">cardiovascular disease across blood pressure levels: a systematic review and meta-analysis. JAMA Intern Med </w:t>
      </w:r>
      <w:r w:rsidRPr="007C5A89">
        <w:rPr>
          <w:rStyle w:val="ac"/>
          <w:rFonts w:eastAsiaTheme="majorEastAsia"/>
          <w:sz w:val="24"/>
          <w:szCs w:val="24"/>
        </w:rPr>
        <w:t>2018; 178:28–36.».</w:t>
      </w:r>
    </w:p>
    <w:p w14:paraId="261DD5A7"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Xie X, Atkins E, Lv J et al. </w:t>
      </w:r>
      <w:r w:rsidRPr="007C5A89">
        <w:rPr>
          <w:rStyle w:val="ac"/>
          <w:rFonts w:eastAsiaTheme="majorEastAsia"/>
          <w:sz w:val="24"/>
          <w:szCs w:val="24"/>
          <w:lang w:val="en-US"/>
        </w:rPr>
        <w:t>Effects of intensive blood pressure lowering on cardio- vascular and renal outcomes: updated systematic review and meta-analysis. Lancet 2016</w:t>
      </w:r>
      <w:proofErr w:type="gramStart"/>
      <w:r w:rsidRPr="007C5A89">
        <w:rPr>
          <w:rStyle w:val="ac"/>
          <w:rFonts w:eastAsiaTheme="majorEastAsia"/>
          <w:sz w:val="24"/>
          <w:szCs w:val="24"/>
          <w:lang w:val="en-US"/>
        </w:rPr>
        <w:t>;387:435</w:t>
      </w:r>
      <w:proofErr w:type="gramEnd"/>
      <w:r w:rsidRPr="007C5A89">
        <w:rPr>
          <w:rStyle w:val="ac"/>
          <w:rFonts w:eastAsiaTheme="majorEastAsia"/>
          <w:sz w:val="24"/>
          <w:szCs w:val="24"/>
          <w:lang w:val="en-US"/>
        </w:rPr>
        <w:t>– 443..</w:t>
      </w:r>
    </w:p>
    <w:p w14:paraId="619A2C73"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Vidal-Petiot E. et al. </w:t>
      </w:r>
      <w:r w:rsidRPr="007C5A89">
        <w:rPr>
          <w:rStyle w:val="ac"/>
          <w:rFonts w:eastAsiaTheme="majorEastAsia"/>
          <w:sz w:val="24"/>
          <w:szCs w:val="24"/>
          <w:lang w:val="en-US"/>
        </w:rPr>
        <w:t>Cardiovascular event rates and mortality according to achieved systolic and diastolic blood pressure in patients with stable coronary artery disease: an international cohort study. The Lancet 2016; 388(10056):2142–2152</w:t>
      </w:r>
      <w:proofErr w:type="gramStart"/>
      <w:r w:rsidRPr="007C5A89">
        <w:rPr>
          <w:rStyle w:val="ac"/>
          <w:rFonts w:eastAsiaTheme="majorEastAsia"/>
          <w:sz w:val="24"/>
          <w:szCs w:val="24"/>
          <w:lang w:val="en-US"/>
        </w:rPr>
        <w:t>..</w:t>
      </w:r>
      <w:proofErr w:type="gramEnd"/>
    </w:p>
    <w:p w14:paraId="72A82E3C"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Law MR, Morris JK, Wald NJ. Use of blood pressure lowering drugs in the prevention of cardiovascular disease: meta-analysis of 147 randomised trials in the context of expectations from prospective epidemiological studies. BMJ 2009</w:t>
      </w:r>
      <w:proofErr w:type="gramStart"/>
      <w:r w:rsidRPr="007C5A89">
        <w:rPr>
          <w:rStyle w:val="ac"/>
          <w:rFonts w:eastAsiaTheme="majorEastAsia"/>
          <w:sz w:val="24"/>
          <w:szCs w:val="24"/>
          <w:lang w:val="en-US"/>
        </w:rPr>
        <w:t>;338:b1665</w:t>
      </w:r>
      <w:proofErr w:type="gramEnd"/>
      <w:r w:rsidRPr="007C5A89">
        <w:rPr>
          <w:rStyle w:val="ac"/>
          <w:rFonts w:eastAsiaTheme="majorEastAsia"/>
          <w:sz w:val="24"/>
          <w:szCs w:val="24"/>
        </w:rPr>
        <w:t>..</w:t>
      </w:r>
    </w:p>
    <w:p w14:paraId="3902BAAB"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«Manolis AJ, Boden WE, Collins P, et al. State of the art approach to managing angina and ischemia: tailoring treatment to the evidence. Eur J Intern Med 2021; 92:40–47.».</w:t>
      </w:r>
    </w:p>
    <w:p w14:paraId="38C00A2A"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«Bangalore S, Makani H, Radford M, et al. Clinical outcomes with b-blockers for myocardial infarction: a meta-analysis of randomized trials. Am J Med 2014; 127:939– 953.».</w:t>
      </w:r>
    </w:p>
    <w:p w14:paraId="3A52B125"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«Bangalore, Sripal, et al. "Renin angiotensin system inhibitors for patients with stable coronary artery disease without heart failure: systematic review and meta-analysis of randomized trials." bmj 356 (2017).».</w:t>
      </w:r>
    </w:p>
    <w:p w14:paraId="1162A1A6"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«Fagard RH, Celis H, Thijs L, Wouters S. Regression of left ventricular mass by antihypertensive treatment: a meta-analysis of randomized comparative studies. Hypertension </w:t>
      </w:r>
      <w:r w:rsidRPr="007C5A89">
        <w:rPr>
          <w:rStyle w:val="ac"/>
          <w:rFonts w:eastAsiaTheme="majorEastAsia"/>
          <w:sz w:val="24"/>
          <w:szCs w:val="24"/>
        </w:rPr>
        <w:t>2009</w:t>
      </w:r>
      <w:proofErr w:type="gramStart"/>
      <w:r w:rsidRPr="007C5A89">
        <w:rPr>
          <w:rStyle w:val="ac"/>
          <w:rFonts w:eastAsiaTheme="majorEastAsia"/>
          <w:sz w:val="24"/>
          <w:szCs w:val="24"/>
        </w:rPr>
        <w:t>;54:1084</w:t>
      </w:r>
      <w:proofErr w:type="gramEnd"/>
      <w:r w:rsidRPr="007C5A89">
        <w:rPr>
          <w:rStyle w:val="ac"/>
          <w:rFonts w:eastAsiaTheme="majorEastAsia"/>
          <w:sz w:val="24"/>
          <w:szCs w:val="24"/>
        </w:rPr>
        <w:t>–1091.».</w:t>
      </w:r>
    </w:p>
    <w:p w14:paraId="0FE0228B"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«Thomopoulos C, Parati G, Zanchetti A. Effects of blood pressure-lowering treatment. 6. Prevention of heart failure and new-onset heart failure--meta-analyses of randomized trials. J Hypertens </w:t>
      </w:r>
      <w:r w:rsidRPr="007C5A89">
        <w:rPr>
          <w:rStyle w:val="ac"/>
          <w:rFonts w:eastAsiaTheme="majorEastAsia"/>
          <w:sz w:val="24"/>
          <w:szCs w:val="24"/>
        </w:rPr>
        <w:t>2016</w:t>
      </w:r>
      <w:proofErr w:type="gramStart"/>
      <w:r w:rsidRPr="007C5A89">
        <w:rPr>
          <w:rStyle w:val="ac"/>
          <w:rFonts w:eastAsiaTheme="majorEastAsia"/>
          <w:sz w:val="24"/>
          <w:szCs w:val="24"/>
        </w:rPr>
        <w:t>;34:373</w:t>
      </w:r>
      <w:proofErr w:type="gramEnd"/>
      <w:r w:rsidRPr="007C5A89">
        <w:rPr>
          <w:rStyle w:val="ac"/>
          <w:rFonts w:eastAsiaTheme="majorEastAsia"/>
          <w:sz w:val="24"/>
          <w:szCs w:val="24"/>
        </w:rPr>
        <w:t>–384.».</w:t>
      </w:r>
    </w:p>
    <w:p w14:paraId="2499DBAE"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 xml:space="preserve">«Dahlöf, Björn, et al. "Cardiovascular morbidity and mortality in the Losartan Intervention </w:t>
      </w:r>
      <w:proofErr w:type="gramStart"/>
      <w:r w:rsidRPr="007C5A89">
        <w:rPr>
          <w:rStyle w:val="ac"/>
          <w:rFonts w:eastAsiaTheme="majorEastAsia"/>
          <w:sz w:val="24"/>
          <w:szCs w:val="24"/>
          <w:lang w:val="en-US"/>
        </w:rPr>
        <w:t>For</w:t>
      </w:r>
      <w:proofErr w:type="gramEnd"/>
      <w:r w:rsidRPr="007C5A89">
        <w:rPr>
          <w:rStyle w:val="ac"/>
          <w:rFonts w:eastAsiaTheme="majorEastAsia"/>
          <w:sz w:val="24"/>
          <w:szCs w:val="24"/>
          <w:lang w:val="en-US"/>
        </w:rPr>
        <w:t xml:space="preserve"> Endpoint reduction in hypertension study (LIFE): a randomised trial against atenolol." The Lancet 359.9311 (2002): 995-1003.».</w:t>
      </w:r>
    </w:p>
    <w:p w14:paraId="3D8D69FE"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McDonagh, Theresa A., et al. "2021 ESC Guidelines for the diagnosis and treatment of acute and chronic heart failure: Developed by the Task Force for the diagnosis and treatment of acute and chronic heart failure of the European Society of Cardiology, (ESC) With the special contribution of the Heart Failure Association (HFA) of the ESC." European heart journal 42.36 (2021): 3599-3726</w:t>
      </w:r>
      <w:proofErr w:type="gramStart"/>
      <w:r w:rsidRPr="007C5A89">
        <w:rPr>
          <w:rStyle w:val="ac"/>
          <w:rFonts w:eastAsiaTheme="majorEastAsia"/>
          <w:sz w:val="24"/>
          <w:szCs w:val="24"/>
          <w:lang w:val="en-US"/>
        </w:rPr>
        <w:t>..</w:t>
      </w:r>
      <w:proofErr w:type="gramEnd"/>
    </w:p>
    <w:p w14:paraId="75280F8F"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Writing Committee Members; ACC/AHA Joint Committee Members. 2022 AHA/ACC/HFSA Guideline for the Management of Heart Failure. J Card Fail. </w:t>
      </w:r>
      <w:r w:rsidRPr="007C5A89">
        <w:rPr>
          <w:rStyle w:val="ac"/>
          <w:rFonts w:eastAsiaTheme="majorEastAsia"/>
          <w:sz w:val="24"/>
          <w:szCs w:val="24"/>
        </w:rPr>
        <w:t>2022.</w:t>
      </w:r>
    </w:p>
    <w:p w14:paraId="1CE9DC6F"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Zhang, Hongzhou, et al. "Efficacy and safety of sacubitril‐valsartan in heart failure: a meta‐ analysis of randomized controlled trials." ESC heart failure 7.6 (2020): 3841-3850</w:t>
      </w:r>
      <w:proofErr w:type="gramStart"/>
      <w:r w:rsidRPr="007C5A89">
        <w:rPr>
          <w:rStyle w:val="ac"/>
          <w:rFonts w:eastAsiaTheme="majorEastAsia"/>
          <w:sz w:val="24"/>
          <w:szCs w:val="24"/>
          <w:lang w:val="en-US"/>
        </w:rPr>
        <w:t>..</w:t>
      </w:r>
      <w:proofErr w:type="gramEnd"/>
    </w:p>
    <w:p w14:paraId="52BA4EFD"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Cleophas, T. J., and A. H. Zwinderman. "Beta-blockers and heart failure: meta-analysis of mortality trials." International journal of clinical pharmacology and therapeutics </w:t>
      </w:r>
      <w:r w:rsidRPr="007C5A89">
        <w:rPr>
          <w:rStyle w:val="ac"/>
          <w:rFonts w:eastAsiaTheme="majorEastAsia"/>
          <w:sz w:val="24"/>
          <w:szCs w:val="24"/>
        </w:rPr>
        <w:t>39.9 (2001): 383-388</w:t>
      </w:r>
      <w:proofErr w:type="gramStart"/>
      <w:r w:rsidRPr="007C5A89">
        <w:rPr>
          <w:rStyle w:val="ac"/>
          <w:rFonts w:eastAsiaTheme="majorEastAsia"/>
          <w:sz w:val="24"/>
          <w:szCs w:val="24"/>
        </w:rPr>
        <w:t>..</w:t>
      </w:r>
      <w:proofErr w:type="gramEnd"/>
    </w:p>
    <w:p w14:paraId="50751062"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Berbenetz, Nicolas M., and Marko Mrkobrada. "Mineralocorticoid receptor antagonists for heart failure: systematic review and meta-analysis." BMC cardiovascular disorders </w:t>
      </w:r>
      <w:r w:rsidRPr="007C5A89">
        <w:rPr>
          <w:rStyle w:val="ac"/>
          <w:rFonts w:eastAsiaTheme="majorEastAsia"/>
          <w:sz w:val="24"/>
          <w:szCs w:val="24"/>
        </w:rPr>
        <w:t>16.1 (2016): 1-10</w:t>
      </w:r>
      <w:proofErr w:type="gramStart"/>
      <w:r w:rsidRPr="007C5A89">
        <w:rPr>
          <w:rStyle w:val="ac"/>
          <w:rFonts w:eastAsiaTheme="majorEastAsia"/>
          <w:sz w:val="24"/>
          <w:szCs w:val="24"/>
        </w:rPr>
        <w:t>..</w:t>
      </w:r>
      <w:proofErr w:type="gramEnd"/>
    </w:p>
    <w:p w14:paraId="36025C97"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 xml:space="preserve">Chatterjee S, Biondi-Zoccai G, Abbate A, et al. Benefits of </w:t>
      </w:r>
      <w:r w:rsidRPr="007C5A89">
        <w:rPr>
          <w:rStyle w:val="ac"/>
          <w:rFonts w:eastAsiaTheme="majorEastAsia"/>
          <w:sz w:val="24"/>
          <w:szCs w:val="24"/>
        </w:rPr>
        <w:t>β</w:t>
      </w:r>
      <w:r w:rsidRPr="007C5A89">
        <w:rPr>
          <w:rStyle w:val="ac"/>
          <w:rFonts w:eastAsiaTheme="majorEastAsia"/>
          <w:sz w:val="24"/>
          <w:szCs w:val="24"/>
          <w:lang w:val="en-US"/>
        </w:rPr>
        <w:t xml:space="preserve"> blockers in patients with heart failure and reduced ejection fraction: network meta-analysis. BMJ. 2013</w:t>
      </w:r>
      <w:proofErr w:type="gramStart"/>
      <w:r w:rsidRPr="007C5A89">
        <w:rPr>
          <w:rStyle w:val="ac"/>
          <w:rFonts w:eastAsiaTheme="majorEastAsia"/>
          <w:sz w:val="24"/>
          <w:szCs w:val="24"/>
          <w:lang w:val="en-US"/>
        </w:rPr>
        <w:t>;346</w:t>
      </w:r>
      <w:proofErr w:type="gramEnd"/>
      <w:r w:rsidRPr="007C5A89">
        <w:rPr>
          <w:rStyle w:val="ac"/>
          <w:rFonts w:eastAsiaTheme="majorEastAsia"/>
          <w:sz w:val="24"/>
          <w:szCs w:val="24"/>
          <w:lang w:val="en-US"/>
        </w:rPr>
        <w:t xml:space="preserve">(jan16 1):f55. </w:t>
      </w:r>
      <w:r w:rsidRPr="007C5A89">
        <w:rPr>
          <w:rStyle w:val="ac"/>
          <w:rFonts w:eastAsiaTheme="majorEastAsia"/>
          <w:sz w:val="24"/>
          <w:szCs w:val="24"/>
          <w:lang w:val="en-US"/>
        </w:rPr>
        <w:lastRenderedPageBreak/>
        <w:t>doi:10.1136/bmj.f55.</w:t>
      </w:r>
    </w:p>
    <w:p w14:paraId="13A6D04B"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 xml:space="preserve">Zannad, F., McMurray, J. J., Krum, H., et al &amp; EMPHASIS-HF Study Group (2011). Eplerenone in patients with systolic heart failure and mild symptoms. The New England journal of medicine, 364(1), 11–21. </w:t>
      </w:r>
      <w:hyperlink r:id="rId19" w:history="1">
        <w:r w:rsidRPr="007C5A89">
          <w:rPr>
            <w:rStyle w:val="ac"/>
            <w:rFonts w:eastAsiaTheme="majorEastAsia"/>
            <w:sz w:val="24"/>
            <w:szCs w:val="24"/>
            <w:lang w:val="en-US"/>
          </w:rPr>
          <w:t>https://doi.org/10.1056/NEJMoa1009492</w:t>
        </w:r>
      </w:hyperlink>
      <w:r w:rsidRPr="007C5A89">
        <w:rPr>
          <w:rStyle w:val="ac"/>
          <w:rFonts w:eastAsiaTheme="majorEastAsia"/>
          <w:sz w:val="24"/>
          <w:szCs w:val="24"/>
          <w:lang w:val="en-US"/>
        </w:rPr>
        <w:t>.</w:t>
      </w:r>
    </w:p>
    <w:p w14:paraId="01919302"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«Burnett, Heather, et al. "Thirty years of evidence on the efficacy of drug treatments for chronic heart failure with reduced ejection fraction: a network meta-analysis." Circulation: Heart Failure 10.1 (2017): e003529.».</w:t>
      </w:r>
    </w:p>
    <w:p w14:paraId="48C16B53"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Shah RV, Akshay SD, Givertz MM. The effect of renin-angiotensin system inhibitors on mortality and heart failure hospitalization in patients with heart failure and preserved ejection fraction: a systematic review and meta-analysis., Journal of cardiac failure 16.3 (2010): 260–267</w:t>
      </w:r>
      <w:proofErr w:type="gramStart"/>
      <w:r w:rsidRPr="007C5A89">
        <w:rPr>
          <w:rStyle w:val="ac"/>
          <w:rFonts w:eastAsiaTheme="majorEastAsia"/>
          <w:sz w:val="24"/>
          <w:szCs w:val="24"/>
          <w:lang w:val="en-US"/>
        </w:rPr>
        <w:t>..</w:t>
      </w:r>
      <w:proofErr w:type="gramEnd"/>
    </w:p>
    <w:p w14:paraId="3F3F2073"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Packer M., O’Connor C.M., Ghali J.K. et al. Effect of amlodipine on morbidity and mortality in severe chronic heart failure. Prospective Randomized Amlodipine Survival Evaluation Study Group. N Engl J Med. 1996; 335 (15):1107–1114.;.</w:t>
      </w:r>
    </w:p>
    <w:p w14:paraId="73CCC426"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Packer, M., Carson, P., Elkayam, U., Konstam, M. A., Moe, G., O’Connor, C., DeMets, D. L. (2013). Effect of Amlodipine on the Survival of Patients </w:t>
      </w:r>
      <w:proofErr w:type="gramStart"/>
      <w:r w:rsidRPr="007C5A89">
        <w:rPr>
          <w:rStyle w:val="ac"/>
          <w:rFonts w:eastAsiaTheme="majorEastAsia"/>
          <w:sz w:val="24"/>
          <w:szCs w:val="24"/>
          <w:lang w:val="en-US"/>
        </w:rPr>
        <w:t>With</w:t>
      </w:r>
      <w:proofErr w:type="gramEnd"/>
      <w:r w:rsidRPr="007C5A89">
        <w:rPr>
          <w:rStyle w:val="ac"/>
          <w:rFonts w:eastAsiaTheme="majorEastAsia"/>
          <w:sz w:val="24"/>
          <w:szCs w:val="24"/>
          <w:lang w:val="en-US"/>
        </w:rPr>
        <w:t xml:space="preserve"> Severe Chronic Heart Failure Due to a Nonischemic Cardiomyopathy. JACC: Heart Failure, </w:t>
      </w:r>
      <w:r w:rsidRPr="007C5A89">
        <w:rPr>
          <w:rStyle w:val="ac"/>
          <w:rFonts w:eastAsiaTheme="majorEastAsia"/>
          <w:sz w:val="24"/>
          <w:szCs w:val="24"/>
        </w:rPr>
        <w:t>1(4), 308–314</w:t>
      </w:r>
      <w:proofErr w:type="gramStart"/>
      <w:r w:rsidRPr="007C5A89">
        <w:rPr>
          <w:rStyle w:val="ac"/>
          <w:rFonts w:eastAsiaTheme="majorEastAsia"/>
          <w:sz w:val="24"/>
          <w:szCs w:val="24"/>
        </w:rPr>
        <w:t>..</w:t>
      </w:r>
      <w:proofErr w:type="gramEnd"/>
    </w:p>
    <w:p w14:paraId="118DE6FC"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Goldstein R.E., Boccuzzi S.J., Cruess D., Nattel S. Diltiazem increases late-onset congestive heart failure in postinfarction patients with early reduction in ejection fraction. The Adverse Experience Committee; and the Multicenter Diltiazem, Postinfarction Research Group. Circulation </w:t>
      </w:r>
      <w:r w:rsidRPr="007C5A89">
        <w:rPr>
          <w:rStyle w:val="ac"/>
          <w:rFonts w:eastAsiaTheme="majorEastAsia"/>
          <w:sz w:val="24"/>
          <w:szCs w:val="24"/>
        </w:rPr>
        <w:t>1991</w:t>
      </w:r>
      <w:proofErr w:type="gramStart"/>
      <w:r w:rsidRPr="007C5A89">
        <w:rPr>
          <w:rStyle w:val="ac"/>
          <w:rFonts w:eastAsiaTheme="majorEastAsia"/>
          <w:sz w:val="24"/>
          <w:szCs w:val="24"/>
        </w:rPr>
        <w:t>;83:52</w:t>
      </w:r>
      <w:proofErr w:type="gramEnd"/>
      <w:r w:rsidRPr="007C5A89">
        <w:rPr>
          <w:rStyle w:val="ac"/>
          <w:rFonts w:eastAsiaTheme="majorEastAsia"/>
          <w:sz w:val="24"/>
          <w:szCs w:val="24"/>
        </w:rPr>
        <w:t>–60; .</w:t>
      </w:r>
    </w:p>
    <w:p w14:paraId="0BE30AB8"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Physicians Desk Reference. 47th ed. Montvale. NJ: Medical Economics Company, 1993: 2250.</w:t>
      </w:r>
    </w:p>
    <w:p w14:paraId="201EFF06"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rPr>
        <w:t xml:space="preserve">«Инструкция по медицинскому применению препарата Верапамил </w:t>
      </w:r>
      <w:hyperlink r:id="rId20" w:history="1">
        <w:r w:rsidRPr="007C5A89">
          <w:rPr>
            <w:rStyle w:val="ac"/>
            <w:rFonts w:eastAsiaTheme="majorEastAsia"/>
            <w:sz w:val="24"/>
            <w:szCs w:val="24"/>
            <w:lang w:val="en-US"/>
          </w:rPr>
          <w:t>https</w:t>
        </w:r>
        <w:r w:rsidRPr="007C5A89">
          <w:rPr>
            <w:rStyle w:val="ac"/>
            <w:rFonts w:eastAsiaTheme="majorEastAsia"/>
            <w:sz w:val="24"/>
            <w:szCs w:val="24"/>
          </w:rPr>
          <w:t>://</w:t>
        </w:r>
        <w:r w:rsidRPr="007C5A89">
          <w:rPr>
            <w:rStyle w:val="ac"/>
            <w:rFonts w:eastAsiaTheme="majorEastAsia"/>
            <w:sz w:val="24"/>
            <w:szCs w:val="24"/>
            <w:lang w:val="en-US"/>
          </w:rPr>
          <w:t>grls</w:t>
        </w:r>
        <w:r w:rsidRPr="007C5A89">
          <w:rPr>
            <w:rStyle w:val="ac"/>
            <w:rFonts w:eastAsiaTheme="majorEastAsia"/>
            <w:sz w:val="24"/>
            <w:szCs w:val="24"/>
          </w:rPr>
          <w:t>.</w:t>
        </w:r>
        <w:r w:rsidRPr="007C5A89">
          <w:rPr>
            <w:rStyle w:val="ac"/>
            <w:rFonts w:eastAsiaTheme="majorEastAsia"/>
            <w:sz w:val="24"/>
            <w:szCs w:val="24"/>
            <w:lang w:val="en-US"/>
          </w:rPr>
          <w:t>rosminzdrav</w:t>
        </w:r>
        <w:r w:rsidRPr="007C5A89">
          <w:rPr>
            <w:rStyle w:val="ac"/>
            <w:rFonts w:eastAsiaTheme="majorEastAsia"/>
            <w:sz w:val="24"/>
            <w:szCs w:val="24"/>
          </w:rPr>
          <w:t>.</w:t>
        </w:r>
        <w:r w:rsidRPr="007C5A89">
          <w:rPr>
            <w:rStyle w:val="ac"/>
            <w:rFonts w:eastAsiaTheme="majorEastAsia"/>
            <w:sz w:val="24"/>
            <w:szCs w:val="24"/>
            <w:lang w:val="en-US"/>
          </w:rPr>
          <w:t>ru</w:t>
        </w:r>
        <w:r w:rsidRPr="007C5A89">
          <w:rPr>
            <w:rStyle w:val="ac"/>
            <w:rFonts w:eastAsiaTheme="majorEastAsia"/>
            <w:sz w:val="24"/>
            <w:szCs w:val="24"/>
          </w:rPr>
          <w:t>/</w:t>
        </w:r>
        <w:r w:rsidRPr="007C5A89">
          <w:rPr>
            <w:rStyle w:val="ac"/>
            <w:rFonts w:eastAsiaTheme="majorEastAsia"/>
            <w:sz w:val="24"/>
            <w:szCs w:val="24"/>
            <w:lang w:val="en-US"/>
          </w:rPr>
          <w:t>Grls</w:t>
        </w:r>
        <w:r w:rsidRPr="007C5A89">
          <w:rPr>
            <w:rStyle w:val="ac"/>
            <w:rFonts w:eastAsiaTheme="majorEastAsia"/>
            <w:sz w:val="24"/>
            <w:szCs w:val="24"/>
          </w:rPr>
          <w:t>_</w:t>
        </w:r>
        <w:r w:rsidRPr="007C5A89">
          <w:rPr>
            <w:rStyle w:val="ac"/>
            <w:rFonts w:eastAsiaTheme="majorEastAsia"/>
            <w:sz w:val="24"/>
            <w:szCs w:val="24"/>
            <w:lang w:val="en-US"/>
          </w:rPr>
          <w:t>View</w:t>
        </w:r>
        <w:r w:rsidRPr="007C5A89">
          <w:rPr>
            <w:rStyle w:val="ac"/>
            <w:rFonts w:eastAsiaTheme="majorEastAsia"/>
            <w:sz w:val="24"/>
            <w:szCs w:val="24"/>
          </w:rPr>
          <w:t>_</w:t>
        </w:r>
        <w:r w:rsidRPr="007C5A89">
          <w:rPr>
            <w:rStyle w:val="ac"/>
            <w:rFonts w:eastAsiaTheme="majorEastAsia"/>
            <w:sz w:val="24"/>
            <w:szCs w:val="24"/>
            <w:lang w:val="en-US"/>
          </w:rPr>
          <w:t>v</w:t>
        </w:r>
        <w:r w:rsidRPr="007C5A89">
          <w:rPr>
            <w:rStyle w:val="ac"/>
            <w:rFonts w:eastAsiaTheme="majorEastAsia"/>
            <w:sz w:val="24"/>
            <w:szCs w:val="24"/>
          </w:rPr>
          <w:t>2.</w:t>
        </w:r>
        <w:r w:rsidRPr="007C5A89">
          <w:rPr>
            <w:rStyle w:val="ac"/>
            <w:rFonts w:eastAsiaTheme="majorEastAsia"/>
            <w:sz w:val="24"/>
            <w:szCs w:val="24"/>
            <w:lang w:val="en-US"/>
          </w:rPr>
          <w:t>aspx</w:t>
        </w:r>
        <w:r w:rsidRPr="007C5A89">
          <w:rPr>
            <w:rStyle w:val="ac"/>
            <w:rFonts w:eastAsiaTheme="majorEastAsia"/>
            <w:sz w:val="24"/>
            <w:szCs w:val="24"/>
          </w:rPr>
          <w:t>?</w:t>
        </w:r>
        <w:r w:rsidRPr="007C5A89">
          <w:rPr>
            <w:rStyle w:val="ac"/>
            <w:rFonts w:eastAsiaTheme="majorEastAsia"/>
            <w:sz w:val="24"/>
            <w:szCs w:val="24"/>
            <w:lang w:val="en-US"/>
          </w:rPr>
          <w:t>routingGuid</w:t>
        </w:r>
        <w:r w:rsidRPr="007C5A89">
          <w:rPr>
            <w:rStyle w:val="ac"/>
            <w:rFonts w:eastAsiaTheme="majorEastAsia"/>
            <w:sz w:val="24"/>
            <w:szCs w:val="24"/>
          </w:rPr>
          <w:t>=</w:t>
        </w:r>
        <w:r w:rsidRPr="007C5A89">
          <w:rPr>
            <w:rStyle w:val="ac"/>
            <w:rFonts w:eastAsiaTheme="majorEastAsia"/>
            <w:sz w:val="24"/>
            <w:szCs w:val="24"/>
            <w:lang w:val="en-US"/>
          </w:rPr>
          <w:t>d</w:t>
        </w:r>
        <w:r w:rsidRPr="007C5A89">
          <w:rPr>
            <w:rStyle w:val="ac"/>
            <w:rFonts w:eastAsiaTheme="majorEastAsia"/>
            <w:sz w:val="24"/>
            <w:szCs w:val="24"/>
          </w:rPr>
          <w:t>5</w:t>
        </w:r>
        <w:r w:rsidRPr="007C5A89">
          <w:rPr>
            <w:rStyle w:val="ac"/>
            <w:rFonts w:eastAsiaTheme="majorEastAsia"/>
            <w:sz w:val="24"/>
            <w:szCs w:val="24"/>
            <w:lang w:val="en-US"/>
          </w:rPr>
          <w:t>c</w:t>
        </w:r>
        <w:r w:rsidRPr="007C5A89">
          <w:rPr>
            <w:rStyle w:val="ac"/>
            <w:rFonts w:eastAsiaTheme="majorEastAsia"/>
            <w:sz w:val="24"/>
            <w:szCs w:val="24"/>
          </w:rPr>
          <w:t>7</w:t>
        </w:r>
        <w:r w:rsidRPr="007C5A89">
          <w:rPr>
            <w:rStyle w:val="ac"/>
            <w:rFonts w:eastAsiaTheme="majorEastAsia"/>
            <w:sz w:val="24"/>
            <w:szCs w:val="24"/>
            <w:lang w:val="en-US"/>
          </w:rPr>
          <w:t>f</w:t>
        </w:r>
        <w:r w:rsidRPr="007C5A89">
          <w:rPr>
            <w:rStyle w:val="ac"/>
            <w:rFonts w:eastAsiaTheme="majorEastAsia"/>
            <w:sz w:val="24"/>
            <w:szCs w:val="24"/>
          </w:rPr>
          <w:t>87</w:t>
        </w:r>
        <w:r w:rsidRPr="007C5A89">
          <w:rPr>
            <w:rStyle w:val="ac"/>
            <w:rFonts w:eastAsiaTheme="majorEastAsia"/>
            <w:sz w:val="24"/>
            <w:szCs w:val="24"/>
            <w:lang w:val="en-US"/>
          </w:rPr>
          <w:t>f</w:t>
        </w:r>
        <w:r w:rsidRPr="007C5A89">
          <w:rPr>
            <w:rStyle w:val="ac"/>
            <w:rFonts w:eastAsiaTheme="majorEastAsia"/>
            <w:sz w:val="24"/>
            <w:szCs w:val="24"/>
          </w:rPr>
          <w:t>-8</w:t>
        </w:r>
        <w:r w:rsidRPr="007C5A89">
          <w:rPr>
            <w:rStyle w:val="ac"/>
            <w:rFonts w:eastAsiaTheme="majorEastAsia"/>
            <w:sz w:val="24"/>
            <w:szCs w:val="24"/>
            <w:lang w:val="en-US"/>
          </w:rPr>
          <w:t>a</w:t>
        </w:r>
        <w:r w:rsidRPr="007C5A89">
          <w:rPr>
            <w:rStyle w:val="ac"/>
            <w:rFonts w:eastAsiaTheme="majorEastAsia"/>
            <w:sz w:val="24"/>
            <w:szCs w:val="24"/>
          </w:rPr>
          <w:t>1</w:t>
        </w:r>
        <w:r w:rsidRPr="007C5A89">
          <w:rPr>
            <w:rStyle w:val="ac"/>
            <w:rFonts w:eastAsiaTheme="majorEastAsia"/>
            <w:sz w:val="24"/>
            <w:szCs w:val="24"/>
            <w:lang w:val="en-US"/>
          </w:rPr>
          <w:t>d</w:t>
        </w:r>
        <w:r w:rsidRPr="007C5A89">
          <w:rPr>
            <w:rStyle w:val="ac"/>
            <w:rFonts w:eastAsiaTheme="majorEastAsia"/>
            <w:sz w:val="24"/>
            <w:szCs w:val="24"/>
          </w:rPr>
          <w:t>-49</w:t>
        </w:r>
        <w:r w:rsidRPr="007C5A89">
          <w:rPr>
            <w:rStyle w:val="ac"/>
            <w:rFonts w:eastAsiaTheme="majorEastAsia"/>
            <w:sz w:val="24"/>
            <w:szCs w:val="24"/>
            <w:lang w:val="en-US"/>
          </w:rPr>
          <w:t>cf</w:t>
        </w:r>
        <w:r w:rsidRPr="007C5A89">
          <w:rPr>
            <w:rStyle w:val="ac"/>
            <w:rFonts w:eastAsiaTheme="majorEastAsia"/>
            <w:sz w:val="24"/>
            <w:szCs w:val="24"/>
          </w:rPr>
          <w:t>-</w:t>
        </w:r>
        <w:r w:rsidRPr="007C5A89">
          <w:rPr>
            <w:rStyle w:val="ac"/>
            <w:rFonts w:eastAsiaTheme="majorEastAsia"/>
            <w:sz w:val="24"/>
            <w:szCs w:val="24"/>
            <w:lang w:val="en-US"/>
          </w:rPr>
          <w:t>a</w:t>
        </w:r>
        <w:r w:rsidRPr="007C5A89">
          <w:rPr>
            <w:rStyle w:val="ac"/>
            <w:rFonts w:eastAsiaTheme="majorEastAsia"/>
            <w:sz w:val="24"/>
            <w:szCs w:val="24"/>
          </w:rPr>
          <w:t>3</w:t>
        </w:r>
        <w:r w:rsidRPr="007C5A89">
          <w:rPr>
            <w:rStyle w:val="ac"/>
            <w:rFonts w:eastAsiaTheme="majorEastAsia"/>
            <w:sz w:val="24"/>
            <w:szCs w:val="24"/>
            <w:lang w:val="en-US"/>
          </w:rPr>
          <w:t>df</w:t>
        </w:r>
        <w:r w:rsidRPr="007C5A89">
          <w:rPr>
            <w:rStyle w:val="ac"/>
            <w:rFonts w:eastAsiaTheme="majorEastAsia"/>
            <w:sz w:val="24"/>
            <w:szCs w:val="24"/>
          </w:rPr>
          <w:t xml:space="preserve">- </w:t>
        </w:r>
        <w:r w:rsidRPr="007C5A89">
          <w:rPr>
            <w:rStyle w:val="ac"/>
            <w:rFonts w:eastAsiaTheme="majorEastAsia"/>
            <w:sz w:val="24"/>
            <w:szCs w:val="24"/>
            <w:lang w:val="en-US"/>
          </w:rPr>
          <w:t>c</w:t>
        </w:r>
        <w:r w:rsidRPr="007C5A89">
          <w:rPr>
            <w:rStyle w:val="ac"/>
            <w:rFonts w:eastAsiaTheme="majorEastAsia"/>
            <w:sz w:val="24"/>
            <w:szCs w:val="24"/>
          </w:rPr>
          <w:t>80</w:t>
        </w:r>
        <w:r w:rsidRPr="007C5A89">
          <w:rPr>
            <w:rStyle w:val="ac"/>
            <w:rFonts w:eastAsiaTheme="majorEastAsia"/>
            <w:sz w:val="24"/>
            <w:szCs w:val="24"/>
            <w:lang w:val="en-US"/>
          </w:rPr>
          <w:t>df</w:t>
        </w:r>
        <w:r w:rsidRPr="007C5A89">
          <w:rPr>
            <w:rStyle w:val="ac"/>
            <w:rFonts w:eastAsiaTheme="majorEastAsia"/>
            <w:sz w:val="24"/>
            <w:szCs w:val="24"/>
          </w:rPr>
          <w:t>3</w:t>
        </w:r>
        <w:r w:rsidRPr="007C5A89">
          <w:rPr>
            <w:rStyle w:val="ac"/>
            <w:rFonts w:eastAsiaTheme="majorEastAsia"/>
            <w:sz w:val="24"/>
            <w:szCs w:val="24"/>
            <w:lang w:val="en-US"/>
          </w:rPr>
          <w:t>ab</w:t>
        </w:r>
        <w:r w:rsidRPr="007C5A89">
          <w:rPr>
            <w:rStyle w:val="ac"/>
            <w:rFonts w:eastAsiaTheme="majorEastAsia"/>
            <w:sz w:val="24"/>
            <w:szCs w:val="24"/>
          </w:rPr>
          <w:t>5159»</w:t>
        </w:r>
      </w:hyperlink>
      <w:r w:rsidRPr="007C5A89">
        <w:rPr>
          <w:rStyle w:val="ac"/>
          <w:rFonts w:eastAsiaTheme="majorEastAsia"/>
          <w:sz w:val="24"/>
          <w:szCs w:val="24"/>
        </w:rPr>
        <w:t>.</w:t>
      </w:r>
    </w:p>
    <w:p w14:paraId="602A5C46"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«Hansen JF. Treatment with verapamil after an acute myocardial infarction. Review of the Danish studies on verapamil in myocardial infarction (DAVIT I and II). Drugs. </w:t>
      </w:r>
      <w:r w:rsidRPr="007C5A89">
        <w:rPr>
          <w:rStyle w:val="ac"/>
          <w:rFonts w:eastAsiaTheme="majorEastAsia"/>
          <w:sz w:val="24"/>
          <w:szCs w:val="24"/>
        </w:rPr>
        <w:t xml:space="preserve">1991;42 </w:t>
      </w:r>
      <w:r w:rsidRPr="007C5A89">
        <w:rPr>
          <w:rStyle w:val="ac"/>
          <w:rFonts w:eastAsiaTheme="majorEastAsia"/>
          <w:sz w:val="24"/>
          <w:szCs w:val="24"/>
          <w:lang w:val="en-US"/>
        </w:rPr>
        <w:t xml:space="preserve">Suppl </w:t>
      </w:r>
      <w:r w:rsidRPr="007C5A89">
        <w:rPr>
          <w:rStyle w:val="ac"/>
          <w:rFonts w:eastAsiaTheme="majorEastAsia"/>
          <w:sz w:val="24"/>
          <w:szCs w:val="24"/>
        </w:rPr>
        <w:t xml:space="preserve">2:43-53. </w:t>
      </w:r>
      <w:r w:rsidRPr="007C5A89">
        <w:rPr>
          <w:rStyle w:val="ac"/>
          <w:rFonts w:eastAsiaTheme="majorEastAsia"/>
          <w:sz w:val="24"/>
          <w:szCs w:val="24"/>
          <w:lang w:val="en-US"/>
        </w:rPr>
        <w:t xml:space="preserve">doi: </w:t>
      </w:r>
      <w:r w:rsidRPr="007C5A89">
        <w:rPr>
          <w:rStyle w:val="ac"/>
          <w:rFonts w:eastAsiaTheme="majorEastAsia"/>
          <w:sz w:val="24"/>
          <w:szCs w:val="24"/>
        </w:rPr>
        <w:t xml:space="preserve">10.2165/00003495-199100422-00008. </w:t>
      </w:r>
      <w:r w:rsidRPr="007C5A89">
        <w:rPr>
          <w:rStyle w:val="ac"/>
          <w:rFonts w:eastAsiaTheme="majorEastAsia"/>
          <w:sz w:val="24"/>
          <w:szCs w:val="24"/>
          <w:lang w:val="en-US"/>
        </w:rPr>
        <w:t xml:space="preserve">PMID: </w:t>
      </w:r>
      <w:r w:rsidRPr="007C5A89">
        <w:rPr>
          <w:rStyle w:val="ac"/>
          <w:rFonts w:eastAsiaTheme="majorEastAsia"/>
          <w:sz w:val="24"/>
          <w:szCs w:val="24"/>
        </w:rPr>
        <w:t>1718701.».</w:t>
      </w:r>
    </w:p>
    <w:p w14:paraId="5422D420"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Cohn JN, Pfeffer MA, Rouleau J, Sharpe N, Swedberg K, Straub M, Wiltse C, Wright TJ, MOXCON Investigators. Adverse mortality effect of central sympathetic inhibition with sustained-release moxonidine in patients with heart failure (MOXCON)</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 xml:space="preserve"> Eur J Heart Fail 2003;5:659–667..</w:t>
      </w:r>
    </w:p>
    <w:p w14:paraId="5730C2A4"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Major cardiovascular events in hypertensive patients randomized to doxazosin vs chlorthalidone. ALLHAT Collaborative Research Group. JAMA </w:t>
      </w:r>
      <w:r w:rsidRPr="007C5A89">
        <w:rPr>
          <w:rStyle w:val="ac"/>
          <w:rFonts w:eastAsiaTheme="majorEastAsia"/>
          <w:sz w:val="24"/>
          <w:szCs w:val="24"/>
        </w:rPr>
        <w:t>2000;283: 1967–1975.;.</w:t>
      </w:r>
    </w:p>
    <w:p w14:paraId="04A7E074"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Dorszewski A, Go¨hmann E, Dorsz´ewski B, Werner GS, Kreuzer H, Figulla HR. Vasodilation by urapidil in the treatment of chronic congestive heart failure in addition to angiotensin-converting enzyme inhibitors is not beneficial</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 xml:space="preserve"> results of a placebo-controlled, double-blind study. J Card Fail 1997</w:t>
      </w:r>
      <w:proofErr w:type="gramStart"/>
      <w:r w:rsidRPr="007C5A89">
        <w:rPr>
          <w:rStyle w:val="ac"/>
          <w:rFonts w:eastAsiaTheme="majorEastAsia"/>
          <w:sz w:val="24"/>
          <w:szCs w:val="24"/>
          <w:lang w:val="en-US"/>
        </w:rPr>
        <w:t>;3:91</w:t>
      </w:r>
      <w:proofErr w:type="gramEnd"/>
      <w:r w:rsidRPr="007C5A89">
        <w:rPr>
          <w:rStyle w:val="ac"/>
          <w:rFonts w:eastAsiaTheme="majorEastAsia"/>
          <w:sz w:val="24"/>
          <w:szCs w:val="24"/>
          <w:lang w:val="en-US"/>
        </w:rPr>
        <w:t>–96.;.</w:t>
      </w:r>
    </w:p>
    <w:p w14:paraId="375A7192"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Bayliss J, Norell MS, Canepa-Anson R, Reid C, Poole-Wilson P, Sutton G. Clinical importance of the renin-angiotensin system in chronic heart failure: double blind comparison of captopril and prazosin. Br Med J (Clin Res Ed) </w:t>
      </w:r>
      <w:r w:rsidRPr="007C5A89">
        <w:rPr>
          <w:rStyle w:val="ac"/>
          <w:rFonts w:eastAsiaTheme="majorEastAsia"/>
          <w:sz w:val="24"/>
          <w:szCs w:val="24"/>
        </w:rPr>
        <w:t>1985</w:t>
      </w:r>
      <w:proofErr w:type="gramStart"/>
      <w:r w:rsidRPr="007C5A89">
        <w:rPr>
          <w:rStyle w:val="ac"/>
          <w:rFonts w:eastAsiaTheme="majorEastAsia"/>
          <w:sz w:val="24"/>
          <w:szCs w:val="24"/>
        </w:rPr>
        <w:t>;290:1861</w:t>
      </w:r>
      <w:proofErr w:type="gramEnd"/>
      <w:r w:rsidRPr="007C5A89">
        <w:rPr>
          <w:rStyle w:val="ac"/>
          <w:rFonts w:eastAsiaTheme="majorEastAsia"/>
          <w:sz w:val="24"/>
          <w:szCs w:val="24"/>
        </w:rPr>
        <w:t>–1865.</w:t>
      </w:r>
    </w:p>
    <w:p w14:paraId="23C3C70E"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Faris R, Flather M, Purcell H, Henein M, Poole-Wilson P, Coats A. Current evidence supporting the role of diuretics in heart failure: a meta analysis of randomized controlled trials. Int J Cardiol </w:t>
      </w:r>
      <w:r w:rsidRPr="007C5A89">
        <w:rPr>
          <w:rStyle w:val="ac"/>
          <w:rFonts w:eastAsiaTheme="majorEastAsia"/>
          <w:sz w:val="24"/>
          <w:szCs w:val="24"/>
        </w:rPr>
        <w:t>2002</w:t>
      </w:r>
      <w:proofErr w:type="gramStart"/>
      <w:r w:rsidRPr="007C5A89">
        <w:rPr>
          <w:rStyle w:val="ac"/>
          <w:rFonts w:eastAsiaTheme="majorEastAsia"/>
          <w:sz w:val="24"/>
          <w:szCs w:val="24"/>
        </w:rPr>
        <w:t>;82:149</w:t>
      </w:r>
      <w:proofErr w:type="gramEnd"/>
      <w:r w:rsidRPr="007C5A89">
        <w:rPr>
          <w:rStyle w:val="ac"/>
          <w:rFonts w:eastAsiaTheme="majorEastAsia"/>
          <w:sz w:val="24"/>
          <w:szCs w:val="24"/>
        </w:rPr>
        <w:t>-158..</w:t>
      </w:r>
    </w:p>
    <w:p w14:paraId="28B835D6"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lastRenderedPageBreak/>
        <w:t>Faris R.F., Flather M., Purcell H., Poole-Wilson P.A., Coats A.J. Diuretics for heart failure.Cochrane Database Syst Rev 2012;2:CD003838..</w:t>
      </w:r>
    </w:p>
    <w:p w14:paraId="3DF60CBD" w14:textId="77777777" w:rsidR="00CB781F" w:rsidRPr="00BA6915" w:rsidRDefault="00CB781F" w:rsidP="00424F51">
      <w:pPr>
        <w:pStyle w:val="11"/>
        <w:numPr>
          <w:ilvl w:val="0"/>
          <w:numId w:val="42"/>
        </w:numPr>
        <w:tabs>
          <w:tab w:val="left" w:pos="709"/>
          <w:tab w:val="left" w:pos="1280"/>
          <w:tab w:val="left" w:pos="2729"/>
          <w:tab w:val="left" w:pos="4514"/>
          <w:tab w:val="left" w:pos="5652"/>
          <w:tab w:val="left" w:pos="6650"/>
          <w:tab w:val="left" w:pos="9535"/>
        </w:tabs>
        <w:spacing w:line="276" w:lineRule="auto"/>
        <w:ind w:left="709" w:hanging="709"/>
        <w:jc w:val="both"/>
        <w:rPr>
          <w:sz w:val="24"/>
          <w:szCs w:val="24"/>
          <w:lang w:val="en-US"/>
        </w:rPr>
      </w:pPr>
      <w:r w:rsidRPr="007C5A89">
        <w:rPr>
          <w:rStyle w:val="ac"/>
          <w:rFonts w:eastAsiaTheme="majorEastAsia"/>
          <w:sz w:val="24"/>
          <w:szCs w:val="24"/>
          <w:lang w:val="en-US"/>
        </w:rPr>
        <w:t>Mc Causland FR, Lefkowitz MP, Claggett B, Anavekar NS, Senni M, et al. Angiotensin- Neprilysin Inhibition and Renal Outcomes in Heart Failure With Preserved Ejection Fraction.</w:t>
      </w:r>
      <w:r w:rsidRPr="007C5A89">
        <w:rPr>
          <w:rStyle w:val="ac"/>
          <w:rFonts w:eastAsiaTheme="majorEastAsia"/>
          <w:sz w:val="24"/>
          <w:szCs w:val="24"/>
          <w:lang w:val="en-US"/>
        </w:rPr>
        <w:tab/>
        <w:t>Circulation.</w:t>
      </w:r>
      <w:r w:rsidRPr="007C5A89">
        <w:rPr>
          <w:rStyle w:val="ac"/>
          <w:rFonts w:eastAsiaTheme="majorEastAsia"/>
          <w:sz w:val="24"/>
          <w:szCs w:val="24"/>
          <w:lang w:val="en-US"/>
        </w:rPr>
        <w:tab/>
        <w:t>2020</w:t>
      </w:r>
      <w:r w:rsidRPr="007C5A89">
        <w:rPr>
          <w:rStyle w:val="ac"/>
          <w:rFonts w:eastAsiaTheme="majorEastAsia"/>
          <w:sz w:val="24"/>
          <w:szCs w:val="24"/>
          <w:lang w:val="en-US"/>
        </w:rPr>
        <w:tab/>
        <w:t>Sep</w:t>
      </w:r>
      <w:r w:rsidRPr="007C5A89">
        <w:rPr>
          <w:rStyle w:val="ac"/>
          <w:rFonts w:eastAsiaTheme="majorEastAsia"/>
          <w:sz w:val="24"/>
          <w:szCs w:val="24"/>
          <w:lang w:val="en-US"/>
        </w:rPr>
        <w:tab/>
        <w:t>29;142(13):1236-1245.</w:t>
      </w:r>
      <w:r w:rsidR="00BA6915" w:rsidRPr="00D45012">
        <w:rPr>
          <w:rStyle w:val="ac"/>
          <w:rFonts w:eastAsiaTheme="majorEastAsia"/>
          <w:sz w:val="24"/>
          <w:szCs w:val="24"/>
          <w:lang w:val="en-US"/>
        </w:rPr>
        <w:t xml:space="preserve"> </w:t>
      </w:r>
      <w:r w:rsidRPr="007C5A89">
        <w:rPr>
          <w:rStyle w:val="ac"/>
          <w:rFonts w:eastAsiaTheme="majorEastAsia"/>
          <w:sz w:val="24"/>
          <w:szCs w:val="24"/>
          <w:lang w:val="en-US"/>
        </w:rPr>
        <w:t>doi:</w:t>
      </w:r>
      <w:r w:rsidR="00BA6915" w:rsidRPr="00D45012">
        <w:rPr>
          <w:sz w:val="24"/>
          <w:szCs w:val="24"/>
          <w:lang w:val="en-US"/>
        </w:rPr>
        <w:t xml:space="preserve"> </w:t>
      </w:r>
      <w:r w:rsidRPr="00BA6915">
        <w:rPr>
          <w:rStyle w:val="ac"/>
          <w:rFonts w:eastAsiaTheme="majorEastAsia"/>
          <w:sz w:val="24"/>
          <w:szCs w:val="24"/>
          <w:lang w:val="en-US"/>
        </w:rPr>
        <w:t>10.1161/CIRCULATIONAHA.120.0.</w:t>
      </w:r>
    </w:p>
    <w:p w14:paraId="235378C4"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Cleland JGF, Bunting KV, Flather MD, Altman DG, Holmes J, Coats AJS, et al. Beta</w:t>
      </w:r>
      <w:r w:rsidRPr="007C5A89">
        <w:rPr>
          <w:rStyle w:val="ac"/>
          <w:rFonts w:eastAsiaTheme="majorEastAsia"/>
          <w:sz w:val="24"/>
          <w:szCs w:val="24"/>
          <w:lang w:val="en-US"/>
        </w:rPr>
        <w:softHyphen/>
        <w:t>blockers in Heart Failure Collaborative Group. Beta-blockers for heart failure with reduced, mid-range, and preserved ejection fraction: an individual patient-level analysis, of double</w:t>
      </w:r>
      <w:r w:rsidRPr="007C5A89">
        <w:rPr>
          <w:rStyle w:val="ac"/>
          <w:rFonts w:eastAsiaTheme="majorEastAsia"/>
          <w:sz w:val="24"/>
          <w:szCs w:val="24"/>
          <w:lang w:val="en-US"/>
        </w:rPr>
        <w:softHyphen/>
        <w:t xml:space="preserve">blind randomized trials. Eur Heart J </w:t>
      </w:r>
      <w:r w:rsidRPr="007C5A89">
        <w:rPr>
          <w:rStyle w:val="ac"/>
          <w:rFonts w:eastAsiaTheme="majorEastAsia"/>
          <w:sz w:val="24"/>
          <w:szCs w:val="24"/>
        </w:rPr>
        <w:t>2018</w:t>
      </w:r>
      <w:proofErr w:type="gramStart"/>
      <w:r w:rsidRPr="007C5A89">
        <w:rPr>
          <w:rStyle w:val="ac"/>
          <w:rFonts w:eastAsiaTheme="majorEastAsia"/>
          <w:sz w:val="24"/>
          <w:szCs w:val="24"/>
        </w:rPr>
        <w:t>;39:26</w:t>
      </w:r>
      <w:proofErr w:type="gramEnd"/>
      <w:r w:rsidRPr="007C5A89">
        <w:rPr>
          <w:rStyle w:val="ac"/>
          <w:rFonts w:eastAsiaTheme="majorEastAsia"/>
          <w:sz w:val="24"/>
          <w:szCs w:val="24"/>
        </w:rPr>
        <w:t>-35.</w:t>
      </w:r>
    </w:p>
    <w:p w14:paraId="544CC354"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Lund</w:t>
      </w:r>
      <w:r w:rsidRPr="00184253">
        <w:rPr>
          <w:rStyle w:val="ac"/>
          <w:rFonts w:eastAsiaTheme="majorEastAsia"/>
          <w:sz w:val="24"/>
          <w:szCs w:val="24"/>
          <w:lang w:val="en-US"/>
        </w:rPr>
        <w:t xml:space="preserve"> </w:t>
      </w:r>
      <w:r w:rsidRPr="007C5A89">
        <w:rPr>
          <w:rStyle w:val="ac"/>
          <w:rFonts w:eastAsiaTheme="majorEastAsia"/>
          <w:sz w:val="24"/>
          <w:szCs w:val="24"/>
          <w:lang w:val="en-US"/>
        </w:rPr>
        <w:t>LH</w:t>
      </w:r>
      <w:r w:rsidRPr="00184253">
        <w:rPr>
          <w:rStyle w:val="ac"/>
          <w:rFonts w:eastAsiaTheme="majorEastAsia"/>
          <w:sz w:val="24"/>
          <w:szCs w:val="24"/>
          <w:lang w:val="en-US"/>
        </w:rPr>
        <w:t xml:space="preserve">, </w:t>
      </w:r>
      <w:r w:rsidRPr="007C5A89">
        <w:rPr>
          <w:rStyle w:val="ac"/>
          <w:rFonts w:eastAsiaTheme="majorEastAsia"/>
          <w:sz w:val="24"/>
          <w:szCs w:val="24"/>
          <w:lang w:val="en-US"/>
        </w:rPr>
        <w:t>Claggett</w:t>
      </w:r>
      <w:r w:rsidRPr="00184253">
        <w:rPr>
          <w:rStyle w:val="ac"/>
          <w:rFonts w:eastAsiaTheme="majorEastAsia"/>
          <w:sz w:val="24"/>
          <w:szCs w:val="24"/>
          <w:lang w:val="en-US"/>
        </w:rPr>
        <w:t xml:space="preserve"> </w:t>
      </w:r>
      <w:r w:rsidRPr="007C5A89">
        <w:rPr>
          <w:rStyle w:val="ac"/>
          <w:rFonts w:eastAsiaTheme="majorEastAsia"/>
          <w:sz w:val="24"/>
          <w:szCs w:val="24"/>
          <w:lang w:val="en-US"/>
        </w:rPr>
        <w:t>B</w:t>
      </w:r>
      <w:r w:rsidRPr="00184253">
        <w:rPr>
          <w:rStyle w:val="ac"/>
          <w:rFonts w:eastAsiaTheme="majorEastAsia"/>
          <w:sz w:val="24"/>
          <w:szCs w:val="24"/>
          <w:lang w:val="en-US"/>
        </w:rPr>
        <w:t xml:space="preserve">, </w:t>
      </w:r>
      <w:r w:rsidRPr="007C5A89">
        <w:rPr>
          <w:rStyle w:val="ac"/>
          <w:rFonts w:eastAsiaTheme="majorEastAsia"/>
          <w:sz w:val="24"/>
          <w:szCs w:val="24"/>
          <w:lang w:val="en-US"/>
        </w:rPr>
        <w:t>Liu</w:t>
      </w:r>
      <w:r w:rsidRPr="00184253">
        <w:rPr>
          <w:rStyle w:val="ac"/>
          <w:rFonts w:eastAsiaTheme="majorEastAsia"/>
          <w:sz w:val="24"/>
          <w:szCs w:val="24"/>
          <w:lang w:val="en-US"/>
        </w:rPr>
        <w:t xml:space="preserve"> </w:t>
      </w:r>
      <w:r w:rsidRPr="007C5A89">
        <w:rPr>
          <w:rStyle w:val="ac"/>
          <w:rFonts w:eastAsiaTheme="majorEastAsia"/>
          <w:sz w:val="24"/>
          <w:szCs w:val="24"/>
          <w:lang w:val="en-US"/>
        </w:rPr>
        <w:t>J</w:t>
      </w:r>
      <w:r w:rsidRPr="00184253">
        <w:rPr>
          <w:rStyle w:val="ac"/>
          <w:rFonts w:eastAsiaTheme="majorEastAsia"/>
          <w:sz w:val="24"/>
          <w:szCs w:val="24"/>
          <w:lang w:val="en-US"/>
        </w:rPr>
        <w:t xml:space="preserve">, </w:t>
      </w:r>
      <w:r w:rsidRPr="007C5A89">
        <w:rPr>
          <w:rStyle w:val="ac"/>
          <w:rFonts w:eastAsiaTheme="majorEastAsia"/>
          <w:sz w:val="24"/>
          <w:szCs w:val="24"/>
          <w:lang w:val="en-US"/>
        </w:rPr>
        <w:t>Lam</w:t>
      </w:r>
      <w:r w:rsidRPr="00184253">
        <w:rPr>
          <w:rStyle w:val="ac"/>
          <w:rFonts w:eastAsiaTheme="majorEastAsia"/>
          <w:sz w:val="24"/>
          <w:szCs w:val="24"/>
          <w:lang w:val="en-US"/>
        </w:rPr>
        <w:t xml:space="preserve"> </w:t>
      </w:r>
      <w:r w:rsidRPr="007C5A89">
        <w:rPr>
          <w:rStyle w:val="ac"/>
          <w:rFonts w:eastAsiaTheme="majorEastAsia"/>
          <w:sz w:val="24"/>
          <w:szCs w:val="24"/>
          <w:lang w:val="en-US"/>
        </w:rPr>
        <w:t>CS</w:t>
      </w:r>
      <w:r w:rsidRPr="00184253">
        <w:rPr>
          <w:rStyle w:val="ac"/>
          <w:rFonts w:eastAsiaTheme="majorEastAsia"/>
          <w:sz w:val="24"/>
          <w:szCs w:val="24"/>
          <w:lang w:val="en-US"/>
        </w:rPr>
        <w:t xml:space="preserve">, </w:t>
      </w:r>
      <w:r w:rsidRPr="007C5A89">
        <w:rPr>
          <w:rStyle w:val="ac"/>
          <w:rFonts w:eastAsiaTheme="majorEastAsia"/>
          <w:sz w:val="24"/>
          <w:szCs w:val="24"/>
          <w:lang w:val="en-US"/>
        </w:rPr>
        <w:t>Jhund</w:t>
      </w:r>
      <w:r w:rsidRPr="00184253">
        <w:rPr>
          <w:rStyle w:val="ac"/>
          <w:rFonts w:eastAsiaTheme="majorEastAsia"/>
          <w:sz w:val="24"/>
          <w:szCs w:val="24"/>
          <w:lang w:val="en-US"/>
        </w:rPr>
        <w:t xml:space="preserve"> </w:t>
      </w:r>
      <w:r w:rsidRPr="007C5A89">
        <w:rPr>
          <w:rStyle w:val="ac"/>
          <w:rFonts w:eastAsiaTheme="majorEastAsia"/>
          <w:sz w:val="24"/>
          <w:szCs w:val="24"/>
          <w:lang w:val="en-US"/>
        </w:rPr>
        <w:t>PS</w:t>
      </w:r>
      <w:r w:rsidRPr="00184253">
        <w:rPr>
          <w:rStyle w:val="ac"/>
          <w:rFonts w:eastAsiaTheme="majorEastAsia"/>
          <w:sz w:val="24"/>
          <w:szCs w:val="24"/>
          <w:lang w:val="en-US"/>
        </w:rPr>
        <w:t xml:space="preserve">, </w:t>
      </w:r>
      <w:r w:rsidRPr="007C5A89">
        <w:rPr>
          <w:rStyle w:val="ac"/>
          <w:rFonts w:eastAsiaTheme="majorEastAsia"/>
          <w:sz w:val="24"/>
          <w:szCs w:val="24"/>
          <w:lang w:val="en-US"/>
        </w:rPr>
        <w:t>Rosano</w:t>
      </w:r>
      <w:r w:rsidRPr="00184253">
        <w:rPr>
          <w:rStyle w:val="ac"/>
          <w:rFonts w:eastAsiaTheme="majorEastAsia"/>
          <w:sz w:val="24"/>
          <w:szCs w:val="24"/>
          <w:lang w:val="en-US"/>
        </w:rPr>
        <w:t xml:space="preserve"> </w:t>
      </w:r>
      <w:r w:rsidRPr="007C5A89">
        <w:rPr>
          <w:rStyle w:val="ac"/>
          <w:rFonts w:eastAsiaTheme="majorEastAsia"/>
          <w:sz w:val="24"/>
          <w:szCs w:val="24"/>
          <w:lang w:val="en-US"/>
        </w:rPr>
        <w:t>GM</w:t>
      </w:r>
      <w:r w:rsidRPr="00184253">
        <w:rPr>
          <w:rStyle w:val="ac"/>
          <w:rFonts w:eastAsiaTheme="majorEastAsia"/>
          <w:sz w:val="24"/>
          <w:szCs w:val="24"/>
          <w:lang w:val="en-US"/>
        </w:rPr>
        <w:t xml:space="preserve">, </w:t>
      </w:r>
      <w:r w:rsidRPr="007C5A89">
        <w:rPr>
          <w:rStyle w:val="ac"/>
          <w:rFonts w:eastAsiaTheme="majorEastAsia"/>
          <w:sz w:val="24"/>
          <w:szCs w:val="24"/>
          <w:lang w:val="en-US"/>
        </w:rPr>
        <w:t>Swedberg</w:t>
      </w:r>
      <w:r w:rsidRPr="00184253">
        <w:rPr>
          <w:rStyle w:val="ac"/>
          <w:rFonts w:eastAsiaTheme="majorEastAsia"/>
          <w:sz w:val="24"/>
          <w:szCs w:val="24"/>
          <w:lang w:val="en-US"/>
        </w:rPr>
        <w:t xml:space="preserve"> </w:t>
      </w:r>
      <w:r w:rsidRPr="007C5A89">
        <w:rPr>
          <w:rStyle w:val="ac"/>
          <w:rFonts w:eastAsiaTheme="majorEastAsia"/>
          <w:sz w:val="24"/>
          <w:szCs w:val="24"/>
          <w:lang w:val="en-US"/>
        </w:rPr>
        <w:t>K</w:t>
      </w:r>
      <w:r w:rsidRPr="00184253">
        <w:rPr>
          <w:rStyle w:val="ac"/>
          <w:rFonts w:eastAsiaTheme="majorEastAsia"/>
          <w:sz w:val="24"/>
          <w:szCs w:val="24"/>
          <w:lang w:val="en-US"/>
        </w:rPr>
        <w:t xml:space="preserve">, </w:t>
      </w:r>
      <w:r w:rsidRPr="007C5A89">
        <w:rPr>
          <w:rStyle w:val="ac"/>
          <w:rFonts w:eastAsiaTheme="majorEastAsia"/>
          <w:sz w:val="24"/>
          <w:szCs w:val="24"/>
          <w:lang w:val="en-US"/>
        </w:rPr>
        <w:t>Yusuf</w:t>
      </w:r>
      <w:r w:rsidRPr="00184253">
        <w:rPr>
          <w:rStyle w:val="ac"/>
          <w:rFonts w:eastAsiaTheme="majorEastAsia"/>
          <w:sz w:val="24"/>
          <w:szCs w:val="24"/>
          <w:lang w:val="en-US"/>
        </w:rPr>
        <w:t xml:space="preserve"> </w:t>
      </w:r>
      <w:r w:rsidRPr="007C5A89">
        <w:rPr>
          <w:rStyle w:val="ac"/>
          <w:rFonts w:eastAsiaTheme="majorEastAsia"/>
          <w:sz w:val="24"/>
          <w:szCs w:val="24"/>
          <w:lang w:val="en-US"/>
        </w:rPr>
        <w:t>S</w:t>
      </w:r>
      <w:r w:rsidRPr="00184253">
        <w:rPr>
          <w:rStyle w:val="ac"/>
          <w:rFonts w:eastAsiaTheme="majorEastAsia"/>
          <w:sz w:val="24"/>
          <w:szCs w:val="24"/>
          <w:lang w:val="en-US"/>
        </w:rPr>
        <w:t xml:space="preserve">, </w:t>
      </w:r>
      <w:r w:rsidRPr="007C5A89">
        <w:rPr>
          <w:rStyle w:val="ac"/>
          <w:rFonts w:eastAsiaTheme="majorEastAsia"/>
          <w:sz w:val="24"/>
          <w:szCs w:val="24"/>
          <w:lang w:val="en-US"/>
        </w:rPr>
        <w:t>Granger</w:t>
      </w:r>
      <w:r w:rsidRPr="00184253">
        <w:rPr>
          <w:rStyle w:val="ac"/>
          <w:rFonts w:eastAsiaTheme="majorEastAsia"/>
          <w:sz w:val="24"/>
          <w:szCs w:val="24"/>
          <w:lang w:val="en-US"/>
        </w:rPr>
        <w:t xml:space="preserve"> </w:t>
      </w:r>
      <w:r w:rsidRPr="007C5A89">
        <w:rPr>
          <w:rStyle w:val="ac"/>
          <w:rFonts w:eastAsiaTheme="majorEastAsia"/>
          <w:sz w:val="24"/>
          <w:szCs w:val="24"/>
          <w:lang w:val="en-US"/>
        </w:rPr>
        <w:t>CB</w:t>
      </w:r>
      <w:r w:rsidRPr="00184253">
        <w:rPr>
          <w:rStyle w:val="ac"/>
          <w:rFonts w:eastAsiaTheme="majorEastAsia"/>
          <w:sz w:val="24"/>
          <w:szCs w:val="24"/>
          <w:lang w:val="en-US"/>
        </w:rPr>
        <w:t xml:space="preserve">, </w:t>
      </w:r>
      <w:r w:rsidRPr="007C5A89">
        <w:rPr>
          <w:rStyle w:val="ac"/>
          <w:rFonts w:eastAsiaTheme="majorEastAsia"/>
          <w:sz w:val="24"/>
          <w:szCs w:val="24"/>
          <w:lang w:val="en-US"/>
        </w:rPr>
        <w:t>Pfeffer</w:t>
      </w:r>
      <w:r w:rsidRPr="00184253">
        <w:rPr>
          <w:rStyle w:val="ac"/>
          <w:rFonts w:eastAsiaTheme="majorEastAsia"/>
          <w:sz w:val="24"/>
          <w:szCs w:val="24"/>
          <w:lang w:val="en-US"/>
        </w:rPr>
        <w:t xml:space="preserve"> </w:t>
      </w:r>
      <w:r w:rsidRPr="007C5A89">
        <w:rPr>
          <w:rStyle w:val="ac"/>
          <w:rFonts w:eastAsiaTheme="majorEastAsia"/>
          <w:sz w:val="24"/>
          <w:szCs w:val="24"/>
          <w:lang w:val="en-US"/>
        </w:rPr>
        <w:t>MA</w:t>
      </w:r>
      <w:r w:rsidRPr="00184253">
        <w:rPr>
          <w:rStyle w:val="ac"/>
          <w:rFonts w:eastAsiaTheme="majorEastAsia"/>
          <w:sz w:val="24"/>
          <w:szCs w:val="24"/>
          <w:lang w:val="en-US"/>
        </w:rPr>
        <w:t xml:space="preserve">, </w:t>
      </w:r>
      <w:r w:rsidRPr="007C5A89">
        <w:rPr>
          <w:rStyle w:val="ac"/>
          <w:rFonts w:eastAsiaTheme="majorEastAsia"/>
          <w:sz w:val="24"/>
          <w:szCs w:val="24"/>
          <w:lang w:val="en-US"/>
        </w:rPr>
        <w:t>McMurray</w:t>
      </w:r>
      <w:r w:rsidRPr="00184253">
        <w:rPr>
          <w:rStyle w:val="ac"/>
          <w:rFonts w:eastAsiaTheme="majorEastAsia"/>
          <w:sz w:val="24"/>
          <w:szCs w:val="24"/>
          <w:lang w:val="en-US"/>
        </w:rPr>
        <w:t xml:space="preserve"> </w:t>
      </w:r>
      <w:r w:rsidRPr="007C5A89">
        <w:rPr>
          <w:rStyle w:val="ac"/>
          <w:rFonts w:eastAsiaTheme="majorEastAsia"/>
          <w:sz w:val="24"/>
          <w:szCs w:val="24"/>
          <w:lang w:val="en-US"/>
        </w:rPr>
        <w:t>JJV</w:t>
      </w:r>
      <w:r w:rsidRPr="00184253">
        <w:rPr>
          <w:rStyle w:val="ac"/>
          <w:rFonts w:eastAsiaTheme="majorEastAsia"/>
          <w:sz w:val="24"/>
          <w:szCs w:val="24"/>
          <w:lang w:val="en-US"/>
        </w:rPr>
        <w:t xml:space="preserve">, </w:t>
      </w:r>
      <w:r w:rsidRPr="007C5A89">
        <w:rPr>
          <w:rStyle w:val="ac"/>
          <w:rFonts w:eastAsiaTheme="majorEastAsia"/>
          <w:sz w:val="24"/>
          <w:szCs w:val="24"/>
          <w:lang w:val="en-US"/>
        </w:rPr>
        <w:t>Solomon</w:t>
      </w:r>
      <w:r w:rsidRPr="00184253">
        <w:rPr>
          <w:rStyle w:val="ac"/>
          <w:rFonts w:eastAsiaTheme="majorEastAsia"/>
          <w:sz w:val="24"/>
          <w:szCs w:val="24"/>
          <w:lang w:val="en-US"/>
        </w:rPr>
        <w:t xml:space="preserve"> </w:t>
      </w:r>
      <w:r w:rsidRPr="007C5A89">
        <w:rPr>
          <w:rStyle w:val="ac"/>
          <w:rFonts w:eastAsiaTheme="majorEastAsia"/>
          <w:sz w:val="24"/>
          <w:szCs w:val="24"/>
          <w:lang w:val="en-US"/>
        </w:rPr>
        <w:t>SD</w:t>
      </w:r>
      <w:r w:rsidRPr="00184253">
        <w:rPr>
          <w:rStyle w:val="ac"/>
          <w:rFonts w:eastAsiaTheme="majorEastAsia"/>
          <w:sz w:val="24"/>
          <w:szCs w:val="24"/>
          <w:lang w:val="en-US"/>
        </w:rPr>
        <w:t xml:space="preserve">. </w:t>
      </w:r>
      <w:r w:rsidRPr="007C5A89">
        <w:rPr>
          <w:rStyle w:val="ac"/>
          <w:rFonts w:eastAsiaTheme="majorEastAsia"/>
          <w:sz w:val="24"/>
          <w:szCs w:val="24"/>
          <w:lang w:val="en-US"/>
        </w:rPr>
        <w:t xml:space="preserve">Heart failure with mid-range ejection fraction in CHARM: characteristics, outcomes and effect of candesartan across, the entire ejection fraction spectrum. Eur J Heart Fail. </w:t>
      </w:r>
      <w:proofErr w:type="gramStart"/>
      <w:r w:rsidRPr="007C5A89">
        <w:rPr>
          <w:rStyle w:val="ac"/>
          <w:rFonts w:eastAsiaTheme="majorEastAsia"/>
          <w:sz w:val="24"/>
          <w:szCs w:val="24"/>
          <w:lang w:val="en-US"/>
        </w:rPr>
        <w:t>2018</w:t>
      </w:r>
      <w:proofErr w:type="gramEnd"/>
      <w:r w:rsidRPr="007C5A89">
        <w:rPr>
          <w:rStyle w:val="ac"/>
          <w:rFonts w:eastAsiaTheme="majorEastAsia"/>
          <w:sz w:val="24"/>
          <w:szCs w:val="24"/>
          <w:lang w:val="en-US"/>
        </w:rPr>
        <w:t xml:space="preserve"> Aug; 20:1230-1239. .</w:t>
      </w:r>
    </w:p>
    <w:p w14:paraId="1FEE5C56"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Solomon SD, Claggett B, Lewis EF, Desai A, Anand I, Sweitzer NK, O'Meara E, Shah SJ, McKinlay S, Fleg JL, Sopko G, Pitt B, Pfeffer MA; TOPCAT Investigators. Influence of ejection fraction on outcomes and efficacy of spironolactone in patients with heart, failure with preserved ejection fraction. Eur Heart J. </w:t>
      </w:r>
      <w:r w:rsidRPr="007C5A89">
        <w:rPr>
          <w:rStyle w:val="ac"/>
          <w:rFonts w:eastAsiaTheme="majorEastAsia"/>
          <w:sz w:val="24"/>
          <w:szCs w:val="24"/>
        </w:rPr>
        <w:t>2016; 37: 455-62</w:t>
      </w:r>
      <w:proofErr w:type="gramStart"/>
      <w:r w:rsidRPr="007C5A89">
        <w:rPr>
          <w:rStyle w:val="ac"/>
          <w:rFonts w:eastAsiaTheme="majorEastAsia"/>
          <w:sz w:val="24"/>
          <w:szCs w:val="24"/>
        </w:rPr>
        <w:t>..</w:t>
      </w:r>
      <w:proofErr w:type="gramEnd"/>
    </w:p>
    <w:p w14:paraId="16591B86"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Solomon SD, McMurray JJV, Claggett B, de Boer RA, DeMets D, et al; DELIVER Trial Committees and Investigators. Dapagliflozin in Heart Failure with Mildly Reduced or Preserved Ejection Fraction. N Engl J Med. </w:t>
      </w:r>
      <w:r w:rsidRPr="007C5A89">
        <w:rPr>
          <w:rStyle w:val="ac"/>
          <w:rFonts w:eastAsiaTheme="majorEastAsia"/>
          <w:sz w:val="24"/>
          <w:szCs w:val="24"/>
        </w:rPr>
        <w:t xml:space="preserve">2022 </w:t>
      </w:r>
      <w:r w:rsidRPr="007C5A89">
        <w:rPr>
          <w:rStyle w:val="ac"/>
          <w:rFonts w:eastAsiaTheme="majorEastAsia"/>
          <w:sz w:val="24"/>
          <w:szCs w:val="24"/>
          <w:lang w:val="en-US"/>
        </w:rPr>
        <w:t xml:space="preserve">Sep </w:t>
      </w:r>
      <w:r w:rsidRPr="007C5A89">
        <w:rPr>
          <w:rStyle w:val="ac"/>
          <w:rFonts w:eastAsiaTheme="majorEastAsia"/>
          <w:sz w:val="24"/>
          <w:szCs w:val="24"/>
        </w:rPr>
        <w:t xml:space="preserve">22;387(12):1089-1098. </w:t>
      </w:r>
      <w:r w:rsidRPr="007C5A89">
        <w:rPr>
          <w:rStyle w:val="ac"/>
          <w:rFonts w:eastAsiaTheme="majorEastAsia"/>
          <w:sz w:val="24"/>
          <w:szCs w:val="24"/>
          <w:lang w:val="en-US"/>
        </w:rPr>
        <w:t>doi: 10.1056/NEJ.</w:t>
      </w:r>
    </w:p>
    <w:p w14:paraId="738193B5"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Anker S, Butler J, Filippatos G, et al. Empagliflozin in Heart Failure with a Preserved Ejection Fraction. N Engl J Med. 2021;10.1056/NEJMoa2107038.</w:t>
      </w:r>
    </w:p>
    <w:p w14:paraId="4D0C7127"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Lin, Yaowang, et al. "Effect of pharmacological treatment on outcomes of heart failure with preserved ejection fraction: an updated systematic review and network meta-analysis of randomized controlled trials." Cardiovascular Diabetology 21.1 (2022): 1-10</w:t>
      </w:r>
      <w:proofErr w:type="gramStart"/>
      <w:r w:rsidRPr="007C5A89">
        <w:rPr>
          <w:rStyle w:val="ac"/>
          <w:rFonts w:eastAsiaTheme="majorEastAsia"/>
          <w:sz w:val="24"/>
          <w:szCs w:val="24"/>
          <w:lang w:val="en-US"/>
        </w:rPr>
        <w:t>..</w:t>
      </w:r>
      <w:proofErr w:type="gramEnd"/>
    </w:p>
    <w:p w14:paraId="715DBC4F"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Cleland JGF, Tendera M, Adamus J, Freemantle N, Polonski L, Taylor J. The perindopril in elderly people with chronic heart failure (PEP-CHF) study. Eur Heart J </w:t>
      </w:r>
      <w:r w:rsidRPr="007C5A89">
        <w:rPr>
          <w:rStyle w:val="ac"/>
          <w:rFonts w:eastAsiaTheme="majorEastAsia"/>
          <w:sz w:val="24"/>
          <w:szCs w:val="24"/>
        </w:rPr>
        <w:t>2006</w:t>
      </w:r>
      <w:proofErr w:type="gramStart"/>
      <w:r w:rsidRPr="007C5A89">
        <w:rPr>
          <w:rStyle w:val="ac"/>
          <w:rFonts w:eastAsiaTheme="majorEastAsia"/>
          <w:sz w:val="24"/>
          <w:szCs w:val="24"/>
        </w:rPr>
        <w:t>;27:2338</w:t>
      </w:r>
      <w:proofErr w:type="gramEnd"/>
      <w:r w:rsidRPr="007C5A89">
        <w:rPr>
          <w:rStyle w:val="ac"/>
          <w:rFonts w:eastAsiaTheme="majorEastAsia"/>
          <w:sz w:val="24"/>
          <w:szCs w:val="24"/>
        </w:rPr>
        <w:t>– 2345..</w:t>
      </w:r>
    </w:p>
    <w:p w14:paraId="340E060E"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Yusuf S, Pfeffer MA, Swedberg K, Granger CB, Held P, McMurray JJ V, Michelson EL, Olofsson B, Ostergren J. Effects of candesartan in patients with chronic heart failure and preserved left-ventricular ejection fraction: the CHARM-Preserved Trial. Lancet.</w:t>
      </w:r>
    </w:p>
    <w:p w14:paraId="190B1B88"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 xml:space="preserve">Myhre PL, Vaduganathan M, </w:t>
      </w:r>
      <w:proofErr w:type="gramStart"/>
      <w:r w:rsidRPr="007C5A89">
        <w:rPr>
          <w:rStyle w:val="ac"/>
          <w:rFonts w:eastAsiaTheme="majorEastAsia"/>
          <w:sz w:val="24"/>
          <w:szCs w:val="24"/>
          <w:lang w:val="en-US"/>
        </w:rPr>
        <w:t>Claggett</w:t>
      </w:r>
      <w:proofErr w:type="gramEnd"/>
      <w:r w:rsidRPr="007C5A89">
        <w:rPr>
          <w:rStyle w:val="ac"/>
          <w:rFonts w:eastAsiaTheme="majorEastAsia"/>
          <w:sz w:val="24"/>
          <w:szCs w:val="24"/>
          <w:lang w:val="en-US"/>
        </w:rPr>
        <w:t xml:space="preserve"> BL et al. Association of Natriuretic Peptides With Cardiovascular Prognosis in Heart Failure With Preserved Ejection Fraction: Secondary Analysis of the TOPCAT Randomized Clinical Trial. JAMA </w:t>
      </w:r>
      <w:proofErr w:type="gramStart"/>
      <w:r w:rsidRPr="007C5A89">
        <w:rPr>
          <w:rStyle w:val="ac"/>
          <w:rFonts w:eastAsiaTheme="majorEastAsia"/>
          <w:sz w:val="24"/>
          <w:szCs w:val="24"/>
          <w:lang w:val="en-US"/>
        </w:rPr>
        <w:t>Cardiol .</w:t>
      </w:r>
      <w:proofErr w:type="gramEnd"/>
      <w:r w:rsidRPr="007C5A89">
        <w:rPr>
          <w:rStyle w:val="ac"/>
          <w:rFonts w:eastAsiaTheme="majorEastAsia"/>
          <w:sz w:val="24"/>
          <w:szCs w:val="24"/>
          <w:lang w:val="en-US"/>
        </w:rPr>
        <w:t xml:space="preserve">, 2018 Oct 1;3(10):1000-1005. </w:t>
      </w:r>
      <w:proofErr w:type="gramStart"/>
      <w:r w:rsidRPr="007C5A89">
        <w:rPr>
          <w:rStyle w:val="ac"/>
          <w:rFonts w:eastAsiaTheme="majorEastAsia"/>
          <w:sz w:val="24"/>
          <w:szCs w:val="24"/>
          <w:lang w:val="en-US"/>
        </w:rPr>
        <w:t>doi</w:t>
      </w:r>
      <w:proofErr w:type="gramEnd"/>
      <w:r w:rsidRPr="007C5A89">
        <w:rPr>
          <w:rStyle w:val="ac"/>
          <w:rFonts w:eastAsiaTheme="majorEastAsia"/>
          <w:sz w:val="24"/>
          <w:szCs w:val="24"/>
          <w:lang w:val="en-US"/>
        </w:rPr>
        <w:t>: 10.1001/jamacardio.2018.2568..</w:t>
      </w:r>
    </w:p>
    <w:p w14:paraId="5A2BFF14"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Martin N, Manoharan K, Thomas J, Davies C, Lumbers RT. Beta-blockers and inhibitors of the renin-angiotensin aldosterone system for chronic heart failure with preserved ejection fraction. Cochrane Database Syst Rev 2018 Jun 28;6:CD012721.</w:t>
      </w:r>
    </w:p>
    <w:p w14:paraId="64E597D4"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Hernandez AF, Hammill BG, O'Connor CM, Schulman KA, Curtis LH, Fonarow GC. Clinical effectiveness of beta-blockers in heart failure: findings from the OPTIMIZE-HF (Organized Program to Initiate Lifesaving Treatment in Hospitalized Patients with, Heart Failure) Registry. J Am Coll Cardiol. </w:t>
      </w:r>
      <w:r w:rsidRPr="007C5A89">
        <w:rPr>
          <w:rStyle w:val="ac"/>
          <w:rFonts w:eastAsiaTheme="majorEastAsia"/>
          <w:sz w:val="24"/>
          <w:szCs w:val="24"/>
        </w:rPr>
        <w:t xml:space="preserve">2009 </w:t>
      </w:r>
      <w:r w:rsidRPr="007C5A89">
        <w:rPr>
          <w:rStyle w:val="ac"/>
          <w:rFonts w:eastAsiaTheme="majorEastAsia"/>
          <w:sz w:val="24"/>
          <w:szCs w:val="24"/>
          <w:lang w:val="en-US"/>
        </w:rPr>
        <w:t xml:space="preserve">Jan </w:t>
      </w:r>
      <w:r w:rsidRPr="007C5A89">
        <w:rPr>
          <w:rStyle w:val="ac"/>
          <w:rFonts w:eastAsiaTheme="majorEastAsia"/>
          <w:sz w:val="24"/>
          <w:szCs w:val="24"/>
        </w:rPr>
        <w:t>13;53(2):184-92.</w:t>
      </w:r>
    </w:p>
    <w:p w14:paraId="56FE79A1"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 xml:space="preserve">Azizova A.G., Ovchinnikov A.G., Blankova Z.N., Ageev F.T. In patients with elevated LV </w:t>
      </w:r>
      <w:r w:rsidRPr="007C5A89">
        <w:rPr>
          <w:rStyle w:val="ac"/>
          <w:rFonts w:eastAsiaTheme="majorEastAsia"/>
          <w:sz w:val="24"/>
          <w:szCs w:val="24"/>
          <w:lang w:val="en-US"/>
        </w:rPr>
        <w:lastRenderedPageBreak/>
        <w:t>filling pressure loop diuretics improve severity of heart failure and diastolic dysfunction, but torasemide does it somewhat better than furosemide., Eur J Heart Fail 2011;10 (Suppl 2):S186..</w:t>
      </w:r>
    </w:p>
    <w:p w14:paraId="7B8CF89D"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Adamson PB, Abraham WT, Bourge RC, Costanzo MR, Hasan A, Yadav C, et al. Wireless pulmonary artery pressure monitoring guides management to reduce decompensation in heart failure with preserved ejection fraction. Circ Heart Fail. 2014 Nov</w:t>
      </w:r>
      <w:proofErr w:type="gramStart"/>
      <w:r w:rsidRPr="007C5A89">
        <w:rPr>
          <w:rStyle w:val="ac"/>
          <w:rFonts w:eastAsiaTheme="majorEastAsia"/>
          <w:sz w:val="24"/>
          <w:szCs w:val="24"/>
          <w:lang w:val="en-US"/>
        </w:rPr>
        <w:t>;7</w:t>
      </w:r>
      <w:proofErr w:type="gramEnd"/>
      <w:r w:rsidRPr="007C5A89">
        <w:rPr>
          <w:rStyle w:val="ac"/>
          <w:rFonts w:eastAsiaTheme="majorEastAsia"/>
          <w:sz w:val="24"/>
          <w:szCs w:val="24"/>
          <w:lang w:val="en-US"/>
        </w:rPr>
        <w:t>(6):935-44..</w:t>
      </w:r>
    </w:p>
    <w:p w14:paraId="6A2AAB26"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Cardoso, Rhanderson, et al. "SGLT2 inhibitors decrease cardiovascular death and heart failure hospitalizations in patients with heart failure: A systematic review and meta</w:t>
      </w:r>
      <w:r w:rsidRPr="007C5A89">
        <w:rPr>
          <w:rStyle w:val="ac"/>
          <w:rFonts w:eastAsiaTheme="majorEastAsia"/>
          <w:sz w:val="24"/>
          <w:szCs w:val="24"/>
          <w:lang w:val="en-US"/>
        </w:rPr>
        <w:softHyphen/>
        <w:t>analysis." EClinicalMedicine 36 (2021): 100933</w:t>
      </w:r>
      <w:proofErr w:type="gramStart"/>
      <w:r w:rsidRPr="007C5A89">
        <w:rPr>
          <w:rStyle w:val="ac"/>
          <w:rFonts w:eastAsiaTheme="majorEastAsia"/>
          <w:sz w:val="24"/>
          <w:szCs w:val="24"/>
          <w:lang w:val="en-US"/>
        </w:rPr>
        <w:t>..</w:t>
      </w:r>
      <w:proofErr w:type="gramEnd"/>
    </w:p>
    <w:p w14:paraId="01F4C46C"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Pitt B, Pfeffer MA, Assmann SF, Boineau R, Anand IS, Claggett B, et al.; TOPCAT Investigators. Spironolactone for heart failure with preserved ejection fraction. N Engl J Med. 2014;370(15):1383-92. doi: 10.1056/NEJMoa1313731.</w:t>
      </w:r>
    </w:p>
    <w:p w14:paraId="26202121"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Soliman EZ et al. Effect of intensive blood pressure lowering on left ventricular hypertrophy in patients with hypertension: SPRINT (Systolic Blood Pressure Intervention Trial). Circulation 2017:136(5):440–450</w:t>
      </w:r>
      <w:proofErr w:type="gramStart"/>
      <w:r w:rsidRPr="007C5A89">
        <w:rPr>
          <w:rStyle w:val="ac"/>
          <w:rFonts w:eastAsiaTheme="majorEastAsia"/>
          <w:sz w:val="24"/>
          <w:szCs w:val="24"/>
          <w:lang w:val="en-US"/>
        </w:rPr>
        <w:t>..</w:t>
      </w:r>
      <w:proofErr w:type="gramEnd"/>
    </w:p>
    <w:p w14:paraId="39A3A3D1"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Klingbeil AU et al. A meta-analysis of the effects of treatment on left ventricular mass in essential hypertension. The American journal of medicine </w:t>
      </w:r>
      <w:r w:rsidRPr="007C5A89">
        <w:rPr>
          <w:rStyle w:val="ac"/>
          <w:rFonts w:eastAsiaTheme="majorEastAsia"/>
          <w:sz w:val="24"/>
          <w:szCs w:val="24"/>
        </w:rPr>
        <w:t>115.1 (2003):41–46</w:t>
      </w:r>
      <w:proofErr w:type="gramStart"/>
      <w:r w:rsidRPr="007C5A89">
        <w:rPr>
          <w:rStyle w:val="ac"/>
          <w:rFonts w:eastAsiaTheme="majorEastAsia"/>
          <w:sz w:val="24"/>
          <w:szCs w:val="24"/>
        </w:rPr>
        <w:t>..</w:t>
      </w:r>
      <w:proofErr w:type="gramEnd"/>
    </w:p>
    <w:p w14:paraId="55D05594"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Dahlöf B, Kjell P, Hansson L. Reversal of left ventricular hypertrophy in hypertensive patients: a metaanalysis of 109 treatment studies. </w:t>
      </w:r>
      <w:r w:rsidRPr="007C5A89">
        <w:rPr>
          <w:rStyle w:val="ac"/>
          <w:rFonts w:eastAsiaTheme="majorEastAsia"/>
          <w:sz w:val="24"/>
          <w:szCs w:val="24"/>
        </w:rPr>
        <w:t xml:space="preserve">1992. </w:t>
      </w:r>
      <w:r w:rsidRPr="007C5A89">
        <w:rPr>
          <w:rStyle w:val="ac"/>
          <w:rFonts w:eastAsiaTheme="majorEastAsia"/>
          <w:sz w:val="24"/>
          <w:szCs w:val="24"/>
          <w:lang w:val="en-US"/>
        </w:rPr>
        <w:t xml:space="preserve">P. </w:t>
      </w:r>
      <w:r w:rsidRPr="007C5A89">
        <w:rPr>
          <w:rStyle w:val="ac"/>
          <w:rFonts w:eastAsiaTheme="majorEastAsia"/>
          <w:sz w:val="24"/>
          <w:szCs w:val="24"/>
        </w:rPr>
        <w:t>95–110..</w:t>
      </w:r>
    </w:p>
    <w:p w14:paraId="346FE1A3"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rPr>
        <w:t xml:space="preserve">КР. Фибрилляция и трепетание предсердий у взрослых. 2020. </w:t>
      </w:r>
      <w:hyperlink r:id="rId21" w:history="1">
        <w:r w:rsidRPr="007C5A89">
          <w:rPr>
            <w:rStyle w:val="ac"/>
            <w:rFonts w:eastAsiaTheme="majorEastAsia"/>
            <w:sz w:val="24"/>
            <w:szCs w:val="24"/>
            <w:lang w:val="en-US"/>
          </w:rPr>
          <w:t>https</w:t>
        </w:r>
        <w:r w:rsidRPr="007C5A89">
          <w:rPr>
            <w:rStyle w:val="ac"/>
            <w:rFonts w:eastAsiaTheme="majorEastAsia"/>
            <w:sz w:val="24"/>
            <w:szCs w:val="24"/>
          </w:rPr>
          <w:t>://</w:t>
        </w:r>
        <w:r w:rsidRPr="007C5A89">
          <w:rPr>
            <w:rStyle w:val="ac"/>
            <w:rFonts w:eastAsiaTheme="majorEastAsia"/>
            <w:sz w:val="24"/>
            <w:szCs w:val="24"/>
            <w:lang w:val="en-US"/>
          </w:rPr>
          <w:t>cr</w:t>
        </w:r>
        <w:r w:rsidRPr="007C5A89">
          <w:rPr>
            <w:rStyle w:val="ac"/>
            <w:rFonts w:eastAsiaTheme="majorEastAsia"/>
            <w:sz w:val="24"/>
            <w:szCs w:val="24"/>
          </w:rPr>
          <w:t>.</w:t>
        </w:r>
        <w:r w:rsidRPr="007C5A89">
          <w:rPr>
            <w:rStyle w:val="ac"/>
            <w:rFonts w:eastAsiaTheme="majorEastAsia"/>
            <w:sz w:val="24"/>
            <w:szCs w:val="24"/>
            <w:lang w:val="en-US"/>
          </w:rPr>
          <w:t>minzdrav</w:t>
        </w:r>
        <w:r w:rsidRPr="007C5A89">
          <w:rPr>
            <w:rStyle w:val="ac"/>
            <w:rFonts w:eastAsiaTheme="majorEastAsia"/>
            <w:sz w:val="24"/>
            <w:szCs w:val="24"/>
          </w:rPr>
          <w:t>.</w:t>
        </w:r>
        <w:r w:rsidRPr="007C5A89">
          <w:rPr>
            <w:rStyle w:val="ac"/>
            <w:rFonts w:eastAsiaTheme="majorEastAsia"/>
            <w:sz w:val="24"/>
            <w:szCs w:val="24"/>
            <w:lang w:val="en-US"/>
          </w:rPr>
          <w:t>gov</w:t>
        </w:r>
        <w:r w:rsidRPr="007C5A89">
          <w:rPr>
            <w:rStyle w:val="ac"/>
            <w:rFonts w:eastAsiaTheme="majorEastAsia"/>
            <w:sz w:val="24"/>
            <w:szCs w:val="24"/>
          </w:rPr>
          <w:t>.</w:t>
        </w:r>
        <w:r w:rsidRPr="007C5A89">
          <w:rPr>
            <w:rStyle w:val="ac"/>
            <w:rFonts w:eastAsiaTheme="majorEastAsia"/>
            <w:sz w:val="24"/>
            <w:szCs w:val="24"/>
            <w:lang w:val="en-US"/>
          </w:rPr>
          <w:t>ru</w:t>
        </w:r>
        <w:r w:rsidRPr="007C5A89">
          <w:rPr>
            <w:rStyle w:val="ac"/>
            <w:rFonts w:eastAsiaTheme="majorEastAsia"/>
            <w:sz w:val="24"/>
            <w:szCs w:val="24"/>
          </w:rPr>
          <w:t>/</w:t>
        </w:r>
        <w:r w:rsidRPr="007C5A89">
          <w:rPr>
            <w:rStyle w:val="ac"/>
            <w:rFonts w:eastAsiaTheme="majorEastAsia"/>
            <w:sz w:val="24"/>
            <w:szCs w:val="24"/>
            <w:lang w:val="en-US"/>
          </w:rPr>
          <w:t>recomend</w:t>
        </w:r>
        <w:r w:rsidRPr="007C5A89">
          <w:rPr>
            <w:rStyle w:val="ac"/>
            <w:rFonts w:eastAsiaTheme="majorEastAsia"/>
            <w:sz w:val="24"/>
            <w:szCs w:val="24"/>
          </w:rPr>
          <w:t>/382_1</w:t>
        </w:r>
      </w:hyperlink>
      <w:r w:rsidRPr="007C5A89">
        <w:rPr>
          <w:rStyle w:val="ac"/>
          <w:rFonts w:eastAsiaTheme="majorEastAsia"/>
          <w:sz w:val="24"/>
          <w:szCs w:val="24"/>
        </w:rPr>
        <w:t>.</w:t>
      </w:r>
    </w:p>
    <w:p w14:paraId="43300002"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Hart RG et al. Antithrombotic therapy to prevent stroke in patients with atrial fibrillation: a meta-analysis. Annals of internal medicine 131 (1999):492–501; 536, 556</w:t>
      </w:r>
      <w:proofErr w:type="gramStart"/>
      <w:r w:rsidRPr="007C5A89">
        <w:rPr>
          <w:rStyle w:val="ac"/>
          <w:rFonts w:eastAsiaTheme="majorEastAsia"/>
          <w:sz w:val="24"/>
          <w:szCs w:val="24"/>
          <w:lang w:val="en-US"/>
        </w:rPr>
        <w:t>..</w:t>
      </w:r>
      <w:proofErr w:type="gramEnd"/>
    </w:p>
    <w:p w14:paraId="237D25BE"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Arima H, Chalmers J, Woodward M, et al. PROGRESS Collaborative Group. Lower target blood pressures are safe and effective for the prevention of recurrent stroke: the PROGRESS trial. J Hypertens </w:t>
      </w:r>
      <w:r w:rsidRPr="007C5A89">
        <w:rPr>
          <w:rStyle w:val="ac"/>
          <w:rFonts w:eastAsiaTheme="majorEastAsia"/>
          <w:sz w:val="24"/>
          <w:szCs w:val="24"/>
        </w:rPr>
        <w:t>2006</w:t>
      </w:r>
      <w:proofErr w:type="gramStart"/>
      <w:r w:rsidRPr="007C5A89">
        <w:rPr>
          <w:rStyle w:val="ac"/>
          <w:rFonts w:eastAsiaTheme="majorEastAsia"/>
          <w:sz w:val="24"/>
          <w:szCs w:val="24"/>
        </w:rPr>
        <w:t>;24:1201</w:t>
      </w:r>
      <w:proofErr w:type="gramEnd"/>
      <w:r w:rsidRPr="007C5A89">
        <w:rPr>
          <w:rStyle w:val="ac"/>
          <w:rFonts w:eastAsiaTheme="majorEastAsia"/>
          <w:sz w:val="24"/>
          <w:szCs w:val="24"/>
        </w:rPr>
        <w:t>–1208..</w:t>
      </w:r>
    </w:p>
    <w:p w14:paraId="131DBBC6"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Rodriguez-Luna D, Pineiro S, Rubiera M, et al. </w:t>
      </w:r>
      <w:r w:rsidRPr="007C5A89">
        <w:rPr>
          <w:rStyle w:val="ac"/>
          <w:rFonts w:eastAsiaTheme="majorEastAsia"/>
          <w:sz w:val="24"/>
          <w:szCs w:val="24"/>
          <w:lang w:val="en-US"/>
        </w:rPr>
        <w:t>Impact of blood pressure changes and courseon hematoma growth in acute intracerebral hemorrhage. Eur J Neurol.2013</w:t>
      </w:r>
      <w:proofErr w:type="gramStart"/>
      <w:r w:rsidRPr="007C5A89">
        <w:rPr>
          <w:rStyle w:val="ac"/>
          <w:rFonts w:eastAsiaTheme="majorEastAsia"/>
          <w:sz w:val="24"/>
          <w:szCs w:val="24"/>
          <w:lang w:val="en-US"/>
        </w:rPr>
        <w:t>;20:1277</w:t>
      </w:r>
      <w:proofErr w:type="gramEnd"/>
      <w:r w:rsidRPr="007C5A89">
        <w:rPr>
          <w:rStyle w:val="ac"/>
          <w:rFonts w:eastAsiaTheme="majorEastAsia"/>
          <w:sz w:val="24"/>
          <w:szCs w:val="24"/>
          <w:lang w:val="en-US"/>
        </w:rPr>
        <w:t>– 1283..</w:t>
      </w:r>
    </w:p>
    <w:p w14:paraId="76B954EC"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Sakamoto Y, Koga M, Yamagami H et al. </w:t>
      </w:r>
      <w:r w:rsidRPr="007C5A89">
        <w:rPr>
          <w:rStyle w:val="ac"/>
          <w:rFonts w:eastAsiaTheme="majorEastAsia"/>
          <w:sz w:val="24"/>
          <w:szCs w:val="24"/>
          <w:lang w:val="en-US"/>
        </w:rPr>
        <w:t>Systolic blood pressure afterintravenous antihypertensive treatment and clinical outcomes in hyperacute intracerebral hemorrhage: the stroke acute management with urgent risk-factorassessment and improvement, intracerebral hemorrhage study. Stroke.2013</w:t>
      </w:r>
      <w:proofErr w:type="gramStart"/>
      <w:r w:rsidRPr="007C5A89">
        <w:rPr>
          <w:rStyle w:val="ac"/>
          <w:rFonts w:eastAsiaTheme="majorEastAsia"/>
          <w:sz w:val="24"/>
          <w:szCs w:val="24"/>
          <w:lang w:val="en-US"/>
        </w:rPr>
        <w:t>;44:1846</w:t>
      </w:r>
      <w:proofErr w:type="gramEnd"/>
      <w:r w:rsidRPr="007C5A89">
        <w:rPr>
          <w:rStyle w:val="ac"/>
          <w:rFonts w:eastAsiaTheme="majorEastAsia"/>
          <w:sz w:val="24"/>
          <w:szCs w:val="24"/>
          <w:lang w:val="en-US"/>
        </w:rPr>
        <w:t>–1851..</w:t>
      </w:r>
    </w:p>
    <w:p w14:paraId="3EFBD234"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F03632">
        <w:rPr>
          <w:rStyle w:val="ac"/>
          <w:rFonts w:eastAsiaTheme="majorEastAsia"/>
          <w:sz w:val="24"/>
          <w:szCs w:val="24"/>
          <w:lang w:val="fr-FR"/>
        </w:rPr>
        <w:t xml:space="preserve">Anderson CS, Heeley E, Huang Y, et al. </w:t>
      </w:r>
      <w:r w:rsidRPr="007C5A89">
        <w:rPr>
          <w:rStyle w:val="ac"/>
          <w:rFonts w:eastAsiaTheme="majorEastAsia"/>
          <w:sz w:val="24"/>
          <w:szCs w:val="24"/>
          <w:lang w:val="en-US"/>
        </w:rPr>
        <w:t xml:space="preserve">INTERACT2Investigators. Rapid blood-pressure lowering in patients with acute intracerebral hemorrhage. N Engl J Med </w:t>
      </w:r>
      <w:r w:rsidRPr="007C5A89">
        <w:rPr>
          <w:rStyle w:val="ac"/>
          <w:rFonts w:eastAsiaTheme="majorEastAsia"/>
          <w:sz w:val="24"/>
          <w:szCs w:val="24"/>
        </w:rPr>
        <w:t>2013</w:t>
      </w:r>
      <w:proofErr w:type="gramStart"/>
      <w:r w:rsidRPr="007C5A89">
        <w:rPr>
          <w:rStyle w:val="ac"/>
          <w:rFonts w:eastAsiaTheme="majorEastAsia"/>
          <w:sz w:val="24"/>
          <w:szCs w:val="24"/>
        </w:rPr>
        <w:t>;368:2355</w:t>
      </w:r>
      <w:proofErr w:type="gramEnd"/>
      <w:r w:rsidRPr="007C5A89">
        <w:rPr>
          <w:rStyle w:val="ac"/>
          <w:rFonts w:eastAsiaTheme="majorEastAsia"/>
          <w:sz w:val="24"/>
          <w:szCs w:val="24"/>
        </w:rPr>
        <w:t>– 2365..</w:t>
      </w:r>
    </w:p>
    <w:p w14:paraId="5DBBE117"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Qureshi AI, Palesch YY, Barsan WG, et al. </w:t>
      </w:r>
      <w:r w:rsidRPr="007C5A89">
        <w:rPr>
          <w:rStyle w:val="ac"/>
          <w:rFonts w:eastAsiaTheme="majorEastAsia"/>
          <w:sz w:val="24"/>
          <w:szCs w:val="24"/>
          <w:lang w:val="en-US"/>
        </w:rPr>
        <w:t xml:space="preserve">Intensive </w:t>
      </w:r>
      <w:proofErr w:type="gramStart"/>
      <w:r w:rsidRPr="007C5A89">
        <w:rPr>
          <w:rStyle w:val="ac"/>
          <w:rFonts w:eastAsiaTheme="majorEastAsia"/>
          <w:sz w:val="24"/>
          <w:szCs w:val="24"/>
          <w:lang w:val="en-US"/>
        </w:rPr>
        <w:t>blood-pressure</w:t>
      </w:r>
      <w:proofErr w:type="gramEnd"/>
      <w:r w:rsidRPr="007C5A89">
        <w:rPr>
          <w:rStyle w:val="ac"/>
          <w:rFonts w:eastAsiaTheme="majorEastAsia"/>
          <w:sz w:val="24"/>
          <w:szCs w:val="24"/>
          <w:lang w:val="en-US"/>
        </w:rPr>
        <w:t xml:space="preserve"> lowering in patients with acute cerebral hemorrhage. . N Engl J Med 2016</w:t>
      </w:r>
      <w:proofErr w:type="gramStart"/>
      <w:r w:rsidRPr="007C5A89">
        <w:rPr>
          <w:rStyle w:val="ac"/>
          <w:rFonts w:eastAsiaTheme="majorEastAsia"/>
          <w:sz w:val="24"/>
          <w:szCs w:val="24"/>
          <w:lang w:val="en-US"/>
        </w:rPr>
        <w:t>;375:1033</w:t>
      </w:r>
      <w:proofErr w:type="gramEnd"/>
      <w:r w:rsidRPr="007C5A89">
        <w:rPr>
          <w:rStyle w:val="ac"/>
          <w:rFonts w:eastAsiaTheme="majorEastAsia"/>
          <w:sz w:val="24"/>
          <w:szCs w:val="24"/>
          <w:lang w:val="en-US"/>
        </w:rPr>
        <w:t>–1043..</w:t>
      </w:r>
    </w:p>
    <w:p w14:paraId="0BB72525"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Tsivgoulis G, Katsanos AH, Butcher KS et al. </w:t>
      </w:r>
      <w:r w:rsidRPr="007C5A89">
        <w:rPr>
          <w:rStyle w:val="ac"/>
          <w:rFonts w:eastAsiaTheme="majorEastAsia"/>
          <w:sz w:val="24"/>
          <w:szCs w:val="24"/>
          <w:lang w:val="en-US"/>
        </w:rPr>
        <w:t>Intensive blood pressure reduction in acute intracerebral hemorrhage: a meta-analysis. Neurology 2014</w:t>
      </w:r>
      <w:proofErr w:type="gramStart"/>
      <w:r w:rsidRPr="007C5A89">
        <w:rPr>
          <w:rStyle w:val="ac"/>
          <w:rFonts w:eastAsiaTheme="majorEastAsia"/>
          <w:sz w:val="24"/>
          <w:szCs w:val="24"/>
          <w:lang w:val="en-US"/>
        </w:rPr>
        <w:t>;83:1523</w:t>
      </w:r>
      <w:proofErr w:type="gramEnd"/>
      <w:r w:rsidRPr="007C5A89">
        <w:rPr>
          <w:rStyle w:val="ac"/>
          <w:rFonts w:eastAsiaTheme="majorEastAsia"/>
          <w:sz w:val="24"/>
          <w:szCs w:val="24"/>
          <w:lang w:val="en-US"/>
        </w:rPr>
        <w:t>–1529..</w:t>
      </w:r>
    </w:p>
    <w:p w14:paraId="0C18C49A"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«Moullaali TJ, Wang X, Martin RH, et al. Blood pressure control and clinical outcomes in acute intracerebral haemorrhage: a preplanned pooled analysis of individual participant data. Lancet Neurol. </w:t>
      </w:r>
      <w:r w:rsidRPr="007C5A89">
        <w:rPr>
          <w:rStyle w:val="ac"/>
          <w:rFonts w:eastAsiaTheme="majorEastAsia"/>
          <w:sz w:val="24"/>
          <w:szCs w:val="24"/>
        </w:rPr>
        <w:t>2019;18(9):857-864.».</w:t>
      </w:r>
    </w:p>
    <w:p w14:paraId="2D3AF85A"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 xml:space="preserve">Steiner et al. European Stroke Organisation (ESO) guidelines for the management of spontaneous intracerebral hemorrhage. International Journal of Stroke, Vol. 9, October </w:t>
      </w:r>
      <w:r w:rsidRPr="007C5A89">
        <w:rPr>
          <w:rStyle w:val="ac"/>
          <w:rFonts w:eastAsiaTheme="majorEastAsia"/>
          <w:sz w:val="24"/>
          <w:szCs w:val="24"/>
          <w:lang w:val="en-US"/>
        </w:rPr>
        <w:lastRenderedPageBreak/>
        <w:t>2014, p. 840–855</w:t>
      </w:r>
      <w:proofErr w:type="gramStart"/>
      <w:r w:rsidRPr="007C5A89">
        <w:rPr>
          <w:rStyle w:val="ac"/>
          <w:rFonts w:eastAsiaTheme="majorEastAsia"/>
          <w:sz w:val="24"/>
          <w:szCs w:val="24"/>
          <w:lang w:val="en-US"/>
        </w:rPr>
        <w:t>..</w:t>
      </w:r>
      <w:proofErr w:type="gramEnd"/>
    </w:p>
    <w:p w14:paraId="4A565535"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Hemphill et al. Guidelines for the Management of Spontaneous Intracerebral Hemorrhage. A Guideline for Healthcare Professionals </w:t>
      </w:r>
      <w:proofErr w:type="gramStart"/>
      <w:r w:rsidRPr="007C5A89">
        <w:rPr>
          <w:rStyle w:val="ac"/>
          <w:rFonts w:eastAsiaTheme="majorEastAsia"/>
          <w:sz w:val="24"/>
          <w:szCs w:val="24"/>
          <w:lang w:val="en-US"/>
        </w:rPr>
        <w:t>From</w:t>
      </w:r>
      <w:proofErr w:type="gramEnd"/>
      <w:r w:rsidRPr="007C5A89">
        <w:rPr>
          <w:rStyle w:val="ac"/>
          <w:rFonts w:eastAsiaTheme="majorEastAsia"/>
          <w:sz w:val="24"/>
          <w:szCs w:val="24"/>
          <w:lang w:val="en-US"/>
        </w:rPr>
        <w:t xml:space="preserve"> the American Heart Association/American Stroke Association. Stroke. </w:t>
      </w:r>
      <w:proofErr w:type="gramStart"/>
      <w:r w:rsidRPr="007C5A89">
        <w:rPr>
          <w:rStyle w:val="ac"/>
          <w:rFonts w:eastAsiaTheme="majorEastAsia"/>
          <w:sz w:val="24"/>
          <w:szCs w:val="24"/>
        </w:rPr>
        <w:t>2015;46:2032</w:t>
      </w:r>
      <w:proofErr w:type="gramEnd"/>
      <w:r w:rsidRPr="007C5A89">
        <w:rPr>
          <w:rStyle w:val="ac"/>
          <w:rFonts w:eastAsiaTheme="majorEastAsia"/>
          <w:sz w:val="24"/>
          <w:szCs w:val="24"/>
        </w:rPr>
        <w:t xml:space="preserve">–2060. </w:t>
      </w:r>
      <w:r w:rsidRPr="007C5A89">
        <w:rPr>
          <w:rStyle w:val="ac"/>
          <w:rFonts w:eastAsiaTheme="majorEastAsia"/>
          <w:sz w:val="24"/>
          <w:szCs w:val="24"/>
          <w:lang w:val="en-US"/>
        </w:rPr>
        <w:t>doi: 10.1161/STR.0000000000000069]</w:t>
      </w:r>
      <w:r w:rsidRPr="007C5A89">
        <w:rPr>
          <w:rStyle w:val="ac"/>
          <w:rFonts w:eastAsiaTheme="majorEastAsia"/>
          <w:sz w:val="24"/>
          <w:szCs w:val="24"/>
        </w:rPr>
        <w:t>..</w:t>
      </w:r>
    </w:p>
    <w:p w14:paraId="6D0FBB27"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Powers WJ et al. 2018 Guidelines for the Early Management of Patients </w:t>
      </w:r>
      <w:proofErr w:type="gramStart"/>
      <w:r w:rsidRPr="007C5A89">
        <w:rPr>
          <w:rStyle w:val="ac"/>
          <w:rFonts w:eastAsiaTheme="majorEastAsia"/>
          <w:sz w:val="24"/>
          <w:szCs w:val="24"/>
          <w:lang w:val="en-US"/>
        </w:rPr>
        <w:t>With</w:t>
      </w:r>
      <w:proofErr w:type="gramEnd"/>
      <w:r w:rsidRPr="007C5A89">
        <w:rPr>
          <w:rStyle w:val="ac"/>
          <w:rFonts w:eastAsiaTheme="majorEastAsia"/>
          <w:sz w:val="24"/>
          <w:szCs w:val="24"/>
          <w:lang w:val="en-US"/>
        </w:rPr>
        <w:t xml:space="preserve"> Acute Ischemic Stroke. A Guideline for Healthcare Professionals </w:t>
      </w:r>
      <w:proofErr w:type="gramStart"/>
      <w:r w:rsidRPr="007C5A89">
        <w:rPr>
          <w:rStyle w:val="ac"/>
          <w:rFonts w:eastAsiaTheme="majorEastAsia"/>
          <w:sz w:val="24"/>
          <w:szCs w:val="24"/>
          <w:lang w:val="en-US"/>
        </w:rPr>
        <w:t>From</w:t>
      </w:r>
      <w:proofErr w:type="gramEnd"/>
      <w:r w:rsidRPr="007C5A89">
        <w:rPr>
          <w:rStyle w:val="ac"/>
          <w:rFonts w:eastAsiaTheme="majorEastAsia"/>
          <w:sz w:val="24"/>
          <w:szCs w:val="24"/>
          <w:lang w:val="en-US"/>
        </w:rPr>
        <w:t xml:space="preserve"> the American Heart Association/American Stroke Association. Stroke </w:t>
      </w:r>
      <w:r w:rsidRPr="007C5A89">
        <w:rPr>
          <w:rStyle w:val="ac"/>
          <w:rFonts w:eastAsiaTheme="majorEastAsia"/>
          <w:sz w:val="24"/>
          <w:szCs w:val="24"/>
        </w:rPr>
        <w:t>2018; 49 (3): e46–e138</w:t>
      </w:r>
      <w:proofErr w:type="gramStart"/>
      <w:r w:rsidRPr="007C5A89">
        <w:rPr>
          <w:rStyle w:val="ac"/>
          <w:rFonts w:eastAsiaTheme="majorEastAsia"/>
          <w:sz w:val="24"/>
          <w:szCs w:val="24"/>
        </w:rPr>
        <w:t>..</w:t>
      </w:r>
      <w:proofErr w:type="gramEnd"/>
    </w:p>
    <w:p w14:paraId="0F8BAC66"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Lee M, Ovbiagele B, Hong KS, et al. </w:t>
      </w:r>
      <w:r w:rsidRPr="007C5A89">
        <w:rPr>
          <w:rStyle w:val="ac"/>
          <w:rFonts w:eastAsiaTheme="majorEastAsia"/>
          <w:sz w:val="24"/>
          <w:szCs w:val="24"/>
          <w:lang w:val="en-US"/>
        </w:rPr>
        <w:t>Effectof blood pressure lowering in early ischemic stroke: meta-analysis. Stroke.2015</w:t>
      </w:r>
      <w:proofErr w:type="gramStart"/>
      <w:r w:rsidRPr="007C5A89">
        <w:rPr>
          <w:rStyle w:val="ac"/>
          <w:rFonts w:eastAsiaTheme="majorEastAsia"/>
          <w:sz w:val="24"/>
          <w:szCs w:val="24"/>
          <w:lang w:val="en-US"/>
        </w:rPr>
        <w:t>;46:1883</w:t>
      </w:r>
      <w:proofErr w:type="gramEnd"/>
      <w:r w:rsidRPr="007C5A89">
        <w:rPr>
          <w:rStyle w:val="ac"/>
          <w:rFonts w:eastAsiaTheme="majorEastAsia"/>
          <w:sz w:val="24"/>
          <w:szCs w:val="24"/>
          <w:lang w:val="en-US"/>
        </w:rPr>
        <w:t>–1889..</w:t>
      </w:r>
    </w:p>
    <w:p w14:paraId="7C6187D0"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 xml:space="preserve">Zhao R, Liu FD, Wang S et al. Blood pressure reduction in the acute phase of an ischemic stroke does not improve short- or long-term dependency or mortality: a meta-analysis of current literature. </w:t>
      </w:r>
      <w:proofErr w:type="gramStart"/>
      <w:r w:rsidRPr="007C5A89">
        <w:rPr>
          <w:rStyle w:val="ac"/>
          <w:rFonts w:eastAsiaTheme="majorEastAsia"/>
          <w:sz w:val="24"/>
          <w:szCs w:val="24"/>
          <w:lang w:val="en-US"/>
        </w:rPr>
        <w:t>Medicine(</w:t>
      </w:r>
      <w:proofErr w:type="gramEnd"/>
      <w:r w:rsidRPr="007C5A89">
        <w:rPr>
          <w:rStyle w:val="ac"/>
          <w:rFonts w:eastAsiaTheme="majorEastAsia"/>
          <w:sz w:val="24"/>
          <w:szCs w:val="24"/>
          <w:lang w:val="en-US"/>
        </w:rPr>
        <w:t>Baltimore). 2015</w:t>
      </w:r>
      <w:proofErr w:type="gramStart"/>
      <w:r w:rsidRPr="007C5A89">
        <w:rPr>
          <w:rStyle w:val="ac"/>
          <w:rFonts w:eastAsiaTheme="majorEastAsia"/>
          <w:sz w:val="24"/>
          <w:szCs w:val="24"/>
          <w:lang w:val="en-US"/>
        </w:rPr>
        <w:t>;94:e896</w:t>
      </w:r>
      <w:proofErr w:type="gramEnd"/>
      <w:r w:rsidRPr="007C5A89">
        <w:rPr>
          <w:rStyle w:val="ac"/>
          <w:rFonts w:eastAsiaTheme="majorEastAsia"/>
          <w:sz w:val="24"/>
          <w:szCs w:val="24"/>
          <w:lang w:val="en-US"/>
        </w:rPr>
        <w:t>..</w:t>
      </w:r>
    </w:p>
    <w:p w14:paraId="44A430B2"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Ahmed N, Wahlgren N, Brainin M, et al. Relationship of blood pressure, antihypertensive therapy, and outcome inischemic stroke treated with intravenous thrombolysis: retrospective analysis from Safe Implementation of Thrombolysis in Stroke-International, StrokeThrombolysis Register (SITS-ISTR). Stroke 2009</w:t>
      </w:r>
      <w:proofErr w:type="gramStart"/>
      <w:r w:rsidRPr="007C5A89">
        <w:rPr>
          <w:rStyle w:val="ac"/>
          <w:rFonts w:eastAsiaTheme="majorEastAsia"/>
          <w:sz w:val="24"/>
          <w:szCs w:val="24"/>
          <w:lang w:val="en-US"/>
        </w:rPr>
        <w:t>;40:2442</w:t>
      </w:r>
      <w:proofErr w:type="gramEnd"/>
      <w:r w:rsidRPr="007C5A89">
        <w:rPr>
          <w:rStyle w:val="ac"/>
          <w:rFonts w:eastAsiaTheme="majorEastAsia"/>
          <w:sz w:val="24"/>
          <w:szCs w:val="24"/>
          <w:lang w:val="en-US"/>
        </w:rPr>
        <w:t>–2449..</w:t>
      </w:r>
    </w:p>
    <w:p w14:paraId="69ECF97F"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WuW, HuoX, ZhaoX, et al. </w:t>
      </w:r>
      <w:r w:rsidRPr="007C5A89">
        <w:rPr>
          <w:rStyle w:val="ac"/>
          <w:rFonts w:eastAsiaTheme="majorEastAsia"/>
          <w:sz w:val="24"/>
          <w:szCs w:val="24"/>
          <w:lang w:val="en-US"/>
        </w:rPr>
        <w:t>Relationship between blood pressure and outcomes in acute ischemic stroke patients administered lytic medication in the TIMS-China Study. PLoS One 2016</w:t>
      </w:r>
      <w:proofErr w:type="gramStart"/>
      <w:r w:rsidRPr="007C5A89">
        <w:rPr>
          <w:rStyle w:val="ac"/>
          <w:rFonts w:eastAsiaTheme="majorEastAsia"/>
          <w:sz w:val="24"/>
          <w:szCs w:val="24"/>
          <w:lang w:val="en-US"/>
        </w:rPr>
        <w:t>;11:e0144260</w:t>
      </w:r>
      <w:proofErr w:type="gramEnd"/>
      <w:r w:rsidRPr="007C5A89">
        <w:rPr>
          <w:rStyle w:val="ac"/>
          <w:rFonts w:eastAsiaTheme="majorEastAsia"/>
          <w:sz w:val="24"/>
          <w:szCs w:val="24"/>
          <w:lang w:val="en-US"/>
        </w:rPr>
        <w:t>..</w:t>
      </w:r>
    </w:p>
    <w:p w14:paraId="432C7F5D"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White CL, Szychowski JM, Pergola PE et al. </w:t>
      </w:r>
      <w:r w:rsidRPr="007C5A89">
        <w:rPr>
          <w:rStyle w:val="ac"/>
          <w:rFonts w:eastAsiaTheme="majorEastAsia"/>
          <w:sz w:val="24"/>
          <w:szCs w:val="24"/>
          <w:lang w:val="en-US"/>
        </w:rPr>
        <w:t>Secondary Prevention of Small Subcortical Strokes Study Investigators. Can blood pressure be lowered safely in older adults with lacunar stroke? The Secondary Prevention of Small Subcortical Strokes study, experience. J Am Geriatr Soc 2015</w:t>
      </w:r>
      <w:proofErr w:type="gramStart"/>
      <w:r w:rsidRPr="007C5A89">
        <w:rPr>
          <w:rStyle w:val="ac"/>
          <w:rFonts w:eastAsiaTheme="majorEastAsia"/>
          <w:sz w:val="24"/>
          <w:szCs w:val="24"/>
          <w:lang w:val="en-US"/>
        </w:rPr>
        <w:t>;63:722</w:t>
      </w:r>
      <w:proofErr w:type="gramEnd"/>
      <w:r w:rsidRPr="007C5A89">
        <w:rPr>
          <w:rStyle w:val="ac"/>
          <w:rFonts w:eastAsiaTheme="majorEastAsia"/>
          <w:sz w:val="24"/>
          <w:szCs w:val="24"/>
          <w:lang w:val="en-US"/>
        </w:rPr>
        <w:t>–729..</w:t>
      </w:r>
    </w:p>
    <w:p w14:paraId="1D1EE0CA"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PROGRESS Collaborative Group. Randomised trial of a perindopril-based blood-pressure</w:t>
      </w:r>
      <w:r w:rsidRPr="007C5A89">
        <w:rPr>
          <w:rStyle w:val="ac"/>
          <w:rFonts w:eastAsiaTheme="majorEastAsia"/>
          <w:sz w:val="24"/>
          <w:szCs w:val="24"/>
          <w:lang w:val="en-US"/>
        </w:rPr>
        <w:softHyphen/>
        <w:t xml:space="preserve">lowering regimen among 6105 individuals with previous stroke or transient ischaemic attack. The Lancet </w:t>
      </w:r>
      <w:r w:rsidRPr="007C5A89">
        <w:rPr>
          <w:rStyle w:val="ac"/>
          <w:rFonts w:eastAsiaTheme="majorEastAsia"/>
          <w:sz w:val="24"/>
          <w:szCs w:val="24"/>
        </w:rPr>
        <w:t>358.9287 (2001):1033–1041</w:t>
      </w:r>
      <w:proofErr w:type="gramStart"/>
      <w:r w:rsidRPr="007C5A89">
        <w:rPr>
          <w:rStyle w:val="ac"/>
          <w:rFonts w:eastAsiaTheme="majorEastAsia"/>
          <w:sz w:val="24"/>
          <w:szCs w:val="24"/>
        </w:rPr>
        <w:t>..</w:t>
      </w:r>
      <w:proofErr w:type="gramEnd"/>
    </w:p>
    <w:p w14:paraId="44A25C3B"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«Lu, Z., et al. "Combination therapy of renin–angiotensin system inhibitors plus calcium channel blockers versus other two-drug combinations for hypertension: a systematic review and meta-analysis." Journal of Human Hypertension 31.1 (2017): 1-13.».</w:t>
      </w:r>
    </w:p>
    <w:p w14:paraId="23B91BC7"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Chi C, Tai C, Bai B, et al. </w:t>
      </w:r>
      <w:r w:rsidRPr="007C5A89">
        <w:rPr>
          <w:rStyle w:val="ac"/>
          <w:rFonts w:eastAsiaTheme="majorEastAsia"/>
          <w:sz w:val="24"/>
          <w:szCs w:val="24"/>
          <w:lang w:val="en-US"/>
        </w:rPr>
        <w:t xml:space="preserve">Angiotensin System Blockade Combined With Calcium Channel Blockers Is Superior to Other Combinations in Cardiovascular Protection With Similar Blood Pressure Reduction: A Meta-Analysis in 20,451 Hypertensive </w:t>
      </w:r>
      <w:proofErr w:type="gramStart"/>
      <w:r w:rsidRPr="007C5A89">
        <w:rPr>
          <w:rStyle w:val="ac"/>
          <w:rFonts w:eastAsiaTheme="majorEastAsia"/>
          <w:sz w:val="24"/>
          <w:szCs w:val="24"/>
          <w:lang w:val="en-US"/>
        </w:rPr>
        <w:t>Patients.,</w:t>
      </w:r>
      <w:proofErr w:type="gramEnd"/>
      <w:r w:rsidRPr="007C5A89">
        <w:rPr>
          <w:rStyle w:val="ac"/>
          <w:rFonts w:eastAsiaTheme="majorEastAsia"/>
          <w:sz w:val="24"/>
          <w:szCs w:val="24"/>
          <w:lang w:val="en-US"/>
        </w:rPr>
        <w:t xml:space="preserve"> J Clin Hypertens (Greenwich). 2016 Aug;18(8):801-8. </w:t>
      </w:r>
      <w:proofErr w:type="gramStart"/>
      <w:r w:rsidRPr="007C5A89">
        <w:rPr>
          <w:rStyle w:val="ac"/>
          <w:rFonts w:eastAsiaTheme="majorEastAsia"/>
          <w:sz w:val="24"/>
          <w:szCs w:val="24"/>
          <w:lang w:val="en-US"/>
        </w:rPr>
        <w:t>doi</w:t>
      </w:r>
      <w:proofErr w:type="gramEnd"/>
      <w:r w:rsidRPr="007C5A89">
        <w:rPr>
          <w:rStyle w:val="ac"/>
          <w:rFonts w:eastAsiaTheme="majorEastAsia"/>
          <w:sz w:val="24"/>
          <w:szCs w:val="24"/>
          <w:lang w:val="en-US"/>
        </w:rPr>
        <w:t>: 10.1111/jch.12771..</w:t>
      </w:r>
    </w:p>
    <w:p w14:paraId="0F6B5AB1"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Wang Ji-Guang et al. </w:t>
      </w:r>
      <w:r w:rsidRPr="007C5A89">
        <w:rPr>
          <w:rStyle w:val="ac"/>
          <w:rFonts w:eastAsiaTheme="majorEastAsia"/>
          <w:sz w:val="24"/>
          <w:szCs w:val="24"/>
          <w:lang w:val="en-US"/>
        </w:rPr>
        <w:t>Carotid intima-media thickness and antihypertensive treatment: a meta-analysis of randomized controlled trials. Stroke 37.7 (2006): 1933–1940</w:t>
      </w:r>
      <w:proofErr w:type="gramStart"/>
      <w:r w:rsidRPr="007C5A89">
        <w:rPr>
          <w:rStyle w:val="ac"/>
          <w:rFonts w:eastAsiaTheme="majorEastAsia"/>
          <w:sz w:val="24"/>
          <w:szCs w:val="24"/>
          <w:lang w:val="en-US"/>
        </w:rPr>
        <w:t>..</w:t>
      </w:r>
      <w:proofErr w:type="gramEnd"/>
    </w:p>
    <w:p w14:paraId="2482F106"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Lane D. A., Lip G. Y. H. Treatment of hypertension in peripheral arterial disease //Cochrane database of systematic reviews. – 2013. – №. </w:t>
      </w:r>
      <w:r w:rsidRPr="007C5A89">
        <w:rPr>
          <w:rStyle w:val="ac"/>
          <w:rFonts w:eastAsiaTheme="majorEastAsia"/>
          <w:sz w:val="24"/>
          <w:szCs w:val="24"/>
        </w:rPr>
        <w:t>12..</w:t>
      </w:r>
    </w:p>
    <w:p w14:paraId="4E6539E9"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Zanchetti A, Hennig M, Hollweck R et al. Baseline values but not treatment-induced changes incarotid intima-media thickness predict incident cardiovascular events in treatedhypertensive patients: findings in the European Lacidipine Study on Atherosclerosi.</w:t>
      </w:r>
    </w:p>
    <w:p w14:paraId="1C6B8B78"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Zanchetti A, Crepaldi G, Bond MG, et al. PHYLLIS Investigators. Different effects of antihypertensive regimens based on fosinopril or hydrochlorothiazide with or without lipid lowering by pravastatin on progression of asymptomatic carotid atherosclerosis</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 xml:space="preserve"> principal results of PHYLLIS–a randomized double-blind trial. Stroke </w:t>
      </w:r>
      <w:r w:rsidRPr="007C5A89">
        <w:rPr>
          <w:rStyle w:val="ac"/>
          <w:rFonts w:eastAsiaTheme="majorEastAsia"/>
          <w:sz w:val="24"/>
          <w:szCs w:val="24"/>
        </w:rPr>
        <w:t>2004</w:t>
      </w:r>
      <w:proofErr w:type="gramStart"/>
      <w:r w:rsidRPr="007C5A89">
        <w:rPr>
          <w:rStyle w:val="ac"/>
          <w:rFonts w:eastAsiaTheme="majorEastAsia"/>
          <w:sz w:val="24"/>
          <w:szCs w:val="24"/>
        </w:rPr>
        <w:t>;35:2807</w:t>
      </w:r>
      <w:proofErr w:type="gramEnd"/>
      <w:r w:rsidRPr="007C5A89">
        <w:rPr>
          <w:rStyle w:val="ac"/>
          <w:rFonts w:eastAsiaTheme="majorEastAsia"/>
          <w:sz w:val="24"/>
          <w:szCs w:val="24"/>
        </w:rPr>
        <w:t>–2812..</w:t>
      </w:r>
    </w:p>
    <w:p w14:paraId="64D23CAE"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Myou S, Fujimura M, Kamio Y, et al.Effect of losartan, a type 1 angiotensin II receptor </w:t>
      </w:r>
      <w:r w:rsidRPr="007C5A89">
        <w:rPr>
          <w:rStyle w:val="ac"/>
          <w:rFonts w:eastAsiaTheme="majorEastAsia"/>
          <w:sz w:val="24"/>
          <w:szCs w:val="24"/>
          <w:lang w:val="en-US"/>
        </w:rPr>
        <w:lastRenderedPageBreak/>
        <w:t xml:space="preserve">antagonist, on bronchial hyperresponsiveness to methacholine in patients with bronchial asthma. Am J Respir Crit Care Med </w:t>
      </w:r>
      <w:r w:rsidRPr="007C5A89">
        <w:rPr>
          <w:rStyle w:val="ac"/>
          <w:rFonts w:eastAsiaTheme="majorEastAsia"/>
          <w:sz w:val="24"/>
          <w:szCs w:val="24"/>
        </w:rPr>
        <w:t>2000</w:t>
      </w:r>
      <w:proofErr w:type="gramStart"/>
      <w:r w:rsidRPr="007C5A89">
        <w:rPr>
          <w:rStyle w:val="ac"/>
          <w:rFonts w:eastAsiaTheme="majorEastAsia"/>
          <w:sz w:val="24"/>
          <w:szCs w:val="24"/>
        </w:rPr>
        <w:t>;162:40</w:t>
      </w:r>
      <w:proofErr w:type="gramEnd"/>
      <w:r w:rsidRPr="007C5A89">
        <w:rPr>
          <w:rStyle w:val="ac"/>
          <w:rFonts w:eastAsiaTheme="majorEastAsia"/>
          <w:sz w:val="24"/>
          <w:szCs w:val="24"/>
        </w:rPr>
        <w:t>-4..</w:t>
      </w:r>
    </w:p>
    <w:p w14:paraId="706EC0FD"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Chiu KY, Li JG, Lin Y. Calcium channel blockers for lung function improvement in asthma: A systematic review and meta-analysis. Ann Allergy Asthma Immunol 2017</w:t>
      </w:r>
      <w:proofErr w:type="gramStart"/>
      <w:r w:rsidRPr="007C5A89">
        <w:rPr>
          <w:rStyle w:val="ac"/>
          <w:rFonts w:eastAsiaTheme="majorEastAsia"/>
          <w:sz w:val="24"/>
          <w:szCs w:val="24"/>
          <w:lang w:val="en-US"/>
        </w:rPr>
        <w:t>;119</w:t>
      </w:r>
      <w:proofErr w:type="gramEnd"/>
      <w:r w:rsidRPr="007C5A89">
        <w:rPr>
          <w:rStyle w:val="ac"/>
          <w:rFonts w:eastAsiaTheme="majorEastAsia"/>
          <w:sz w:val="24"/>
          <w:szCs w:val="24"/>
          <w:lang w:val="en-US"/>
        </w:rPr>
        <w:t>(6):518-523.e3</w:t>
      </w:r>
      <w:r w:rsidRPr="007C5A89">
        <w:rPr>
          <w:rStyle w:val="ac"/>
          <w:rFonts w:eastAsiaTheme="majorEastAsia"/>
          <w:sz w:val="24"/>
          <w:szCs w:val="24"/>
        </w:rPr>
        <w:t>..</w:t>
      </w:r>
    </w:p>
    <w:p w14:paraId="63EEABAF"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Mortensen EM, Copeland LA, Pugh MJV, et al. </w:t>
      </w:r>
      <w:r w:rsidRPr="007C5A89">
        <w:rPr>
          <w:rStyle w:val="ac"/>
          <w:rFonts w:eastAsiaTheme="majorEastAsia"/>
          <w:sz w:val="24"/>
          <w:szCs w:val="24"/>
          <w:lang w:val="en-US"/>
        </w:rPr>
        <w:t>Impact of statins and ACE inhibitors on mortality after COPD exacerbations. Respir Res. 2009</w:t>
      </w:r>
      <w:proofErr w:type="gramStart"/>
      <w:r w:rsidRPr="007C5A89">
        <w:rPr>
          <w:rStyle w:val="ac"/>
          <w:rFonts w:eastAsiaTheme="majorEastAsia"/>
          <w:sz w:val="24"/>
          <w:szCs w:val="24"/>
          <w:lang w:val="en-US"/>
        </w:rPr>
        <w:t>;10:45</w:t>
      </w:r>
      <w:proofErr w:type="gramEnd"/>
      <w:r w:rsidRPr="007C5A89">
        <w:rPr>
          <w:rStyle w:val="ac"/>
          <w:rFonts w:eastAsiaTheme="majorEastAsia"/>
          <w:sz w:val="24"/>
          <w:szCs w:val="24"/>
          <w:lang w:val="en-US"/>
        </w:rPr>
        <w:t>.</w:t>
      </w:r>
    </w:p>
    <w:p w14:paraId="563D497D"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Tanaka H, Teramoto S, Oashi K, et al. Effects of candesartan on cough and bronchial hyperresponsiveness in mildly to moderately hypertensive patients with symptomatic asthma. Circulation. 2001</w:t>
      </w:r>
      <w:proofErr w:type="gramStart"/>
      <w:r w:rsidRPr="007C5A89">
        <w:rPr>
          <w:rStyle w:val="ac"/>
          <w:rFonts w:eastAsiaTheme="majorEastAsia"/>
          <w:sz w:val="24"/>
          <w:szCs w:val="24"/>
          <w:lang w:val="en-US"/>
        </w:rPr>
        <w:t>;104</w:t>
      </w:r>
      <w:proofErr w:type="gramEnd"/>
      <w:r w:rsidRPr="007C5A89">
        <w:rPr>
          <w:rStyle w:val="ac"/>
          <w:rFonts w:eastAsiaTheme="majorEastAsia"/>
          <w:sz w:val="24"/>
          <w:szCs w:val="24"/>
          <w:lang w:val="en-US"/>
        </w:rPr>
        <w:t>(3):281–285..</w:t>
      </w:r>
    </w:p>
    <w:p w14:paraId="0839365A"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F03632">
        <w:rPr>
          <w:rStyle w:val="ac"/>
          <w:rFonts w:eastAsiaTheme="majorEastAsia"/>
          <w:sz w:val="24"/>
          <w:szCs w:val="24"/>
          <w:lang w:val="fr-FR"/>
        </w:rPr>
        <w:t xml:space="preserve">«Huang KY, Tseng PT, Wu YC, et al. </w:t>
      </w:r>
      <w:r w:rsidRPr="007C5A89">
        <w:rPr>
          <w:rStyle w:val="ac"/>
          <w:rFonts w:eastAsiaTheme="majorEastAsia"/>
          <w:sz w:val="24"/>
          <w:szCs w:val="24"/>
          <w:lang w:val="en-US"/>
        </w:rPr>
        <w:t xml:space="preserve">Do beta-adrenergic blocking agents increase asthma exacerbation? A network meta-analysis of randomized controlled trials. Scientific reports. </w:t>
      </w:r>
      <w:r w:rsidRPr="007C5A89">
        <w:rPr>
          <w:rStyle w:val="ac"/>
          <w:rFonts w:eastAsiaTheme="majorEastAsia"/>
          <w:sz w:val="24"/>
          <w:szCs w:val="24"/>
        </w:rPr>
        <w:t xml:space="preserve">2021 </w:t>
      </w:r>
      <w:r w:rsidRPr="007C5A89">
        <w:rPr>
          <w:rStyle w:val="ac"/>
          <w:rFonts w:eastAsiaTheme="majorEastAsia"/>
          <w:sz w:val="24"/>
          <w:szCs w:val="24"/>
          <w:lang w:val="en-US"/>
        </w:rPr>
        <w:t xml:space="preserve">Jan </w:t>
      </w:r>
      <w:r w:rsidRPr="007C5A89">
        <w:rPr>
          <w:rStyle w:val="ac"/>
          <w:rFonts w:eastAsiaTheme="majorEastAsia"/>
          <w:sz w:val="24"/>
          <w:szCs w:val="24"/>
        </w:rPr>
        <w:t>11;11(1):452.».</w:t>
      </w:r>
    </w:p>
    <w:p w14:paraId="15E6CA6D"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«Global initiative for asthma. Global strategy for asthma management and prevention (http://www.ginasthma.org).».</w:t>
      </w:r>
    </w:p>
    <w:p w14:paraId="51F0861F"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«Bennett M, Chang CL, Tatley M, Savage R, Hancox RJ. The safety of cardioselective </w:t>
      </w:r>
      <w:r w:rsidRPr="007C5A89">
        <w:rPr>
          <w:rStyle w:val="ac"/>
          <w:rFonts w:eastAsiaTheme="majorEastAsia"/>
          <w:sz w:val="24"/>
          <w:szCs w:val="24"/>
        </w:rPr>
        <w:t>β</w:t>
      </w:r>
      <w:r w:rsidRPr="007C5A89">
        <w:rPr>
          <w:rStyle w:val="ac"/>
          <w:rFonts w:eastAsiaTheme="majorEastAsia"/>
          <w:sz w:val="24"/>
          <w:szCs w:val="24"/>
          <w:lang w:val="en-US"/>
        </w:rPr>
        <w:t xml:space="preserve">1- blockers in asthma: literature review and search of global pharmacovigilance safety reports. ERJ Open Research. </w:t>
      </w:r>
      <w:r w:rsidRPr="007C5A89">
        <w:rPr>
          <w:rStyle w:val="ac"/>
          <w:rFonts w:eastAsiaTheme="majorEastAsia"/>
          <w:sz w:val="24"/>
          <w:szCs w:val="24"/>
        </w:rPr>
        <w:t xml:space="preserve">2021 </w:t>
      </w:r>
      <w:r w:rsidRPr="007C5A89">
        <w:rPr>
          <w:rStyle w:val="ac"/>
          <w:rFonts w:eastAsiaTheme="majorEastAsia"/>
          <w:sz w:val="24"/>
          <w:szCs w:val="24"/>
          <w:lang w:val="en-US"/>
        </w:rPr>
        <w:t xml:space="preserve">Jan </w:t>
      </w:r>
      <w:r w:rsidRPr="007C5A89">
        <w:rPr>
          <w:rStyle w:val="ac"/>
          <w:rFonts w:eastAsiaTheme="majorEastAsia"/>
          <w:sz w:val="24"/>
          <w:szCs w:val="24"/>
        </w:rPr>
        <w:t>1;7(1).».</w:t>
      </w:r>
    </w:p>
    <w:p w14:paraId="13563AE4"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«Song WJ, Niimi A. Angiotensin-Converting Enzyme Inhibitors, Asthma, and Cough: Relighting the Torch. J Allergy Clin Immunol Pract. </w:t>
      </w:r>
      <w:r w:rsidRPr="007C5A89">
        <w:rPr>
          <w:rStyle w:val="ac"/>
          <w:rFonts w:eastAsiaTheme="majorEastAsia"/>
          <w:sz w:val="24"/>
          <w:szCs w:val="24"/>
        </w:rPr>
        <w:t xml:space="preserve">2021 </w:t>
      </w:r>
      <w:r w:rsidRPr="007C5A89">
        <w:rPr>
          <w:rStyle w:val="ac"/>
          <w:rFonts w:eastAsiaTheme="majorEastAsia"/>
          <w:sz w:val="24"/>
          <w:szCs w:val="24"/>
          <w:lang w:val="en-US"/>
        </w:rPr>
        <w:t>Sep;9(9):3440-3441. doi: 10.1016/j.jaip.2021.07.002.».</w:t>
      </w:r>
    </w:p>
    <w:p w14:paraId="6E1DF852"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«Finks SW, Rumbak MJ, Self TH. Treating Hypertension in Chronic Obstructive Pulmonary Disease. N Engl J Med 2020; 382:353–363».</w:t>
      </w:r>
    </w:p>
    <w:p w14:paraId="0ECC442C"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 xml:space="preserve">«ang YL, Xiang ZJ, Yang JH, Wang WJ, Xu ZC, Xiang RL. Association of </w:t>
      </w:r>
      <w:r w:rsidRPr="007C5A89">
        <w:rPr>
          <w:rStyle w:val="ac"/>
          <w:rFonts w:eastAsiaTheme="majorEastAsia"/>
          <w:sz w:val="24"/>
          <w:szCs w:val="24"/>
        </w:rPr>
        <w:t>β</w:t>
      </w:r>
      <w:r w:rsidRPr="007C5A89">
        <w:rPr>
          <w:rStyle w:val="ac"/>
          <w:rFonts w:eastAsiaTheme="majorEastAsia"/>
          <w:sz w:val="24"/>
          <w:szCs w:val="24"/>
          <w:lang w:val="en-US"/>
        </w:rPr>
        <w:t>-blocker use with survival and pulmonary function in patients with chronic obstructive pulmonary and</w:t>
      </w:r>
    </w:p>
    <w:p w14:paraId="4D60127E" w14:textId="77777777" w:rsidR="00CB781F" w:rsidRPr="007C5A89" w:rsidRDefault="00CB781F" w:rsidP="007C5A89">
      <w:pPr>
        <w:pStyle w:val="11"/>
        <w:tabs>
          <w:tab w:val="left" w:pos="709"/>
        </w:tabs>
        <w:spacing w:line="276" w:lineRule="auto"/>
        <w:ind w:left="709" w:hanging="709"/>
        <w:jc w:val="both"/>
        <w:rPr>
          <w:sz w:val="24"/>
          <w:szCs w:val="24"/>
          <w:lang w:val="en-US"/>
        </w:rPr>
      </w:pPr>
      <w:proofErr w:type="gramStart"/>
      <w:r w:rsidRPr="007C5A89">
        <w:rPr>
          <w:rStyle w:val="ac"/>
          <w:rFonts w:eastAsiaTheme="majorEastAsia"/>
          <w:sz w:val="24"/>
          <w:szCs w:val="24"/>
          <w:lang w:val="en-US"/>
        </w:rPr>
        <w:t>cardiovascular</w:t>
      </w:r>
      <w:proofErr w:type="gramEnd"/>
      <w:r w:rsidRPr="007C5A89">
        <w:rPr>
          <w:rStyle w:val="ac"/>
          <w:rFonts w:eastAsiaTheme="majorEastAsia"/>
          <w:sz w:val="24"/>
          <w:szCs w:val="24"/>
          <w:lang w:val="en-US"/>
        </w:rPr>
        <w:t xml:space="preserve"> disease: a systematic review and meta-analysis.,» </w:t>
      </w:r>
      <w:r w:rsidRPr="007C5A89">
        <w:rPr>
          <w:rStyle w:val="ac"/>
          <w:rFonts w:eastAsiaTheme="majorEastAsia"/>
          <w:i/>
          <w:iCs/>
          <w:sz w:val="24"/>
          <w:szCs w:val="24"/>
          <w:lang w:val="en-US"/>
        </w:rPr>
        <w:t>Eur Heart J 2020; 41:4415–4422..</w:t>
      </w:r>
    </w:p>
    <w:p w14:paraId="79B242B0" w14:textId="77777777" w:rsidR="00CB781F" w:rsidRPr="00BA6915" w:rsidRDefault="00CB781F" w:rsidP="00424F51">
      <w:pPr>
        <w:pStyle w:val="11"/>
        <w:numPr>
          <w:ilvl w:val="0"/>
          <w:numId w:val="42"/>
        </w:numPr>
        <w:tabs>
          <w:tab w:val="left" w:pos="709"/>
          <w:tab w:val="left" w:pos="1280"/>
          <w:tab w:val="left" w:pos="8402"/>
        </w:tabs>
        <w:spacing w:line="276" w:lineRule="auto"/>
        <w:ind w:left="709" w:hanging="709"/>
        <w:jc w:val="both"/>
        <w:rPr>
          <w:sz w:val="24"/>
          <w:szCs w:val="24"/>
          <w:lang w:val="en-US"/>
        </w:rPr>
      </w:pPr>
      <w:r w:rsidRPr="00F03632">
        <w:rPr>
          <w:rStyle w:val="ac"/>
          <w:rFonts w:eastAsiaTheme="majorEastAsia"/>
          <w:sz w:val="24"/>
          <w:szCs w:val="24"/>
          <w:lang w:val="fr-FR"/>
        </w:rPr>
        <w:t xml:space="preserve">«Dos Santos NC, Camelier AA, Menezes AK, et al. </w:t>
      </w:r>
      <w:r w:rsidRPr="007C5A89">
        <w:rPr>
          <w:rStyle w:val="ac"/>
          <w:rFonts w:eastAsiaTheme="majorEastAsia"/>
          <w:sz w:val="24"/>
          <w:szCs w:val="24"/>
          <w:lang w:val="en-US"/>
        </w:rPr>
        <w:t>EFFECTS OF THE USE OF BETA</w:t>
      </w:r>
      <w:r w:rsidRPr="007C5A89">
        <w:rPr>
          <w:rStyle w:val="ac"/>
          <w:rFonts w:eastAsiaTheme="majorEastAsia"/>
          <w:sz w:val="24"/>
          <w:szCs w:val="24"/>
          <w:lang w:val="en-US"/>
        </w:rPr>
        <w:softHyphen/>
        <w:t>BLOCKERS ON CHRONIC OBSTRUCTIVE PULMONARY DISEASE (COPD) ASSOCIATED WITH CARDIOVASCULAR COMORBITIES:</w:t>
      </w:r>
      <w:r w:rsidR="00BA6915" w:rsidRPr="00BA6915">
        <w:rPr>
          <w:rStyle w:val="ac"/>
          <w:rFonts w:eastAsiaTheme="majorEastAsia"/>
          <w:sz w:val="24"/>
          <w:szCs w:val="24"/>
          <w:lang w:val="en-US"/>
        </w:rPr>
        <w:t xml:space="preserve"> </w:t>
      </w:r>
      <w:r w:rsidRPr="007C5A89">
        <w:rPr>
          <w:rStyle w:val="ac"/>
          <w:rFonts w:eastAsiaTheme="majorEastAsia"/>
          <w:sz w:val="24"/>
          <w:szCs w:val="24"/>
          <w:lang w:val="en-US"/>
        </w:rPr>
        <w:t>SYSTEMATIC</w:t>
      </w:r>
      <w:r w:rsidR="00BA6915" w:rsidRPr="00BA6915">
        <w:rPr>
          <w:sz w:val="24"/>
          <w:szCs w:val="24"/>
          <w:lang w:val="en-US"/>
        </w:rPr>
        <w:t xml:space="preserve"> </w:t>
      </w:r>
      <w:r w:rsidRPr="00BA6915">
        <w:rPr>
          <w:rStyle w:val="ac"/>
          <w:rFonts w:eastAsiaTheme="majorEastAsia"/>
          <w:sz w:val="24"/>
          <w:szCs w:val="24"/>
          <w:lang w:val="en-US"/>
        </w:rPr>
        <w:t xml:space="preserve">REVIEW AND META-ANALYSIS. Tuberc Respir Dis (Seoul). </w:t>
      </w:r>
      <w:r w:rsidRPr="00483268">
        <w:rPr>
          <w:rStyle w:val="ac"/>
          <w:rFonts w:eastAsiaTheme="majorEastAsia"/>
          <w:sz w:val="24"/>
          <w:szCs w:val="24"/>
          <w:lang w:val="en-US"/>
        </w:rPr>
        <w:t xml:space="preserve">2024 </w:t>
      </w:r>
      <w:r w:rsidRPr="00BA6915">
        <w:rPr>
          <w:rStyle w:val="ac"/>
          <w:rFonts w:eastAsiaTheme="majorEastAsia"/>
          <w:sz w:val="24"/>
          <w:szCs w:val="24"/>
          <w:lang w:val="en-US"/>
        </w:rPr>
        <w:t xml:space="preserve">Apr </w:t>
      </w:r>
      <w:r w:rsidRPr="00483268">
        <w:rPr>
          <w:rStyle w:val="ac"/>
          <w:rFonts w:eastAsiaTheme="majorEastAsia"/>
          <w:sz w:val="24"/>
          <w:szCs w:val="24"/>
          <w:lang w:val="en-US"/>
        </w:rPr>
        <w:t>4.</w:t>
      </w:r>
      <w:proofErr w:type="gramStart"/>
      <w:r w:rsidRPr="00483268">
        <w:rPr>
          <w:rStyle w:val="ac"/>
          <w:rFonts w:eastAsiaTheme="majorEastAsia"/>
          <w:sz w:val="24"/>
          <w:szCs w:val="24"/>
          <w:lang w:val="en-US"/>
        </w:rPr>
        <w:t>,»</w:t>
      </w:r>
      <w:proofErr w:type="gramEnd"/>
      <w:r w:rsidRPr="00483268">
        <w:rPr>
          <w:rStyle w:val="ac"/>
          <w:rFonts w:eastAsiaTheme="majorEastAsia"/>
          <w:sz w:val="24"/>
          <w:szCs w:val="24"/>
          <w:lang w:val="en-US"/>
        </w:rPr>
        <w:t xml:space="preserve"> </w:t>
      </w:r>
      <w:r w:rsidRPr="00BA6915">
        <w:rPr>
          <w:rStyle w:val="ac"/>
          <w:rFonts w:eastAsiaTheme="majorEastAsia"/>
          <w:i/>
          <w:iCs/>
          <w:sz w:val="24"/>
          <w:szCs w:val="24"/>
          <w:lang w:val="en-US"/>
        </w:rPr>
        <w:t>doi: 10.4046/trd.2024.0013</w:t>
      </w:r>
      <w:r w:rsidRPr="00483268">
        <w:rPr>
          <w:rStyle w:val="ac"/>
          <w:rFonts w:eastAsiaTheme="majorEastAsia"/>
          <w:i/>
          <w:iCs/>
          <w:sz w:val="24"/>
          <w:szCs w:val="24"/>
          <w:lang w:val="en-US"/>
        </w:rPr>
        <w:t>..</w:t>
      </w:r>
    </w:p>
    <w:p w14:paraId="46B54EC0"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«Fava, C., Dorigoni, S., Dalle Vedove, F., Danese, E., Montagnana, M., Guidi, G.C., Narkiewicz, K. and Minuz, P., 2014. Effect of CPAP on blood pressure in patients with OSA/hypopnea: a systematic review and meta-analysis. Chest, </w:t>
      </w:r>
      <w:r w:rsidRPr="007C5A89">
        <w:rPr>
          <w:rStyle w:val="ac"/>
          <w:rFonts w:eastAsiaTheme="majorEastAsia"/>
          <w:sz w:val="24"/>
          <w:szCs w:val="24"/>
        </w:rPr>
        <w:t xml:space="preserve">145(4), </w:t>
      </w:r>
      <w:r w:rsidRPr="007C5A89">
        <w:rPr>
          <w:rStyle w:val="ac"/>
          <w:rFonts w:eastAsiaTheme="majorEastAsia"/>
          <w:sz w:val="24"/>
          <w:szCs w:val="24"/>
          <w:lang w:val="en-US"/>
        </w:rPr>
        <w:t>pp.762-771.».</w:t>
      </w:r>
    </w:p>
    <w:p w14:paraId="349AFC7C"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«Labarca, G., Schmidt, A., Dreyse, J., Jorquera, J., Enos, D., Torres, G. and Barbe, F., 2021. Efficacy of continuous positive airway pressure (CPAP) in patients with obstructive sleep apnea (OSA) and resistant hypertension (RH):</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 xml:space="preserve"> </w:t>
      </w:r>
      <w:r w:rsidRPr="007C5A89">
        <w:rPr>
          <w:rStyle w:val="ac"/>
          <w:rFonts w:eastAsiaTheme="majorEastAsia"/>
          <w:i/>
          <w:iCs/>
          <w:sz w:val="24"/>
          <w:szCs w:val="24"/>
          <w:lang w:val="en-US"/>
        </w:rPr>
        <w:t xml:space="preserve">systematic review and meta-analysis. Sleep Medicine Reviews, </w:t>
      </w:r>
      <w:r w:rsidRPr="007C5A89">
        <w:rPr>
          <w:rStyle w:val="ac"/>
          <w:rFonts w:eastAsiaTheme="majorEastAsia"/>
          <w:i/>
          <w:iCs/>
          <w:sz w:val="24"/>
          <w:szCs w:val="24"/>
        </w:rPr>
        <w:t xml:space="preserve">58, </w:t>
      </w:r>
      <w:r w:rsidRPr="007C5A89">
        <w:rPr>
          <w:rStyle w:val="ac"/>
          <w:rFonts w:eastAsiaTheme="majorEastAsia"/>
          <w:i/>
          <w:iCs/>
          <w:sz w:val="24"/>
          <w:szCs w:val="24"/>
          <w:lang w:val="en-US"/>
        </w:rPr>
        <w:t>p.101446</w:t>
      </w:r>
      <w:proofErr w:type="gramStart"/>
      <w:r w:rsidRPr="007C5A89">
        <w:rPr>
          <w:rStyle w:val="ac"/>
          <w:rFonts w:eastAsiaTheme="majorEastAsia"/>
          <w:i/>
          <w:iCs/>
          <w:sz w:val="24"/>
          <w:szCs w:val="24"/>
        </w:rPr>
        <w:t>..</w:t>
      </w:r>
      <w:proofErr w:type="gramEnd"/>
    </w:p>
    <w:p w14:paraId="38D4E7A1"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rPr>
        <w:t>Сукмарова З. Н., Литвин А. Ю., Чазова И. Е., Рогоза А. Н. Эффективность комплексной медикаментозной и CPAP-терапии у пациентов с артериальной гипертонией 2–3-й степени и тяжелой степенью синдрома обструктивного апноэ во время сна., ФГУ РКНПК Минздравсоцразвития РФ, Москва. Системные гипертензии, 2011:8(1), 40.</w:t>
      </w:r>
    </w:p>
    <w:p w14:paraId="5AC6E95F"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Kristensen SD, Knuuti J, Saraste A, et al. 2014 ESC/ESAGuidelines on non-cardiac </w:t>
      </w:r>
      <w:r w:rsidRPr="007C5A89">
        <w:rPr>
          <w:rStyle w:val="ac"/>
          <w:rFonts w:eastAsiaTheme="majorEastAsia"/>
          <w:sz w:val="24"/>
          <w:szCs w:val="24"/>
          <w:lang w:val="en-US"/>
        </w:rPr>
        <w:lastRenderedPageBreak/>
        <w:t xml:space="preserve">surgery: cardiovascular assessment and management:The Joint Task Force on non-cardiac surgery: cardiovascular assessment andmanagement of the European Society of Cardiology, (ESC) and the EuropeanSociety of Anaesthesiology (ESA). Eur Heart J </w:t>
      </w:r>
      <w:r w:rsidRPr="007C5A89">
        <w:rPr>
          <w:rStyle w:val="ac"/>
          <w:rFonts w:eastAsiaTheme="majorEastAsia"/>
          <w:sz w:val="24"/>
          <w:szCs w:val="24"/>
        </w:rPr>
        <w:t>2014</w:t>
      </w:r>
      <w:proofErr w:type="gramStart"/>
      <w:r w:rsidRPr="007C5A89">
        <w:rPr>
          <w:rStyle w:val="ac"/>
          <w:rFonts w:eastAsiaTheme="majorEastAsia"/>
          <w:sz w:val="24"/>
          <w:szCs w:val="24"/>
        </w:rPr>
        <w:t>;35:2383</w:t>
      </w:r>
      <w:proofErr w:type="gramEnd"/>
      <w:r w:rsidRPr="007C5A89">
        <w:rPr>
          <w:rStyle w:val="ac"/>
          <w:rFonts w:eastAsiaTheme="majorEastAsia"/>
          <w:sz w:val="24"/>
          <w:szCs w:val="24"/>
        </w:rPr>
        <w:t>–2431..</w:t>
      </w:r>
    </w:p>
    <w:p w14:paraId="1BF3D235"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Futier E, Lefrant JY, Guinot PG et al. </w:t>
      </w:r>
      <w:r w:rsidRPr="007C5A89">
        <w:rPr>
          <w:rStyle w:val="ac"/>
          <w:rFonts w:eastAsiaTheme="majorEastAsia"/>
          <w:sz w:val="24"/>
          <w:szCs w:val="24"/>
          <w:lang w:val="en-US"/>
        </w:rPr>
        <w:t>Effect of individualized vs standardblood pressure management strategies on postoperative organ dysfunctionamong high-risk patients undergoing major surgery: a randomized clinical trial. JAMA 2017</w:t>
      </w:r>
      <w:proofErr w:type="gramStart"/>
      <w:r w:rsidRPr="007C5A89">
        <w:rPr>
          <w:rStyle w:val="ac"/>
          <w:rFonts w:eastAsiaTheme="majorEastAsia"/>
          <w:sz w:val="24"/>
          <w:szCs w:val="24"/>
          <w:lang w:val="en-US"/>
        </w:rPr>
        <w:t>;318:1346</w:t>
      </w:r>
      <w:proofErr w:type="gramEnd"/>
      <w:r w:rsidRPr="007C5A89">
        <w:rPr>
          <w:rStyle w:val="ac"/>
          <w:rFonts w:eastAsiaTheme="majorEastAsia"/>
          <w:sz w:val="24"/>
          <w:szCs w:val="24"/>
          <w:lang w:val="en-US"/>
        </w:rPr>
        <w:t>–1357..</w:t>
      </w:r>
    </w:p>
    <w:p w14:paraId="73D3F5EC"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London MJ, Hur K, Schwartz GG, Henderson WG. Association of perioperative beta</w:t>
      </w:r>
      <w:r w:rsidRPr="007C5A89">
        <w:rPr>
          <w:rStyle w:val="ac"/>
          <w:rFonts w:eastAsiaTheme="majorEastAsia"/>
          <w:sz w:val="24"/>
          <w:szCs w:val="24"/>
          <w:lang w:val="en-US"/>
        </w:rPr>
        <w:softHyphen/>
        <w:t xml:space="preserve">blockade with mortality and cardiovascular morbidity following major non-cardiac surgery. JAMA </w:t>
      </w:r>
      <w:r w:rsidRPr="007C5A89">
        <w:rPr>
          <w:rStyle w:val="ac"/>
          <w:rFonts w:eastAsiaTheme="majorEastAsia"/>
          <w:sz w:val="24"/>
          <w:szCs w:val="24"/>
        </w:rPr>
        <w:t>2013</w:t>
      </w:r>
      <w:proofErr w:type="gramStart"/>
      <w:r w:rsidRPr="007C5A89">
        <w:rPr>
          <w:rStyle w:val="ac"/>
          <w:rFonts w:eastAsiaTheme="majorEastAsia"/>
          <w:sz w:val="24"/>
          <w:szCs w:val="24"/>
        </w:rPr>
        <w:t>;309:1704</w:t>
      </w:r>
      <w:proofErr w:type="gramEnd"/>
      <w:r w:rsidRPr="007C5A89">
        <w:rPr>
          <w:rStyle w:val="ac"/>
          <w:rFonts w:eastAsiaTheme="majorEastAsia"/>
          <w:sz w:val="24"/>
          <w:szCs w:val="24"/>
        </w:rPr>
        <w:t>–1713..</w:t>
      </w:r>
    </w:p>
    <w:p w14:paraId="258E4131"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Andersson C, Merie C, Jorgensen M, et al. </w:t>
      </w:r>
      <w:r w:rsidRPr="007C5A89">
        <w:rPr>
          <w:rStyle w:val="ac"/>
          <w:rFonts w:eastAsiaTheme="majorEastAsia"/>
          <w:sz w:val="24"/>
          <w:szCs w:val="24"/>
          <w:lang w:val="en-US"/>
        </w:rPr>
        <w:t xml:space="preserve">Association of beta-blocker therapy with risks of adverse cardiovascular events and deaths in patients with ischemic heart disease undergoing noncardiac surgery: a Danish nationwidecohort </w:t>
      </w:r>
      <w:proofErr w:type="gramStart"/>
      <w:r w:rsidRPr="007C5A89">
        <w:rPr>
          <w:rStyle w:val="ac"/>
          <w:rFonts w:eastAsiaTheme="majorEastAsia"/>
          <w:sz w:val="24"/>
          <w:szCs w:val="24"/>
          <w:lang w:val="en-US"/>
        </w:rPr>
        <w:t>study.,</w:t>
      </w:r>
      <w:proofErr w:type="gramEnd"/>
      <w:r w:rsidRPr="007C5A89">
        <w:rPr>
          <w:rStyle w:val="ac"/>
          <w:rFonts w:eastAsiaTheme="majorEastAsia"/>
          <w:sz w:val="24"/>
          <w:szCs w:val="24"/>
          <w:lang w:val="en-US"/>
        </w:rPr>
        <w:t xml:space="preserve"> JAMA Intern Med 2014;174:336–344. .</w:t>
      </w:r>
    </w:p>
    <w:p w14:paraId="5D67C25A"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Lederballe Pedersen O, Mikkelsen E, Lanng Nielsen J, Christensen NJ. Abrupt withdrawal of beta-blocking agents in patients with arterial hypertension. Effect on blood pressure, heart rate and plasma catecholamines and prolactin. Eur J Clin Pharmacol. </w:t>
      </w:r>
      <w:r w:rsidRPr="007C5A89">
        <w:rPr>
          <w:rStyle w:val="ac"/>
          <w:rFonts w:eastAsiaTheme="majorEastAsia"/>
          <w:sz w:val="24"/>
          <w:szCs w:val="24"/>
        </w:rPr>
        <w:t>1979.</w:t>
      </w:r>
    </w:p>
    <w:p w14:paraId="7097D075"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Gupta P, Patel P, Strauch B et al. Biochemical screening for nonadherence is associated with blood pressure reduction and improvement in adherence. Hypertension 2017</w:t>
      </w:r>
      <w:proofErr w:type="gramStart"/>
      <w:r w:rsidRPr="007C5A89">
        <w:rPr>
          <w:rStyle w:val="ac"/>
          <w:rFonts w:eastAsiaTheme="majorEastAsia"/>
          <w:sz w:val="24"/>
          <w:szCs w:val="24"/>
          <w:lang w:val="en-US"/>
        </w:rPr>
        <w:t>;70:1042</w:t>
      </w:r>
      <w:proofErr w:type="gramEnd"/>
      <w:r w:rsidRPr="007C5A89">
        <w:rPr>
          <w:rStyle w:val="ac"/>
          <w:rFonts w:eastAsiaTheme="majorEastAsia"/>
          <w:sz w:val="24"/>
          <w:szCs w:val="24"/>
          <w:lang w:val="en-US"/>
        </w:rPr>
        <w:t>– 1048..</w:t>
      </w:r>
    </w:p>
    <w:p w14:paraId="0B250993"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«Achelrod D, Wenzel U, Frey S. Systematic review and meta-analysis of the prevalence of resistant hypertension in treated hypertensive populations. Am J Hypertens </w:t>
      </w:r>
      <w:r w:rsidRPr="007C5A89">
        <w:rPr>
          <w:rStyle w:val="ac"/>
          <w:rFonts w:eastAsiaTheme="majorEastAsia"/>
          <w:sz w:val="24"/>
          <w:szCs w:val="24"/>
        </w:rPr>
        <w:t>2015; 28:355– 361.».</w:t>
      </w:r>
    </w:p>
    <w:p w14:paraId="26ED03A0"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«Kario K, Hoshide S, Narita K, et al Cardiovascular prognosis in drug-resistant hypertension stratified by 24-hour ambulatory blood pressure: the JAMP Study. Hypertension </w:t>
      </w:r>
      <w:r w:rsidRPr="007C5A89">
        <w:rPr>
          <w:rStyle w:val="ac"/>
          <w:rFonts w:eastAsiaTheme="majorEastAsia"/>
          <w:sz w:val="24"/>
          <w:szCs w:val="24"/>
        </w:rPr>
        <w:t>2021; 78:1781–1790.».</w:t>
      </w:r>
    </w:p>
    <w:p w14:paraId="6DB0E5F1"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«Cuspidi C, Macca G, Sampieri L, et al. </w:t>
      </w:r>
      <w:r w:rsidRPr="007C5A89">
        <w:rPr>
          <w:rStyle w:val="ac"/>
          <w:rFonts w:eastAsiaTheme="majorEastAsia"/>
          <w:sz w:val="24"/>
          <w:szCs w:val="24"/>
          <w:lang w:val="en-US"/>
        </w:rPr>
        <w:t>High prevalence of cardiac and extracardiac target organ damage in refractory hypertension. J Hypertens 2001; 19:2063–2070.».</w:t>
      </w:r>
    </w:p>
    <w:p w14:paraId="36724011"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Pimenta E, Gaddam KK, Oparil S, et al. </w:t>
      </w:r>
      <w:r w:rsidRPr="007C5A89">
        <w:rPr>
          <w:rStyle w:val="ac"/>
          <w:rFonts w:eastAsiaTheme="majorEastAsia"/>
          <w:sz w:val="24"/>
          <w:szCs w:val="24"/>
          <w:lang w:val="en-US"/>
        </w:rPr>
        <w:t>Effects of dietary sodium reduction on blood pressure in subjects with resistanthypertension: results from a randomized trial. Hypertension 2009</w:t>
      </w:r>
      <w:proofErr w:type="gramStart"/>
      <w:r w:rsidRPr="007C5A89">
        <w:rPr>
          <w:rStyle w:val="ac"/>
          <w:rFonts w:eastAsiaTheme="majorEastAsia"/>
          <w:sz w:val="24"/>
          <w:szCs w:val="24"/>
          <w:lang w:val="en-US"/>
        </w:rPr>
        <w:t>;54:475</w:t>
      </w:r>
      <w:proofErr w:type="gramEnd"/>
      <w:r w:rsidRPr="007C5A89">
        <w:rPr>
          <w:rStyle w:val="ac"/>
          <w:rFonts w:eastAsiaTheme="majorEastAsia"/>
          <w:sz w:val="24"/>
          <w:szCs w:val="24"/>
          <w:lang w:val="en-US"/>
        </w:rPr>
        <w:t>–481..</w:t>
      </w:r>
    </w:p>
    <w:p w14:paraId="5810AD35"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Liu L, Xu B, Ju Y. Addition of spironolactone in patients with resistant hypertension: a meta-analysis of randomized controlled trials. Clin Exp </w:t>
      </w:r>
      <w:r w:rsidRPr="007C5A89">
        <w:rPr>
          <w:rStyle w:val="ac"/>
          <w:rFonts w:eastAsiaTheme="majorEastAsia"/>
          <w:sz w:val="24"/>
          <w:szCs w:val="24"/>
        </w:rPr>
        <w:t>Hypertens.2017</w:t>
      </w:r>
      <w:proofErr w:type="gramStart"/>
      <w:r w:rsidRPr="007C5A89">
        <w:rPr>
          <w:rStyle w:val="ac"/>
          <w:rFonts w:eastAsiaTheme="majorEastAsia"/>
          <w:sz w:val="24"/>
          <w:szCs w:val="24"/>
        </w:rPr>
        <w:t>;39:257</w:t>
      </w:r>
      <w:proofErr w:type="gramEnd"/>
      <w:r w:rsidRPr="007C5A89">
        <w:rPr>
          <w:rStyle w:val="ac"/>
          <w:rFonts w:eastAsiaTheme="majorEastAsia"/>
          <w:sz w:val="24"/>
          <w:szCs w:val="24"/>
        </w:rPr>
        <w:t>–263..</w:t>
      </w:r>
    </w:p>
    <w:p w14:paraId="12D1ACB6" w14:textId="77777777" w:rsidR="00CB781F" w:rsidRPr="00BA6915" w:rsidRDefault="00CB781F" w:rsidP="00424F51">
      <w:pPr>
        <w:pStyle w:val="11"/>
        <w:numPr>
          <w:ilvl w:val="0"/>
          <w:numId w:val="42"/>
        </w:numPr>
        <w:tabs>
          <w:tab w:val="left" w:pos="709"/>
          <w:tab w:val="left" w:pos="1280"/>
          <w:tab w:val="left" w:pos="2738"/>
        </w:tabs>
        <w:spacing w:line="276" w:lineRule="auto"/>
        <w:ind w:left="709" w:hanging="709"/>
        <w:jc w:val="both"/>
        <w:rPr>
          <w:sz w:val="24"/>
          <w:szCs w:val="24"/>
          <w:lang w:val="en-US"/>
        </w:rPr>
      </w:pPr>
      <w:r w:rsidRPr="007C5A89">
        <w:rPr>
          <w:rStyle w:val="ac"/>
          <w:rFonts w:eastAsiaTheme="majorEastAsia"/>
          <w:sz w:val="24"/>
          <w:szCs w:val="24"/>
          <w:lang w:val="en-US"/>
        </w:rPr>
        <w:t>Wang C, Xiong B, Huang J. Efficacy and safety of spironolactone in patients with resistant hypertension:</w:t>
      </w:r>
      <w:r w:rsidRPr="007C5A89">
        <w:rPr>
          <w:rStyle w:val="ac"/>
          <w:rFonts w:eastAsiaTheme="majorEastAsia"/>
          <w:sz w:val="24"/>
          <w:szCs w:val="24"/>
          <w:lang w:val="en-US"/>
        </w:rPr>
        <w:tab/>
        <w:t>a meta-analysis of randomised controlled trials.Heart Lung Circ</w:t>
      </w:r>
      <w:r w:rsidR="00BA6915" w:rsidRPr="00BA6915">
        <w:rPr>
          <w:sz w:val="24"/>
          <w:szCs w:val="24"/>
          <w:lang w:val="en-US"/>
        </w:rPr>
        <w:t xml:space="preserve"> </w:t>
      </w:r>
      <w:r w:rsidRPr="00BA6915">
        <w:rPr>
          <w:rStyle w:val="ac"/>
          <w:rFonts w:eastAsiaTheme="majorEastAsia"/>
          <w:sz w:val="24"/>
          <w:szCs w:val="24"/>
          <w:lang w:val="en-US"/>
        </w:rPr>
        <w:t>2016</w:t>
      </w:r>
      <w:proofErr w:type="gramStart"/>
      <w:r w:rsidRPr="00BA6915">
        <w:rPr>
          <w:rStyle w:val="ac"/>
          <w:rFonts w:eastAsiaTheme="majorEastAsia"/>
          <w:sz w:val="24"/>
          <w:szCs w:val="24"/>
          <w:lang w:val="en-US"/>
        </w:rPr>
        <w:t>;25:1021</w:t>
      </w:r>
      <w:proofErr w:type="gramEnd"/>
      <w:r w:rsidRPr="00BA6915">
        <w:rPr>
          <w:rStyle w:val="ac"/>
          <w:rFonts w:eastAsiaTheme="majorEastAsia"/>
          <w:sz w:val="24"/>
          <w:szCs w:val="24"/>
          <w:lang w:val="en-US"/>
        </w:rPr>
        <w:t>–1030..</w:t>
      </w:r>
    </w:p>
    <w:p w14:paraId="10DB8F85"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«Chen C, Zhu XY, Li D, et al Clinical efficacy and safety of spironolactone in patients with resistant hypertension: a systematic review and meta-analysis. Medicine (Baltimore) </w:t>
      </w:r>
      <w:r w:rsidRPr="007C5A89">
        <w:rPr>
          <w:rStyle w:val="ac"/>
          <w:rFonts w:eastAsiaTheme="majorEastAsia"/>
          <w:sz w:val="24"/>
          <w:szCs w:val="24"/>
        </w:rPr>
        <w:t xml:space="preserve">2020; </w:t>
      </w:r>
      <w:r w:rsidRPr="007C5A89">
        <w:rPr>
          <w:rStyle w:val="ac"/>
          <w:rFonts w:eastAsiaTheme="majorEastAsia"/>
          <w:sz w:val="24"/>
          <w:szCs w:val="24"/>
          <w:lang w:val="en-US"/>
        </w:rPr>
        <w:t>99:e21694</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w:t>
      </w:r>
    </w:p>
    <w:p w14:paraId="521DAD25"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«Krieger EM, Drager LF, Giorgi DMA, et al., ReHOT Investigators. Spironolactone versus clonidine as a fourth-drug therapy for resistant hypertension: the ReHOT Randomized Study (Resistant Hypertension Optimal Treatment). Hypertension </w:t>
      </w:r>
      <w:r w:rsidRPr="007C5A89">
        <w:rPr>
          <w:rStyle w:val="ac"/>
          <w:rFonts w:eastAsiaTheme="majorEastAsia"/>
          <w:sz w:val="24"/>
          <w:szCs w:val="24"/>
        </w:rPr>
        <w:t>2018</w:t>
      </w:r>
      <w:proofErr w:type="gramStart"/>
      <w:r w:rsidRPr="007C5A89">
        <w:rPr>
          <w:rStyle w:val="ac"/>
          <w:rFonts w:eastAsiaTheme="majorEastAsia"/>
          <w:sz w:val="24"/>
          <w:szCs w:val="24"/>
        </w:rPr>
        <w:t>;71:681</w:t>
      </w:r>
      <w:proofErr w:type="gramEnd"/>
      <w:r w:rsidRPr="007C5A89">
        <w:rPr>
          <w:rStyle w:val="ac"/>
          <w:rFonts w:eastAsiaTheme="majorEastAsia"/>
          <w:sz w:val="24"/>
          <w:szCs w:val="24"/>
        </w:rPr>
        <w:t xml:space="preserve"> – 690».</w:t>
      </w:r>
    </w:p>
    <w:p w14:paraId="57883763"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«Williams B, MacDonald TM, Morant SV, et al., British Hypertension Society programme of Prevention </w:t>
      </w:r>
      <w:proofErr w:type="gramStart"/>
      <w:r w:rsidRPr="007C5A89">
        <w:rPr>
          <w:rStyle w:val="ac"/>
          <w:rFonts w:eastAsiaTheme="majorEastAsia"/>
          <w:sz w:val="24"/>
          <w:szCs w:val="24"/>
          <w:lang w:val="en-US"/>
        </w:rPr>
        <w:t>And Treatment of Hypertension With</w:t>
      </w:r>
      <w:proofErr w:type="gramEnd"/>
      <w:r w:rsidRPr="007C5A89">
        <w:rPr>
          <w:rStyle w:val="ac"/>
          <w:rFonts w:eastAsiaTheme="majorEastAsia"/>
          <w:sz w:val="24"/>
          <w:szCs w:val="24"/>
          <w:lang w:val="en-US"/>
        </w:rPr>
        <w:t xml:space="preserve"> Algorithm based Therapy (PATHWAY) Study Group. Endocrine and haemodynamic changes in resistant hypertension, and</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 xml:space="preserve"> </w:t>
      </w:r>
      <w:r w:rsidRPr="007C5A89">
        <w:rPr>
          <w:rStyle w:val="ac"/>
          <w:rFonts w:eastAsiaTheme="majorEastAsia"/>
          <w:i/>
          <w:iCs/>
          <w:sz w:val="24"/>
          <w:szCs w:val="24"/>
          <w:lang w:val="en-US"/>
        </w:rPr>
        <w:t xml:space="preserve">blood </w:t>
      </w:r>
      <w:r w:rsidRPr="007C5A89">
        <w:rPr>
          <w:rStyle w:val="ac"/>
          <w:rFonts w:eastAsiaTheme="majorEastAsia"/>
          <w:i/>
          <w:iCs/>
          <w:sz w:val="24"/>
          <w:szCs w:val="24"/>
          <w:lang w:val="en-US"/>
        </w:rPr>
        <w:lastRenderedPageBreak/>
        <w:t xml:space="preserve">pressure responses to spironolactone or amiloride: the PATHWAY-2 mechanisms substudies. Lancet Diabetes Endocrinol </w:t>
      </w:r>
      <w:r w:rsidRPr="007C5A89">
        <w:rPr>
          <w:rStyle w:val="ac"/>
          <w:rFonts w:eastAsiaTheme="majorEastAsia"/>
          <w:i/>
          <w:iCs/>
          <w:sz w:val="24"/>
          <w:szCs w:val="24"/>
        </w:rPr>
        <w:t>2018; 6:464–475</w:t>
      </w:r>
      <w:proofErr w:type="gramStart"/>
      <w:r w:rsidRPr="007C5A89">
        <w:rPr>
          <w:rStyle w:val="ac"/>
          <w:rFonts w:eastAsiaTheme="majorEastAsia"/>
          <w:i/>
          <w:iCs/>
          <w:sz w:val="24"/>
          <w:szCs w:val="24"/>
        </w:rPr>
        <w:t>..</w:t>
      </w:r>
      <w:proofErr w:type="gramEnd"/>
    </w:p>
    <w:p w14:paraId="1FC1ADBA"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«Desai R, Park H, Brown JD, et al Comparative safety and effectiveness of aldosterone antagonists versus beta-blockers as fourth agents in patients with apparent resistant hypertension. Hypertension </w:t>
      </w:r>
      <w:r w:rsidRPr="007C5A89">
        <w:rPr>
          <w:rStyle w:val="ac"/>
          <w:rFonts w:eastAsiaTheme="majorEastAsia"/>
          <w:sz w:val="24"/>
          <w:szCs w:val="24"/>
        </w:rPr>
        <w:t>2022; 79:2305–2315.».</w:t>
      </w:r>
    </w:p>
    <w:p w14:paraId="64328D76"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«Sinnott, Sarah-Jo, et al. </w:t>
      </w:r>
      <w:r w:rsidRPr="007C5A89">
        <w:rPr>
          <w:rStyle w:val="ac"/>
          <w:rFonts w:eastAsiaTheme="majorEastAsia"/>
          <w:sz w:val="24"/>
          <w:szCs w:val="24"/>
          <w:lang w:val="en-US"/>
        </w:rPr>
        <w:t>"Comparative effectiveness of fourth-line anti-hypertensive agents in resistant hypertension: A systematic review and meta-analysis." European journal of preventive cardiology 24.3 (2017): 228-238.».</w:t>
      </w:r>
    </w:p>
    <w:p w14:paraId="0269E05B"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«Bolignano D, Palmer SC, Navaneethan SD, Strippoli GF. Aldosterone antagonists for preventing the progression of chronic kidney disease. Cochrane Database Syst Rev </w:t>
      </w:r>
      <w:r w:rsidRPr="007C5A89">
        <w:rPr>
          <w:rStyle w:val="ac"/>
          <w:rFonts w:eastAsiaTheme="majorEastAsia"/>
          <w:sz w:val="24"/>
          <w:szCs w:val="24"/>
        </w:rPr>
        <w:t xml:space="preserve">2014; </w:t>
      </w:r>
      <w:r w:rsidRPr="007C5A89">
        <w:rPr>
          <w:rStyle w:val="ac"/>
          <w:rFonts w:eastAsiaTheme="majorEastAsia"/>
          <w:sz w:val="24"/>
          <w:szCs w:val="24"/>
          <w:lang w:val="en-US"/>
        </w:rPr>
        <w:t>4:CD007004.».</w:t>
      </w:r>
    </w:p>
    <w:p w14:paraId="32D0B988"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«Loutradis C, Sarafidis P. Hypertension in patients with advanced chronic kidney disease. In: Mancia G, Grassi G, Tsioufis K, Dominiczak A, Rosei EA, editors. Manual of hypertension of the European Society of Hypertension. Boca Raton: CRC Press; 2019.».</w:t>
      </w:r>
    </w:p>
    <w:p w14:paraId="0C6A7246"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«Tamargo J, Segura J, Ruilope LM. Diuretics in the treatment of hypertension. Part 2: loop diuretics and potassium-sparing agents. Expert Opin Pharmacother 2014; 15:605–621.».</w:t>
      </w:r>
    </w:p>
    <w:p w14:paraId="6AAEA611"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«Azizi M. The Radiance II Trial. JAMA Cardiol </w:t>
      </w:r>
      <w:r w:rsidRPr="007C5A89">
        <w:rPr>
          <w:rStyle w:val="ac"/>
          <w:rFonts w:eastAsiaTheme="majorEastAsia"/>
          <w:sz w:val="24"/>
          <w:szCs w:val="24"/>
        </w:rPr>
        <w:t xml:space="preserve">2022; </w:t>
      </w:r>
      <w:r w:rsidRPr="007C5A89">
        <w:rPr>
          <w:rStyle w:val="ac"/>
          <w:rFonts w:eastAsiaTheme="majorEastAsia"/>
          <w:sz w:val="24"/>
          <w:szCs w:val="24"/>
          <w:lang w:val="en-US"/>
        </w:rPr>
        <w:t>[in press].».</w:t>
      </w:r>
    </w:p>
    <w:p w14:paraId="4925D4AF"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«Kandzari DE, Bohm M, Mahfoud F, Townsend RR, Weber MA, Pocock S, et al., SPYRAL HTN-ON MED Trial Investigators. Effect of renal denervation on blood pressure in the presence of antihypertensive drugs: 6-month efficacy and safety results from the</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 xml:space="preserve"> </w:t>
      </w:r>
      <w:r w:rsidRPr="007C5A89">
        <w:rPr>
          <w:rStyle w:val="ac"/>
          <w:rFonts w:eastAsiaTheme="majorEastAsia"/>
          <w:i/>
          <w:iCs/>
          <w:sz w:val="24"/>
          <w:szCs w:val="24"/>
          <w:lang w:val="en-US"/>
        </w:rPr>
        <w:t xml:space="preserve">SPYRAL HTN-ON MED proof-of-concept randomised trial. Lancet </w:t>
      </w:r>
      <w:r w:rsidRPr="007C5A89">
        <w:rPr>
          <w:rStyle w:val="ac"/>
          <w:rFonts w:eastAsiaTheme="majorEastAsia"/>
          <w:i/>
          <w:iCs/>
          <w:sz w:val="24"/>
          <w:szCs w:val="24"/>
        </w:rPr>
        <w:t>2018; 391:2346–2355.</w:t>
      </w:r>
    </w:p>
    <w:p w14:paraId="4B5D16BD"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«Hu X, Fan J, Chen S, et al The role of continuous positive airway pressure in blood pressure control for patients with obstructive sleep apnea and hypertension: a meta-analysis of randomized controlled trials. J Clin Hypertens (Greenwich) </w:t>
      </w:r>
      <w:r w:rsidRPr="007C5A89">
        <w:rPr>
          <w:rStyle w:val="ac"/>
          <w:rFonts w:eastAsiaTheme="majorEastAsia"/>
          <w:sz w:val="24"/>
          <w:szCs w:val="24"/>
        </w:rPr>
        <w:t>2015; 17:215–222».</w:t>
      </w:r>
    </w:p>
    <w:p w14:paraId="4D3E3058"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F03632">
        <w:rPr>
          <w:rStyle w:val="ac"/>
          <w:rFonts w:eastAsiaTheme="majorEastAsia"/>
          <w:sz w:val="24"/>
          <w:szCs w:val="24"/>
          <w:lang w:val="fr-FR"/>
        </w:rPr>
        <w:t xml:space="preserve">«Martinez-Garcia MA, Pengo MF. </w:t>
      </w:r>
      <w:r w:rsidRPr="007C5A89">
        <w:rPr>
          <w:rStyle w:val="ac"/>
          <w:rFonts w:eastAsiaTheme="majorEastAsia"/>
          <w:sz w:val="24"/>
          <w:szCs w:val="24"/>
          <w:lang w:val="en-US"/>
        </w:rPr>
        <w:t xml:space="preserve">Clinical phenotype of resistant hypertension responders to continuous positive airway pressure treatment: results from the HIPARCO Randomized Clinical Trial. Hypertension </w:t>
      </w:r>
      <w:r w:rsidRPr="007C5A89">
        <w:rPr>
          <w:rStyle w:val="ac"/>
          <w:rFonts w:eastAsiaTheme="majorEastAsia"/>
          <w:sz w:val="24"/>
          <w:szCs w:val="24"/>
        </w:rPr>
        <w:t>2021; 78:559–561.».</w:t>
      </w:r>
    </w:p>
    <w:p w14:paraId="65D17815"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«Shi Q, Wang Y, Hao Q, et al. </w:t>
      </w:r>
      <w:r w:rsidRPr="007C5A89">
        <w:rPr>
          <w:rStyle w:val="ac"/>
          <w:rFonts w:eastAsiaTheme="majorEastAsia"/>
          <w:sz w:val="24"/>
          <w:szCs w:val="24"/>
          <w:lang w:val="en-US"/>
        </w:rPr>
        <w:t>Pharmacotherapy for adults with overweight and obesity: a systematic review and network meta-analysis of randomised controlled trials. Lancet 2022; 399:259–269.».</w:t>
      </w:r>
    </w:p>
    <w:p w14:paraId="2FF8AED9"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«Maringwa J, Sardu ML, Hang Y, et al. </w:t>
      </w:r>
      <w:r w:rsidRPr="007C5A89">
        <w:rPr>
          <w:rStyle w:val="ac"/>
          <w:rFonts w:eastAsiaTheme="majorEastAsia"/>
          <w:sz w:val="24"/>
          <w:szCs w:val="24"/>
          <w:lang w:val="en-US"/>
        </w:rPr>
        <w:t>Characterizing effects of antidiabetic drugs on heart rate, systolic and diastolic blood pressure. Clin Pharmacol Ther 2021; 109:1583–1592.».</w:t>
      </w:r>
    </w:p>
    <w:p w14:paraId="72587FEA"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«Giugliano D, Scappaticcio L, Longo M, et al. GLP-1 receptor agonists and cardiorenal outcomes in type 2 diabetes: an updated meta-analysis of eight CVOTs. Cardiovasc Diabetol 2021; 20:189.».</w:t>
      </w:r>
    </w:p>
    <w:p w14:paraId="48301FFB"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«Schiavon CA, Ikeoka D, Santucci EV, et al. </w:t>
      </w:r>
      <w:r w:rsidRPr="007C5A89">
        <w:rPr>
          <w:rStyle w:val="ac"/>
          <w:rFonts w:eastAsiaTheme="majorEastAsia"/>
          <w:sz w:val="24"/>
          <w:szCs w:val="24"/>
          <w:lang w:val="en-US"/>
        </w:rPr>
        <w:t>Effects of bariatric surgery versus medical therapy on the 24-hour ambulatory blood pressure and the prevalence of resistant hypertension. Hypertension 2019; 73:571–577.».</w:t>
      </w:r>
    </w:p>
    <w:p w14:paraId="7947B047"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«Georgianos PI, Agarwal R. Ambulatory blood pressure reduction with SGLT-2 inhibitors: dose-response meta-analysis and comparative evaluation with low-dose hydrochlorothiazide. Diabetes Care </w:t>
      </w:r>
      <w:r w:rsidRPr="007C5A89">
        <w:rPr>
          <w:rStyle w:val="ac"/>
          <w:rFonts w:eastAsiaTheme="majorEastAsia"/>
          <w:sz w:val="24"/>
          <w:szCs w:val="24"/>
        </w:rPr>
        <w:t>2019; 42:693–700.».</w:t>
      </w:r>
    </w:p>
    <w:p w14:paraId="4E429AAA"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Ruilope L.M. et al. </w:t>
      </w:r>
      <w:r w:rsidRPr="007C5A89">
        <w:rPr>
          <w:rStyle w:val="ac"/>
          <w:rFonts w:eastAsiaTheme="majorEastAsia"/>
          <w:sz w:val="24"/>
          <w:szCs w:val="24"/>
          <w:lang w:val="en-US"/>
        </w:rPr>
        <w:t>Blood-pressure reduction with LCZ696, a novel dual-acting inhibitor of the angiotensin II receptor and neprilysin</w:t>
      </w:r>
      <w:proofErr w:type="gramStart"/>
      <w:r w:rsidRPr="007C5A89">
        <w:rPr>
          <w:rStyle w:val="ac"/>
          <w:rFonts w:eastAsiaTheme="majorEastAsia"/>
          <w:sz w:val="24"/>
          <w:szCs w:val="24"/>
          <w:lang w:val="en-US"/>
        </w:rPr>
        <w:t>:a</w:t>
      </w:r>
      <w:proofErr w:type="gramEnd"/>
      <w:r w:rsidRPr="007C5A89">
        <w:rPr>
          <w:rStyle w:val="ac"/>
          <w:rFonts w:eastAsiaTheme="majorEastAsia"/>
          <w:sz w:val="24"/>
          <w:szCs w:val="24"/>
          <w:lang w:val="en-US"/>
        </w:rPr>
        <w:t xml:space="preserve"> randomised, double-blind, placebo- controlled, active comparator study/ Lancet 2010; 375: 1255–66.</w:t>
      </w:r>
    </w:p>
    <w:p w14:paraId="6C3443CC"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Huang Y, Huang W, Mai W, et al. </w:t>
      </w:r>
      <w:r w:rsidRPr="007C5A89">
        <w:rPr>
          <w:rStyle w:val="ac"/>
          <w:rFonts w:eastAsiaTheme="majorEastAsia"/>
          <w:sz w:val="24"/>
          <w:szCs w:val="24"/>
          <w:lang w:val="en-US"/>
        </w:rPr>
        <w:t xml:space="preserve">White-coat hypertension is a risk factor for cardiovascular </w:t>
      </w:r>
      <w:r w:rsidRPr="007C5A89">
        <w:rPr>
          <w:rStyle w:val="ac"/>
          <w:rFonts w:eastAsiaTheme="majorEastAsia"/>
          <w:sz w:val="24"/>
          <w:szCs w:val="24"/>
          <w:lang w:val="en-US"/>
        </w:rPr>
        <w:lastRenderedPageBreak/>
        <w:t>diseases and total mortality. J Hypertens 2017</w:t>
      </w:r>
      <w:proofErr w:type="gramStart"/>
      <w:r w:rsidRPr="007C5A89">
        <w:rPr>
          <w:rStyle w:val="ac"/>
          <w:rFonts w:eastAsiaTheme="majorEastAsia"/>
          <w:sz w:val="24"/>
          <w:szCs w:val="24"/>
          <w:lang w:val="en-US"/>
        </w:rPr>
        <w:t>;35:677</w:t>
      </w:r>
      <w:proofErr w:type="gramEnd"/>
      <w:r w:rsidRPr="007C5A89">
        <w:rPr>
          <w:rStyle w:val="ac"/>
          <w:rFonts w:eastAsiaTheme="majorEastAsia"/>
          <w:sz w:val="24"/>
          <w:szCs w:val="24"/>
          <w:lang w:val="en-US"/>
        </w:rPr>
        <w:t>–688..</w:t>
      </w:r>
    </w:p>
    <w:p w14:paraId="2C19D35C"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Briasoulis A, Androulakis E, Palla M, et al. </w:t>
      </w:r>
      <w:r w:rsidRPr="007C5A89">
        <w:rPr>
          <w:rStyle w:val="ac"/>
          <w:rFonts w:eastAsiaTheme="majorEastAsia"/>
          <w:sz w:val="24"/>
          <w:szCs w:val="24"/>
          <w:lang w:val="en-US"/>
        </w:rPr>
        <w:t>White-coat hypertension and cardiovascular events: a meta-analysis. J Hypertens 2016</w:t>
      </w:r>
      <w:proofErr w:type="gramStart"/>
      <w:r w:rsidRPr="007C5A89">
        <w:rPr>
          <w:rStyle w:val="ac"/>
          <w:rFonts w:eastAsiaTheme="majorEastAsia"/>
          <w:sz w:val="24"/>
          <w:szCs w:val="24"/>
          <w:lang w:val="en-US"/>
        </w:rPr>
        <w:t>;34:593</w:t>
      </w:r>
      <w:proofErr w:type="gramEnd"/>
      <w:r w:rsidRPr="007C5A89">
        <w:rPr>
          <w:rStyle w:val="ac"/>
          <w:rFonts w:eastAsiaTheme="majorEastAsia"/>
          <w:sz w:val="24"/>
          <w:szCs w:val="24"/>
          <w:lang w:val="en-US"/>
        </w:rPr>
        <w:t>–599..</w:t>
      </w:r>
    </w:p>
    <w:p w14:paraId="75CE39C6"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Cuspidi C, Rescaldani M, Tadic M, et al. </w:t>
      </w:r>
      <w:r w:rsidRPr="007C5A89">
        <w:rPr>
          <w:rStyle w:val="ac"/>
          <w:rFonts w:eastAsiaTheme="majorEastAsia"/>
          <w:sz w:val="24"/>
          <w:szCs w:val="24"/>
          <w:lang w:val="en-US"/>
        </w:rPr>
        <w:t>White-coat hypertension, as defined by ambulatory blood pressure monitoring, and subclinical cardiac organ damage: a meta</w:t>
      </w:r>
      <w:r w:rsidRPr="007C5A89">
        <w:rPr>
          <w:rStyle w:val="ac"/>
          <w:rFonts w:eastAsiaTheme="majorEastAsia"/>
          <w:sz w:val="24"/>
          <w:szCs w:val="24"/>
          <w:lang w:val="en-US"/>
        </w:rPr>
        <w:softHyphen/>
        <w:t>analysis. J Hypertens 2015</w:t>
      </w:r>
      <w:proofErr w:type="gramStart"/>
      <w:r w:rsidRPr="007C5A89">
        <w:rPr>
          <w:rStyle w:val="ac"/>
          <w:rFonts w:eastAsiaTheme="majorEastAsia"/>
          <w:sz w:val="24"/>
          <w:szCs w:val="24"/>
          <w:lang w:val="en-US"/>
        </w:rPr>
        <w:t>;33:24</w:t>
      </w:r>
      <w:proofErr w:type="gramEnd"/>
      <w:r w:rsidRPr="007C5A89">
        <w:rPr>
          <w:rStyle w:val="ac"/>
          <w:rFonts w:eastAsiaTheme="majorEastAsia"/>
          <w:sz w:val="24"/>
          <w:szCs w:val="24"/>
          <w:lang w:val="en-US"/>
        </w:rPr>
        <w:t>–32.</w:t>
      </w:r>
    </w:p>
    <w:p w14:paraId="038B5A78"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Mancia G, Bombelli M, Facchetti R, et al. </w:t>
      </w:r>
      <w:r w:rsidRPr="007C5A89">
        <w:rPr>
          <w:rStyle w:val="ac"/>
          <w:rFonts w:eastAsiaTheme="majorEastAsia"/>
          <w:sz w:val="24"/>
          <w:szCs w:val="24"/>
          <w:lang w:val="en-US"/>
        </w:rPr>
        <w:t>Increased long-term risk of new-onset diabetes mellitus in white-coat and masked hypertension. J Hypertens 2009</w:t>
      </w:r>
      <w:proofErr w:type="gramStart"/>
      <w:r w:rsidRPr="007C5A89">
        <w:rPr>
          <w:rStyle w:val="ac"/>
          <w:rFonts w:eastAsiaTheme="majorEastAsia"/>
          <w:sz w:val="24"/>
          <w:szCs w:val="24"/>
          <w:lang w:val="en-US"/>
        </w:rPr>
        <w:t>;27:1672</w:t>
      </w:r>
      <w:proofErr w:type="gramEnd"/>
      <w:r w:rsidRPr="007C5A89">
        <w:rPr>
          <w:rStyle w:val="ac"/>
          <w:rFonts w:eastAsiaTheme="majorEastAsia"/>
          <w:sz w:val="24"/>
          <w:szCs w:val="24"/>
          <w:lang w:val="en-US"/>
        </w:rPr>
        <w:t>–1678..</w:t>
      </w:r>
    </w:p>
    <w:p w14:paraId="141A52B0"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Tientcheu D, Ayers C, Das SR, et al. </w:t>
      </w:r>
      <w:r w:rsidRPr="007C5A89">
        <w:rPr>
          <w:rStyle w:val="ac"/>
          <w:rFonts w:eastAsiaTheme="majorEastAsia"/>
          <w:sz w:val="24"/>
          <w:szCs w:val="24"/>
          <w:lang w:val="en-US"/>
        </w:rPr>
        <w:t>Target organ complications and cardiovascular events associated with masked hypertension and white-coat hypertension: analysis from the Dallas Heart Study. J Am Coll Cardiol 2015</w:t>
      </w:r>
      <w:proofErr w:type="gramStart"/>
      <w:r w:rsidRPr="007C5A89">
        <w:rPr>
          <w:rStyle w:val="ac"/>
          <w:rFonts w:eastAsiaTheme="majorEastAsia"/>
          <w:sz w:val="24"/>
          <w:szCs w:val="24"/>
          <w:lang w:val="en-US"/>
        </w:rPr>
        <w:t>;66:2159</w:t>
      </w:r>
      <w:proofErr w:type="gramEnd"/>
      <w:r w:rsidRPr="007C5A89">
        <w:rPr>
          <w:rStyle w:val="ac"/>
          <w:rFonts w:eastAsiaTheme="majorEastAsia"/>
          <w:sz w:val="24"/>
          <w:szCs w:val="24"/>
          <w:lang w:val="en-US"/>
        </w:rPr>
        <w:t>–2169..</w:t>
      </w:r>
    </w:p>
    <w:p w14:paraId="50E2DA0A"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«Stergiou GS, Asayama K, Thijs L, et al., International Database on HOme blood pressure in relation to Cardiovascular Outcome (IDHOCO) Investigators. Prognosis of white-coat and masked hypertension: International Database of HOme blood pressure in relation</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 xml:space="preserve"> </w:t>
      </w:r>
      <w:r w:rsidRPr="007C5A89">
        <w:rPr>
          <w:rStyle w:val="ac"/>
          <w:rFonts w:eastAsiaTheme="majorEastAsia"/>
          <w:i/>
          <w:iCs/>
          <w:sz w:val="24"/>
          <w:szCs w:val="24"/>
          <w:lang w:val="en-US"/>
        </w:rPr>
        <w:t xml:space="preserve">to Cardiovascular Outcome. Hypertension </w:t>
      </w:r>
      <w:r w:rsidRPr="007C5A89">
        <w:rPr>
          <w:rStyle w:val="ac"/>
          <w:rFonts w:eastAsiaTheme="majorEastAsia"/>
          <w:i/>
          <w:iCs/>
          <w:sz w:val="24"/>
          <w:szCs w:val="24"/>
        </w:rPr>
        <w:t>2014; 63:675–682</w:t>
      </w:r>
      <w:proofErr w:type="gramStart"/>
      <w:r w:rsidRPr="007C5A89">
        <w:rPr>
          <w:rStyle w:val="ac"/>
          <w:rFonts w:eastAsiaTheme="majorEastAsia"/>
          <w:i/>
          <w:iCs/>
          <w:sz w:val="24"/>
          <w:szCs w:val="24"/>
        </w:rPr>
        <w:t>..</w:t>
      </w:r>
      <w:proofErr w:type="gramEnd"/>
    </w:p>
    <w:p w14:paraId="29D3A300"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Thakkar H. V., Pope A., &amp; Anpalahan, M. Masked Hypertension: A Systematic Review. Heart, Lung and Circulation. </w:t>
      </w:r>
      <w:r w:rsidRPr="007C5A89">
        <w:rPr>
          <w:rStyle w:val="ac"/>
          <w:rFonts w:eastAsiaTheme="majorEastAsia"/>
          <w:sz w:val="24"/>
          <w:szCs w:val="24"/>
        </w:rPr>
        <w:t>2019..</w:t>
      </w:r>
    </w:p>
    <w:p w14:paraId="37210A05"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«Palla M, Saber H, Konda S, Briasoulis A. Masked hypertension and cardiovascular outcomes: an updated systematic review and meta-analysis. Integr Blood Press Control </w:t>
      </w:r>
      <w:r w:rsidRPr="007C5A89">
        <w:rPr>
          <w:rStyle w:val="ac"/>
          <w:rFonts w:eastAsiaTheme="majorEastAsia"/>
          <w:sz w:val="24"/>
          <w:szCs w:val="24"/>
        </w:rPr>
        <w:t>2018; 11:11–24.».</w:t>
      </w:r>
    </w:p>
    <w:p w14:paraId="098A458D"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«Zhang DY, Guo QH, An DW, et al. A comparative meta-analysis of prospective observational studies on masked hypertension and masked uncontrolled hypertension defined by ambulatory and home blood pressure. J Hypertens </w:t>
      </w:r>
      <w:r w:rsidRPr="007C5A89">
        <w:rPr>
          <w:rStyle w:val="ac"/>
          <w:rFonts w:eastAsiaTheme="majorEastAsia"/>
          <w:sz w:val="24"/>
          <w:szCs w:val="24"/>
        </w:rPr>
        <w:t>2019; 37:1775–1785.».</w:t>
      </w:r>
    </w:p>
    <w:p w14:paraId="189ADCA3" w14:textId="77777777" w:rsidR="00CB781F" w:rsidRPr="007C5A89" w:rsidRDefault="00CB781F" w:rsidP="00424F51">
      <w:pPr>
        <w:pStyle w:val="11"/>
        <w:numPr>
          <w:ilvl w:val="0"/>
          <w:numId w:val="42"/>
        </w:numPr>
        <w:tabs>
          <w:tab w:val="left" w:pos="709"/>
          <w:tab w:val="left" w:pos="1280"/>
        </w:tabs>
        <w:spacing w:line="240" w:lineRule="auto"/>
        <w:ind w:left="709" w:hanging="709"/>
        <w:jc w:val="both"/>
        <w:rPr>
          <w:sz w:val="24"/>
          <w:szCs w:val="24"/>
          <w:lang w:val="en-US"/>
        </w:rPr>
      </w:pPr>
      <w:r w:rsidRPr="007C5A89">
        <w:rPr>
          <w:rStyle w:val="ac"/>
          <w:rFonts w:eastAsiaTheme="majorEastAsia"/>
          <w:sz w:val="24"/>
          <w:szCs w:val="24"/>
          <w:lang w:val="en-US"/>
        </w:rPr>
        <w:t>Egan BM, Li J, Hutchison FN, Ferdinand KC. Hypertension in the United States, 1999 to</w:t>
      </w:r>
    </w:p>
    <w:p w14:paraId="080F055A" w14:textId="77777777" w:rsidR="00CB781F" w:rsidRPr="007C5A89" w:rsidRDefault="00CB781F" w:rsidP="007C5A89">
      <w:pPr>
        <w:pStyle w:val="11"/>
        <w:tabs>
          <w:tab w:val="left" w:pos="709"/>
        </w:tabs>
        <w:spacing w:line="240" w:lineRule="auto"/>
        <w:ind w:left="709" w:hanging="709"/>
        <w:jc w:val="both"/>
        <w:rPr>
          <w:sz w:val="24"/>
          <w:szCs w:val="24"/>
        </w:rPr>
      </w:pPr>
      <w:r w:rsidRPr="007C5A89">
        <w:rPr>
          <w:rStyle w:val="ac"/>
          <w:rFonts w:eastAsiaTheme="majorEastAsia"/>
          <w:sz w:val="24"/>
          <w:szCs w:val="24"/>
          <w:lang w:val="en-US"/>
        </w:rPr>
        <w:t xml:space="preserve">2012: progress toward Healthy People 2020 goals. Circulation. </w:t>
      </w:r>
      <w:r w:rsidRPr="007C5A89">
        <w:rPr>
          <w:rStyle w:val="ac"/>
          <w:rFonts w:eastAsiaTheme="majorEastAsia"/>
          <w:sz w:val="24"/>
          <w:szCs w:val="24"/>
        </w:rPr>
        <w:t>2014;130(19):1692–1699..</w:t>
      </w:r>
    </w:p>
    <w:p w14:paraId="434D00A6"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Liu X, Rodriguez CJ, Wang K. Prevalence and trends of isolated systolic hypertension among untreated adults in the United States. J Am Soc Hypertens. </w:t>
      </w:r>
      <w:r w:rsidRPr="007C5A89">
        <w:rPr>
          <w:rStyle w:val="ac"/>
          <w:rFonts w:eastAsiaTheme="majorEastAsia"/>
          <w:sz w:val="24"/>
          <w:szCs w:val="24"/>
        </w:rPr>
        <w:t>2015;9(3):197–205..</w:t>
      </w:r>
    </w:p>
    <w:p w14:paraId="7C1EA78F"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Bavishi C, Goel S, Messerli FH. Isolated Systolic Hypertension: An Update After SPRINT Am J Med. 2016</w:t>
      </w:r>
      <w:proofErr w:type="gramStart"/>
      <w:r w:rsidRPr="007C5A89">
        <w:rPr>
          <w:rStyle w:val="ac"/>
          <w:rFonts w:eastAsiaTheme="majorEastAsia"/>
          <w:sz w:val="24"/>
          <w:szCs w:val="24"/>
          <w:lang w:val="en-US"/>
        </w:rPr>
        <w:t>;129</w:t>
      </w:r>
      <w:proofErr w:type="gramEnd"/>
      <w:r w:rsidRPr="007C5A89">
        <w:rPr>
          <w:rStyle w:val="ac"/>
          <w:rFonts w:eastAsiaTheme="majorEastAsia"/>
          <w:sz w:val="24"/>
          <w:szCs w:val="24"/>
          <w:lang w:val="en-US"/>
        </w:rPr>
        <w:t>(12):1251–1258..</w:t>
      </w:r>
    </w:p>
    <w:p w14:paraId="3F0F0F30"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Ekundayo OJ, Allman RM, Sanders PW, et al. Isolated systolic hypertension and incident heart failure in older adults: a propensity-matched study. Hypertension. 2009</w:t>
      </w:r>
      <w:proofErr w:type="gramStart"/>
      <w:r w:rsidRPr="007C5A89">
        <w:rPr>
          <w:rStyle w:val="ac"/>
          <w:rFonts w:eastAsiaTheme="majorEastAsia"/>
          <w:sz w:val="24"/>
          <w:szCs w:val="24"/>
          <w:lang w:val="en-US"/>
        </w:rPr>
        <w:t>;53</w:t>
      </w:r>
      <w:proofErr w:type="gramEnd"/>
      <w:r w:rsidRPr="007C5A89">
        <w:rPr>
          <w:rStyle w:val="ac"/>
          <w:rFonts w:eastAsiaTheme="majorEastAsia"/>
          <w:sz w:val="24"/>
          <w:szCs w:val="24"/>
          <w:lang w:val="en-US"/>
        </w:rPr>
        <w:t>(3):458– 465..</w:t>
      </w:r>
    </w:p>
    <w:p w14:paraId="3FC67031"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Li Y, Wei FF, Thijs L et al. </w:t>
      </w:r>
      <w:r w:rsidRPr="007C5A89">
        <w:rPr>
          <w:rStyle w:val="ac"/>
          <w:rFonts w:eastAsiaTheme="majorEastAsia"/>
          <w:sz w:val="24"/>
          <w:szCs w:val="24"/>
          <w:lang w:val="en-US"/>
        </w:rPr>
        <w:t>Ambulatory hypertension subtypes and 24-hour systolic and diastolic blood pressure as distinct outcome predictors in 8341 untreated people recruited from 12 populations. Circulation. 2014</w:t>
      </w:r>
      <w:proofErr w:type="gramStart"/>
      <w:r w:rsidRPr="007C5A89">
        <w:rPr>
          <w:rStyle w:val="ac"/>
          <w:rFonts w:eastAsiaTheme="majorEastAsia"/>
          <w:sz w:val="24"/>
          <w:szCs w:val="24"/>
          <w:lang w:val="en-US"/>
        </w:rPr>
        <w:t>;130</w:t>
      </w:r>
      <w:proofErr w:type="gramEnd"/>
      <w:r w:rsidRPr="007C5A89">
        <w:rPr>
          <w:rStyle w:val="ac"/>
          <w:rFonts w:eastAsiaTheme="majorEastAsia"/>
          <w:sz w:val="24"/>
          <w:szCs w:val="24"/>
          <w:lang w:val="en-US"/>
        </w:rPr>
        <w:t>(6):466–474..</w:t>
      </w:r>
    </w:p>
    <w:p w14:paraId="3ACAD3C7"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«SHEP Cooperative Research Group. Prevention of stroke by anti- hypertensive drug treatment in older persons with isolated systolic hypertension. Final results of the systolic hypertension in the elderly program (SHEP). SHEP cooperative research group.</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 xml:space="preserve"> </w:t>
      </w:r>
      <w:r w:rsidRPr="007C5A89">
        <w:rPr>
          <w:rStyle w:val="ac"/>
          <w:rFonts w:eastAsiaTheme="majorEastAsia"/>
          <w:i/>
          <w:iCs/>
          <w:sz w:val="24"/>
          <w:szCs w:val="24"/>
          <w:lang w:val="en-US"/>
        </w:rPr>
        <w:t xml:space="preserve">JAMA. </w:t>
      </w:r>
      <w:r w:rsidRPr="007C5A89">
        <w:rPr>
          <w:rStyle w:val="ac"/>
          <w:rFonts w:eastAsiaTheme="majorEastAsia"/>
          <w:i/>
          <w:iCs/>
          <w:sz w:val="24"/>
          <w:szCs w:val="24"/>
        </w:rPr>
        <w:t>1991;265(24):3255–3264 .</w:t>
      </w:r>
    </w:p>
    <w:p w14:paraId="122B5A2E"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«Staessen JA, Fagard R, Thijs L, et al. </w:t>
      </w:r>
      <w:r w:rsidRPr="007C5A89">
        <w:rPr>
          <w:rStyle w:val="ac"/>
          <w:rFonts w:eastAsiaTheme="majorEastAsia"/>
          <w:sz w:val="24"/>
          <w:szCs w:val="24"/>
          <w:lang w:val="en-US"/>
        </w:rPr>
        <w:t>Randomised double-blind comparison of placebo and active treatment for older patients with isolated systolic hypertension. The systolic hypertension in Europe (Syst-Eur) trial investigators. Lancet.</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 xml:space="preserve"> </w:t>
      </w:r>
      <w:r w:rsidRPr="007C5A89">
        <w:rPr>
          <w:rStyle w:val="ac"/>
          <w:rFonts w:eastAsiaTheme="majorEastAsia"/>
          <w:i/>
          <w:iCs/>
          <w:sz w:val="24"/>
          <w:szCs w:val="24"/>
          <w:lang w:val="en-US"/>
        </w:rPr>
        <w:t>1997;350 (9080):757–764 .</w:t>
      </w:r>
    </w:p>
    <w:p w14:paraId="242F44DE"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 xml:space="preserve">«Wang JG, Staessen JA, Gong L, et al. Chinese trial on isolated systolic hypertension in the elderly. Systolic hypertension in China (Syst-China) collaborative group. Arch Intern </w:t>
      </w:r>
      <w:r w:rsidRPr="007C5A89">
        <w:rPr>
          <w:rStyle w:val="ac"/>
          <w:rFonts w:eastAsiaTheme="majorEastAsia"/>
          <w:sz w:val="24"/>
          <w:szCs w:val="24"/>
          <w:lang w:val="en-US"/>
        </w:rPr>
        <w:lastRenderedPageBreak/>
        <w:t>Med. 2000 Jan 24;160(2):211–220.».</w:t>
      </w:r>
    </w:p>
    <w:p w14:paraId="4471CE4B"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 xml:space="preserve">Kario K. et al. Efficacy and Safety of LCZ696, a First-in-Class Angiotensin Receptor Neprilysin Inhibitor, in Asian Patients </w:t>
      </w:r>
      <w:proofErr w:type="gramStart"/>
      <w:r w:rsidRPr="007C5A89">
        <w:rPr>
          <w:rStyle w:val="ac"/>
          <w:rFonts w:eastAsiaTheme="majorEastAsia"/>
          <w:sz w:val="24"/>
          <w:szCs w:val="24"/>
          <w:lang w:val="en-US"/>
        </w:rPr>
        <w:t>With</w:t>
      </w:r>
      <w:proofErr w:type="gramEnd"/>
      <w:r w:rsidRPr="007C5A89">
        <w:rPr>
          <w:rStyle w:val="ac"/>
          <w:rFonts w:eastAsiaTheme="majorEastAsia"/>
          <w:sz w:val="24"/>
          <w:szCs w:val="24"/>
          <w:lang w:val="en-US"/>
        </w:rPr>
        <w:t xml:space="preserve"> Hypertension/ Hypertension. 2014</w:t>
      </w:r>
      <w:proofErr w:type="gramStart"/>
      <w:r w:rsidRPr="007C5A89">
        <w:rPr>
          <w:rStyle w:val="ac"/>
          <w:rFonts w:eastAsiaTheme="majorEastAsia"/>
          <w:sz w:val="24"/>
          <w:szCs w:val="24"/>
          <w:lang w:val="en-US"/>
        </w:rPr>
        <w:t>;63:698</w:t>
      </w:r>
      <w:proofErr w:type="gramEnd"/>
      <w:r w:rsidRPr="007C5A89">
        <w:rPr>
          <w:rStyle w:val="ac"/>
          <w:rFonts w:eastAsiaTheme="majorEastAsia"/>
          <w:sz w:val="24"/>
          <w:szCs w:val="24"/>
          <w:lang w:val="en-US"/>
        </w:rPr>
        <w:t>- 705.</w:t>
      </w:r>
    </w:p>
    <w:p w14:paraId="5D03DE53"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«Perry HM Jr, Davis BR, Price TR, et al. Effect of treating isolated systolic hypertension on the risk of developing various types and subtypes of stroke: the Systolic Hypertension in the Elderly Program (SHEP). JAMA 2000; 284:465–471.».</w:t>
      </w:r>
    </w:p>
    <w:p w14:paraId="7874F023"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«Ogihara T, Saruta T, Rakugi H, et al. </w:t>
      </w:r>
      <w:r w:rsidRPr="007C5A89">
        <w:rPr>
          <w:rStyle w:val="ac"/>
          <w:rFonts w:eastAsiaTheme="majorEastAsia"/>
          <w:sz w:val="24"/>
          <w:szCs w:val="24"/>
          <w:lang w:val="en-US"/>
        </w:rPr>
        <w:t>Target blood pressure for treatment of isolated systolic hypertension in the elderly: valsartan in elderly isolated systolic hypertension study. Hypertension 2010; 56:196–202.».</w:t>
      </w:r>
    </w:p>
    <w:p w14:paraId="392D74B0"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«Sobieraj P, Lewandowski J, Sin ski M, Gaciong Z. Low on-treatment diastolic blood pressure and cardiovascular outcome: a posthoc analysis using NHLBI SPRINT Research Materials. Sci Rep </w:t>
      </w:r>
      <w:r w:rsidRPr="007C5A89">
        <w:rPr>
          <w:rStyle w:val="ac"/>
          <w:rFonts w:eastAsiaTheme="majorEastAsia"/>
          <w:sz w:val="24"/>
          <w:szCs w:val="24"/>
        </w:rPr>
        <w:t>2019; 9:13070.».</w:t>
      </w:r>
    </w:p>
    <w:p w14:paraId="1FE25516"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«Franklin SS, Chow VH, Mori AD, Wong ND. The significance of low DBP in US adults with isolated systolic hypertension. J Hypertens </w:t>
      </w:r>
      <w:r w:rsidRPr="007C5A89">
        <w:rPr>
          <w:rStyle w:val="ac"/>
          <w:rFonts w:eastAsiaTheme="majorEastAsia"/>
          <w:sz w:val="24"/>
          <w:szCs w:val="24"/>
        </w:rPr>
        <w:t>2011; 29:1101–1108.».</w:t>
      </w:r>
    </w:p>
    <w:p w14:paraId="48E6FBF7"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O’Rourke MF, Adji A. Guidelines on guidelines: focus on isolated systolic hypertension in youth. J Hypertens </w:t>
      </w:r>
      <w:r w:rsidRPr="007C5A89">
        <w:rPr>
          <w:rStyle w:val="ac"/>
          <w:rFonts w:eastAsiaTheme="majorEastAsia"/>
          <w:sz w:val="24"/>
          <w:szCs w:val="24"/>
        </w:rPr>
        <w:t>2013</w:t>
      </w:r>
      <w:proofErr w:type="gramStart"/>
      <w:r w:rsidRPr="007C5A89">
        <w:rPr>
          <w:rStyle w:val="ac"/>
          <w:rFonts w:eastAsiaTheme="majorEastAsia"/>
          <w:sz w:val="24"/>
          <w:szCs w:val="24"/>
        </w:rPr>
        <w:t>;31:649</w:t>
      </w:r>
      <w:proofErr w:type="gramEnd"/>
      <w:r w:rsidRPr="007C5A89">
        <w:rPr>
          <w:rStyle w:val="ac"/>
          <w:rFonts w:eastAsiaTheme="majorEastAsia"/>
          <w:sz w:val="24"/>
          <w:szCs w:val="24"/>
        </w:rPr>
        <w:t>–654..</w:t>
      </w:r>
    </w:p>
    <w:p w14:paraId="605D1DCD"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Yano Y, Stamler J, Garside DB, et al. </w:t>
      </w:r>
      <w:r w:rsidRPr="007C5A89">
        <w:rPr>
          <w:rStyle w:val="ac"/>
          <w:rFonts w:eastAsiaTheme="majorEastAsia"/>
          <w:sz w:val="24"/>
          <w:szCs w:val="24"/>
          <w:lang w:val="en-US"/>
        </w:rPr>
        <w:t>Isolated systolic hypertension in young and middle</w:t>
      </w:r>
      <w:r w:rsidRPr="007C5A89">
        <w:rPr>
          <w:rStyle w:val="ac"/>
          <w:rFonts w:eastAsiaTheme="majorEastAsia"/>
          <w:sz w:val="24"/>
          <w:szCs w:val="24"/>
          <w:lang w:val="en-US"/>
        </w:rPr>
        <w:softHyphen/>
        <w:t>aged adults and 31-year risk for cardiovascular mortality: the Chicago Heart Association Detection Project in Industry study. JAmCollCardiol 2015</w:t>
      </w:r>
      <w:proofErr w:type="gramStart"/>
      <w:r w:rsidRPr="007C5A89">
        <w:rPr>
          <w:rStyle w:val="ac"/>
          <w:rFonts w:eastAsiaTheme="majorEastAsia"/>
          <w:sz w:val="24"/>
          <w:szCs w:val="24"/>
          <w:lang w:val="en-US"/>
        </w:rPr>
        <w:t>;65:327</w:t>
      </w:r>
      <w:proofErr w:type="gramEnd"/>
      <w:r w:rsidRPr="007C5A89">
        <w:rPr>
          <w:rStyle w:val="ac"/>
          <w:rFonts w:eastAsiaTheme="majorEastAsia"/>
          <w:sz w:val="24"/>
          <w:szCs w:val="24"/>
          <w:lang w:val="en-US"/>
        </w:rPr>
        <w:t>–335..</w:t>
      </w:r>
    </w:p>
    <w:p w14:paraId="6F4D30F7"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«Yu S, Zhang Y. The association between isolated systolic or diastolic hypertension and cardiovascular risk. J Hypertens </w:t>
      </w:r>
      <w:r w:rsidRPr="007C5A89">
        <w:rPr>
          <w:rStyle w:val="ac"/>
          <w:rFonts w:eastAsiaTheme="majorEastAsia"/>
          <w:sz w:val="24"/>
          <w:szCs w:val="24"/>
        </w:rPr>
        <w:t>2021; 39:1552–1554.».</w:t>
      </w:r>
    </w:p>
    <w:p w14:paraId="7F5C585B"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«Romero CA, Tabares AH, Orias M. Is isolated diastolic hypertension an important phenotype? Curr Cardiol Rep </w:t>
      </w:r>
      <w:r w:rsidRPr="007C5A89">
        <w:rPr>
          <w:rStyle w:val="ac"/>
          <w:rFonts w:eastAsiaTheme="majorEastAsia"/>
          <w:sz w:val="24"/>
          <w:szCs w:val="24"/>
        </w:rPr>
        <w:t>2021; 23:177.».</w:t>
      </w:r>
    </w:p>
    <w:p w14:paraId="14B6992A"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F03632">
        <w:rPr>
          <w:rStyle w:val="ac"/>
          <w:rFonts w:eastAsiaTheme="majorEastAsia"/>
          <w:sz w:val="24"/>
          <w:szCs w:val="24"/>
          <w:lang w:val="fr-FR"/>
        </w:rPr>
        <w:t xml:space="preserve">«Xie K, Gao X, Bao L, et al. </w:t>
      </w:r>
      <w:r w:rsidRPr="007C5A89">
        <w:rPr>
          <w:rStyle w:val="ac"/>
          <w:rFonts w:eastAsiaTheme="majorEastAsia"/>
          <w:sz w:val="24"/>
          <w:szCs w:val="24"/>
          <w:lang w:val="en-US"/>
        </w:rPr>
        <w:t xml:space="preserve">The different risk factors for isolated diastolic hypertension and isolated systolic hypertension: a national survey. BMC Public Health </w:t>
      </w:r>
      <w:r w:rsidRPr="007C5A89">
        <w:rPr>
          <w:rStyle w:val="ac"/>
          <w:rFonts w:eastAsiaTheme="majorEastAsia"/>
          <w:sz w:val="24"/>
          <w:szCs w:val="24"/>
        </w:rPr>
        <w:t>2021; 21:1672».</w:t>
      </w:r>
    </w:p>
    <w:p w14:paraId="3C1EAEB5"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«China PEACE Collaborative Group §, China PEACE Collaborative Group. Prevalence, awareness, and treatment of isolated diastolic hypertension: insights from the China PEACE Million Persons Project. J Am Heart Assoc </w:t>
      </w:r>
      <w:r w:rsidRPr="007C5A89">
        <w:rPr>
          <w:rStyle w:val="ac"/>
          <w:rFonts w:eastAsiaTheme="majorEastAsia"/>
          <w:sz w:val="24"/>
          <w:szCs w:val="24"/>
        </w:rPr>
        <w:t xml:space="preserve">2019; </w:t>
      </w:r>
      <w:r w:rsidRPr="007C5A89">
        <w:rPr>
          <w:rStyle w:val="ac"/>
          <w:rFonts w:eastAsiaTheme="majorEastAsia"/>
          <w:sz w:val="24"/>
          <w:szCs w:val="24"/>
          <w:lang w:val="en-US"/>
        </w:rPr>
        <w:t>8:e012954</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w:t>
      </w:r>
    </w:p>
    <w:p w14:paraId="0021366A"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F03632">
        <w:rPr>
          <w:rStyle w:val="ac"/>
          <w:rFonts w:eastAsiaTheme="majorEastAsia"/>
          <w:sz w:val="24"/>
          <w:szCs w:val="24"/>
          <w:lang w:val="fr-FR"/>
        </w:rPr>
        <w:t xml:space="preserve">«Jacobsen AP, Al Rifai M, Arps K, et al. </w:t>
      </w:r>
      <w:r w:rsidRPr="007C5A89">
        <w:rPr>
          <w:rStyle w:val="ac"/>
          <w:rFonts w:eastAsiaTheme="majorEastAsia"/>
          <w:sz w:val="24"/>
          <w:szCs w:val="24"/>
          <w:lang w:val="en-US"/>
        </w:rPr>
        <w:t xml:space="preserve">A cohort study and meta-analysis of isolated diastolic hypertension: searching for a threshold to guide treatment. Eur Heart J </w:t>
      </w:r>
      <w:r w:rsidRPr="007C5A89">
        <w:rPr>
          <w:rStyle w:val="ac"/>
          <w:rFonts w:eastAsiaTheme="majorEastAsia"/>
          <w:sz w:val="24"/>
          <w:szCs w:val="24"/>
        </w:rPr>
        <w:t>2021; 42:2119–2129.».</w:t>
      </w:r>
    </w:p>
    <w:p w14:paraId="15314020"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«Li FR, He Y, Yang HL, et al. </w:t>
      </w:r>
      <w:r w:rsidRPr="007C5A89">
        <w:rPr>
          <w:rStyle w:val="ac"/>
          <w:rFonts w:eastAsiaTheme="majorEastAsia"/>
          <w:sz w:val="24"/>
          <w:szCs w:val="24"/>
          <w:lang w:val="en-US"/>
        </w:rPr>
        <w:t>Isolated systolic and diastolic hypertension by the 2017 American College of Cardiology/American Heart Association guidelines and risk of cardiovascular disease: a large prospective cohort study. J Hypertens 2021; 39:1594– 1601».</w:t>
      </w:r>
    </w:p>
    <w:p w14:paraId="1D75C746"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F03632">
        <w:rPr>
          <w:rStyle w:val="ac"/>
          <w:rFonts w:eastAsiaTheme="majorEastAsia"/>
          <w:sz w:val="24"/>
          <w:szCs w:val="24"/>
          <w:lang w:val="fr-FR"/>
        </w:rPr>
        <w:t xml:space="preserve">«Jacobsen AP, Al Rifai M, Arps K, et al. </w:t>
      </w:r>
      <w:r w:rsidRPr="007C5A89">
        <w:rPr>
          <w:rStyle w:val="ac"/>
          <w:rFonts w:eastAsiaTheme="majorEastAsia"/>
          <w:sz w:val="24"/>
          <w:szCs w:val="24"/>
          <w:lang w:val="en-US"/>
        </w:rPr>
        <w:t xml:space="preserve">A cohort study and meta-analysis of isolated diastolic hypertension: searching for a threshold to guide treatment. Eur Heart J </w:t>
      </w:r>
      <w:r w:rsidRPr="007C5A89">
        <w:rPr>
          <w:rStyle w:val="ac"/>
          <w:rFonts w:eastAsiaTheme="majorEastAsia"/>
          <w:sz w:val="24"/>
          <w:szCs w:val="24"/>
        </w:rPr>
        <w:t>2021; 42:2119–2129.».</w:t>
      </w:r>
    </w:p>
    <w:p w14:paraId="4A6A7A63"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«Huang M, Long L, Tan L, et al. </w:t>
      </w:r>
      <w:r w:rsidRPr="007C5A89">
        <w:rPr>
          <w:rStyle w:val="ac"/>
          <w:rFonts w:eastAsiaTheme="majorEastAsia"/>
          <w:sz w:val="24"/>
          <w:szCs w:val="24"/>
          <w:lang w:val="en-US"/>
        </w:rPr>
        <w:t>Isolated diastolic hypertension and risk of cardiovascular events: a systematic review and meta-analysis of cohort studies with 489,814 participants. Front Cardiovasc Med 2021; 8:810105.».</w:t>
      </w:r>
    </w:p>
    <w:p w14:paraId="71E60F97"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«McEvoy JW, Yang WY, Thijs L, , et al., International Database on Ambulatory Blood Pressure in Relation to Cardiovascular Outcomes (IDACO) Investigators. Isolated diastolic hypertension in the IDACO study: an age-stratified analysis using 24-hourambulatory</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 xml:space="preserve"> </w:t>
      </w:r>
      <w:r w:rsidRPr="007C5A89">
        <w:rPr>
          <w:rStyle w:val="ac"/>
          <w:rFonts w:eastAsiaTheme="majorEastAsia"/>
          <w:i/>
          <w:iCs/>
          <w:sz w:val="24"/>
          <w:szCs w:val="24"/>
          <w:lang w:val="en-US"/>
        </w:rPr>
        <w:lastRenderedPageBreak/>
        <w:t xml:space="preserve">blood pressure measurements. Hypertension </w:t>
      </w:r>
      <w:r w:rsidRPr="007C5A89">
        <w:rPr>
          <w:rStyle w:val="ac"/>
          <w:rFonts w:eastAsiaTheme="majorEastAsia"/>
          <w:i/>
          <w:iCs/>
          <w:sz w:val="24"/>
          <w:szCs w:val="24"/>
        </w:rPr>
        <w:t>2021; 78:1222–1231.</w:t>
      </w:r>
    </w:p>
    <w:p w14:paraId="21F0F5B7"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Ogihara T, Saruta T, Rakugi H, et al.; COLM Investigators. </w:t>
      </w:r>
      <w:r w:rsidRPr="007C5A89">
        <w:rPr>
          <w:rStyle w:val="ac"/>
          <w:rFonts w:eastAsiaTheme="majorEastAsia"/>
          <w:sz w:val="24"/>
          <w:szCs w:val="24"/>
          <w:lang w:val="en-US"/>
        </w:rPr>
        <w:t xml:space="preserve">Combination therapy of hypertension in the elderly: a subgroup analysis of the Combination of OLMesartan and a calcium channel blocker or diuretic in Japanese elderly hypertensive patients </w:t>
      </w:r>
      <w:proofErr w:type="gramStart"/>
      <w:r w:rsidRPr="007C5A89">
        <w:rPr>
          <w:rStyle w:val="ac"/>
          <w:rFonts w:eastAsiaTheme="majorEastAsia"/>
          <w:sz w:val="24"/>
          <w:szCs w:val="24"/>
          <w:lang w:val="en-US"/>
        </w:rPr>
        <w:t>trial.,</w:t>
      </w:r>
      <w:proofErr w:type="gramEnd"/>
      <w:r w:rsidRPr="007C5A89">
        <w:rPr>
          <w:rStyle w:val="ac"/>
          <w:rFonts w:eastAsiaTheme="majorEastAsia"/>
          <w:sz w:val="24"/>
          <w:szCs w:val="24"/>
          <w:lang w:val="en-US"/>
        </w:rPr>
        <w:t xml:space="preserve"> Hypertens Res 2015;38:89-96..</w:t>
      </w:r>
    </w:p>
    <w:p w14:paraId="340F29A6"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Thomopoulos C, Parati G, Zanchetti A. Effects of blood pressure-lowering treatment on cardiovascular outcomes and mortality: 14 - effects of different classes of antihypertensive drugs in older and younger patients: overview and meta-analysis., J Hypertens. </w:t>
      </w:r>
      <w:r w:rsidRPr="007C5A89">
        <w:rPr>
          <w:rStyle w:val="ac"/>
          <w:rFonts w:eastAsiaTheme="majorEastAsia"/>
          <w:sz w:val="24"/>
          <w:szCs w:val="24"/>
        </w:rPr>
        <w:t xml:space="preserve">2018 </w:t>
      </w:r>
      <w:r w:rsidRPr="007C5A89">
        <w:rPr>
          <w:rStyle w:val="ac"/>
          <w:rFonts w:eastAsiaTheme="majorEastAsia"/>
          <w:sz w:val="24"/>
          <w:szCs w:val="24"/>
          <w:lang w:val="en-US"/>
        </w:rPr>
        <w:t>Aug;36(8):1637-1647. doi: 10.1097/HJH.0000000000001777.</w:t>
      </w:r>
    </w:p>
    <w:p w14:paraId="44BD99AD"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Corrao G, Mazzola P, Monzio Compagnoni M, et al. </w:t>
      </w:r>
      <w:r w:rsidRPr="007C5A89">
        <w:rPr>
          <w:rStyle w:val="ac"/>
          <w:rFonts w:eastAsiaTheme="majorEastAsia"/>
          <w:sz w:val="24"/>
          <w:szCs w:val="24"/>
          <w:lang w:val="en-US"/>
        </w:rPr>
        <w:t>Antihypertensive medications, loop diuretics, and risk of hip fracturein the elderly: a population-based cohort study of 81,617 Italian patients newly treated between 2005 and 2009. Drugs Aging 2015</w:t>
      </w:r>
      <w:proofErr w:type="gramStart"/>
      <w:r w:rsidRPr="007C5A89">
        <w:rPr>
          <w:rStyle w:val="ac"/>
          <w:rFonts w:eastAsiaTheme="majorEastAsia"/>
          <w:sz w:val="24"/>
          <w:szCs w:val="24"/>
          <w:lang w:val="en-US"/>
        </w:rPr>
        <w:t>;32:927</w:t>
      </w:r>
      <w:proofErr w:type="gramEnd"/>
      <w:r w:rsidRPr="007C5A89">
        <w:rPr>
          <w:rStyle w:val="ac"/>
          <w:rFonts w:eastAsiaTheme="majorEastAsia"/>
          <w:sz w:val="24"/>
          <w:szCs w:val="24"/>
          <w:lang w:val="en-US"/>
        </w:rPr>
        <w:t>–.</w:t>
      </w:r>
    </w:p>
    <w:p w14:paraId="38BD498E"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Kjeldsen SE, Stenehjem A, Os I, et al. Treatment of high blood pressure in elderlyand octogenarians: European Society of Hypertension statement on blood pressure targets. Blood Press 2016</w:t>
      </w:r>
      <w:proofErr w:type="gramStart"/>
      <w:r w:rsidRPr="007C5A89">
        <w:rPr>
          <w:rStyle w:val="ac"/>
          <w:rFonts w:eastAsiaTheme="majorEastAsia"/>
          <w:sz w:val="24"/>
          <w:szCs w:val="24"/>
          <w:lang w:val="en-US"/>
        </w:rPr>
        <w:t>;25:333</w:t>
      </w:r>
      <w:proofErr w:type="gramEnd"/>
      <w:r w:rsidRPr="007C5A89">
        <w:rPr>
          <w:rStyle w:val="ac"/>
          <w:rFonts w:eastAsiaTheme="majorEastAsia"/>
          <w:sz w:val="24"/>
          <w:szCs w:val="24"/>
          <w:lang w:val="en-US"/>
        </w:rPr>
        <w:t>–336..</w:t>
      </w:r>
    </w:p>
    <w:p w14:paraId="50BB9FE8"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«Aparicio LS, Thijs L, Boggia J, et al. Defining thresholds for home blood pressure monitoring in octogenarians.Hypertension (Dallas, Tex: 1979) 2015; 66:865–873.».</w:t>
      </w:r>
    </w:p>
    <w:p w14:paraId="48F26085"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Zhang W et al. Trial of Intensive Blood-Pressure Control in Older Patients with Hypertension. N Engl J Med 2021; 385:1268-1279. DOI: 10.1056/NEJMoa2111437.</w:t>
      </w:r>
    </w:p>
    <w:p w14:paraId="156DB4F9"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«Ashworth DC, Maule SP, Stewart F, et al. Setting and techniques for monitoring blood pressure during pregnancy. Cochrane Database Syst Rev. 2020;8(8):CD012739».</w:t>
      </w:r>
    </w:p>
    <w:p w14:paraId="2CC46217"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«Johnson S, Gordijn S, Damhuis S, et al; ISSHP. Diagnosis and Monitoring of White Coat Hypertension in Pregnancy: an ISSHP Consensus Delphi Procedure. Hypertension. </w:t>
      </w:r>
      <w:r w:rsidRPr="007C5A89">
        <w:rPr>
          <w:rStyle w:val="ac"/>
          <w:rFonts w:eastAsiaTheme="majorEastAsia"/>
          <w:sz w:val="24"/>
          <w:szCs w:val="24"/>
        </w:rPr>
        <w:t>2022;79(5):993-1005».</w:t>
      </w:r>
    </w:p>
    <w:p w14:paraId="04F3D796"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«Hypertension in pregnancy. Report of the American College of Obstetricians and Gynecologists’ Task Force on Hypertension in Pregnancy. Obstet Gynecol. </w:t>
      </w:r>
      <w:r w:rsidRPr="007C5A89">
        <w:rPr>
          <w:rStyle w:val="ac"/>
          <w:rFonts w:eastAsiaTheme="majorEastAsia"/>
          <w:sz w:val="24"/>
          <w:szCs w:val="24"/>
        </w:rPr>
        <w:t xml:space="preserve">2013 </w:t>
      </w:r>
      <w:r w:rsidRPr="007C5A89">
        <w:rPr>
          <w:rStyle w:val="ac"/>
          <w:rFonts w:eastAsiaTheme="majorEastAsia"/>
          <w:sz w:val="24"/>
          <w:szCs w:val="24"/>
          <w:lang w:val="en-US"/>
        </w:rPr>
        <w:t>Nov;122(5):1122-1131. doi: 10.1097/01.AOG.0000437382.03963.88.».</w:t>
      </w:r>
    </w:p>
    <w:p w14:paraId="19A2570F"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rPr>
        <w:t>А</w:t>
      </w:r>
      <w:r w:rsidRPr="007C5A89">
        <w:rPr>
          <w:rStyle w:val="ac"/>
          <w:rFonts w:eastAsiaTheme="majorEastAsia"/>
          <w:sz w:val="24"/>
          <w:szCs w:val="24"/>
          <w:lang w:val="en-US"/>
        </w:rPr>
        <w:t>. Tita, et al. Treatment for Mild Chronic Hypertension during Pregnancy. N Engl J Med 2022; 386:1781-1792. DOI: 10.1056/NEJMoa2201295.</w:t>
      </w:r>
    </w:p>
    <w:p w14:paraId="03F28B75"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«Magee LA, Singer J, von Dadelszen P, Group CS. Less-tight versus tight control of hypertension in pregnancy. N Engl J Med 2015; 372:2367–2368.».</w:t>
      </w:r>
    </w:p>
    <w:p w14:paraId="0ADCB30A"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Easterling T. et al. Oral antihypertensive regimens (nifedipine retard, labetalol, and methyldopa) for management of severe hypertension in pregnancy: an open-label, randomised controlled trial //The Lancet. – 2019. – </w:t>
      </w:r>
      <w:r w:rsidRPr="007C5A89">
        <w:rPr>
          <w:rStyle w:val="ac"/>
          <w:rFonts w:eastAsiaTheme="majorEastAsia"/>
          <w:sz w:val="24"/>
          <w:szCs w:val="24"/>
        </w:rPr>
        <w:t>Т</w:t>
      </w:r>
      <w:r w:rsidRPr="007C5A89">
        <w:rPr>
          <w:rStyle w:val="ac"/>
          <w:rFonts w:eastAsiaTheme="majorEastAsia"/>
          <w:sz w:val="24"/>
          <w:szCs w:val="24"/>
          <w:lang w:val="en-US"/>
        </w:rPr>
        <w:t xml:space="preserve">. 394. – №. </w:t>
      </w:r>
      <w:r w:rsidRPr="007C5A89">
        <w:rPr>
          <w:rStyle w:val="ac"/>
          <w:rFonts w:eastAsiaTheme="majorEastAsia"/>
          <w:sz w:val="24"/>
          <w:szCs w:val="24"/>
        </w:rPr>
        <w:t>10203. – С. 1011-1021..</w:t>
      </w:r>
    </w:p>
    <w:p w14:paraId="4FCD4E90"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Weitz C. et al. Treatment of hypertension in pregnancy with methyldopa: a randomized double blind study //International Journal of Gynecology &amp; Obstetrics. – 1987. – </w:t>
      </w:r>
      <w:r w:rsidRPr="007C5A89">
        <w:rPr>
          <w:rStyle w:val="ac"/>
          <w:rFonts w:eastAsiaTheme="majorEastAsia"/>
          <w:sz w:val="24"/>
          <w:szCs w:val="24"/>
        </w:rPr>
        <w:t>Т</w:t>
      </w:r>
      <w:r w:rsidRPr="007C5A89">
        <w:rPr>
          <w:rStyle w:val="ac"/>
          <w:rFonts w:eastAsiaTheme="majorEastAsia"/>
          <w:sz w:val="24"/>
          <w:szCs w:val="24"/>
          <w:lang w:val="en-US"/>
        </w:rPr>
        <w:t xml:space="preserve">. 25. – №. </w:t>
      </w:r>
      <w:r w:rsidRPr="007C5A89">
        <w:rPr>
          <w:rStyle w:val="ac"/>
          <w:rFonts w:eastAsiaTheme="majorEastAsia"/>
          <w:sz w:val="24"/>
          <w:szCs w:val="24"/>
        </w:rPr>
        <w:t>1. – С. 35-40..</w:t>
      </w:r>
    </w:p>
    <w:p w14:paraId="124BD28A"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rPr>
        <w:t xml:space="preserve">«Преэклампсия. Эклампсия. Отеки, протеинурия и гипертензивные расстройства во время беременности, в родах и послеродовом </w:t>
      </w:r>
      <w:proofErr w:type="gramStart"/>
      <w:r w:rsidRPr="007C5A89">
        <w:rPr>
          <w:rStyle w:val="ac"/>
          <w:rFonts w:eastAsiaTheme="majorEastAsia"/>
          <w:sz w:val="24"/>
          <w:szCs w:val="24"/>
        </w:rPr>
        <w:t>периоде :</w:t>
      </w:r>
      <w:proofErr w:type="gramEnd"/>
      <w:r w:rsidRPr="007C5A89">
        <w:rPr>
          <w:rStyle w:val="ac"/>
          <w:rFonts w:eastAsiaTheme="majorEastAsia"/>
          <w:sz w:val="24"/>
          <w:szCs w:val="24"/>
        </w:rPr>
        <w:t xml:space="preserve"> Клинические рекомендации / З. С. Ходжаева, Р. Г. Шмаков, Г. М. Савельева [и др.]. –,» </w:t>
      </w:r>
      <w:r w:rsidRPr="007C5A89">
        <w:rPr>
          <w:rStyle w:val="ac"/>
          <w:rFonts w:eastAsiaTheme="majorEastAsia"/>
          <w:i/>
          <w:iCs/>
          <w:sz w:val="24"/>
          <w:szCs w:val="24"/>
        </w:rPr>
        <w:t xml:space="preserve">– </w:t>
      </w:r>
      <w:proofErr w:type="gramStart"/>
      <w:r w:rsidRPr="007C5A89">
        <w:rPr>
          <w:rStyle w:val="ac"/>
          <w:rFonts w:eastAsiaTheme="majorEastAsia"/>
          <w:i/>
          <w:iCs/>
          <w:sz w:val="24"/>
          <w:szCs w:val="24"/>
        </w:rPr>
        <w:t>Москва :</w:t>
      </w:r>
      <w:proofErr w:type="gramEnd"/>
      <w:r w:rsidRPr="007C5A89">
        <w:rPr>
          <w:rStyle w:val="ac"/>
          <w:rFonts w:eastAsiaTheme="majorEastAsia"/>
          <w:i/>
          <w:iCs/>
          <w:sz w:val="24"/>
          <w:szCs w:val="24"/>
        </w:rPr>
        <w:t xml:space="preserve"> Министерство здравоохранения Российской Федерации, 2021. – 79 с..</w:t>
      </w:r>
    </w:p>
    <w:p w14:paraId="01D8C503"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«Garovic VD, Dechend R, Easterling T, et al; Hypertension in Pregnancy: Diagnosis, Blood Pressure Goals, and Pharmacotherapy: A Scientific Statement </w:t>
      </w:r>
      <w:proofErr w:type="gramStart"/>
      <w:r w:rsidRPr="007C5A89">
        <w:rPr>
          <w:rStyle w:val="ac"/>
          <w:rFonts w:eastAsiaTheme="majorEastAsia"/>
          <w:sz w:val="24"/>
          <w:szCs w:val="24"/>
          <w:lang w:val="en-US"/>
        </w:rPr>
        <w:t>From</w:t>
      </w:r>
      <w:proofErr w:type="gramEnd"/>
      <w:r w:rsidRPr="007C5A89">
        <w:rPr>
          <w:rStyle w:val="ac"/>
          <w:rFonts w:eastAsiaTheme="majorEastAsia"/>
          <w:sz w:val="24"/>
          <w:szCs w:val="24"/>
          <w:lang w:val="en-US"/>
        </w:rPr>
        <w:t xml:space="preserve"> the American Heart Association. Hypertension. 2022</w:t>
      </w:r>
      <w:proofErr w:type="gramStart"/>
      <w:r w:rsidRPr="007C5A89">
        <w:rPr>
          <w:rStyle w:val="ac"/>
          <w:rFonts w:eastAsiaTheme="majorEastAsia"/>
          <w:sz w:val="24"/>
          <w:szCs w:val="24"/>
          <w:lang w:val="en-US"/>
        </w:rPr>
        <w:t>;79</w:t>
      </w:r>
      <w:proofErr w:type="gramEnd"/>
      <w:r w:rsidRPr="007C5A89">
        <w:rPr>
          <w:rStyle w:val="ac"/>
          <w:rFonts w:eastAsiaTheme="majorEastAsia"/>
          <w:sz w:val="24"/>
          <w:szCs w:val="24"/>
          <w:lang w:val="en-US"/>
        </w:rPr>
        <w:t>(2):e21-e41. doi: 10.1161/HYP.0000000000000208».</w:t>
      </w:r>
    </w:p>
    <w:p w14:paraId="740AC580" w14:textId="77777777" w:rsidR="00CB781F" w:rsidRPr="00BA6915" w:rsidRDefault="00CB781F" w:rsidP="00424F51">
      <w:pPr>
        <w:pStyle w:val="11"/>
        <w:numPr>
          <w:ilvl w:val="0"/>
          <w:numId w:val="42"/>
        </w:numPr>
        <w:tabs>
          <w:tab w:val="left" w:pos="709"/>
          <w:tab w:val="left" w:pos="1280"/>
          <w:tab w:val="left" w:pos="4905"/>
        </w:tabs>
        <w:spacing w:line="276" w:lineRule="auto"/>
        <w:ind w:left="709" w:hanging="709"/>
        <w:jc w:val="both"/>
        <w:rPr>
          <w:sz w:val="24"/>
          <w:szCs w:val="24"/>
        </w:rPr>
      </w:pPr>
      <w:r w:rsidRPr="007C5A89">
        <w:rPr>
          <w:rStyle w:val="ac"/>
          <w:rFonts w:eastAsiaTheme="majorEastAsia"/>
          <w:sz w:val="24"/>
          <w:szCs w:val="24"/>
        </w:rPr>
        <w:lastRenderedPageBreak/>
        <w:t>«КОМИТЕТ ЭКСПЕРТОВ РОССИЙСКОГО КАРДИОЛОГИЧЕСКОГО ОБЩЕСТВА (РКО). СЕКЦИЯ</w:t>
      </w:r>
      <w:r w:rsidRPr="007C5A89">
        <w:rPr>
          <w:rStyle w:val="ac"/>
          <w:rFonts w:eastAsiaTheme="majorEastAsia"/>
          <w:sz w:val="24"/>
          <w:szCs w:val="24"/>
        </w:rPr>
        <w:tab/>
        <w:t>ЗАБОЛЕВАНИЯ СЕРДЕЧНО-СОСУДИСТОЙ</w:t>
      </w:r>
      <w:r w:rsidR="00BA6915">
        <w:rPr>
          <w:sz w:val="24"/>
          <w:szCs w:val="24"/>
        </w:rPr>
        <w:t xml:space="preserve"> </w:t>
      </w:r>
      <w:r w:rsidRPr="00BA6915">
        <w:rPr>
          <w:rStyle w:val="ac"/>
          <w:rFonts w:eastAsiaTheme="majorEastAsia"/>
          <w:sz w:val="24"/>
          <w:szCs w:val="24"/>
        </w:rPr>
        <w:t xml:space="preserve">ЛЕЧЕНИЮ СЕРДЕЧНО-СОСУДИСТЫХ ЗАБОЛЕВАНИЙ ПРИ БЕРЕМЕННОСТИ 2018 НОВАЯ РЕДАКЦИЯ: ИЮЛЬ 2018 ГОДА,» </w:t>
      </w:r>
      <w:r w:rsidRPr="00BA6915">
        <w:rPr>
          <w:rStyle w:val="ac"/>
          <w:rFonts w:eastAsiaTheme="majorEastAsia"/>
          <w:i/>
          <w:iCs/>
          <w:sz w:val="24"/>
          <w:szCs w:val="24"/>
        </w:rPr>
        <w:t xml:space="preserve">(ТЕКСТ ДОСТУПЕН В ЭЛЕКТРОННОЙ ВЕРСИИ). Российский кардиологический журнал. 2018;(7):156- 200. </w:t>
      </w:r>
      <w:hyperlink r:id="rId22" w:history="1">
        <w:r w:rsidRPr="00BA6915">
          <w:rPr>
            <w:rStyle w:val="ac"/>
            <w:rFonts w:eastAsiaTheme="majorEastAsia"/>
            <w:i/>
            <w:iCs/>
            <w:sz w:val="24"/>
            <w:szCs w:val="24"/>
            <w:lang w:val="en-US"/>
          </w:rPr>
          <w:t>https</w:t>
        </w:r>
        <w:r w:rsidRPr="00BA6915">
          <w:rPr>
            <w:rStyle w:val="ac"/>
            <w:rFonts w:eastAsiaTheme="majorEastAsia"/>
            <w:i/>
            <w:iCs/>
            <w:sz w:val="24"/>
            <w:szCs w:val="24"/>
          </w:rPr>
          <w:t>://</w:t>
        </w:r>
        <w:r w:rsidRPr="00BA6915">
          <w:rPr>
            <w:rStyle w:val="ac"/>
            <w:rFonts w:eastAsiaTheme="majorEastAsia"/>
            <w:i/>
            <w:iCs/>
            <w:sz w:val="24"/>
            <w:szCs w:val="24"/>
            <w:lang w:val="en-US"/>
          </w:rPr>
          <w:t>doi</w:t>
        </w:r>
        <w:r w:rsidRPr="00BA6915">
          <w:rPr>
            <w:rStyle w:val="ac"/>
            <w:rFonts w:eastAsiaTheme="majorEastAsia"/>
            <w:i/>
            <w:iCs/>
            <w:sz w:val="24"/>
            <w:szCs w:val="24"/>
          </w:rPr>
          <w:t>.</w:t>
        </w:r>
        <w:r w:rsidRPr="00BA6915">
          <w:rPr>
            <w:rStyle w:val="ac"/>
            <w:rFonts w:eastAsiaTheme="majorEastAsia"/>
            <w:i/>
            <w:iCs/>
            <w:sz w:val="24"/>
            <w:szCs w:val="24"/>
            <w:lang w:val="en-US"/>
          </w:rPr>
          <w:t>org</w:t>
        </w:r>
        <w:r w:rsidRPr="00BA6915">
          <w:rPr>
            <w:rStyle w:val="ac"/>
            <w:rFonts w:eastAsiaTheme="majorEastAsia"/>
            <w:i/>
            <w:iCs/>
            <w:sz w:val="24"/>
            <w:szCs w:val="24"/>
          </w:rPr>
          <w:t>/10.15829/1560-4071-2018-7-156-200</w:t>
        </w:r>
      </w:hyperlink>
      <w:r w:rsidRPr="00BA6915">
        <w:rPr>
          <w:rStyle w:val="ac"/>
          <w:rFonts w:eastAsiaTheme="majorEastAsia"/>
          <w:i/>
          <w:iCs/>
          <w:sz w:val="24"/>
          <w:szCs w:val="24"/>
        </w:rPr>
        <w:t>.</w:t>
      </w:r>
    </w:p>
    <w:p w14:paraId="5C47AF4B"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«Regitz-Zagrosek V, Roos-Hesselink JW, Bauersachs J, et al 2018 ESC Guidelines for the management of cardiovascular diseases during pregnancy. Kardiol Pol. </w:t>
      </w:r>
      <w:r w:rsidRPr="007C5A89">
        <w:rPr>
          <w:rStyle w:val="ac"/>
          <w:rFonts w:eastAsiaTheme="majorEastAsia"/>
          <w:sz w:val="24"/>
          <w:szCs w:val="24"/>
        </w:rPr>
        <w:t xml:space="preserve">2019;77(3):245- 326. </w:t>
      </w:r>
      <w:r w:rsidRPr="007C5A89">
        <w:rPr>
          <w:rStyle w:val="ac"/>
          <w:rFonts w:eastAsiaTheme="majorEastAsia"/>
          <w:sz w:val="24"/>
          <w:szCs w:val="24"/>
          <w:lang w:val="en-US"/>
        </w:rPr>
        <w:t>doi: 10.5603/KP.2019.0049.».</w:t>
      </w:r>
    </w:p>
    <w:p w14:paraId="451CC176"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«Cífková R. Hypertension in Pregnancy: A Diagnostic and Therapeutic Overview. High Blood Press Cardiovasc Prev. </w:t>
      </w:r>
      <w:r w:rsidRPr="007C5A89">
        <w:rPr>
          <w:rStyle w:val="ac"/>
          <w:rFonts w:eastAsiaTheme="majorEastAsia"/>
          <w:sz w:val="24"/>
          <w:szCs w:val="24"/>
        </w:rPr>
        <w:t>2023;30(4):289-303».</w:t>
      </w:r>
    </w:p>
    <w:p w14:paraId="7B36B750"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Rolnik DL, Wright D, Poon LC et al. Aspirin versus placebo in pregnancies at high risk for preterm preeclampsia. N Engl J Med 2017</w:t>
      </w:r>
      <w:proofErr w:type="gramStart"/>
      <w:r w:rsidRPr="007C5A89">
        <w:rPr>
          <w:rStyle w:val="ac"/>
          <w:rFonts w:eastAsiaTheme="majorEastAsia"/>
          <w:sz w:val="24"/>
          <w:szCs w:val="24"/>
          <w:lang w:val="en-US"/>
        </w:rPr>
        <w:t>;377:613</w:t>
      </w:r>
      <w:proofErr w:type="gramEnd"/>
      <w:r w:rsidRPr="007C5A89">
        <w:rPr>
          <w:rStyle w:val="ac"/>
          <w:rFonts w:eastAsiaTheme="majorEastAsia"/>
          <w:sz w:val="24"/>
          <w:szCs w:val="24"/>
          <w:lang w:val="en-US"/>
        </w:rPr>
        <w:t>–622..</w:t>
      </w:r>
    </w:p>
    <w:p w14:paraId="7D236408"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F03632">
        <w:rPr>
          <w:rStyle w:val="ac"/>
          <w:rFonts w:eastAsiaTheme="majorEastAsia"/>
          <w:sz w:val="24"/>
          <w:szCs w:val="24"/>
          <w:lang w:val="fr-FR"/>
        </w:rPr>
        <w:t xml:space="preserve">Roberge S., Nicolaides K., Demers S. et al. </w:t>
      </w:r>
      <w:r w:rsidRPr="007C5A89">
        <w:rPr>
          <w:rStyle w:val="ac"/>
          <w:rFonts w:eastAsiaTheme="majorEastAsia"/>
          <w:sz w:val="24"/>
          <w:szCs w:val="24"/>
          <w:lang w:val="en-US"/>
        </w:rPr>
        <w:t xml:space="preserve">The role of aspirin dose on the prevention of preeclampsia and fetal growth restriction: systematic review and meta-analysis. Am J Obstet Gynecol. </w:t>
      </w:r>
      <w:r w:rsidRPr="007C5A89">
        <w:rPr>
          <w:rStyle w:val="ac"/>
          <w:rFonts w:eastAsiaTheme="majorEastAsia"/>
          <w:sz w:val="24"/>
          <w:szCs w:val="24"/>
        </w:rPr>
        <w:t>2017</w:t>
      </w:r>
      <w:proofErr w:type="gramStart"/>
      <w:r w:rsidRPr="007C5A89">
        <w:rPr>
          <w:rStyle w:val="ac"/>
          <w:rFonts w:eastAsiaTheme="majorEastAsia"/>
          <w:sz w:val="24"/>
          <w:szCs w:val="24"/>
        </w:rPr>
        <w:t>;216</w:t>
      </w:r>
      <w:proofErr w:type="gramEnd"/>
      <w:r w:rsidRPr="007C5A89">
        <w:rPr>
          <w:rStyle w:val="ac"/>
          <w:rFonts w:eastAsiaTheme="majorEastAsia"/>
          <w:sz w:val="24"/>
          <w:szCs w:val="24"/>
        </w:rPr>
        <w:t xml:space="preserve">(2):110–20.e6. </w:t>
      </w:r>
      <w:r w:rsidRPr="007C5A89">
        <w:rPr>
          <w:rStyle w:val="ac"/>
          <w:rFonts w:eastAsiaTheme="majorEastAsia"/>
          <w:sz w:val="24"/>
          <w:szCs w:val="24"/>
          <w:lang w:val="en-US"/>
        </w:rPr>
        <w:t>DOI: 10.1016/j.ajog.2016.09.076</w:t>
      </w:r>
      <w:proofErr w:type="gramStart"/>
      <w:r w:rsidRPr="007C5A89">
        <w:rPr>
          <w:rStyle w:val="ac"/>
          <w:rFonts w:eastAsiaTheme="majorEastAsia"/>
          <w:sz w:val="24"/>
          <w:szCs w:val="24"/>
        </w:rPr>
        <w:t>..</w:t>
      </w:r>
      <w:proofErr w:type="gramEnd"/>
    </w:p>
    <w:p w14:paraId="51C17D5E"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«Duley L, Meher S, Hunter KE, Seidler AL, Askie LM. Antiplatelet agents for preventing pre-eclampsia and its complications. Cochrane Database Syst Rev. </w:t>
      </w:r>
      <w:r w:rsidRPr="007C5A89">
        <w:rPr>
          <w:rStyle w:val="ac"/>
          <w:rFonts w:eastAsiaTheme="majorEastAsia"/>
          <w:sz w:val="24"/>
          <w:szCs w:val="24"/>
        </w:rPr>
        <w:t xml:space="preserve">2019 </w:t>
      </w:r>
      <w:r w:rsidRPr="007C5A89">
        <w:rPr>
          <w:rStyle w:val="ac"/>
          <w:rFonts w:eastAsiaTheme="majorEastAsia"/>
          <w:sz w:val="24"/>
          <w:szCs w:val="24"/>
          <w:lang w:val="en-US"/>
        </w:rPr>
        <w:t>Oct 30;2019(10):CD004659. doi: 10.1002/14651858.CD004659.pub3».</w:t>
      </w:r>
    </w:p>
    <w:p w14:paraId="06F35FBC"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Abalos E, Duley L, Steyn DW, Gialdini C. Antihypertensive drug therapy for mild to moderate hypertension during pregnancy. Cochrane Database of Systematic Reviews 2018, Issue 10. Art. No.: CD002252. DOI: 10.1002/14651858.CD002252.pub4</w:t>
      </w:r>
      <w:proofErr w:type="gramStart"/>
      <w:r w:rsidRPr="007C5A89">
        <w:rPr>
          <w:rStyle w:val="ac"/>
          <w:rFonts w:eastAsiaTheme="majorEastAsia"/>
          <w:sz w:val="24"/>
          <w:szCs w:val="24"/>
          <w:lang w:val="en-US"/>
        </w:rPr>
        <w:t>..</w:t>
      </w:r>
      <w:proofErr w:type="gramEnd"/>
    </w:p>
    <w:p w14:paraId="41AC67F1"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«Dan G Halpern et al., “Use of Medication for Cardiovascular Disease During Pregnancy: JACC State-of-the-Art Review,” J Am Coll Cardiol. </w:t>
      </w:r>
      <w:r w:rsidRPr="007C5A89">
        <w:rPr>
          <w:rStyle w:val="ac"/>
          <w:rFonts w:eastAsiaTheme="majorEastAsia"/>
          <w:sz w:val="24"/>
          <w:szCs w:val="24"/>
        </w:rPr>
        <w:t xml:space="preserve">2019 </w:t>
      </w:r>
      <w:r w:rsidRPr="007C5A89">
        <w:rPr>
          <w:rStyle w:val="ac"/>
          <w:rFonts w:eastAsiaTheme="majorEastAsia"/>
          <w:sz w:val="24"/>
          <w:szCs w:val="24"/>
          <w:lang w:val="en-US"/>
        </w:rPr>
        <w:t xml:space="preserve">Feb </w:t>
      </w:r>
      <w:r w:rsidRPr="007C5A89">
        <w:rPr>
          <w:rStyle w:val="ac"/>
          <w:rFonts w:eastAsiaTheme="majorEastAsia"/>
          <w:sz w:val="24"/>
          <w:szCs w:val="24"/>
        </w:rPr>
        <w:t>5;73(4):457-476».</w:t>
      </w:r>
    </w:p>
    <w:p w14:paraId="0E1C6EAE"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F03632">
        <w:rPr>
          <w:rStyle w:val="ac"/>
          <w:rFonts w:eastAsiaTheme="majorEastAsia"/>
          <w:sz w:val="24"/>
          <w:szCs w:val="24"/>
          <w:lang w:val="fr-FR"/>
        </w:rPr>
        <w:t xml:space="preserve">«Magee LA, Brown MA, Hall DR, et al. </w:t>
      </w:r>
      <w:r w:rsidRPr="007C5A89">
        <w:rPr>
          <w:rStyle w:val="ac"/>
          <w:rFonts w:eastAsiaTheme="majorEastAsia"/>
          <w:sz w:val="24"/>
          <w:szCs w:val="24"/>
          <w:lang w:val="en-US"/>
        </w:rPr>
        <w:t xml:space="preserve">The 2021 International Society for the Study of Hypertension in Pregnancy classification, diagnosis &amp; management recommendations for international practice. Pregnancy Hypertens. </w:t>
      </w:r>
      <w:proofErr w:type="gramStart"/>
      <w:r w:rsidRPr="007C5A89">
        <w:rPr>
          <w:rStyle w:val="ac"/>
          <w:rFonts w:eastAsiaTheme="majorEastAsia"/>
          <w:sz w:val="24"/>
          <w:szCs w:val="24"/>
        </w:rPr>
        <w:t>2022;27:148</w:t>
      </w:r>
      <w:proofErr w:type="gramEnd"/>
      <w:r w:rsidRPr="007C5A89">
        <w:rPr>
          <w:rStyle w:val="ac"/>
          <w:rFonts w:eastAsiaTheme="majorEastAsia"/>
          <w:sz w:val="24"/>
          <w:szCs w:val="24"/>
        </w:rPr>
        <w:t xml:space="preserve">-169. </w:t>
      </w:r>
      <w:r w:rsidRPr="007C5A89">
        <w:rPr>
          <w:rStyle w:val="ac"/>
          <w:rFonts w:eastAsiaTheme="majorEastAsia"/>
          <w:sz w:val="24"/>
          <w:szCs w:val="24"/>
          <w:lang w:val="en-US"/>
        </w:rPr>
        <w:t>doi: 10.1016/j.preghy.20».</w:t>
      </w:r>
    </w:p>
    <w:p w14:paraId="73CED2CA"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rPr>
        <w:t>«</w:t>
      </w:r>
      <w:r w:rsidRPr="007C5A89">
        <w:rPr>
          <w:rStyle w:val="ac"/>
          <w:rFonts w:eastAsiaTheme="majorEastAsia"/>
          <w:sz w:val="24"/>
          <w:szCs w:val="24"/>
          <w:lang w:val="en-US"/>
        </w:rPr>
        <w:t>Al</w:t>
      </w:r>
      <w:r w:rsidRPr="007C5A89">
        <w:rPr>
          <w:rStyle w:val="ac"/>
          <w:rFonts w:eastAsiaTheme="majorEastAsia"/>
          <w:sz w:val="24"/>
          <w:szCs w:val="24"/>
        </w:rPr>
        <w:t xml:space="preserve"> </w:t>
      </w:r>
      <w:r w:rsidRPr="007C5A89">
        <w:rPr>
          <w:rStyle w:val="ac"/>
          <w:rFonts w:eastAsiaTheme="majorEastAsia"/>
          <w:sz w:val="24"/>
          <w:szCs w:val="24"/>
          <w:lang w:val="en-US"/>
        </w:rPr>
        <w:t>Khalaf</w:t>
      </w:r>
      <w:r w:rsidRPr="007C5A89">
        <w:rPr>
          <w:rStyle w:val="ac"/>
          <w:rFonts w:eastAsiaTheme="majorEastAsia"/>
          <w:sz w:val="24"/>
          <w:szCs w:val="24"/>
        </w:rPr>
        <w:t xml:space="preserve"> </w:t>
      </w:r>
      <w:r w:rsidRPr="007C5A89">
        <w:rPr>
          <w:rStyle w:val="ac"/>
          <w:rFonts w:eastAsiaTheme="majorEastAsia"/>
          <w:sz w:val="24"/>
          <w:szCs w:val="24"/>
          <w:lang w:val="en-US"/>
        </w:rPr>
        <w:t>SY</w:t>
      </w:r>
      <w:r w:rsidRPr="007C5A89">
        <w:rPr>
          <w:rStyle w:val="ac"/>
          <w:rFonts w:eastAsiaTheme="majorEastAsia"/>
          <w:sz w:val="24"/>
          <w:szCs w:val="24"/>
        </w:rPr>
        <w:t xml:space="preserve">, </w:t>
      </w:r>
      <w:r w:rsidRPr="007C5A89">
        <w:rPr>
          <w:rStyle w:val="ac"/>
          <w:rFonts w:eastAsiaTheme="majorEastAsia"/>
          <w:sz w:val="24"/>
          <w:szCs w:val="24"/>
          <w:lang w:val="en-US"/>
        </w:rPr>
        <w:t>O</w:t>
      </w:r>
      <w:r w:rsidRPr="007C5A89">
        <w:rPr>
          <w:rStyle w:val="ac"/>
          <w:rFonts w:eastAsiaTheme="majorEastAsia"/>
          <w:sz w:val="24"/>
          <w:szCs w:val="24"/>
        </w:rPr>
        <w:t>'</w:t>
      </w:r>
      <w:r w:rsidRPr="007C5A89">
        <w:rPr>
          <w:rStyle w:val="ac"/>
          <w:rFonts w:eastAsiaTheme="majorEastAsia"/>
          <w:sz w:val="24"/>
          <w:szCs w:val="24"/>
          <w:lang w:val="en-US"/>
        </w:rPr>
        <w:t>Reilly</w:t>
      </w:r>
      <w:r w:rsidRPr="007C5A89">
        <w:rPr>
          <w:rStyle w:val="ac"/>
          <w:rFonts w:eastAsiaTheme="majorEastAsia"/>
          <w:sz w:val="24"/>
          <w:szCs w:val="24"/>
        </w:rPr>
        <w:t xml:space="preserve"> ÉJ, </w:t>
      </w:r>
      <w:r w:rsidRPr="007C5A89">
        <w:rPr>
          <w:rStyle w:val="ac"/>
          <w:rFonts w:eastAsiaTheme="majorEastAsia"/>
          <w:sz w:val="24"/>
          <w:szCs w:val="24"/>
          <w:lang w:val="en-US"/>
        </w:rPr>
        <w:t>Barrett</w:t>
      </w:r>
      <w:r w:rsidRPr="007C5A89">
        <w:rPr>
          <w:rStyle w:val="ac"/>
          <w:rFonts w:eastAsiaTheme="majorEastAsia"/>
          <w:sz w:val="24"/>
          <w:szCs w:val="24"/>
        </w:rPr>
        <w:t xml:space="preserve"> </w:t>
      </w:r>
      <w:r w:rsidRPr="007C5A89">
        <w:rPr>
          <w:rStyle w:val="ac"/>
          <w:rFonts w:eastAsiaTheme="majorEastAsia"/>
          <w:sz w:val="24"/>
          <w:szCs w:val="24"/>
          <w:lang w:val="en-US"/>
        </w:rPr>
        <w:t>PM</w:t>
      </w:r>
      <w:r w:rsidRPr="007C5A89">
        <w:rPr>
          <w:rStyle w:val="ac"/>
          <w:rFonts w:eastAsiaTheme="majorEastAsia"/>
          <w:sz w:val="24"/>
          <w:szCs w:val="24"/>
        </w:rPr>
        <w:t xml:space="preserve">, </w:t>
      </w:r>
      <w:r w:rsidRPr="007C5A89">
        <w:rPr>
          <w:rStyle w:val="ac"/>
          <w:rFonts w:eastAsiaTheme="majorEastAsia"/>
          <w:sz w:val="24"/>
          <w:szCs w:val="24"/>
          <w:lang w:val="en-US"/>
        </w:rPr>
        <w:t>B</w:t>
      </w:r>
      <w:r w:rsidRPr="007C5A89">
        <w:rPr>
          <w:rStyle w:val="ac"/>
          <w:rFonts w:eastAsiaTheme="majorEastAsia"/>
          <w:sz w:val="24"/>
          <w:szCs w:val="24"/>
        </w:rPr>
        <w:t xml:space="preserve"> </w:t>
      </w:r>
      <w:r w:rsidRPr="007C5A89">
        <w:rPr>
          <w:rStyle w:val="ac"/>
          <w:rFonts w:eastAsiaTheme="majorEastAsia"/>
          <w:sz w:val="24"/>
          <w:szCs w:val="24"/>
          <w:lang w:val="en-US"/>
        </w:rPr>
        <w:t>Leite</w:t>
      </w:r>
      <w:r w:rsidRPr="007C5A89">
        <w:rPr>
          <w:rStyle w:val="ac"/>
          <w:rFonts w:eastAsiaTheme="majorEastAsia"/>
          <w:sz w:val="24"/>
          <w:szCs w:val="24"/>
        </w:rPr>
        <w:t xml:space="preserve"> </w:t>
      </w:r>
      <w:r w:rsidRPr="007C5A89">
        <w:rPr>
          <w:rStyle w:val="ac"/>
          <w:rFonts w:eastAsiaTheme="majorEastAsia"/>
          <w:sz w:val="24"/>
          <w:szCs w:val="24"/>
          <w:lang w:val="en-US"/>
        </w:rPr>
        <w:t>DF</w:t>
      </w:r>
      <w:r w:rsidRPr="007C5A89">
        <w:rPr>
          <w:rStyle w:val="ac"/>
          <w:rFonts w:eastAsiaTheme="majorEastAsia"/>
          <w:sz w:val="24"/>
          <w:szCs w:val="24"/>
        </w:rPr>
        <w:t xml:space="preserve">, </w:t>
      </w:r>
      <w:r w:rsidRPr="007C5A89">
        <w:rPr>
          <w:rStyle w:val="ac"/>
          <w:rFonts w:eastAsiaTheme="majorEastAsia"/>
          <w:sz w:val="24"/>
          <w:szCs w:val="24"/>
          <w:lang w:val="en-US"/>
        </w:rPr>
        <w:t>Pawley</w:t>
      </w:r>
      <w:r w:rsidRPr="007C5A89">
        <w:rPr>
          <w:rStyle w:val="ac"/>
          <w:rFonts w:eastAsiaTheme="majorEastAsia"/>
          <w:sz w:val="24"/>
          <w:szCs w:val="24"/>
        </w:rPr>
        <w:t xml:space="preserve"> </w:t>
      </w:r>
      <w:r w:rsidRPr="007C5A89">
        <w:rPr>
          <w:rStyle w:val="ac"/>
          <w:rFonts w:eastAsiaTheme="majorEastAsia"/>
          <w:sz w:val="24"/>
          <w:szCs w:val="24"/>
          <w:lang w:val="en-US"/>
        </w:rPr>
        <w:t>LC</w:t>
      </w:r>
      <w:r w:rsidRPr="007C5A89">
        <w:rPr>
          <w:rStyle w:val="ac"/>
          <w:rFonts w:eastAsiaTheme="majorEastAsia"/>
          <w:sz w:val="24"/>
          <w:szCs w:val="24"/>
        </w:rPr>
        <w:t xml:space="preserve">, </w:t>
      </w:r>
      <w:r w:rsidRPr="007C5A89">
        <w:rPr>
          <w:rStyle w:val="ac"/>
          <w:rFonts w:eastAsiaTheme="majorEastAsia"/>
          <w:sz w:val="24"/>
          <w:szCs w:val="24"/>
          <w:lang w:val="en-US"/>
        </w:rPr>
        <w:t>McCarthy</w:t>
      </w:r>
      <w:r w:rsidRPr="007C5A89">
        <w:rPr>
          <w:rStyle w:val="ac"/>
          <w:rFonts w:eastAsiaTheme="majorEastAsia"/>
          <w:sz w:val="24"/>
          <w:szCs w:val="24"/>
        </w:rPr>
        <w:t xml:space="preserve"> </w:t>
      </w:r>
      <w:r w:rsidRPr="007C5A89">
        <w:rPr>
          <w:rStyle w:val="ac"/>
          <w:rFonts w:eastAsiaTheme="majorEastAsia"/>
          <w:sz w:val="24"/>
          <w:szCs w:val="24"/>
          <w:lang w:val="en-US"/>
        </w:rPr>
        <w:t>FP</w:t>
      </w:r>
      <w:r w:rsidRPr="007C5A89">
        <w:rPr>
          <w:rStyle w:val="ac"/>
          <w:rFonts w:eastAsiaTheme="majorEastAsia"/>
          <w:sz w:val="24"/>
          <w:szCs w:val="24"/>
        </w:rPr>
        <w:t xml:space="preserve">, </w:t>
      </w:r>
      <w:r w:rsidRPr="007C5A89">
        <w:rPr>
          <w:rStyle w:val="ac"/>
          <w:rFonts w:eastAsiaTheme="majorEastAsia"/>
          <w:sz w:val="24"/>
          <w:szCs w:val="24"/>
          <w:lang w:val="en-US"/>
        </w:rPr>
        <w:t>et</w:t>
      </w:r>
      <w:r w:rsidRPr="007C5A89">
        <w:rPr>
          <w:rStyle w:val="ac"/>
          <w:rFonts w:eastAsiaTheme="majorEastAsia"/>
          <w:sz w:val="24"/>
          <w:szCs w:val="24"/>
        </w:rPr>
        <w:t xml:space="preserve"> </w:t>
      </w:r>
      <w:r w:rsidRPr="007C5A89">
        <w:rPr>
          <w:rStyle w:val="ac"/>
          <w:rFonts w:eastAsiaTheme="majorEastAsia"/>
          <w:sz w:val="24"/>
          <w:szCs w:val="24"/>
          <w:lang w:val="en-US"/>
        </w:rPr>
        <w:t>al</w:t>
      </w:r>
      <w:r w:rsidRPr="007C5A89">
        <w:rPr>
          <w:rStyle w:val="ac"/>
          <w:rFonts w:eastAsiaTheme="majorEastAsia"/>
          <w:sz w:val="24"/>
          <w:szCs w:val="24"/>
        </w:rPr>
        <w:t xml:space="preserve">. </w:t>
      </w:r>
      <w:r w:rsidRPr="007C5A89">
        <w:rPr>
          <w:rStyle w:val="ac"/>
          <w:rFonts w:eastAsiaTheme="majorEastAsia"/>
          <w:sz w:val="24"/>
          <w:szCs w:val="24"/>
          <w:lang w:val="en-US"/>
        </w:rPr>
        <w:t>Impact of chronic hypertension and antihypertensive treatment on adverse perinatal outcomes: systematic review and meta-analysis. J Am Heart Assoc. 2021</w:t>
      </w:r>
      <w:proofErr w:type="gramStart"/>
      <w:r w:rsidRPr="007C5A89">
        <w:rPr>
          <w:rStyle w:val="ac"/>
          <w:rFonts w:eastAsiaTheme="majorEastAsia"/>
          <w:sz w:val="24"/>
          <w:szCs w:val="24"/>
          <w:lang w:val="en-US"/>
        </w:rPr>
        <w:t>;10</w:t>
      </w:r>
      <w:proofErr w:type="gramEnd"/>
      <w:r w:rsidRPr="007C5A89">
        <w:rPr>
          <w:rStyle w:val="ac"/>
          <w:rFonts w:eastAsiaTheme="majorEastAsia"/>
          <w:sz w:val="24"/>
          <w:szCs w:val="24"/>
          <w:lang w:val="en-US"/>
        </w:rPr>
        <w:t xml:space="preserve">(9):e018494.,» </w:t>
      </w:r>
      <w:hyperlink r:id="rId23" w:history="1">
        <w:r w:rsidRPr="007C5A89">
          <w:rPr>
            <w:rStyle w:val="ac"/>
            <w:rFonts w:eastAsiaTheme="majorEastAsia"/>
            <w:i/>
            <w:iCs/>
            <w:sz w:val="24"/>
            <w:szCs w:val="24"/>
            <w:lang w:val="en-US"/>
          </w:rPr>
          <w:t>https://doi.org/10.1161/JAHA.120.018494</w:t>
        </w:r>
      </w:hyperlink>
      <w:r w:rsidRPr="007C5A89">
        <w:rPr>
          <w:rStyle w:val="ac"/>
          <w:rFonts w:eastAsiaTheme="majorEastAsia"/>
          <w:i/>
          <w:iCs/>
          <w:sz w:val="24"/>
          <w:szCs w:val="24"/>
        </w:rPr>
        <w:t>..</w:t>
      </w:r>
    </w:p>
    <w:p w14:paraId="60797775" w14:textId="77777777" w:rsidR="00CB781F" w:rsidRPr="00BA6915" w:rsidRDefault="00CB781F" w:rsidP="00424F51">
      <w:pPr>
        <w:pStyle w:val="11"/>
        <w:numPr>
          <w:ilvl w:val="0"/>
          <w:numId w:val="42"/>
        </w:numPr>
        <w:tabs>
          <w:tab w:val="left" w:pos="709"/>
          <w:tab w:val="left" w:pos="1280"/>
          <w:tab w:val="left" w:pos="2258"/>
          <w:tab w:val="left" w:pos="4054"/>
          <w:tab w:val="left" w:pos="5441"/>
          <w:tab w:val="left" w:pos="6209"/>
          <w:tab w:val="left" w:pos="7932"/>
        </w:tabs>
        <w:spacing w:line="276" w:lineRule="auto"/>
        <w:ind w:left="709" w:hanging="709"/>
        <w:jc w:val="both"/>
        <w:rPr>
          <w:sz w:val="24"/>
          <w:szCs w:val="24"/>
          <w:lang w:val="en-US"/>
        </w:rPr>
      </w:pPr>
      <w:r w:rsidRPr="007C5A89">
        <w:rPr>
          <w:rStyle w:val="ac"/>
          <w:rFonts w:eastAsiaTheme="majorEastAsia"/>
          <w:sz w:val="24"/>
          <w:szCs w:val="24"/>
          <w:lang w:val="en-US"/>
        </w:rPr>
        <w:t>Kayser A, Beck E, Hoeltzenbein M, et al. Neonatal effects of intrauterine metoprolol/bisoprolol exposure during the second and third trimester: a cohort study with two</w:t>
      </w:r>
      <w:r w:rsidRPr="007C5A89">
        <w:rPr>
          <w:rStyle w:val="ac"/>
          <w:rFonts w:eastAsiaTheme="majorEastAsia"/>
          <w:sz w:val="24"/>
          <w:szCs w:val="24"/>
          <w:lang w:val="en-US"/>
        </w:rPr>
        <w:tab/>
        <w:t>comparison</w:t>
      </w:r>
      <w:r w:rsidRPr="007C5A89">
        <w:rPr>
          <w:rStyle w:val="ac"/>
          <w:rFonts w:eastAsiaTheme="majorEastAsia"/>
          <w:sz w:val="24"/>
          <w:szCs w:val="24"/>
          <w:lang w:val="en-US"/>
        </w:rPr>
        <w:tab/>
        <w:t>groups.</w:t>
      </w:r>
      <w:r w:rsidRPr="007C5A89">
        <w:rPr>
          <w:rStyle w:val="ac"/>
          <w:rFonts w:eastAsiaTheme="majorEastAsia"/>
          <w:sz w:val="24"/>
          <w:szCs w:val="24"/>
          <w:lang w:val="en-US"/>
        </w:rPr>
        <w:tab/>
        <w:t>J</w:t>
      </w:r>
      <w:r w:rsidRPr="007C5A89">
        <w:rPr>
          <w:rStyle w:val="ac"/>
          <w:rFonts w:eastAsiaTheme="majorEastAsia"/>
          <w:sz w:val="24"/>
          <w:szCs w:val="24"/>
          <w:lang w:val="en-US"/>
        </w:rPr>
        <w:tab/>
        <w:t>Hypertens.</w:t>
      </w:r>
      <w:r w:rsidR="00BA6915" w:rsidRPr="00D45012">
        <w:rPr>
          <w:rStyle w:val="ac"/>
          <w:rFonts w:eastAsiaTheme="majorEastAsia"/>
          <w:sz w:val="24"/>
          <w:szCs w:val="24"/>
          <w:lang w:val="en-US"/>
        </w:rPr>
        <w:t xml:space="preserve"> </w:t>
      </w:r>
      <w:r w:rsidRPr="007C5A89">
        <w:rPr>
          <w:rStyle w:val="ac"/>
          <w:rFonts w:eastAsiaTheme="majorEastAsia"/>
          <w:sz w:val="24"/>
          <w:szCs w:val="24"/>
          <w:lang w:val="en-US"/>
        </w:rPr>
        <w:t>2020;38(2):354–61.,</w:t>
      </w:r>
      <w:hyperlink r:id="rId24" w:history="1">
        <w:r w:rsidR="00BA6915" w:rsidRPr="003D3BC6">
          <w:rPr>
            <w:rStyle w:val="afd"/>
            <w:rFonts w:eastAsiaTheme="majorEastAsia"/>
            <w:sz w:val="24"/>
            <w:szCs w:val="24"/>
            <w:lang w:val="en-US"/>
          </w:rPr>
          <w:t>https://doi.org/10.1097/HJH.0000000000002256</w:t>
        </w:r>
      </w:hyperlink>
      <w:r w:rsidRPr="00BA6915">
        <w:rPr>
          <w:rStyle w:val="ac"/>
          <w:rFonts w:eastAsiaTheme="majorEastAsia"/>
          <w:sz w:val="24"/>
          <w:szCs w:val="24"/>
          <w:lang w:val="en-US"/>
        </w:rPr>
        <w:t>.</w:t>
      </w:r>
    </w:p>
    <w:p w14:paraId="2EE8A8E2"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Katsi, V., Papakonstantinou, I.P., Papazachou, O. et al. </w:t>
      </w:r>
      <w:r w:rsidRPr="007C5A89">
        <w:rPr>
          <w:rStyle w:val="ac"/>
          <w:rFonts w:eastAsiaTheme="majorEastAsia"/>
          <w:sz w:val="24"/>
          <w:szCs w:val="24"/>
          <w:lang w:val="en-US"/>
        </w:rPr>
        <w:t xml:space="preserve">Beta-Blockers in Pregnancy: Clinical Update. Curr Hypertens Rep 25, 13–24 (2023). </w:t>
      </w:r>
      <w:hyperlink r:id="rId25" w:history="1">
        <w:r w:rsidRPr="007C5A89">
          <w:rPr>
            <w:rStyle w:val="ac"/>
            <w:rFonts w:eastAsiaTheme="majorEastAsia"/>
            <w:sz w:val="24"/>
            <w:szCs w:val="24"/>
            <w:lang w:val="en-US"/>
          </w:rPr>
          <w:t>https://doi.org/10.1007/s11906- 023-01234-8</w:t>
        </w:r>
      </w:hyperlink>
      <w:r w:rsidRPr="007C5A89">
        <w:rPr>
          <w:rStyle w:val="ac"/>
          <w:rFonts w:eastAsiaTheme="majorEastAsia"/>
          <w:sz w:val="24"/>
          <w:szCs w:val="24"/>
          <w:lang w:val="en-US"/>
        </w:rPr>
        <w:t>.</w:t>
      </w:r>
    </w:p>
    <w:p w14:paraId="2EA3B6BA"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«Tuimala R, Punnonen R, Kauppila E. Clonidine in the treatment of hypertension during pregnancy. Ann Chir Gynaecol Suppl. </w:t>
      </w:r>
      <w:r w:rsidRPr="007C5A89">
        <w:rPr>
          <w:rStyle w:val="ac"/>
          <w:rFonts w:eastAsiaTheme="majorEastAsia"/>
          <w:sz w:val="24"/>
          <w:szCs w:val="24"/>
        </w:rPr>
        <w:t>1985</w:t>
      </w:r>
      <w:proofErr w:type="gramStart"/>
      <w:r w:rsidRPr="007C5A89">
        <w:rPr>
          <w:rStyle w:val="ac"/>
          <w:rFonts w:eastAsiaTheme="majorEastAsia"/>
          <w:sz w:val="24"/>
          <w:szCs w:val="24"/>
        </w:rPr>
        <w:t>;197:47</w:t>
      </w:r>
      <w:proofErr w:type="gramEnd"/>
      <w:r w:rsidRPr="007C5A89">
        <w:rPr>
          <w:rStyle w:val="ac"/>
          <w:rFonts w:eastAsiaTheme="majorEastAsia"/>
          <w:sz w:val="24"/>
          <w:szCs w:val="24"/>
        </w:rPr>
        <w:t>-50”;».</w:t>
      </w:r>
    </w:p>
    <w:p w14:paraId="59A5C221"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«Halpern DG, Weinberg CR, Pinnelas R, et al. Use of Medication for Cardiovascular Disease During Pregnancy: JACC State-of-the-Art Review. J Am Coll Cardiol. 2019;73(4):457-476. doi: 10.1016/j.jacc.2018.10.075».</w:t>
      </w:r>
    </w:p>
    <w:p w14:paraId="47154D8B"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Williams B et al. 2018 Practice guidelines for the management of arterial hypertension of the European Society of Cardiology and the European Society of Hypertension. Blood </w:t>
      </w:r>
      <w:r w:rsidRPr="007C5A89">
        <w:rPr>
          <w:rStyle w:val="ac"/>
          <w:rFonts w:eastAsiaTheme="majorEastAsia"/>
          <w:sz w:val="24"/>
          <w:szCs w:val="24"/>
          <w:lang w:val="en-US"/>
        </w:rPr>
        <w:lastRenderedPageBreak/>
        <w:t xml:space="preserve">pressure </w:t>
      </w:r>
      <w:r w:rsidRPr="007C5A89">
        <w:rPr>
          <w:rStyle w:val="ac"/>
          <w:rFonts w:eastAsiaTheme="majorEastAsia"/>
          <w:sz w:val="24"/>
          <w:szCs w:val="24"/>
        </w:rPr>
        <w:t>27.6 (2018): 314–340</w:t>
      </w:r>
      <w:proofErr w:type="gramStart"/>
      <w:r w:rsidRPr="007C5A89">
        <w:rPr>
          <w:rStyle w:val="ac"/>
          <w:rFonts w:eastAsiaTheme="majorEastAsia"/>
          <w:sz w:val="24"/>
          <w:szCs w:val="24"/>
        </w:rPr>
        <w:t>..</w:t>
      </w:r>
      <w:proofErr w:type="gramEnd"/>
    </w:p>
    <w:p w14:paraId="174CBA5F" w14:textId="77777777" w:rsidR="00CB781F" w:rsidRPr="00BA6915"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«Fu, Jennifer, George Tomlinson, and Denice S. Feig. "Increased risk of major congenital malformations in early pregnancy use of angiotensin‐converting‐enzyme inhibitors and</w:t>
      </w:r>
      <w:r w:rsidR="00BA6915" w:rsidRPr="00BA6915">
        <w:rPr>
          <w:sz w:val="24"/>
          <w:szCs w:val="24"/>
          <w:lang w:val="en-US"/>
        </w:rPr>
        <w:t xml:space="preserve"> </w:t>
      </w:r>
      <w:r w:rsidRPr="00BA6915">
        <w:rPr>
          <w:rStyle w:val="ac"/>
          <w:rFonts w:eastAsiaTheme="majorEastAsia"/>
          <w:sz w:val="24"/>
          <w:szCs w:val="24"/>
          <w:lang w:val="en-US"/>
        </w:rPr>
        <w:t>angiotensin‐receptor‐blockers: a meta‐analysis."</w:t>
      </w:r>
      <w:proofErr w:type="gramStart"/>
      <w:r w:rsidRPr="00BA6915">
        <w:rPr>
          <w:rStyle w:val="ac"/>
          <w:rFonts w:eastAsiaTheme="majorEastAsia"/>
          <w:sz w:val="24"/>
          <w:szCs w:val="24"/>
          <w:lang w:val="en-US"/>
        </w:rPr>
        <w:t>,»</w:t>
      </w:r>
      <w:proofErr w:type="gramEnd"/>
      <w:r w:rsidRPr="00BA6915">
        <w:rPr>
          <w:rStyle w:val="ac"/>
          <w:rFonts w:eastAsiaTheme="majorEastAsia"/>
          <w:sz w:val="24"/>
          <w:szCs w:val="24"/>
          <w:lang w:val="en-US"/>
        </w:rPr>
        <w:t xml:space="preserve"> </w:t>
      </w:r>
      <w:r w:rsidRPr="00BA6915">
        <w:rPr>
          <w:rStyle w:val="ac"/>
          <w:rFonts w:eastAsiaTheme="majorEastAsia"/>
          <w:i/>
          <w:iCs/>
          <w:sz w:val="24"/>
          <w:szCs w:val="24"/>
          <w:lang w:val="en-US"/>
        </w:rPr>
        <w:t>Diabetes/Metabolism Research and Reviews 37.8 (2021): e3453..</w:t>
      </w:r>
    </w:p>
    <w:p w14:paraId="75967F10"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«Cooper WO, Hernandez-Diaz S, Arbogast PG, Dudley JA, Dyer S, Gideon PS, Hall K, Ray WA. Major congenital malformations after first-trimester exposure to ACE inhibitors. N Engl J Med. </w:t>
      </w:r>
      <w:r w:rsidRPr="007C5A89">
        <w:rPr>
          <w:rStyle w:val="ac"/>
          <w:rFonts w:eastAsiaTheme="majorEastAsia"/>
          <w:sz w:val="24"/>
          <w:szCs w:val="24"/>
        </w:rPr>
        <w:t xml:space="preserve">2006 </w:t>
      </w:r>
      <w:r w:rsidRPr="007C5A89">
        <w:rPr>
          <w:rStyle w:val="ac"/>
          <w:rFonts w:eastAsiaTheme="majorEastAsia"/>
          <w:sz w:val="24"/>
          <w:szCs w:val="24"/>
          <w:lang w:val="en-US"/>
        </w:rPr>
        <w:t xml:space="preserve">Jun </w:t>
      </w:r>
      <w:r w:rsidRPr="007C5A89">
        <w:rPr>
          <w:rStyle w:val="ac"/>
          <w:rFonts w:eastAsiaTheme="majorEastAsia"/>
          <w:sz w:val="24"/>
          <w:szCs w:val="24"/>
        </w:rPr>
        <w:t xml:space="preserve">8;354(23):2443-51. </w:t>
      </w:r>
      <w:r w:rsidRPr="007C5A89">
        <w:rPr>
          <w:rStyle w:val="ac"/>
          <w:rFonts w:eastAsiaTheme="majorEastAsia"/>
          <w:sz w:val="24"/>
          <w:szCs w:val="24"/>
          <w:lang w:val="en-US"/>
        </w:rPr>
        <w:t>doi: 10.1056/NEJMoa055202.».</w:t>
      </w:r>
    </w:p>
    <w:p w14:paraId="29957DA1"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«Society for Maternal-Fetal Medicine; Publications Committee. Electronic address: </w:t>
      </w:r>
      <w:hyperlink r:id="rId26" w:history="1">
        <w:r w:rsidRPr="007C5A89">
          <w:rPr>
            <w:rStyle w:val="ac"/>
            <w:rFonts w:eastAsiaTheme="majorEastAsia"/>
            <w:sz w:val="24"/>
            <w:szCs w:val="24"/>
            <w:lang w:val="en-US"/>
          </w:rPr>
          <w:t>pubs@smfm.org</w:t>
        </w:r>
      </w:hyperlink>
      <w:r w:rsidRPr="007C5A89">
        <w:rPr>
          <w:rStyle w:val="ac"/>
          <w:rFonts w:eastAsiaTheme="majorEastAsia"/>
          <w:sz w:val="24"/>
          <w:szCs w:val="24"/>
          <w:lang w:val="en-US"/>
        </w:rPr>
        <w:t>. Society for Maternal-Fetal Medicine Statement: Antihypertensive therapy for mild chronic hypertension in pregnancy-The Chronic Hypertension and Pregnancy trial</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 xml:space="preserve"> </w:t>
      </w:r>
      <w:r w:rsidRPr="007C5A89">
        <w:rPr>
          <w:rStyle w:val="ac"/>
          <w:rFonts w:eastAsiaTheme="majorEastAsia"/>
          <w:i/>
          <w:iCs/>
          <w:sz w:val="24"/>
          <w:szCs w:val="24"/>
          <w:lang w:val="en-US"/>
        </w:rPr>
        <w:t>Am J Obstet Gynecol. 2022;227(2):B24-B27. doi: 10.1016/j.ajog.2022.04.011.</w:t>
      </w:r>
    </w:p>
    <w:p w14:paraId="670143DB"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 Halpern DG, Weinberg CR, Pinnelas R, et al. Use of Medication for Cardiovascular Disease During Pregnancy: JACC State-of-the-Art Review. J Am Coll Cardiol. 2019;73(4):457-476. doi: 10.1016/j.jacc.2018.10.075».</w:t>
      </w:r>
    </w:p>
    <w:p w14:paraId="36951581"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Curtis KM et al. Combined oral contraceptive use among women with hypertension: a systematic review. Contraception 73.2 (2006):179–188</w:t>
      </w:r>
      <w:proofErr w:type="gramStart"/>
      <w:r w:rsidRPr="007C5A89">
        <w:rPr>
          <w:rStyle w:val="ac"/>
          <w:rFonts w:eastAsiaTheme="majorEastAsia"/>
          <w:sz w:val="24"/>
          <w:szCs w:val="24"/>
          <w:lang w:val="en-US"/>
        </w:rPr>
        <w:t>..</w:t>
      </w:r>
      <w:proofErr w:type="gramEnd"/>
    </w:p>
    <w:p w14:paraId="1066D3C0"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Lubianca JN, Moreira LB, Gus M, Fuchs FD. Stopping oral contraceptives: an effective blood pressure-lowering intervention in women with hypertension. J Hum Hypertens </w:t>
      </w:r>
      <w:r w:rsidRPr="007C5A89">
        <w:rPr>
          <w:rStyle w:val="ac"/>
          <w:rFonts w:eastAsiaTheme="majorEastAsia"/>
          <w:sz w:val="24"/>
          <w:szCs w:val="24"/>
        </w:rPr>
        <w:t>2005</w:t>
      </w:r>
      <w:proofErr w:type="gramStart"/>
      <w:r w:rsidRPr="007C5A89">
        <w:rPr>
          <w:rStyle w:val="ac"/>
          <w:rFonts w:eastAsiaTheme="majorEastAsia"/>
          <w:sz w:val="24"/>
          <w:szCs w:val="24"/>
        </w:rPr>
        <w:t>;19:451</w:t>
      </w:r>
      <w:proofErr w:type="gramEnd"/>
      <w:r w:rsidRPr="007C5A89">
        <w:rPr>
          <w:rStyle w:val="ac"/>
          <w:rFonts w:eastAsiaTheme="majorEastAsia"/>
          <w:sz w:val="24"/>
          <w:szCs w:val="24"/>
        </w:rPr>
        <w:t>–455..</w:t>
      </w:r>
    </w:p>
    <w:p w14:paraId="53D63714"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Chasan-Taber L, Willett WC, Manson JE, et al. </w:t>
      </w:r>
      <w:r w:rsidRPr="007C5A89">
        <w:rPr>
          <w:rStyle w:val="ac"/>
          <w:rFonts w:eastAsiaTheme="majorEastAsia"/>
          <w:sz w:val="24"/>
          <w:szCs w:val="24"/>
          <w:lang w:val="en-US"/>
        </w:rPr>
        <w:t>Prospective study of oral contraceptives and hypertension among women in the United States. Circulation 1996</w:t>
      </w:r>
      <w:proofErr w:type="gramStart"/>
      <w:r w:rsidRPr="007C5A89">
        <w:rPr>
          <w:rStyle w:val="ac"/>
          <w:rFonts w:eastAsiaTheme="majorEastAsia"/>
          <w:sz w:val="24"/>
          <w:szCs w:val="24"/>
          <w:lang w:val="en-US"/>
        </w:rPr>
        <w:t>;94:483</w:t>
      </w:r>
      <w:proofErr w:type="gramEnd"/>
      <w:r w:rsidRPr="007C5A89">
        <w:rPr>
          <w:rStyle w:val="ac"/>
          <w:rFonts w:eastAsiaTheme="majorEastAsia"/>
          <w:sz w:val="24"/>
          <w:szCs w:val="24"/>
          <w:lang w:val="en-US"/>
        </w:rPr>
        <w:t>–489..</w:t>
      </w:r>
    </w:p>
    <w:p w14:paraId="5C0BDB4C"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Dong W, Colhoun HM, Poulter NR. Blood pressure in women using oral contraceptives: results from the Health Survey for England 1994. J Hypertens </w:t>
      </w:r>
      <w:r w:rsidRPr="007C5A89">
        <w:rPr>
          <w:rStyle w:val="ac"/>
          <w:rFonts w:eastAsiaTheme="majorEastAsia"/>
          <w:sz w:val="24"/>
          <w:szCs w:val="24"/>
        </w:rPr>
        <w:t>1997</w:t>
      </w:r>
      <w:proofErr w:type="gramStart"/>
      <w:r w:rsidRPr="007C5A89">
        <w:rPr>
          <w:rStyle w:val="ac"/>
          <w:rFonts w:eastAsiaTheme="majorEastAsia"/>
          <w:sz w:val="24"/>
          <w:szCs w:val="24"/>
        </w:rPr>
        <w:t>;15:1063</w:t>
      </w:r>
      <w:proofErr w:type="gramEnd"/>
      <w:r w:rsidRPr="007C5A89">
        <w:rPr>
          <w:rStyle w:val="ac"/>
          <w:rFonts w:eastAsiaTheme="majorEastAsia"/>
          <w:sz w:val="24"/>
          <w:szCs w:val="24"/>
        </w:rPr>
        <w:t>–1068..</w:t>
      </w:r>
    </w:p>
    <w:p w14:paraId="4DE8D511"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Gillum LA, Mamidipudi SK, Johnston SC. </w:t>
      </w:r>
      <w:r w:rsidRPr="007C5A89">
        <w:rPr>
          <w:rStyle w:val="ac"/>
          <w:rFonts w:eastAsiaTheme="majorEastAsia"/>
          <w:sz w:val="24"/>
          <w:szCs w:val="24"/>
          <w:lang w:val="en-US"/>
        </w:rPr>
        <w:t>Ischemic stroke risk with oral contraceptives: a meta-analysis. JAMA 2000</w:t>
      </w:r>
      <w:proofErr w:type="gramStart"/>
      <w:r w:rsidRPr="007C5A89">
        <w:rPr>
          <w:rStyle w:val="ac"/>
          <w:rFonts w:eastAsiaTheme="majorEastAsia"/>
          <w:sz w:val="24"/>
          <w:szCs w:val="24"/>
          <w:lang w:val="en-US"/>
        </w:rPr>
        <w:t>;284:72</w:t>
      </w:r>
      <w:proofErr w:type="gramEnd"/>
      <w:r w:rsidRPr="007C5A89">
        <w:rPr>
          <w:rStyle w:val="ac"/>
          <w:rFonts w:eastAsiaTheme="majorEastAsia"/>
          <w:sz w:val="24"/>
          <w:szCs w:val="24"/>
          <w:lang w:val="en-US"/>
        </w:rPr>
        <w:t>–78..</w:t>
      </w:r>
    </w:p>
    <w:p w14:paraId="7842BA93"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 xml:space="preserve">World Health Organization. Medical eligibility criteria for contraceptive use. Third edition, 2004. </w:t>
      </w:r>
      <w:hyperlink r:id="rId27" w:history="1">
        <w:r w:rsidRPr="007C5A89">
          <w:rPr>
            <w:rStyle w:val="ac"/>
            <w:rFonts w:eastAsiaTheme="majorEastAsia"/>
            <w:sz w:val="24"/>
            <w:szCs w:val="24"/>
            <w:lang w:val="en-US"/>
          </w:rPr>
          <w:t>http://apps.who.int/iris/bitstream/10665/42907/1/</w:t>
        </w:r>
      </w:hyperlink>
      <w:r w:rsidRPr="007C5A89">
        <w:rPr>
          <w:rStyle w:val="ac"/>
          <w:rFonts w:eastAsiaTheme="majorEastAsia"/>
          <w:sz w:val="24"/>
          <w:szCs w:val="24"/>
          <w:lang w:val="en-US"/>
        </w:rPr>
        <w:t xml:space="preserve"> 9241562668.pdf (date accessed June 28th 2018)</w:t>
      </w:r>
      <w:proofErr w:type="gramStart"/>
      <w:r w:rsidRPr="007C5A89">
        <w:rPr>
          <w:rStyle w:val="ac"/>
          <w:rFonts w:eastAsiaTheme="majorEastAsia"/>
          <w:sz w:val="24"/>
          <w:szCs w:val="24"/>
          <w:lang w:val="en-US"/>
        </w:rPr>
        <w:t>..</w:t>
      </w:r>
      <w:proofErr w:type="gramEnd"/>
    </w:p>
    <w:p w14:paraId="32FC8B98"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rPr>
        <w:t xml:space="preserve">«КР МЗ РФ 117 «Менопауза и климактерическое состояние у женщины» </w:t>
      </w:r>
      <w:hyperlink r:id="rId28" w:history="1">
        <w:r w:rsidRPr="007C5A89">
          <w:rPr>
            <w:rStyle w:val="ac"/>
            <w:rFonts w:eastAsiaTheme="majorEastAsia"/>
            <w:sz w:val="24"/>
            <w:szCs w:val="24"/>
            <w:lang w:val="en-US"/>
          </w:rPr>
          <w:t>https</w:t>
        </w:r>
        <w:r w:rsidRPr="007C5A89">
          <w:rPr>
            <w:rStyle w:val="ac"/>
            <w:rFonts w:eastAsiaTheme="majorEastAsia"/>
            <w:sz w:val="24"/>
            <w:szCs w:val="24"/>
          </w:rPr>
          <w:t>://</w:t>
        </w:r>
        <w:r w:rsidRPr="007C5A89">
          <w:rPr>
            <w:rStyle w:val="ac"/>
            <w:rFonts w:eastAsiaTheme="majorEastAsia"/>
            <w:sz w:val="24"/>
            <w:szCs w:val="24"/>
            <w:lang w:val="en-US"/>
          </w:rPr>
          <w:t>cr</w:t>
        </w:r>
        <w:r w:rsidRPr="007C5A89">
          <w:rPr>
            <w:rStyle w:val="ac"/>
            <w:rFonts w:eastAsiaTheme="majorEastAsia"/>
            <w:sz w:val="24"/>
            <w:szCs w:val="24"/>
          </w:rPr>
          <w:t>.</w:t>
        </w:r>
        <w:r w:rsidRPr="007C5A89">
          <w:rPr>
            <w:rStyle w:val="ac"/>
            <w:rFonts w:eastAsiaTheme="majorEastAsia"/>
            <w:sz w:val="24"/>
            <w:szCs w:val="24"/>
            <w:lang w:val="en-US"/>
          </w:rPr>
          <w:t>minzdrav</w:t>
        </w:r>
        <w:r w:rsidRPr="007C5A89">
          <w:rPr>
            <w:rStyle w:val="ac"/>
            <w:rFonts w:eastAsiaTheme="majorEastAsia"/>
            <w:sz w:val="24"/>
            <w:szCs w:val="24"/>
          </w:rPr>
          <w:t>.</w:t>
        </w:r>
        <w:r w:rsidRPr="007C5A89">
          <w:rPr>
            <w:rStyle w:val="ac"/>
            <w:rFonts w:eastAsiaTheme="majorEastAsia"/>
            <w:sz w:val="24"/>
            <w:szCs w:val="24"/>
            <w:lang w:val="en-US"/>
          </w:rPr>
          <w:t>gov</w:t>
        </w:r>
        <w:r w:rsidRPr="007C5A89">
          <w:rPr>
            <w:rStyle w:val="ac"/>
            <w:rFonts w:eastAsiaTheme="majorEastAsia"/>
            <w:sz w:val="24"/>
            <w:szCs w:val="24"/>
          </w:rPr>
          <w:t>.</w:t>
        </w:r>
        <w:r w:rsidRPr="007C5A89">
          <w:rPr>
            <w:rStyle w:val="ac"/>
            <w:rFonts w:eastAsiaTheme="majorEastAsia"/>
            <w:sz w:val="24"/>
            <w:szCs w:val="24"/>
            <w:lang w:val="en-US"/>
          </w:rPr>
          <w:t>ru</w:t>
        </w:r>
        <w:r w:rsidRPr="007C5A89">
          <w:rPr>
            <w:rStyle w:val="ac"/>
            <w:rFonts w:eastAsiaTheme="majorEastAsia"/>
            <w:sz w:val="24"/>
            <w:szCs w:val="24"/>
          </w:rPr>
          <w:t>/</w:t>
        </w:r>
        <w:r w:rsidRPr="007C5A89">
          <w:rPr>
            <w:rStyle w:val="ac"/>
            <w:rFonts w:eastAsiaTheme="majorEastAsia"/>
            <w:sz w:val="24"/>
            <w:szCs w:val="24"/>
            <w:lang w:val="en-US"/>
          </w:rPr>
          <w:t>recomend</w:t>
        </w:r>
        <w:r w:rsidRPr="007C5A89">
          <w:rPr>
            <w:rStyle w:val="ac"/>
            <w:rFonts w:eastAsiaTheme="majorEastAsia"/>
            <w:sz w:val="24"/>
            <w:szCs w:val="24"/>
          </w:rPr>
          <w:t>/117_2</w:t>
        </w:r>
      </w:hyperlink>
      <w:r w:rsidRPr="007C5A89">
        <w:rPr>
          <w:rStyle w:val="ac"/>
          <w:rFonts w:eastAsiaTheme="majorEastAsia"/>
          <w:sz w:val="24"/>
          <w:szCs w:val="24"/>
        </w:rPr>
        <w:t>, стр.24».</w:t>
      </w:r>
    </w:p>
    <w:p w14:paraId="1D84192B"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La Torre A, Giupponi G, Duffy D, et al. </w:t>
      </w:r>
      <w:r w:rsidRPr="007C5A89">
        <w:rPr>
          <w:rStyle w:val="ac"/>
          <w:rFonts w:eastAsiaTheme="majorEastAsia"/>
          <w:sz w:val="24"/>
          <w:szCs w:val="24"/>
          <w:lang w:val="en-US"/>
        </w:rPr>
        <w:t>Sexual dysfunction related to drugs: a critical review. Part IV: cardiovascular drugs.Pharmacopsychiatry 2015</w:t>
      </w:r>
      <w:proofErr w:type="gramStart"/>
      <w:r w:rsidRPr="007C5A89">
        <w:rPr>
          <w:rStyle w:val="ac"/>
          <w:rFonts w:eastAsiaTheme="majorEastAsia"/>
          <w:sz w:val="24"/>
          <w:szCs w:val="24"/>
          <w:lang w:val="en-US"/>
        </w:rPr>
        <w:t>;48:1</w:t>
      </w:r>
      <w:proofErr w:type="gramEnd"/>
      <w:r w:rsidRPr="007C5A89">
        <w:rPr>
          <w:rStyle w:val="ac"/>
          <w:rFonts w:eastAsiaTheme="majorEastAsia"/>
          <w:sz w:val="24"/>
          <w:szCs w:val="24"/>
          <w:lang w:val="en-US"/>
        </w:rPr>
        <w:t>–6..</w:t>
      </w:r>
    </w:p>
    <w:p w14:paraId="6FC63D04"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Pickering TG, Shepherd AM, Puddey I, et al. Sildenafil citrate for erectile dysfunction in men receiving multiple antihypertensive agents: a randomized controlled trial</w:t>
      </w:r>
      <w:proofErr w:type="gramStart"/>
      <w:r w:rsidRPr="007C5A89">
        <w:rPr>
          <w:rStyle w:val="ac"/>
          <w:rFonts w:eastAsiaTheme="majorEastAsia"/>
          <w:sz w:val="24"/>
          <w:szCs w:val="24"/>
          <w:lang w:val="en-US"/>
        </w:rPr>
        <w:t>..</w:t>
      </w:r>
      <w:proofErr w:type="gramEnd"/>
    </w:p>
    <w:p w14:paraId="231FBDB6"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Jain M, Townsend RR. Chemotherapy agents and hypertension: a focus on angiogenesis blockade. Curr Hypertens Rep </w:t>
      </w:r>
      <w:r w:rsidRPr="007C5A89">
        <w:rPr>
          <w:rStyle w:val="ac"/>
          <w:rFonts w:eastAsiaTheme="majorEastAsia"/>
          <w:sz w:val="24"/>
          <w:szCs w:val="24"/>
        </w:rPr>
        <w:t>2007</w:t>
      </w:r>
      <w:proofErr w:type="gramStart"/>
      <w:r w:rsidRPr="007C5A89">
        <w:rPr>
          <w:rStyle w:val="ac"/>
          <w:rFonts w:eastAsiaTheme="majorEastAsia"/>
          <w:sz w:val="24"/>
          <w:szCs w:val="24"/>
        </w:rPr>
        <w:t>;9:320</w:t>
      </w:r>
      <w:proofErr w:type="gramEnd"/>
      <w:r w:rsidRPr="007C5A89">
        <w:rPr>
          <w:rStyle w:val="ac"/>
          <w:rFonts w:eastAsiaTheme="majorEastAsia"/>
          <w:sz w:val="24"/>
          <w:szCs w:val="24"/>
        </w:rPr>
        <w:t>–328..</w:t>
      </w:r>
    </w:p>
    <w:p w14:paraId="13BDC151"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Hassen LJ, Lenihan DJ, Baliga RR. Hypertension in the Cardio-Oncology Clinic. Heart Fail Clin. </w:t>
      </w:r>
      <w:r w:rsidRPr="007C5A89">
        <w:rPr>
          <w:rStyle w:val="ac"/>
          <w:rFonts w:eastAsiaTheme="majorEastAsia"/>
          <w:sz w:val="24"/>
          <w:szCs w:val="24"/>
        </w:rPr>
        <w:t xml:space="preserve">2019 </w:t>
      </w:r>
      <w:r w:rsidRPr="007C5A89">
        <w:rPr>
          <w:rStyle w:val="ac"/>
          <w:rFonts w:eastAsiaTheme="majorEastAsia"/>
          <w:sz w:val="24"/>
          <w:szCs w:val="24"/>
          <w:lang w:val="en-US"/>
        </w:rPr>
        <w:t xml:space="preserve">Oct;15(4):487-495. doi: 10.1016/j.hfc.2019.06.010. PMID: </w:t>
      </w:r>
      <w:r w:rsidRPr="007C5A89">
        <w:rPr>
          <w:rStyle w:val="ac"/>
          <w:rFonts w:eastAsiaTheme="majorEastAsia"/>
          <w:sz w:val="24"/>
          <w:szCs w:val="24"/>
        </w:rPr>
        <w:t>31472884</w:t>
      </w:r>
      <w:proofErr w:type="gramStart"/>
      <w:r w:rsidRPr="007C5A89">
        <w:rPr>
          <w:rStyle w:val="ac"/>
          <w:rFonts w:eastAsiaTheme="majorEastAsia"/>
          <w:sz w:val="24"/>
          <w:szCs w:val="24"/>
        </w:rPr>
        <w:t>..</w:t>
      </w:r>
      <w:proofErr w:type="gramEnd"/>
    </w:p>
    <w:p w14:paraId="71ADFDDD"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w:t>
      </w:r>
      <w:proofErr w:type="gramStart"/>
      <w:r w:rsidRPr="007C5A89">
        <w:rPr>
          <w:rStyle w:val="ac"/>
          <w:rFonts w:eastAsiaTheme="majorEastAsia"/>
          <w:sz w:val="24"/>
          <w:szCs w:val="24"/>
          <w:lang w:val="en-US"/>
        </w:rPr>
        <w:t>van</w:t>
      </w:r>
      <w:proofErr w:type="gramEnd"/>
      <w:r w:rsidRPr="007C5A89">
        <w:rPr>
          <w:rStyle w:val="ac"/>
          <w:rFonts w:eastAsiaTheme="majorEastAsia"/>
          <w:sz w:val="24"/>
          <w:szCs w:val="24"/>
          <w:lang w:val="en-US"/>
        </w:rPr>
        <w:t xml:space="preserve"> Dorst DCH, Dobbin SJH, Neves KB, et al. Hypertension and prohypertensive antineoplastic therapies in cancer patients. Circ Res 2021; 128:1040–1061».</w:t>
      </w:r>
    </w:p>
    <w:p w14:paraId="3AF10564"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«Kim CS, Han KD, Choi HS, et al. Association of hypertension and blood pressure with kidney cancer risk: a nationwide population-based cohort study. Hypertension 2020; 75:1439–1446.».</w:t>
      </w:r>
    </w:p>
    <w:p w14:paraId="4B689BC7"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lastRenderedPageBreak/>
        <w:t xml:space="preserve">«Alcala K, Mariosa D, Smith-Byrne K, et al. The relationship between blood pressure and risk of renal cell carcinoma. Int J Epidemiol </w:t>
      </w:r>
      <w:r w:rsidRPr="007C5A89">
        <w:rPr>
          <w:rStyle w:val="ac"/>
          <w:rFonts w:eastAsiaTheme="majorEastAsia"/>
          <w:sz w:val="24"/>
          <w:szCs w:val="24"/>
        </w:rPr>
        <w:t>2022; 51:1317–1327.».</w:t>
      </w:r>
    </w:p>
    <w:p w14:paraId="072D01F4"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«Weikert S, Boeing H, Pischon T, et al. Blood pressure and risk of renal cell carcinoma in the European prospective investigation into cancer and nutrition. Am J Epidemiol 2008; 167:438–446».</w:t>
      </w:r>
    </w:p>
    <w:p w14:paraId="64B0AD41"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«Cohen JB, Brown NJ, Brown SA, et al. Cancer therapy-related hypertension: a scientific statement from the American Heart Association. Hypertension 2023; 80:e46–e57</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w:t>
      </w:r>
    </w:p>
    <w:p w14:paraId="68F3789E"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«Tlemsani C, Mir O, Boudou-Rouquette P, Huillard O, Maley K, Ropert S, et al. Posterior reversible encephalopathy syndrome induced by anti-VEGF agents. Target Oncol 2011; 6:253–258».</w:t>
      </w:r>
    </w:p>
    <w:p w14:paraId="5F6735B7"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«Ferrara N, Adamis AP. Ten years of antivascular endothelial growth factor therapy. Nat Rev Drug Discov 2016; 15:385–403.».</w:t>
      </w:r>
    </w:p>
    <w:p w14:paraId="1584920A"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«Versmissen J, Mirabito Colafella KM, Koolen SLW, et al. Vascular cardio-oncology: vascular endothelial growth factor inhibitors and hypertension. Cardiovasc Res 2019; 115:904–914.».</w:t>
      </w:r>
    </w:p>
    <w:p w14:paraId="19E333F8"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«Webster K, Fishburn S, Maresh M, et al. Diagnosis and management of hypertension in pregnancy: summary of updated NICE guidance. BMJ 2019; 366:l5119</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w:t>
      </w:r>
    </w:p>
    <w:p w14:paraId="3C4D7C9F" w14:textId="77777777" w:rsidR="00CB781F" w:rsidRPr="00BA6915"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 xml:space="preserve">«Garovic VD, Dechend R, Easterling T, et al., American Heart Association Council on Hypertension; Council on the Kidney in Cardiovascular Disease, Kidney in Heart Disease Science Committee; Council on Arteriosclerosis, Thrombosis and Vascular Biology;,» </w:t>
      </w:r>
      <w:r w:rsidRPr="007C5A89">
        <w:rPr>
          <w:rStyle w:val="ac"/>
          <w:rFonts w:eastAsiaTheme="majorEastAsia"/>
          <w:i/>
          <w:iCs/>
          <w:sz w:val="24"/>
          <w:szCs w:val="24"/>
          <w:lang w:val="en-US"/>
        </w:rPr>
        <w:t>Council on Lifestyle and Cardiometabolic Health; Council on Peripheral Vascular</w:t>
      </w:r>
      <w:r w:rsidR="00BA6915" w:rsidRPr="00BA6915">
        <w:rPr>
          <w:sz w:val="24"/>
          <w:szCs w:val="24"/>
          <w:lang w:val="en-US"/>
        </w:rPr>
        <w:t xml:space="preserve"> </w:t>
      </w:r>
      <w:r w:rsidRPr="00BA6915">
        <w:rPr>
          <w:rStyle w:val="ac"/>
          <w:rFonts w:eastAsiaTheme="majorEastAsia"/>
          <w:i/>
          <w:iCs/>
          <w:sz w:val="24"/>
          <w:szCs w:val="24"/>
          <w:lang w:val="en-US"/>
        </w:rPr>
        <w:t xml:space="preserve">Disease; and Stroke Council. Hypertension in pregnancy: diagnosis, blood pressure goals, and pharmacotherapy: a scientific statement from the American Heart Association. , </w:t>
      </w:r>
      <w:r w:rsidRPr="00BA6915">
        <w:rPr>
          <w:rStyle w:val="ac"/>
          <w:rFonts w:eastAsiaTheme="majorEastAsia"/>
          <w:sz w:val="24"/>
          <w:szCs w:val="24"/>
          <w:lang w:val="en-US"/>
        </w:rPr>
        <w:t>Hypertension 2022; 79:e21–e41</w:t>
      </w:r>
      <w:proofErr w:type="gramStart"/>
      <w:r w:rsidRPr="00BA6915">
        <w:rPr>
          <w:rStyle w:val="ac"/>
          <w:rFonts w:eastAsiaTheme="majorEastAsia"/>
          <w:sz w:val="24"/>
          <w:szCs w:val="24"/>
          <w:lang w:val="en-US"/>
        </w:rPr>
        <w:t>..</w:t>
      </w:r>
      <w:proofErr w:type="gramEnd"/>
    </w:p>
    <w:p w14:paraId="03B2BD34"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«Weikert S, Boeing H, Pischon T, et al. Blood pressure and risk of renal cell carcinoma in the European prospective investigation into cancer and nutrition. Am J Epidemiol 2008; 167:438–446».</w:t>
      </w:r>
    </w:p>
    <w:p w14:paraId="7B111468"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«Moslehi JJ. Cardiovascular toxic effects of targeted cancer therapies. N Engl J Med </w:t>
      </w:r>
      <w:r w:rsidRPr="007C5A89">
        <w:rPr>
          <w:rStyle w:val="ac"/>
          <w:rFonts w:eastAsiaTheme="majorEastAsia"/>
          <w:sz w:val="24"/>
          <w:szCs w:val="24"/>
        </w:rPr>
        <w:t>2016; 375:1457–1467.».</w:t>
      </w:r>
    </w:p>
    <w:p w14:paraId="5948D38A"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«Azizi M, Chedid A, Oudard S. Home blood-pressure monitoring in patients receiving sunitinib. N Engl J Med </w:t>
      </w:r>
      <w:r w:rsidRPr="007C5A89">
        <w:rPr>
          <w:rStyle w:val="ac"/>
          <w:rFonts w:eastAsiaTheme="majorEastAsia"/>
          <w:sz w:val="24"/>
          <w:szCs w:val="24"/>
        </w:rPr>
        <w:t>2008; 358:95–97.».</w:t>
      </w:r>
    </w:p>
    <w:p w14:paraId="59E8356A"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«Baek Moller N, Budolfsen C, Grimm D, et al. </w:t>
      </w:r>
      <w:r w:rsidRPr="007C5A89">
        <w:rPr>
          <w:rStyle w:val="ac"/>
          <w:rFonts w:eastAsiaTheme="majorEastAsia"/>
          <w:sz w:val="24"/>
          <w:szCs w:val="24"/>
          <w:lang w:val="en-US"/>
        </w:rPr>
        <w:t>Drug-induced hypertension caused by multikinase inhibitors (sorafenib, sunitinib, lenvatinib and axitinib) in renal cell carcinoma treatment. Int J Mol Sci 2019; 20:4712.».</w:t>
      </w:r>
    </w:p>
    <w:p w14:paraId="3C560D02"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Lyon AR, López-Fernández T, Couch LS, Asteggiano R, Aznar MC,et al. 2022 ESC Guidelines on cardio-oncology developed in collaboration with the European Hematology Association (EHA), the European Society for Therapeutic Radiology and Oncology (ESTRO) and, and the International Cardio-Oncology Society (IC-OS). Eur Heart J. </w:t>
      </w:r>
      <w:r w:rsidRPr="007C5A89">
        <w:rPr>
          <w:rStyle w:val="ac"/>
          <w:rFonts w:eastAsiaTheme="majorEastAsia"/>
          <w:sz w:val="24"/>
          <w:szCs w:val="24"/>
        </w:rPr>
        <w:t xml:space="preserve">2022 </w:t>
      </w:r>
      <w:r w:rsidRPr="007C5A89">
        <w:rPr>
          <w:rStyle w:val="ac"/>
          <w:rFonts w:eastAsiaTheme="majorEastAsia"/>
          <w:sz w:val="24"/>
          <w:szCs w:val="24"/>
          <w:lang w:val="en-US"/>
        </w:rPr>
        <w:t xml:space="preserve">Aug 26:ehac244. </w:t>
      </w:r>
      <w:proofErr w:type="gramStart"/>
      <w:r w:rsidRPr="007C5A89">
        <w:rPr>
          <w:rStyle w:val="ac"/>
          <w:rFonts w:eastAsiaTheme="majorEastAsia"/>
          <w:sz w:val="24"/>
          <w:szCs w:val="24"/>
          <w:lang w:val="en-US"/>
        </w:rPr>
        <w:t>doi</w:t>
      </w:r>
      <w:proofErr w:type="gramEnd"/>
      <w:r w:rsidRPr="007C5A89">
        <w:rPr>
          <w:rStyle w:val="ac"/>
          <w:rFonts w:eastAsiaTheme="majorEastAsia"/>
          <w:sz w:val="24"/>
          <w:szCs w:val="24"/>
          <w:lang w:val="en-US"/>
        </w:rPr>
        <w:t xml:space="preserve">: 10.1093/eurheartj/ehac244. </w:t>
      </w:r>
      <w:r w:rsidRPr="007C5A89">
        <w:rPr>
          <w:rStyle w:val="ac"/>
          <w:rFonts w:eastAsiaTheme="majorEastAsia"/>
          <w:sz w:val="24"/>
          <w:szCs w:val="24"/>
        </w:rPr>
        <w:t>.</w:t>
      </w:r>
    </w:p>
    <w:p w14:paraId="4C3DD5F9"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«Campia U, Moslehi JJ, Amiri-Kordestani L, et al. </w:t>
      </w:r>
      <w:r w:rsidRPr="007C5A89">
        <w:rPr>
          <w:rStyle w:val="ac"/>
          <w:rFonts w:eastAsiaTheme="majorEastAsia"/>
          <w:sz w:val="24"/>
          <w:szCs w:val="24"/>
          <w:lang w:val="en-US"/>
        </w:rPr>
        <w:t>Cardio-oncology: vascular and metabolic perspectives: a scientific statement from the American Heart Association. Circulation 2019; 139:e579–e602</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w:t>
      </w:r>
    </w:p>
    <w:p w14:paraId="7B469FE6"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«Eremina V, Jefferson JA, Kowalewska J, et al. VEGF inhibition and renal thrombotic microangiopathy. N Engl J Med 358:1129–1136».</w:t>
      </w:r>
    </w:p>
    <w:p w14:paraId="5F7130B7"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w:t>
      </w:r>
      <w:proofErr w:type="gramStart"/>
      <w:r w:rsidRPr="007C5A89">
        <w:rPr>
          <w:rStyle w:val="ac"/>
          <w:rFonts w:eastAsiaTheme="majorEastAsia"/>
          <w:sz w:val="24"/>
          <w:szCs w:val="24"/>
          <w:lang w:val="en-US"/>
        </w:rPr>
        <w:t>van</w:t>
      </w:r>
      <w:proofErr w:type="gramEnd"/>
      <w:r w:rsidRPr="007C5A89">
        <w:rPr>
          <w:rStyle w:val="ac"/>
          <w:rFonts w:eastAsiaTheme="majorEastAsia"/>
          <w:sz w:val="24"/>
          <w:szCs w:val="24"/>
          <w:lang w:val="en-US"/>
        </w:rPr>
        <w:t xml:space="preserve"> Dorst DCH, van Doorn L, Mirabito Colafella KM, et al. Cardiovascular toxicity of </w:t>
      </w:r>
      <w:r w:rsidRPr="007C5A89">
        <w:rPr>
          <w:rStyle w:val="ac"/>
          <w:rFonts w:eastAsiaTheme="majorEastAsia"/>
          <w:sz w:val="24"/>
          <w:szCs w:val="24"/>
          <w:lang w:val="en-US"/>
        </w:rPr>
        <w:lastRenderedPageBreak/>
        <w:t>angiogenesis inhibitors and immune checkpoint inhibitors: synergistic antitumour effects at the cost of increased cardiovascular risk? Clin Sci (Lond) 2021; 135:1649–1668».</w:t>
      </w:r>
    </w:p>
    <w:p w14:paraId="1466C78E"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«Roviello G, Sigala S, Danesi R, et al. Incidence and relative risk of adverse events of special interest in patients withcastration resistant prostate cancer treated with CYP-17 inhibitors: a meta-analysis of published trials. Crit Rev Oncol Hematol 2016;</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 xml:space="preserve"> </w:t>
      </w:r>
      <w:r w:rsidRPr="007C5A89">
        <w:rPr>
          <w:rStyle w:val="ac"/>
          <w:rFonts w:eastAsiaTheme="majorEastAsia"/>
          <w:i/>
          <w:iCs/>
          <w:sz w:val="24"/>
          <w:szCs w:val="24"/>
          <w:lang w:val="en-US"/>
        </w:rPr>
        <w:t>101:12– 20..</w:t>
      </w:r>
    </w:p>
    <w:p w14:paraId="46025BB7"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«Attard G, Reid AH, Auchus RJ, et al. Clinical and biochemical consequences of CYP17A1 inhibition with abiraterone given with and without exogenous glucocorticoids in castrate men with advanced prostate cancer. J Clin Endocrinol Metab 2012</w:t>
      </w:r>
      <w:proofErr w:type="gramStart"/>
      <w:r w:rsidRPr="007C5A89">
        <w:rPr>
          <w:rStyle w:val="ac"/>
          <w:rFonts w:eastAsiaTheme="majorEastAsia"/>
          <w:sz w:val="24"/>
          <w:szCs w:val="24"/>
          <w:lang w:val="en-US"/>
        </w:rPr>
        <w:t>;97:507</w:t>
      </w:r>
      <w:proofErr w:type="gramEnd"/>
      <w:r w:rsidRPr="007C5A89">
        <w:rPr>
          <w:rStyle w:val="ac"/>
          <w:rFonts w:eastAsiaTheme="majorEastAsia"/>
          <w:sz w:val="24"/>
          <w:szCs w:val="24"/>
          <w:lang w:val="en-US"/>
        </w:rPr>
        <w:t xml:space="preserve"> – 516».</w:t>
      </w:r>
    </w:p>
    <w:p w14:paraId="6385601B"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«Izzedine H, Cluzel P, Deray G. Renal radiation-induced arterial stenosis. Kidney Int </w:t>
      </w:r>
      <w:r w:rsidRPr="007C5A89">
        <w:rPr>
          <w:rStyle w:val="ac"/>
          <w:rFonts w:eastAsiaTheme="majorEastAsia"/>
          <w:sz w:val="24"/>
          <w:szCs w:val="24"/>
        </w:rPr>
        <w:t xml:space="preserve">2007; </w:t>
      </w:r>
      <w:r w:rsidRPr="007C5A89">
        <w:rPr>
          <w:rStyle w:val="ac"/>
          <w:rFonts w:eastAsiaTheme="majorEastAsia"/>
          <w:sz w:val="24"/>
          <w:szCs w:val="24"/>
          <w:lang w:val="en-US"/>
        </w:rPr>
        <w:t>71:1188.y».</w:t>
      </w:r>
    </w:p>
    <w:p w14:paraId="0EC4E9D7"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«Biaggioni I, Shibao CA, Diedrich A et al. Blood pressure management in afferent baroreflex failure: JACC Review Topic of the Week. J Am Coll Cardiol 2019; 74:2939– 2947.».</w:t>
      </w:r>
    </w:p>
    <w:p w14:paraId="334BA483"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«Weintraub NL, Jones WK, Manka D. Understanding radiation-induced vascular disease. J Am Coll Cardiol </w:t>
      </w:r>
      <w:r w:rsidRPr="007C5A89">
        <w:rPr>
          <w:rStyle w:val="ac"/>
          <w:rFonts w:eastAsiaTheme="majorEastAsia"/>
          <w:sz w:val="24"/>
          <w:szCs w:val="24"/>
        </w:rPr>
        <w:t>2010; 55:1237–1239».</w:t>
      </w:r>
    </w:p>
    <w:p w14:paraId="77F31366"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Maitland ML, Bakris GL, Black HR, et al. Initial assessment, surveillance, and management of blood pressure in patients receiving vascular endothelial growth factor signaling pathway inhibitors. J Natl Cancer Inst. 2010</w:t>
      </w:r>
      <w:proofErr w:type="gramStart"/>
      <w:r w:rsidRPr="007C5A89">
        <w:rPr>
          <w:rStyle w:val="ac"/>
          <w:rFonts w:eastAsiaTheme="majorEastAsia"/>
          <w:sz w:val="24"/>
          <w:szCs w:val="24"/>
          <w:lang w:val="en-US"/>
        </w:rPr>
        <w:t>;102:596</w:t>
      </w:r>
      <w:proofErr w:type="gramEnd"/>
      <w:r w:rsidRPr="007C5A89">
        <w:rPr>
          <w:rStyle w:val="ac"/>
          <w:rFonts w:eastAsiaTheme="majorEastAsia"/>
          <w:sz w:val="24"/>
          <w:szCs w:val="24"/>
          <w:lang w:val="en-US"/>
        </w:rPr>
        <w:t>–604..</w:t>
      </w:r>
    </w:p>
    <w:p w14:paraId="433C19C7"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«Herrmann J, Lenihan D, Armenian S, et al. Defining cardiovascular toxicities of cancer therapies: an International Cardio-Oncology Society (IC-OS) consensus statement. Eur Heart J 2022; 43:280–299.».</w:t>
      </w:r>
    </w:p>
    <w:p w14:paraId="73B5CC85"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Chang HM, Okwuosa TM, Scarabelli T, et al. </w:t>
      </w:r>
      <w:r w:rsidRPr="007C5A89">
        <w:rPr>
          <w:rStyle w:val="ac"/>
          <w:rFonts w:eastAsiaTheme="majorEastAsia"/>
          <w:sz w:val="24"/>
          <w:szCs w:val="24"/>
          <w:lang w:val="en-US"/>
        </w:rPr>
        <w:t>Cardiovascular complications of cancer therapy: best practices in diagnosis, prevention, and management: Part 2. J Am Coll Cardiol 2017</w:t>
      </w:r>
      <w:proofErr w:type="gramStart"/>
      <w:r w:rsidRPr="007C5A89">
        <w:rPr>
          <w:rStyle w:val="ac"/>
          <w:rFonts w:eastAsiaTheme="majorEastAsia"/>
          <w:sz w:val="24"/>
          <w:szCs w:val="24"/>
          <w:lang w:val="en-US"/>
        </w:rPr>
        <w:t>;70:2552</w:t>
      </w:r>
      <w:proofErr w:type="gramEnd"/>
      <w:r w:rsidRPr="007C5A89">
        <w:rPr>
          <w:rStyle w:val="ac"/>
          <w:rFonts w:eastAsiaTheme="majorEastAsia"/>
          <w:sz w:val="24"/>
          <w:szCs w:val="24"/>
          <w:lang w:val="en-US"/>
        </w:rPr>
        <w:t>–2565..</w:t>
      </w:r>
    </w:p>
    <w:p w14:paraId="2073F35E"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Milan A, Puglisi E, Ferrari L et al. </w:t>
      </w:r>
      <w:r w:rsidRPr="007C5A89">
        <w:rPr>
          <w:rStyle w:val="ac"/>
          <w:rFonts w:eastAsiaTheme="majorEastAsia"/>
          <w:sz w:val="24"/>
          <w:szCs w:val="24"/>
          <w:lang w:val="en-US"/>
        </w:rPr>
        <w:t>Arterial hypertension and cancer. Int J Cancer 2014</w:t>
      </w:r>
      <w:proofErr w:type="gramStart"/>
      <w:r w:rsidRPr="007C5A89">
        <w:rPr>
          <w:rStyle w:val="ac"/>
          <w:rFonts w:eastAsiaTheme="majorEastAsia"/>
          <w:sz w:val="24"/>
          <w:szCs w:val="24"/>
          <w:lang w:val="en-US"/>
        </w:rPr>
        <w:t>;134:2269</w:t>
      </w:r>
      <w:proofErr w:type="gramEnd"/>
      <w:r w:rsidRPr="007C5A89">
        <w:rPr>
          <w:rStyle w:val="ac"/>
          <w:rFonts w:eastAsiaTheme="majorEastAsia"/>
          <w:sz w:val="24"/>
          <w:szCs w:val="24"/>
          <w:lang w:val="en-US"/>
        </w:rPr>
        <w:t>–2277..</w:t>
      </w:r>
    </w:p>
    <w:p w14:paraId="1B4C2A1A"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Penttilä P, Rautiola J, Poussa T, Peltola K, Bono P. Angiotensin inhibitors as treat- ment of sunitinib/pazopanib-induced hypertension in metastatic renal cell carcin- oma. Clin Genitourin Cancer </w:t>
      </w:r>
      <w:r w:rsidRPr="007C5A89">
        <w:rPr>
          <w:rStyle w:val="ac"/>
          <w:rFonts w:eastAsiaTheme="majorEastAsia"/>
          <w:sz w:val="24"/>
          <w:szCs w:val="24"/>
        </w:rPr>
        <w:t>2017</w:t>
      </w:r>
      <w:proofErr w:type="gramStart"/>
      <w:r w:rsidRPr="007C5A89">
        <w:rPr>
          <w:rStyle w:val="ac"/>
          <w:rFonts w:eastAsiaTheme="majorEastAsia"/>
          <w:sz w:val="24"/>
          <w:szCs w:val="24"/>
        </w:rPr>
        <w:t>;15:384</w:t>
      </w:r>
      <w:proofErr w:type="gramEnd"/>
      <w:r w:rsidRPr="007C5A89">
        <w:rPr>
          <w:rStyle w:val="ac"/>
          <w:rFonts w:eastAsiaTheme="majorEastAsia"/>
          <w:sz w:val="24"/>
          <w:szCs w:val="24"/>
        </w:rPr>
        <w:t xml:space="preserve">–390.e3. </w:t>
      </w:r>
      <w:proofErr w:type="gramStart"/>
      <w:r w:rsidRPr="007C5A89">
        <w:rPr>
          <w:rStyle w:val="ac"/>
          <w:rFonts w:eastAsiaTheme="majorEastAsia"/>
          <w:sz w:val="24"/>
          <w:szCs w:val="24"/>
          <w:lang w:val="en-US"/>
        </w:rPr>
        <w:t>doi</w:t>
      </w:r>
      <w:proofErr w:type="gramEnd"/>
      <w:r w:rsidRPr="007C5A89">
        <w:rPr>
          <w:rStyle w:val="ac"/>
          <w:rFonts w:eastAsiaTheme="majorEastAsia"/>
          <w:sz w:val="24"/>
          <w:szCs w:val="24"/>
          <w:lang w:val="en-US"/>
        </w:rPr>
        <w:t>: 10.1016/j.clgc.2016.12.016</w:t>
      </w:r>
      <w:r w:rsidRPr="007C5A89">
        <w:rPr>
          <w:rStyle w:val="ac"/>
          <w:rFonts w:eastAsiaTheme="majorEastAsia"/>
          <w:sz w:val="24"/>
          <w:szCs w:val="24"/>
        </w:rPr>
        <w:t>..</w:t>
      </w:r>
    </w:p>
    <w:p w14:paraId="53F7EFD3"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Izzedine H, Derosa L, Le Teuff G, Albiges L, Escudier B. Hypertension and angioten- sin system inhibitors: impact on outcome in sunitinib-treated patients for metastat- ic renal cell carcinoma. Ann Oncol </w:t>
      </w:r>
      <w:r w:rsidRPr="007C5A89">
        <w:rPr>
          <w:rStyle w:val="ac"/>
          <w:rFonts w:eastAsiaTheme="majorEastAsia"/>
          <w:sz w:val="24"/>
          <w:szCs w:val="24"/>
        </w:rPr>
        <w:t>2015</w:t>
      </w:r>
      <w:proofErr w:type="gramStart"/>
      <w:r w:rsidRPr="007C5A89">
        <w:rPr>
          <w:rStyle w:val="ac"/>
          <w:rFonts w:eastAsiaTheme="majorEastAsia"/>
          <w:sz w:val="24"/>
          <w:szCs w:val="24"/>
        </w:rPr>
        <w:t>;26:1128</w:t>
      </w:r>
      <w:proofErr w:type="gramEnd"/>
      <w:r w:rsidRPr="007C5A89">
        <w:rPr>
          <w:rStyle w:val="ac"/>
          <w:rFonts w:eastAsiaTheme="majorEastAsia"/>
          <w:sz w:val="24"/>
          <w:szCs w:val="24"/>
        </w:rPr>
        <w:t xml:space="preserve">–1133. </w:t>
      </w:r>
      <w:r w:rsidRPr="007C5A89">
        <w:rPr>
          <w:rStyle w:val="ac"/>
          <w:rFonts w:eastAsiaTheme="majorEastAsia"/>
          <w:sz w:val="24"/>
          <w:szCs w:val="24"/>
          <w:lang w:val="en-US"/>
        </w:rPr>
        <w:t>doi: 10.1093/annonc/mdv147.</w:t>
      </w:r>
    </w:p>
    <w:p w14:paraId="69B85D52"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McKay</w:t>
      </w:r>
      <w:r w:rsidRPr="00184253">
        <w:rPr>
          <w:rStyle w:val="ac"/>
          <w:rFonts w:eastAsiaTheme="majorEastAsia"/>
          <w:sz w:val="24"/>
          <w:szCs w:val="24"/>
          <w:lang w:val="en-US"/>
        </w:rPr>
        <w:t xml:space="preserve"> </w:t>
      </w:r>
      <w:r w:rsidRPr="007C5A89">
        <w:rPr>
          <w:rStyle w:val="ac"/>
          <w:rFonts w:eastAsiaTheme="majorEastAsia"/>
          <w:sz w:val="24"/>
          <w:szCs w:val="24"/>
          <w:lang w:val="en-US"/>
        </w:rPr>
        <w:t>RR</w:t>
      </w:r>
      <w:r w:rsidRPr="00184253">
        <w:rPr>
          <w:rStyle w:val="ac"/>
          <w:rFonts w:eastAsiaTheme="majorEastAsia"/>
          <w:sz w:val="24"/>
          <w:szCs w:val="24"/>
          <w:lang w:val="en-US"/>
        </w:rPr>
        <w:t xml:space="preserve">, </w:t>
      </w:r>
      <w:r w:rsidRPr="007C5A89">
        <w:rPr>
          <w:rStyle w:val="ac"/>
          <w:rFonts w:eastAsiaTheme="majorEastAsia"/>
          <w:sz w:val="24"/>
          <w:szCs w:val="24"/>
          <w:lang w:val="en-US"/>
        </w:rPr>
        <w:t>Rodriguez</w:t>
      </w:r>
      <w:r w:rsidRPr="00184253">
        <w:rPr>
          <w:rStyle w:val="ac"/>
          <w:rFonts w:eastAsiaTheme="majorEastAsia"/>
          <w:sz w:val="24"/>
          <w:szCs w:val="24"/>
          <w:lang w:val="en-US"/>
        </w:rPr>
        <w:t xml:space="preserve"> </w:t>
      </w:r>
      <w:r w:rsidRPr="007C5A89">
        <w:rPr>
          <w:rStyle w:val="ac"/>
          <w:rFonts w:eastAsiaTheme="majorEastAsia"/>
          <w:sz w:val="24"/>
          <w:szCs w:val="24"/>
          <w:lang w:val="en-US"/>
        </w:rPr>
        <w:t>GE</w:t>
      </w:r>
      <w:r w:rsidRPr="00184253">
        <w:rPr>
          <w:rStyle w:val="ac"/>
          <w:rFonts w:eastAsiaTheme="majorEastAsia"/>
          <w:sz w:val="24"/>
          <w:szCs w:val="24"/>
          <w:lang w:val="en-US"/>
        </w:rPr>
        <w:t xml:space="preserve">, </w:t>
      </w:r>
      <w:r w:rsidRPr="007C5A89">
        <w:rPr>
          <w:rStyle w:val="ac"/>
          <w:rFonts w:eastAsiaTheme="majorEastAsia"/>
          <w:sz w:val="24"/>
          <w:szCs w:val="24"/>
          <w:lang w:val="en-US"/>
        </w:rPr>
        <w:t>Lin</w:t>
      </w:r>
      <w:r w:rsidRPr="00184253">
        <w:rPr>
          <w:rStyle w:val="ac"/>
          <w:rFonts w:eastAsiaTheme="majorEastAsia"/>
          <w:sz w:val="24"/>
          <w:szCs w:val="24"/>
          <w:lang w:val="en-US"/>
        </w:rPr>
        <w:t xml:space="preserve"> </w:t>
      </w:r>
      <w:r w:rsidRPr="007C5A89">
        <w:rPr>
          <w:rStyle w:val="ac"/>
          <w:rFonts w:eastAsiaTheme="majorEastAsia"/>
          <w:sz w:val="24"/>
          <w:szCs w:val="24"/>
          <w:lang w:val="en-US"/>
        </w:rPr>
        <w:t>X</w:t>
      </w:r>
      <w:r w:rsidRPr="00184253">
        <w:rPr>
          <w:rStyle w:val="ac"/>
          <w:rFonts w:eastAsiaTheme="majorEastAsia"/>
          <w:sz w:val="24"/>
          <w:szCs w:val="24"/>
          <w:lang w:val="en-US"/>
        </w:rPr>
        <w:t xml:space="preserve">, </w:t>
      </w:r>
      <w:r w:rsidRPr="007C5A89">
        <w:rPr>
          <w:rStyle w:val="ac"/>
          <w:rFonts w:eastAsiaTheme="majorEastAsia"/>
          <w:sz w:val="24"/>
          <w:szCs w:val="24"/>
          <w:lang w:val="en-US"/>
        </w:rPr>
        <w:t>Kaymakcalan</w:t>
      </w:r>
      <w:r w:rsidRPr="00184253">
        <w:rPr>
          <w:rStyle w:val="ac"/>
          <w:rFonts w:eastAsiaTheme="majorEastAsia"/>
          <w:sz w:val="24"/>
          <w:szCs w:val="24"/>
          <w:lang w:val="en-US"/>
        </w:rPr>
        <w:t xml:space="preserve"> </w:t>
      </w:r>
      <w:r w:rsidRPr="007C5A89">
        <w:rPr>
          <w:rStyle w:val="ac"/>
          <w:rFonts w:eastAsiaTheme="majorEastAsia"/>
          <w:sz w:val="24"/>
          <w:szCs w:val="24"/>
          <w:lang w:val="en-US"/>
        </w:rPr>
        <w:t>MD</w:t>
      </w:r>
      <w:r w:rsidRPr="00184253">
        <w:rPr>
          <w:rStyle w:val="ac"/>
          <w:rFonts w:eastAsiaTheme="majorEastAsia"/>
          <w:sz w:val="24"/>
          <w:szCs w:val="24"/>
          <w:lang w:val="en-US"/>
        </w:rPr>
        <w:t xml:space="preserve">, </w:t>
      </w:r>
      <w:r w:rsidRPr="007C5A89">
        <w:rPr>
          <w:rStyle w:val="ac"/>
          <w:rFonts w:eastAsiaTheme="majorEastAsia"/>
          <w:sz w:val="24"/>
          <w:szCs w:val="24"/>
          <w:lang w:val="en-US"/>
        </w:rPr>
        <w:t>Hamnvik</w:t>
      </w:r>
      <w:r w:rsidRPr="00184253">
        <w:rPr>
          <w:rStyle w:val="ac"/>
          <w:rFonts w:eastAsiaTheme="majorEastAsia"/>
          <w:sz w:val="24"/>
          <w:szCs w:val="24"/>
          <w:lang w:val="en-US"/>
        </w:rPr>
        <w:t xml:space="preserve"> </w:t>
      </w:r>
      <w:r w:rsidRPr="007C5A89">
        <w:rPr>
          <w:rStyle w:val="ac"/>
          <w:rFonts w:eastAsiaTheme="majorEastAsia"/>
          <w:sz w:val="24"/>
          <w:szCs w:val="24"/>
          <w:lang w:val="en-US"/>
        </w:rPr>
        <w:t>OPR</w:t>
      </w:r>
      <w:r w:rsidRPr="00184253">
        <w:rPr>
          <w:rStyle w:val="ac"/>
          <w:rFonts w:eastAsiaTheme="majorEastAsia"/>
          <w:sz w:val="24"/>
          <w:szCs w:val="24"/>
          <w:lang w:val="en-US"/>
        </w:rPr>
        <w:t xml:space="preserve">, </w:t>
      </w:r>
      <w:r w:rsidRPr="007C5A89">
        <w:rPr>
          <w:rStyle w:val="ac"/>
          <w:rFonts w:eastAsiaTheme="majorEastAsia"/>
          <w:sz w:val="24"/>
          <w:szCs w:val="24"/>
          <w:lang w:val="en-US"/>
        </w:rPr>
        <w:t>Sabbisetti</w:t>
      </w:r>
      <w:r w:rsidRPr="00184253">
        <w:rPr>
          <w:rStyle w:val="ac"/>
          <w:rFonts w:eastAsiaTheme="majorEastAsia"/>
          <w:sz w:val="24"/>
          <w:szCs w:val="24"/>
          <w:lang w:val="en-US"/>
        </w:rPr>
        <w:t xml:space="preserve"> </w:t>
      </w:r>
      <w:r w:rsidRPr="007C5A89">
        <w:rPr>
          <w:rStyle w:val="ac"/>
          <w:rFonts w:eastAsiaTheme="majorEastAsia"/>
          <w:sz w:val="24"/>
          <w:szCs w:val="24"/>
          <w:lang w:val="en-US"/>
        </w:rPr>
        <w:t>VS</w:t>
      </w:r>
      <w:r w:rsidRPr="00184253">
        <w:rPr>
          <w:rStyle w:val="ac"/>
          <w:rFonts w:eastAsiaTheme="majorEastAsia"/>
          <w:sz w:val="24"/>
          <w:szCs w:val="24"/>
          <w:lang w:val="en-US"/>
        </w:rPr>
        <w:t xml:space="preserve">, </w:t>
      </w:r>
      <w:r w:rsidRPr="007C5A89">
        <w:rPr>
          <w:rStyle w:val="ac"/>
          <w:rFonts w:eastAsiaTheme="majorEastAsia"/>
          <w:sz w:val="24"/>
          <w:szCs w:val="24"/>
          <w:lang w:val="en-US"/>
        </w:rPr>
        <w:t>et</w:t>
      </w:r>
      <w:r w:rsidRPr="00184253">
        <w:rPr>
          <w:rStyle w:val="ac"/>
          <w:rFonts w:eastAsiaTheme="majorEastAsia"/>
          <w:sz w:val="24"/>
          <w:szCs w:val="24"/>
          <w:lang w:val="en-US"/>
        </w:rPr>
        <w:t xml:space="preserve"> </w:t>
      </w:r>
      <w:r w:rsidRPr="007C5A89">
        <w:rPr>
          <w:rStyle w:val="ac"/>
          <w:rFonts w:eastAsiaTheme="majorEastAsia"/>
          <w:sz w:val="24"/>
          <w:szCs w:val="24"/>
          <w:lang w:val="en-US"/>
        </w:rPr>
        <w:t>al</w:t>
      </w:r>
      <w:r w:rsidRPr="00184253">
        <w:rPr>
          <w:rStyle w:val="ac"/>
          <w:rFonts w:eastAsiaTheme="majorEastAsia"/>
          <w:sz w:val="24"/>
          <w:szCs w:val="24"/>
          <w:lang w:val="en-US"/>
        </w:rPr>
        <w:t xml:space="preserve">. </w:t>
      </w:r>
      <w:r w:rsidRPr="007C5A89">
        <w:rPr>
          <w:rStyle w:val="ac"/>
          <w:rFonts w:eastAsiaTheme="majorEastAsia"/>
          <w:sz w:val="24"/>
          <w:szCs w:val="24"/>
          <w:lang w:val="en-US"/>
        </w:rPr>
        <w:t>Angiotensin system inhibitors and survival outcomes in patients with meta- static renal cell carcinoma. Clin Cancer Res 2015</w:t>
      </w:r>
      <w:proofErr w:type="gramStart"/>
      <w:r w:rsidRPr="007C5A89">
        <w:rPr>
          <w:rStyle w:val="ac"/>
          <w:rFonts w:eastAsiaTheme="majorEastAsia"/>
          <w:sz w:val="24"/>
          <w:szCs w:val="24"/>
          <w:lang w:val="en-US"/>
        </w:rPr>
        <w:t>;21:2471</w:t>
      </w:r>
      <w:proofErr w:type="gramEnd"/>
      <w:r w:rsidRPr="007C5A89">
        <w:rPr>
          <w:rStyle w:val="ac"/>
          <w:rFonts w:eastAsiaTheme="majorEastAsia"/>
          <w:sz w:val="24"/>
          <w:szCs w:val="24"/>
          <w:lang w:val="en-US"/>
        </w:rPr>
        <w:t>–2479. doi: 10.1158/1078-0432.CCR-14-2.</w:t>
      </w:r>
    </w:p>
    <w:p w14:paraId="60E113AA"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F03632">
        <w:rPr>
          <w:rStyle w:val="ac"/>
          <w:rFonts w:eastAsiaTheme="majorEastAsia"/>
          <w:sz w:val="24"/>
          <w:szCs w:val="24"/>
          <w:lang w:val="fr-FR"/>
        </w:rPr>
        <w:t xml:space="preserve">«Li, X. Y., Sun, J. F., &amp; Hu, S. Q. (2017). </w:t>
      </w:r>
      <w:r w:rsidRPr="007C5A89">
        <w:rPr>
          <w:rStyle w:val="ac"/>
          <w:rFonts w:eastAsiaTheme="majorEastAsia"/>
          <w:sz w:val="24"/>
          <w:szCs w:val="24"/>
          <w:lang w:val="en-US"/>
        </w:rPr>
        <w:t xml:space="preserve">The renin-angiotensin system blockers as adjunctive therapy for cancer: a meta-analysis of survival outcome. European Review for Medical </w:t>
      </w:r>
      <w:r w:rsidRPr="007C5A89">
        <w:rPr>
          <w:rStyle w:val="ac"/>
          <w:rFonts w:eastAsiaTheme="majorEastAsia"/>
          <w:sz w:val="24"/>
          <w:szCs w:val="24"/>
        </w:rPr>
        <w:t xml:space="preserve">&amp; </w:t>
      </w:r>
      <w:r w:rsidRPr="007C5A89">
        <w:rPr>
          <w:rStyle w:val="ac"/>
          <w:rFonts w:eastAsiaTheme="majorEastAsia"/>
          <w:sz w:val="24"/>
          <w:szCs w:val="24"/>
          <w:lang w:val="en-US"/>
        </w:rPr>
        <w:t xml:space="preserve">Pharmacological Sciences, </w:t>
      </w:r>
      <w:r w:rsidRPr="007C5A89">
        <w:rPr>
          <w:rStyle w:val="ac"/>
          <w:rFonts w:eastAsiaTheme="majorEastAsia"/>
          <w:sz w:val="24"/>
          <w:szCs w:val="24"/>
        </w:rPr>
        <w:t>21(6).».</w:t>
      </w:r>
    </w:p>
    <w:p w14:paraId="35BC4AC8"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«Versmissen J, Mirabito Colafella KM, Koolen SLW, Danser AHJ. Vascular cardio</w:t>
      </w:r>
      <w:r w:rsidRPr="007C5A89">
        <w:rPr>
          <w:rStyle w:val="ac"/>
          <w:rFonts w:eastAsiaTheme="majorEastAsia"/>
          <w:sz w:val="24"/>
          <w:szCs w:val="24"/>
          <w:lang w:val="en-US"/>
        </w:rPr>
        <w:softHyphen/>
        <w:t xml:space="preserve">oncology: vascular endothelial growth factor inhibitors and hypertension. Cardiovasc Res </w:t>
      </w:r>
      <w:r w:rsidRPr="007C5A89">
        <w:rPr>
          <w:rStyle w:val="ac"/>
          <w:rFonts w:eastAsiaTheme="majorEastAsia"/>
          <w:sz w:val="24"/>
          <w:szCs w:val="24"/>
        </w:rPr>
        <w:t>2019; 115:904–914».</w:t>
      </w:r>
    </w:p>
    <w:p w14:paraId="138DB553"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 xml:space="preserve">«Steingart RM, Bakris GL, Chen HX, Chen MH, Force T, Ivy SP, et al. Management of cardiac toxicity in patients receiving vascular endothelial growth factor signaling pathway </w:t>
      </w:r>
      <w:r w:rsidRPr="007C5A89">
        <w:rPr>
          <w:rStyle w:val="ac"/>
          <w:rFonts w:eastAsiaTheme="majorEastAsia"/>
          <w:sz w:val="24"/>
          <w:szCs w:val="24"/>
          <w:lang w:val="en-US"/>
        </w:rPr>
        <w:lastRenderedPageBreak/>
        <w:t>inhibitors. Am Heart J 2012; 163:156–163».</w:t>
      </w:r>
    </w:p>
    <w:p w14:paraId="3E71DC63"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«Beavers CJ, Rodgers JE, Bagnola AJ et al., American Heart Association Clinical Pharmacology Committee and Cardio-Oncology Committee of the Council on Clinical Cardiology and Council on Genomic and Precision Medicine; and the Council on Peripheral Vascular,» </w:t>
      </w:r>
      <w:r w:rsidRPr="007C5A89">
        <w:rPr>
          <w:rStyle w:val="ac"/>
          <w:rFonts w:eastAsiaTheme="majorEastAsia"/>
          <w:i/>
          <w:iCs/>
          <w:sz w:val="24"/>
          <w:szCs w:val="24"/>
          <w:lang w:val="en-US"/>
        </w:rPr>
        <w:t xml:space="preserve">Disease. Cardio-oncology drug interactions: a scientific statement from the American Heart Association. Circulation </w:t>
      </w:r>
      <w:r w:rsidRPr="007C5A89">
        <w:rPr>
          <w:rStyle w:val="ac"/>
          <w:rFonts w:eastAsiaTheme="majorEastAsia"/>
          <w:i/>
          <w:iCs/>
          <w:sz w:val="24"/>
          <w:szCs w:val="24"/>
        </w:rPr>
        <w:t>2022; 145:e811–e838</w:t>
      </w:r>
      <w:proofErr w:type="gramStart"/>
      <w:r w:rsidRPr="007C5A89">
        <w:rPr>
          <w:rStyle w:val="ac"/>
          <w:rFonts w:eastAsiaTheme="majorEastAsia"/>
          <w:i/>
          <w:iCs/>
          <w:sz w:val="24"/>
          <w:szCs w:val="24"/>
        </w:rPr>
        <w:t>..</w:t>
      </w:r>
      <w:proofErr w:type="gramEnd"/>
    </w:p>
    <w:p w14:paraId="31209463"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w:t>
      </w:r>
      <w:proofErr w:type="gramStart"/>
      <w:r w:rsidRPr="007C5A89">
        <w:rPr>
          <w:rStyle w:val="ac"/>
          <w:rFonts w:eastAsiaTheme="majorEastAsia"/>
          <w:sz w:val="24"/>
          <w:szCs w:val="24"/>
          <w:lang w:val="en-US"/>
        </w:rPr>
        <w:t>van</w:t>
      </w:r>
      <w:proofErr w:type="gramEnd"/>
      <w:r w:rsidRPr="007C5A89">
        <w:rPr>
          <w:rStyle w:val="ac"/>
          <w:rFonts w:eastAsiaTheme="majorEastAsia"/>
          <w:sz w:val="24"/>
          <w:szCs w:val="24"/>
          <w:lang w:val="en-US"/>
        </w:rPr>
        <w:t xml:space="preserve"> Dorst DCH, Kabadayi S, Oomen-de Hoop E, et al. Treatment and implications of vascular endothelial growth factor inhibitor-induced blood pressure rise: a clinical cohort study. J Am Heart Assoc 2023; 12:e028050</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w:t>
      </w:r>
    </w:p>
    <w:p w14:paraId="49E96C50"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w:t>
      </w:r>
      <w:proofErr w:type="gramStart"/>
      <w:r w:rsidRPr="007C5A89">
        <w:rPr>
          <w:rStyle w:val="ac"/>
          <w:rFonts w:eastAsiaTheme="majorEastAsia"/>
          <w:sz w:val="24"/>
          <w:szCs w:val="24"/>
          <w:lang w:val="en-US"/>
        </w:rPr>
        <w:t>van</w:t>
      </w:r>
      <w:proofErr w:type="gramEnd"/>
      <w:r w:rsidRPr="007C5A89">
        <w:rPr>
          <w:rStyle w:val="ac"/>
          <w:rFonts w:eastAsiaTheme="majorEastAsia"/>
          <w:sz w:val="24"/>
          <w:szCs w:val="24"/>
          <w:lang w:val="en-US"/>
        </w:rPr>
        <w:t xml:space="preserve"> Doorn L, Visser WJ, van Dorst DCH, et al. Dietary sodium restriction prevents vascular endothelial growth factor inhibitor-induced hypertension. Br J Cancer 2023; 128:354–362.».</w:t>
      </w:r>
    </w:p>
    <w:p w14:paraId="1AED0471"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«Gibson TM, Li Z, Green DM, , et al. </w:t>
      </w:r>
      <w:r w:rsidRPr="007C5A89">
        <w:rPr>
          <w:rStyle w:val="ac"/>
          <w:rFonts w:eastAsiaTheme="majorEastAsia"/>
          <w:sz w:val="24"/>
          <w:szCs w:val="24"/>
          <w:lang w:val="en-US"/>
        </w:rPr>
        <w:t>Blood pressure status in adult survivors of childhood cancer: a report from the St. Jude Lifetime Cohort Study. Cancer Epidemiol Biomarkers Prev 2017; 26:1705–1713.».</w:t>
      </w:r>
    </w:p>
    <w:p w14:paraId="11D0328E"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F03632">
        <w:rPr>
          <w:rStyle w:val="ac"/>
          <w:rFonts w:eastAsiaTheme="majorEastAsia"/>
          <w:sz w:val="24"/>
          <w:szCs w:val="24"/>
          <w:lang w:val="fr-FR"/>
        </w:rPr>
        <w:t xml:space="preserve">Cannon C. P. et al. </w:t>
      </w:r>
      <w:r w:rsidRPr="007C5A89">
        <w:rPr>
          <w:rStyle w:val="ac"/>
          <w:rFonts w:eastAsiaTheme="majorEastAsia"/>
          <w:sz w:val="24"/>
          <w:szCs w:val="24"/>
          <w:lang w:val="en-US"/>
        </w:rPr>
        <w:t xml:space="preserve">Ezetimibe added to statin therapy after acute coronary syndromes //New England Journal of Medicine. – 2015. – </w:t>
      </w:r>
      <w:r w:rsidRPr="007C5A89">
        <w:rPr>
          <w:rStyle w:val="ac"/>
          <w:rFonts w:eastAsiaTheme="majorEastAsia"/>
          <w:sz w:val="24"/>
          <w:szCs w:val="24"/>
        </w:rPr>
        <w:t>Т</w:t>
      </w:r>
      <w:r w:rsidRPr="007C5A89">
        <w:rPr>
          <w:rStyle w:val="ac"/>
          <w:rFonts w:eastAsiaTheme="majorEastAsia"/>
          <w:sz w:val="24"/>
          <w:szCs w:val="24"/>
          <w:lang w:val="en-US"/>
        </w:rPr>
        <w:t xml:space="preserve">. 372. – №. </w:t>
      </w:r>
      <w:r w:rsidRPr="007C5A89">
        <w:rPr>
          <w:rStyle w:val="ac"/>
          <w:rFonts w:eastAsiaTheme="majorEastAsia"/>
          <w:sz w:val="24"/>
          <w:szCs w:val="24"/>
        </w:rPr>
        <w:t>25. – С. 2387-2397..</w:t>
      </w:r>
    </w:p>
    <w:p w14:paraId="7B301A58"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F03632">
        <w:rPr>
          <w:rStyle w:val="ac"/>
          <w:rFonts w:eastAsiaTheme="majorEastAsia"/>
          <w:sz w:val="24"/>
          <w:szCs w:val="24"/>
          <w:lang w:val="fr-FR"/>
        </w:rPr>
        <w:t xml:space="preserve">Trialists C. T. et al. </w:t>
      </w:r>
      <w:r w:rsidRPr="007C5A89">
        <w:rPr>
          <w:rStyle w:val="ac"/>
          <w:rFonts w:eastAsiaTheme="majorEastAsia"/>
          <w:sz w:val="24"/>
          <w:szCs w:val="24"/>
          <w:lang w:val="en-US"/>
        </w:rPr>
        <w:t xml:space="preserve">Efficacy and safety of LDL-lowering therapy among men and women: meta-analysis of individual data from 174 000 participants in 27 randomised trials //The Lancet. – 2015. – </w:t>
      </w:r>
      <w:r w:rsidRPr="007C5A89">
        <w:rPr>
          <w:rStyle w:val="ac"/>
          <w:rFonts w:eastAsiaTheme="majorEastAsia"/>
          <w:sz w:val="24"/>
          <w:szCs w:val="24"/>
        </w:rPr>
        <w:t>Т</w:t>
      </w:r>
      <w:r w:rsidRPr="007C5A89">
        <w:rPr>
          <w:rStyle w:val="ac"/>
          <w:rFonts w:eastAsiaTheme="majorEastAsia"/>
          <w:sz w:val="24"/>
          <w:szCs w:val="24"/>
          <w:lang w:val="en-US"/>
        </w:rPr>
        <w:t xml:space="preserve">. 385. – №. </w:t>
      </w:r>
      <w:r w:rsidRPr="007C5A89">
        <w:rPr>
          <w:rStyle w:val="ac"/>
          <w:rFonts w:eastAsiaTheme="majorEastAsia"/>
          <w:sz w:val="24"/>
          <w:szCs w:val="24"/>
        </w:rPr>
        <w:t>9976. – С. 1397-1405..</w:t>
      </w:r>
    </w:p>
    <w:p w14:paraId="7F6F9AF9"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F03632">
        <w:rPr>
          <w:rStyle w:val="ac"/>
          <w:rFonts w:eastAsiaTheme="majorEastAsia"/>
          <w:sz w:val="24"/>
          <w:szCs w:val="24"/>
          <w:lang w:val="fr-FR"/>
        </w:rPr>
        <w:t xml:space="preserve">Sabatine M. S. et al. </w:t>
      </w:r>
      <w:r w:rsidRPr="007C5A89">
        <w:rPr>
          <w:rStyle w:val="ac"/>
          <w:rFonts w:eastAsiaTheme="majorEastAsia"/>
          <w:sz w:val="24"/>
          <w:szCs w:val="24"/>
          <w:lang w:val="en-US"/>
        </w:rPr>
        <w:t xml:space="preserve">Evolocumab and clinical outcomes in patients with cardiovascular disease //New England Journal of Medicine. – 2017. – </w:t>
      </w:r>
      <w:r w:rsidRPr="007C5A89">
        <w:rPr>
          <w:rStyle w:val="ac"/>
          <w:rFonts w:eastAsiaTheme="majorEastAsia"/>
          <w:sz w:val="24"/>
          <w:szCs w:val="24"/>
        </w:rPr>
        <w:t>Т</w:t>
      </w:r>
      <w:r w:rsidRPr="007C5A89">
        <w:rPr>
          <w:rStyle w:val="ac"/>
          <w:rFonts w:eastAsiaTheme="majorEastAsia"/>
          <w:sz w:val="24"/>
          <w:szCs w:val="24"/>
          <w:lang w:val="en-US"/>
        </w:rPr>
        <w:t xml:space="preserve">. 376. – №. </w:t>
      </w:r>
      <w:r w:rsidRPr="007C5A89">
        <w:rPr>
          <w:rStyle w:val="ac"/>
          <w:rFonts w:eastAsiaTheme="majorEastAsia"/>
          <w:sz w:val="24"/>
          <w:szCs w:val="24"/>
        </w:rPr>
        <w:t>18. – С. 1713-1722..</w:t>
      </w:r>
    </w:p>
    <w:p w14:paraId="77995025"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F03632">
        <w:rPr>
          <w:rStyle w:val="ac"/>
          <w:rFonts w:eastAsiaTheme="majorEastAsia"/>
          <w:sz w:val="24"/>
          <w:szCs w:val="24"/>
          <w:lang w:val="fr-FR"/>
        </w:rPr>
        <w:t xml:space="preserve">Jukema J. W. et al. </w:t>
      </w:r>
      <w:r w:rsidRPr="007C5A89">
        <w:rPr>
          <w:rStyle w:val="ac"/>
          <w:rFonts w:eastAsiaTheme="majorEastAsia"/>
          <w:sz w:val="24"/>
          <w:szCs w:val="24"/>
          <w:lang w:val="en-US"/>
        </w:rPr>
        <w:t xml:space="preserve">ODYSSEY OUTCOMES Committees and Investigators. Alirocumab in patients with polyvascular disease and recent acute coronary syndrome: ODYSSEY OUTCOMES trial //J Am Coll Cardiol. – 2019. – </w:t>
      </w:r>
      <w:r w:rsidRPr="007C5A89">
        <w:rPr>
          <w:rStyle w:val="ac"/>
          <w:rFonts w:eastAsiaTheme="majorEastAsia"/>
          <w:sz w:val="24"/>
          <w:szCs w:val="24"/>
        </w:rPr>
        <w:t>Т</w:t>
      </w:r>
      <w:r w:rsidRPr="007C5A89">
        <w:rPr>
          <w:rStyle w:val="ac"/>
          <w:rFonts w:eastAsiaTheme="majorEastAsia"/>
          <w:sz w:val="24"/>
          <w:szCs w:val="24"/>
          <w:lang w:val="en-US"/>
        </w:rPr>
        <w:t xml:space="preserve">. 74. – №. </w:t>
      </w:r>
      <w:r w:rsidRPr="007C5A89">
        <w:rPr>
          <w:rStyle w:val="ac"/>
          <w:rFonts w:eastAsiaTheme="majorEastAsia"/>
          <w:sz w:val="24"/>
          <w:szCs w:val="24"/>
        </w:rPr>
        <w:t>9. – С. 1167-1176..</w:t>
      </w:r>
    </w:p>
    <w:p w14:paraId="4FA487DD"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F03632">
        <w:rPr>
          <w:rStyle w:val="ac"/>
          <w:rFonts w:eastAsiaTheme="majorEastAsia"/>
          <w:sz w:val="24"/>
          <w:szCs w:val="24"/>
          <w:lang w:val="fr-FR"/>
        </w:rPr>
        <w:t xml:space="preserve">Trialists C. T. et al. </w:t>
      </w:r>
      <w:r w:rsidRPr="007C5A89">
        <w:rPr>
          <w:rStyle w:val="ac"/>
          <w:rFonts w:eastAsiaTheme="majorEastAsia"/>
          <w:sz w:val="24"/>
          <w:szCs w:val="24"/>
          <w:lang w:val="en-US"/>
        </w:rPr>
        <w:t xml:space="preserve">The effects of lowering LDL cholesterol with statin therapy in people at low risk of vascular disease: meta-analysis of individual data from 27 randomised trials //The Lancet. – 2012. – </w:t>
      </w:r>
      <w:r w:rsidRPr="007C5A89">
        <w:rPr>
          <w:rStyle w:val="ac"/>
          <w:rFonts w:eastAsiaTheme="majorEastAsia"/>
          <w:sz w:val="24"/>
          <w:szCs w:val="24"/>
        </w:rPr>
        <w:t>Т</w:t>
      </w:r>
      <w:r w:rsidRPr="007C5A89">
        <w:rPr>
          <w:rStyle w:val="ac"/>
          <w:rFonts w:eastAsiaTheme="majorEastAsia"/>
          <w:sz w:val="24"/>
          <w:szCs w:val="24"/>
          <w:lang w:val="en-US"/>
        </w:rPr>
        <w:t xml:space="preserve">. 380. – №. </w:t>
      </w:r>
      <w:r w:rsidRPr="007C5A89">
        <w:rPr>
          <w:rStyle w:val="ac"/>
          <w:rFonts w:eastAsiaTheme="majorEastAsia"/>
          <w:sz w:val="24"/>
          <w:szCs w:val="24"/>
        </w:rPr>
        <w:t>9841. – С. 581-590..</w:t>
      </w:r>
    </w:p>
    <w:p w14:paraId="75FCFCD4"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 xml:space="preserve">«Jukema JW, et al. Alirocumab in Patients </w:t>
      </w:r>
      <w:proofErr w:type="gramStart"/>
      <w:r w:rsidRPr="007C5A89">
        <w:rPr>
          <w:rStyle w:val="ac"/>
          <w:rFonts w:eastAsiaTheme="majorEastAsia"/>
          <w:sz w:val="24"/>
          <w:szCs w:val="24"/>
          <w:lang w:val="en-US"/>
        </w:rPr>
        <w:t>With</w:t>
      </w:r>
      <w:proofErr w:type="gramEnd"/>
      <w:r w:rsidRPr="007C5A89">
        <w:rPr>
          <w:rStyle w:val="ac"/>
          <w:rFonts w:eastAsiaTheme="majorEastAsia"/>
          <w:sz w:val="24"/>
          <w:szCs w:val="24"/>
          <w:lang w:val="en-US"/>
        </w:rPr>
        <w:t xml:space="preserve"> Polyvascular Disease and Recent Acute Coronary Syndrome: ODYSSEY OUTCOMES Trial. J Am Coll Cardiol. 2019 Sep</w:t>
      </w:r>
    </w:p>
    <w:p w14:paraId="057C3F2A" w14:textId="77777777" w:rsidR="00CB781F" w:rsidRPr="007C5A89" w:rsidRDefault="00CB781F" w:rsidP="007C5A89">
      <w:pPr>
        <w:pStyle w:val="11"/>
        <w:tabs>
          <w:tab w:val="left" w:pos="709"/>
        </w:tabs>
        <w:spacing w:line="276" w:lineRule="auto"/>
        <w:ind w:left="709" w:hanging="709"/>
        <w:jc w:val="both"/>
        <w:rPr>
          <w:sz w:val="24"/>
          <w:szCs w:val="24"/>
        </w:rPr>
      </w:pPr>
      <w:r w:rsidRPr="007C5A89">
        <w:rPr>
          <w:rStyle w:val="ac"/>
          <w:rFonts w:eastAsiaTheme="majorEastAsia"/>
          <w:sz w:val="24"/>
          <w:szCs w:val="24"/>
          <w:lang w:val="en-US"/>
        </w:rPr>
        <w:t xml:space="preserve">3;74(9):1167-1176. doi: 10.1016/j.jacc.2019.03.013. Epub 2019 Mar 18. PMID: </w:t>
      </w:r>
      <w:r w:rsidRPr="007C5A89">
        <w:rPr>
          <w:rStyle w:val="ac"/>
          <w:rFonts w:eastAsiaTheme="majorEastAsia"/>
          <w:sz w:val="24"/>
          <w:szCs w:val="24"/>
        </w:rPr>
        <w:t>30898609.».</w:t>
      </w:r>
    </w:p>
    <w:p w14:paraId="0A8FE256"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«Vallejo-Vaz, A. J., Ray, K. K., Ginsberg, H. N., Davidson, M. H., Eckel, R. H., Lee, L. V., ... </w:t>
      </w:r>
      <w:r w:rsidRPr="00BF19FB">
        <w:rPr>
          <w:rStyle w:val="ac"/>
          <w:rFonts w:eastAsiaTheme="majorEastAsia"/>
          <w:sz w:val="24"/>
          <w:szCs w:val="24"/>
          <w:lang w:val="en-US"/>
        </w:rPr>
        <w:t xml:space="preserve">&amp; </w:t>
      </w:r>
      <w:r w:rsidRPr="007C5A89">
        <w:rPr>
          <w:rStyle w:val="ac"/>
          <w:rFonts w:eastAsiaTheme="majorEastAsia"/>
          <w:sz w:val="24"/>
          <w:szCs w:val="24"/>
          <w:lang w:val="en-US"/>
        </w:rPr>
        <w:t xml:space="preserve">Cannon, C. P. </w:t>
      </w:r>
      <w:r w:rsidRPr="00BF19FB">
        <w:rPr>
          <w:rStyle w:val="ac"/>
          <w:rFonts w:eastAsiaTheme="majorEastAsia"/>
          <w:sz w:val="24"/>
          <w:szCs w:val="24"/>
          <w:lang w:val="en-US"/>
        </w:rPr>
        <w:t xml:space="preserve">(2019). </w:t>
      </w:r>
      <w:r w:rsidRPr="007C5A89">
        <w:rPr>
          <w:rStyle w:val="ac"/>
          <w:rFonts w:eastAsiaTheme="majorEastAsia"/>
          <w:sz w:val="24"/>
          <w:szCs w:val="24"/>
          <w:lang w:val="en-US"/>
        </w:rPr>
        <w:t>Associations between lower levels of low-density lipoprotein cholesterol and cardiovascular events in very high-risk patients:</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 xml:space="preserve"> </w:t>
      </w:r>
      <w:r w:rsidRPr="007C5A89">
        <w:rPr>
          <w:rStyle w:val="ac"/>
          <w:rFonts w:eastAsiaTheme="majorEastAsia"/>
          <w:i/>
          <w:iCs/>
          <w:sz w:val="24"/>
          <w:szCs w:val="24"/>
          <w:lang w:val="en-US"/>
        </w:rPr>
        <w:t xml:space="preserve">pooled analysis of nine ODYSSEY trials of alirocumab versus control. Atherosclerosis, </w:t>
      </w:r>
      <w:r w:rsidRPr="007C5A89">
        <w:rPr>
          <w:rStyle w:val="ac"/>
          <w:rFonts w:eastAsiaTheme="majorEastAsia"/>
          <w:i/>
          <w:iCs/>
          <w:sz w:val="24"/>
          <w:szCs w:val="24"/>
        </w:rPr>
        <w:t>288, 85-93</w:t>
      </w:r>
      <w:proofErr w:type="gramStart"/>
      <w:r w:rsidRPr="007C5A89">
        <w:rPr>
          <w:rStyle w:val="ac"/>
          <w:rFonts w:eastAsiaTheme="majorEastAsia"/>
          <w:i/>
          <w:iCs/>
          <w:sz w:val="24"/>
          <w:szCs w:val="24"/>
        </w:rPr>
        <w:t>..</w:t>
      </w:r>
      <w:proofErr w:type="gramEnd"/>
    </w:p>
    <w:p w14:paraId="4CEAB9EF"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Yusuf S, Lonn E, Pais P, Bosch J, López-Jaramillo Pet al; HOPE-3 Investigators. Blood</w:t>
      </w:r>
      <w:r w:rsidRPr="007C5A89">
        <w:rPr>
          <w:rStyle w:val="ac"/>
          <w:rFonts w:eastAsiaTheme="majorEastAsia"/>
          <w:sz w:val="24"/>
          <w:szCs w:val="24"/>
          <w:lang w:val="en-US"/>
        </w:rPr>
        <w:softHyphen/>
        <w:t>Pressure and Cholesterol Lowering in Persons without Cardiovascular Disease. N Engl J Med. 2016 May 26;374(21):2032-43. doi: 10.1056/NEJMoa1600177.</w:t>
      </w:r>
    </w:p>
    <w:p w14:paraId="63EBE49B"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F03632">
        <w:rPr>
          <w:rStyle w:val="ac"/>
          <w:rFonts w:eastAsiaTheme="majorEastAsia"/>
          <w:sz w:val="24"/>
          <w:szCs w:val="24"/>
          <w:lang w:val="fr-FR"/>
        </w:rPr>
        <w:t xml:space="preserve">Sever PS, Dahlof B, Poulter NR, et al. </w:t>
      </w:r>
      <w:r w:rsidRPr="007C5A89">
        <w:rPr>
          <w:rStyle w:val="ac"/>
          <w:rFonts w:eastAsiaTheme="majorEastAsia"/>
          <w:sz w:val="24"/>
          <w:szCs w:val="24"/>
          <w:lang w:val="en-US"/>
        </w:rPr>
        <w:t>ASCOT Investigators. Prevention of coronary and stroke events with atorvastatin in hypertensive patients who have average or lower-than</w:t>
      </w:r>
      <w:r w:rsidRPr="007C5A89">
        <w:rPr>
          <w:rStyle w:val="ac"/>
          <w:rFonts w:eastAsiaTheme="majorEastAsia"/>
          <w:sz w:val="24"/>
          <w:szCs w:val="24"/>
          <w:lang w:val="en-US"/>
        </w:rPr>
        <w:softHyphen/>
        <w:t xml:space="preserve">average cholesterol concentrations, in the Anglo-Scandinavian Cardiac, Outcomes Trial — Lipid Lowering Arm (ASCOT-LLA): a multicentre randomised controlled trial. Lancet </w:t>
      </w:r>
      <w:r w:rsidRPr="007C5A89">
        <w:rPr>
          <w:rStyle w:val="ac"/>
          <w:rFonts w:eastAsiaTheme="majorEastAsia"/>
          <w:sz w:val="24"/>
          <w:szCs w:val="24"/>
        </w:rPr>
        <w:t>2003</w:t>
      </w:r>
      <w:proofErr w:type="gramStart"/>
      <w:r w:rsidRPr="007C5A89">
        <w:rPr>
          <w:rStyle w:val="ac"/>
          <w:rFonts w:eastAsiaTheme="majorEastAsia"/>
          <w:sz w:val="24"/>
          <w:szCs w:val="24"/>
        </w:rPr>
        <w:t>;361:1149</w:t>
      </w:r>
      <w:proofErr w:type="gramEnd"/>
      <w:r w:rsidRPr="007C5A89">
        <w:rPr>
          <w:rStyle w:val="ac"/>
          <w:rFonts w:eastAsiaTheme="majorEastAsia"/>
          <w:sz w:val="24"/>
          <w:szCs w:val="24"/>
        </w:rPr>
        <w:t>–1158. .</w:t>
      </w:r>
    </w:p>
    <w:p w14:paraId="6BAE05E4"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«Collins R, Reith C, Emberson J, et al. Interpretation of the evidence for the efficacy and safety of statin therapy.».</w:t>
      </w:r>
    </w:p>
    <w:p w14:paraId="0E24F823"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lastRenderedPageBreak/>
        <w:t xml:space="preserve">«Bhatt DL, Steg PG, Miller M, et al., REDUCE-IT Investigators. Cardiovascular risk reduction with icosapent ethyl for hypertriglyceridemia. N Engl J Med </w:t>
      </w:r>
      <w:r w:rsidRPr="007C5A89">
        <w:rPr>
          <w:rStyle w:val="ac"/>
          <w:rFonts w:eastAsiaTheme="majorEastAsia"/>
          <w:sz w:val="24"/>
          <w:szCs w:val="24"/>
        </w:rPr>
        <w:t>2019; 380:11–22.».</w:t>
      </w:r>
    </w:p>
    <w:p w14:paraId="3B501761"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«Nicholls SJ, Lincoff AM, Garcia M</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 xml:space="preserve"> et al. Effect of high-dose omega-3 fatty acids vs corn oil on major adverse cardiovascular events in patients at high cardiovascular risk: the STRENGTH randomized clinical trial. JAMA 2020; 324:2268–2280.».</w:t>
      </w:r>
    </w:p>
    <w:p w14:paraId="0A9DB4B7"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Joseph P, Roshandel G, Gao P, Pais P, Lonn E, et al; Polypill Trialists' Collaboration. Fixed- dose combination therapies with and without aspirin for primary prevention of cardiovascular disease: an individual participant data meta-analysis. Lancet. </w:t>
      </w:r>
      <w:r w:rsidRPr="007C5A89">
        <w:rPr>
          <w:rStyle w:val="ac"/>
          <w:rFonts w:eastAsiaTheme="majorEastAsia"/>
          <w:sz w:val="24"/>
          <w:szCs w:val="24"/>
        </w:rPr>
        <w:t xml:space="preserve">2021, </w:t>
      </w:r>
      <w:r w:rsidRPr="007C5A89">
        <w:rPr>
          <w:rStyle w:val="ac"/>
          <w:rFonts w:eastAsiaTheme="majorEastAsia"/>
          <w:sz w:val="24"/>
          <w:szCs w:val="24"/>
          <w:lang w:val="en-US"/>
        </w:rPr>
        <w:t xml:space="preserve">Sep </w:t>
      </w:r>
      <w:r w:rsidRPr="007C5A89">
        <w:rPr>
          <w:rStyle w:val="ac"/>
          <w:rFonts w:eastAsiaTheme="majorEastAsia"/>
          <w:sz w:val="24"/>
          <w:szCs w:val="24"/>
        </w:rPr>
        <w:t xml:space="preserve">25;398(10306):1133-1146. </w:t>
      </w:r>
      <w:r w:rsidRPr="007C5A89">
        <w:rPr>
          <w:rStyle w:val="ac"/>
          <w:rFonts w:eastAsiaTheme="majorEastAsia"/>
          <w:sz w:val="24"/>
          <w:szCs w:val="24"/>
          <w:lang w:val="en-US"/>
        </w:rPr>
        <w:t>doi: 10.1016/S0140-6736(21)01827-4</w:t>
      </w:r>
      <w:proofErr w:type="gramStart"/>
      <w:r w:rsidRPr="007C5A89">
        <w:rPr>
          <w:rStyle w:val="ac"/>
          <w:rFonts w:eastAsiaTheme="majorEastAsia"/>
          <w:sz w:val="24"/>
          <w:szCs w:val="24"/>
          <w:lang w:val="en-US"/>
        </w:rPr>
        <w:t xml:space="preserve">. </w:t>
      </w:r>
      <w:r w:rsidRPr="007C5A89">
        <w:rPr>
          <w:rStyle w:val="ac"/>
          <w:rFonts w:eastAsiaTheme="majorEastAsia"/>
          <w:sz w:val="24"/>
          <w:szCs w:val="24"/>
        </w:rPr>
        <w:t>.</w:t>
      </w:r>
      <w:proofErr w:type="gramEnd"/>
    </w:p>
    <w:p w14:paraId="5F2A871A"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 xml:space="preserve">Castellano JM, Pocock SJ, Bhatt DL, Quesada AJ, Owen R, et al; SECURE Investigators. Polypill Strategy in Secondary Cardiovascular Prevention. N Engl J Med. 2022 Sep 15;387(11):967-977. </w:t>
      </w:r>
      <w:proofErr w:type="gramStart"/>
      <w:r w:rsidRPr="007C5A89">
        <w:rPr>
          <w:rStyle w:val="ac"/>
          <w:rFonts w:eastAsiaTheme="majorEastAsia"/>
          <w:sz w:val="24"/>
          <w:szCs w:val="24"/>
          <w:lang w:val="en-US"/>
        </w:rPr>
        <w:t>doi</w:t>
      </w:r>
      <w:proofErr w:type="gramEnd"/>
      <w:r w:rsidRPr="007C5A89">
        <w:rPr>
          <w:rStyle w:val="ac"/>
          <w:rFonts w:eastAsiaTheme="majorEastAsia"/>
          <w:sz w:val="24"/>
          <w:szCs w:val="24"/>
          <w:lang w:val="en-US"/>
        </w:rPr>
        <w:t>: 10.1056/NEJMoa2208275..</w:t>
      </w:r>
    </w:p>
    <w:p w14:paraId="7D8DDA3E"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F03632">
        <w:rPr>
          <w:rStyle w:val="ac"/>
          <w:rFonts w:eastAsiaTheme="majorEastAsia"/>
          <w:sz w:val="24"/>
          <w:szCs w:val="24"/>
          <w:lang w:val="fr-FR"/>
        </w:rPr>
        <w:t xml:space="preserve">«Coca A, Agabiti-Rosei E, Cifkova R, et al. </w:t>
      </w:r>
      <w:r w:rsidRPr="007C5A89">
        <w:rPr>
          <w:rStyle w:val="ac"/>
          <w:rFonts w:eastAsiaTheme="majorEastAsia"/>
          <w:sz w:val="24"/>
          <w:szCs w:val="24"/>
          <w:lang w:val="en-US"/>
        </w:rPr>
        <w:t xml:space="preserve">The polypill in cardiovascular prevention: evidence, limitations and perspective - position paper of the European Society of Hypertension. J Hypertens </w:t>
      </w:r>
      <w:r w:rsidRPr="007C5A89">
        <w:rPr>
          <w:rStyle w:val="ac"/>
          <w:rFonts w:eastAsiaTheme="majorEastAsia"/>
          <w:sz w:val="24"/>
          <w:szCs w:val="24"/>
        </w:rPr>
        <w:t>2017; 35:1546–1553.».</w:t>
      </w:r>
    </w:p>
    <w:p w14:paraId="45FA68A5"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Lip GY, Felmeden DC, Dwivedi G. Antiplatelet agents and anticoagulants for hypertension. Cochrane Database Syst Rev 2011;12:CD003186.</w:t>
      </w:r>
    </w:p>
    <w:p w14:paraId="328D5FFA"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184253">
        <w:rPr>
          <w:rStyle w:val="ac"/>
          <w:rFonts w:eastAsiaTheme="majorEastAsia"/>
          <w:sz w:val="24"/>
          <w:szCs w:val="24"/>
          <w:lang w:val="en-US"/>
        </w:rPr>
        <w:t>«</w:t>
      </w:r>
      <w:r w:rsidRPr="007C5A89">
        <w:rPr>
          <w:rStyle w:val="ac"/>
          <w:rFonts w:eastAsiaTheme="majorEastAsia"/>
          <w:sz w:val="24"/>
          <w:szCs w:val="24"/>
          <w:lang w:val="en-US"/>
        </w:rPr>
        <w:t>Shantsila</w:t>
      </w:r>
      <w:r w:rsidRPr="00184253">
        <w:rPr>
          <w:rStyle w:val="ac"/>
          <w:rFonts w:eastAsiaTheme="majorEastAsia"/>
          <w:sz w:val="24"/>
          <w:szCs w:val="24"/>
          <w:lang w:val="en-US"/>
        </w:rPr>
        <w:t xml:space="preserve"> </w:t>
      </w:r>
      <w:r w:rsidRPr="007C5A89">
        <w:rPr>
          <w:rStyle w:val="ac"/>
          <w:rFonts w:eastAsiaTheme="majorEastAsia"/>
          <w:sz w:val="24"/>
          <w:szCs w:val="24"/>
          <w:lang w:val="en-US"/>
        </w:rPr>
        <w:t>E</w:t>
      </w:r>
      <w:r w:rsidRPr="00184253">
        <w:rPr>
          <w:rStyle w:val="ac"/>
          <w:rFonts w:eastAsiaTheme="majorEastAsia"/>
          <w:sz w:val="24"/>
          <w:szCs w:val="24"/>
          <w:lang w:val="en-US"/>
        </w:rPr>
        <w:t xml:space="preserve">, </w:t>
      </w:r>
      <w:r w:rsidRPr="007C5A89">
        <w:rPr>
          <w:rStyle w:val="ac"/>
          <w:rFonts w:eastAsiaTheme="majorEastAsia"/>
          <w:sz w:val="24"/>
          <w:szCs w:val="24"/>
          <w:lang w:val="en-US"/>
        </w:rPr>
        <w:t>Kozie</w:t>
      </w:r>
      <w:r w:rsidRPr="00184253">
        <w:rPr>
          <w:rStyle w:val="ac"/>
          <w:rFonts w:eastAsiaTheme="majorEastAsia"/>
          <w:sz w:val="24"/>
          <w:szCs w:val="24"/>
          <w:lang w:val="en-US"/>
        </w:rPr>
        <w:t>ł-</w:t>
      </w:r>
      <w:r w:rsidRPr="007C5A89">
        <w:rPr>
          <w:rStyle w:val="ac"/>
          <w:rFonts w:eastAsiaTheme="majorEastAsia"/>
          <w:sz w:val="24"/>
          <w:szCs w:val="24"/>
          <w:lang w:val="en-US"/>
        </w:rPr>
        <w:t>Sio</w:t>
      </w:r>
      <w:r w:rsidRPr="00184253">
        <w:rPr>
          <w:rStyle w:val="ac"/>
          <w:rFonts w:eastAsiaTheme="majorEastAsia"/>
          <w:sz w:val="24"/>
          <w:szCs w:val="24"/>
          <w:lang w:val="en-US"/>
        </w:rPr>
        <w:t>ł</w:t>
      </w:r>
      <w:r w:rsidRPr="007C5A89">
        <w:rPr>
          <w:rStyle w:val="ac"/>
          <w:rFonts w:eastAsiaTheme="majorEastAsia"/>
          <w:sz w:val="24"/>
          <w:szCs w:val="24"/>
          <w:lang w:val="en-US"/>
        </w:rPr>
        <w:t>kowska</w:t>
      </w:r>
      <w:r w:rsidRPr="00184253">
        <w:rPr>
          <w:rStyle w:val="ac"/>
          <w:rFonts w:eastAsiaTheme="majorEastAsia"/>
          <w:sz w:val="24"/>
          <w:szCs w:val="24"/>
          <w:lang w:val="en-US"/>
        </w:rPr>
        <w:t xml:space="preserve"> </w:t>
      </w:r>
      <w:r w:rsidRPr="007C5A89">
        <w:rPr>
          <w:rStyle w:val="ac"/>
          <w:rFonts w:eastAsiaTheme="majorEastAsia"/>
          <w:sz w:val="24"/>
          <w:szCs w:val="24"/>
          <w:lang w:val="en-US"/>
        </w:rPr>
        <w:t>M</w:t>
      </w:r>
      <w:r w:rsidRPr="00184253">
        <w:rPr>
          <w:rStyle w:val="ac"/>
          <w:rFonts w:eastAsiaTheme="majorEastAsia"/>
          <w:sz w:val="24"/>
          <w:szCs w:val="24"/>
          <w:lang w:val="en-US"/>
        </w:rPr>
        <w:t xml:space="preserve">, </w:t>
      </w:r>
      <w:r w:rsidRPr="007C5A89">
        <w:rPr>
          <w:rStyle w:val="ac"/>
          <w:rFonts w:eastAsiaTheme="majorEastAsia"/>
          <w:sz w:val="24"/>
          <w:szCs w:val="24"/>
          <w:lang w:val="en-US"/>
        </w:rPr>
        <w:t>Lip</w:t>
      </w:r>
      <w:r w:rsidRPr="00184253">
        <w:rPr>
          <w:rStyle w:val="ac"/>
          <w:rFonts w:eastAsiaTheme="majorEastAsia"/>
          <w:sz w:val="24"/>
          <w:szCs w:val="24"/>
          <w:lang w:val="en-US"/>
        </w:rPr>
        <w:t xml:space="preserve"> </w:t>
      </w:r>
      <w:r w:rsidRPr="007C5A89">
        <w:rPr>
          <w:rStyle w:val="ac"/>
          <w:rFonts w:eastAsiaTheme="majorEastAsia"/>
          <w:sz w:val="24"/>
          <w:szCs w:val="24"/>
          <w:lang w:val="en-US"/>
        </w:rPr>
        <w:t>GY</w:t>
      </w:r>
      <w:r w:rsidRPr="00184253">
        <w:rPr>
          <w:rStyle w:val="ac"/>
          <w:rFonts w:eastAsiaTheme="majorEastAsia"/>
          <w:sz w:val="24"/>
          <w:szCs w:val="24"/>
          <w:lang w:val="en-US"/>
        </w:rPr>
        <w:t xml:space="preserve">. </w:t>
      </w:r>
      <w:r w:rsidRPr="007C5A89">
        <w:rPr>
          <w:rStyle w:val="ac"/>
          <w:rFonts w:eastAsiaTheme="majorEastAsia"/>
          <w:sz w:val="24"/>
          <w:szCs w:val="24"/>
          <w:lang w:val="en-US"/>
        </w:rPr>
        <w:t>Antiplatelet agents and anticoagulants for hypertension. Cochrane Database Syst Rev. 2022 Jul 28;7:CD003186. doi: 10.1002/14651858.CD003186.pub4. PMID: 35900898.».</w:t>
      </w:r>
    </w:p>
    <w:p w14:paraId="74A7D215"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«ASCEND Study Collaborative Group, Bowman L, Mafham M, Wallendszus K, et al. Effects of Aspirin for Primary Prevention in Persons with Diabetes Mellitus. N Engl J Med 2018</w:t>
      </w:r>
      <w:proofErr w:type="gramStart"/>
      <w:r w:rsidRPr="007C5A89">
        <w:rPr>
          <w:rStyle w:val="ac"/>
          <w:rFonts w:eastAsiaTheme="majorEastAsia"/>
          <w:sz w:val="24"/>
          <w:szCs w:val="24"/>
          <w:lang w:val="en-US"/>
        </w:rPr>
        <w:t>;379:15291539</w:t>
      </w:r>
      <w:proofErr w:type="gramEnd"/>
      <w:r w:rsidRPr="007C5A89">
        <w:rPr>
          <w:rStyle w:val="ac"/>
          <w:rFonts w:eastAsiaTheme="majorEastAsia"/>
          <w:sz w:val="24"/>
          <w:szCs w:val="24"/>
          <w:lang w:val="en-US"/>
        </w:rPr>
        <w:t>.».</w:t>
      </w:r>
    </w:p>
    <w:p w14:paraId="65336EC8"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«Seidu S, Kunutsor SK, Sesso HD, Gaziano JM, Buring JE, Roncaglioni MC, Khunti K. Aspirin has potential benefits for primary prevention of cardiovascular outcomes in diabetes:,» </w:t>
      </w:r>
      <w:r w:rsidRPr="007C5A89">
        <w:rPr>
          <w:rStyle w:val="ac"/>
          <w:rFonts w:eastAsiaTheme="majorEastAsia"/>
          <w:i/>
          <w:iCs/>
          <w:sz w:val="24"/>
          <w:szCs w:val="24"/>
          <w:lang w:val="en-US"/>
        </w:rPr>
        <w:t xml:space="preserve">updated literature-based and individual participant data meta-analyses of randomized controlled trials. Cardiovasc Diabetol </w:t>
      </w:r>
      <w:r w:rsidRPr="007C5A89">
        <w:rPr>
          <w:rStyle w:val="ac"/>
          <w:rFonts w:eastAsiaTheme="majorEastAsia"/>
          <w:i/>
          <w:iCs/>
          <w:sz w:val="24"/>
          <w:szCs w:val="24"/>
        </w:rPr>
        <w:t>2019</w:t>
      </w:r>
      <w:proofErr w:type="gramStart"/>
      <w:r w:rsidRPr="007C5A89">
        <w:rPr>
          <w:rStyle w:val="ac"/>
          <w:rFonts w:eastAsiaTheme="majorEastAsia"/>
          <w:i/>
          <w:iCs/>
          <w:sz w:val="24"/>
          <w:szCs w:val="24"/>
        </w:rPr>
        <w:t>;18:70</w:t>
      </w:r>
      <w:proofErr w:type="gramEnd"/>
      <w:r w:rsidRPr="007C5A89">
        <w:rPr>
          <w:rStyle w:val="ac"/>
          <w:rFonts w:eastAsiaTheme="majorEastAsia"/>
          <w:i/>
          <w:iCs/>
          <w:sz w:val="24"/>
          <w:szCs w:val="24"/>
        </w:rPr>
        <w:t>.</w:t>
      </w:r>
    </w:p>
    <w:p w14:paraId="012DD1F1"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rPr>
        <w:t xml:space="preserve">«Бойцов С.А., Погосова Н.В., Аншелес А.А., и соавт. Кардиоваскулярная профилактика 2022. Российские национальные рекомендации. Российский кардиологический журнал. 2023;28(5):5452. </w:t>
      </w:r>
      <w:r w:rsidRPr="007C5A89">
        <w:rPr>
          <w:rStyle w:val="ac"/>
          <w:rFonts w:eastAsiaTheme="majorEastAsia"/>
          <w:sz w:val="24"/>
          <w:szCs w:val="24"/>
          <w:lang w:val="en-US"/>
        </w:rPr>
        <w:t>doi:10.15829/1560-4071-2023-5452.».</w:t>
      </w:r>
    </w:p>
    <w:p w14:paraId="55DBB183"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van den Born BJ, Lip GYH, Brguljan-Hitij J, et al. ESC Council on hypertension position document on the management of hypertensive emergencies. Eur Heart J Cardiovasc Pharmacotherapy 2018</w:t>
      </w:r>
      <w:proofErr w:type="gramStart"/>
      <w:r w:rsidRPr="007C5A89">
        <w:rPr>
          <w:rStyle w:val="ac"/>
          <w:rFonts w:eastAsiaTheme="majorEastAsia"/>
          <w:sz w:val="24"/>
          <w:szCs w:val="24"/>
          <w:lang w:val="en-US"/>
        </w:rPr>
        <w:t>..</w:t>
      </w:r>
      <w:proofErr w:type="gramEnd"/>
    </w:p>
    <w:p w14:paraId="6835D9D0"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Vaughan CJ, Delanty N. Hypertensive emergencies. Lancet </w:t>
      </w:r>
      <w:r w:rsidRPr="007C5A89">
        <w:rPr>
          <w:rStyle w:val="ac"/>
          <w:rFonts w:eastAsiaTheme="majorEastAsia"/>
          <w:sz w:val="24"/>
          <w:szCs w:val="24"/>
        </w:rPr>
        <w:t>2000</w:t>
      </w:r>
      <w:proofErr w:type="gramStart"/>
      <w:r w:rsidRPr="007C5A89">
        <w:rPr>
          <w:rStyle w:val="ac"/>
          <w:rFonts w:eastAsiaTheme="majorEastAsia"/>
          <w:sz w:val="24"/>
          <w:szCs w:val="24"/>
        </w:rPr>
        <w:t>;356:411</w:t>
      </w:r>
      <w:proofErr w:type="gramEnd"/>
      <w:r w:rsidRPr="007C5A89">
        <w:rPr>
          <w:rStyle w:val="ac"/>
          <w:rFonts w:eastAsiaTheme="majorEastAsia"/>
          <w:sz w:val="24"/>
          <w:szCs w:val="24"/>
        </w:rPr>
        <w:t>–417..</w:t>
      </w:r>
    </w:p>
    <w:p w14:paraId="74F1E317"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Chester EM, Agamanolis DP, Banker BQ, Victor M. Hypertensive encephalopathy: a clinicopathologic study of 20 cases. Neurology </w:t>
      </w:r>
      <w:r w:rsidRPr="007C5A89">
        <w:rPr>
          <w:rStyle w:val="ac"/>
          <w:rFonts w:eastAsiaTheme="majorEastAsia"/>
          <w:sz w:val="24"/>
          <w:szCs w:val="24"/>
        </w:rPr>
        <w:t>1978</w:t>
      </w:r>
      <w:proofErr w:type="gramStart"/>
      <w:r w:rsidRPr="007C5A89">
        <w:rPr>
          <w:rStyle w:val="ac"/>
          <w:rFonts w:eastAsiaTheme="majorEastAsia"/>
          <w:sz w:val="24"/>
          <w:szCs w:val="24"/>
        </w:rPr>
        <w:t>;28:928</w:t>
      </w:r>
      <w:proofErr w:type="gramEnd"/>
      <w:r w:rsidRPr="007C5A89">
        <w:rPr>
          <w:rStyle w:val="ac"/>
          <w:rFonts w:eastAsiaTheme="majorEastAsia"/>
          <w:sz w:val="24"/>
          <w:szCs w:val="24"/>
        </w:rPr>
        <w:t>–939..</w:t>
      </w:r>
    </w:p>
    <w:p w14:paraId="7EA1E416"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van den Born BJ, Koopmans RP, Groeneveld JO, van Montfrans GA. Ethnic disparities in the incidence, presentation and complications of malignant hypertension. J Hypertens 2006</w:t>
      </w:r>
      <w:proofErr w:type="gramStart"/>
      <w:r w:rsidRPr="007C5A89">
        <w:rPr>
          <w:rStyle w:val="ac"/>
          <w:rFonts w:eastAsiaTheme="majorEastAsia"/>
          <w:sz w:val="24"/>
          <w:szCs w:val="24"/>
          <w:lang w:val="en-US"/>
        </w:rPr>
        <w:t>;24:2299</w:t>
      </w:r>
      <w:proofErr w:type="gramEnd"/>
      <w:r w:rsidRPr="007C5A89">
        <w:rPr>
          <w:rStyle w:val="ac"/>
          <w:rFonts w:eastAsiaTheme="majorEastAsia"/>
          <w:sz w:val="24"/>
          <w:szCs w:val="24"/>
          <w:lang w:val="en-US"/>
        </w:rPr>
        <w:t>–2304.</w:t>
      </w:r>
    </w:p>
    <w:p w14:paraId="23B80E37"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F03632">
        <w:rPr>
          <w:rStyle w:val="ac"/>
          <w:rFonts w:eastAsiaTheme="majorEastAsia"/>
          <w:sz w:val="24"/>
          <w:szCs w:val="24"/>
          <w:lang w:val="fr-FR"/>
        </w:rPr>
        <w:t xml:space="preserve">Cremer A, Amraoui F, Lip GY, et al. </w:t>
      </w:r>
      <w:r w:rsidRPr="007C5A89">
        <w:rPr>
          <w:rStyle w:val="ac"/>
          <w:rFonts w:eastAsiaTheme="majorEastAsia"/>
          <w:sz w:val="24"/>
          <w:szCs w:val="24"/>
          <w:lang w:val="en-US"/>
        </w:rPr>
        <w:t xml:space="preserve">From malignant hypertension to hypertension-MOD: a modern definition for an old but still dangerous emergency. J Hum Hypertens </w:t>
      </w:r>
      <w:r w:rsidRPr="007C5A89">
        <w:rPr>
          <w:rStyle w:val="ac"/>
          <w:rFonts w:eastAsiaTheme="majorEastAsia"/>
          <w:sz w:val="24"/>
          <w:szCs w:val="24"/>
        </w:rPr>
        <w:t>2016</w:t>
      </w:r>
      <w:proofErr w:type="gramStart"/>
      <w:r w:rsidRPr="007C5A89">
        <w:rPr>
          <w:rStyle w:val="ac"/>
          <w:rFonts w:eastAsiaTheme="majorEastAsia"/>
          <w:sz w:val="24"/>
          <w:szCs w:val="24"/>
        </w:rPr>
        <w:t>;30:463</w:t>
      </w:r>
      <w:proofErr w:type="gramEnd"/>
      <w:r w:rsidRPr="007C5A89">
        <w:rPr>
          <w:rStyle w:val="ac"/>
          <w:rFonts w:eastAsiaTheme="majorEastAsia"/>
          <w:sz w:val="24"/>
          <w:szCs w:val="24"/>
        </w:rPr>
        <w:t>–466..</w:t>
      </w:r>
    </w:p>
    <w:p w14:paraId="67060EF2"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Pinna G, Pascale C, Fornengo P, et al. Hospital admissions for hypertensive crisis in the emergency departments: a large multicenter Italian study. PLoS One 2014</w:t>
      </w:r>
      <w:proofErr w:type="gramStart"/>
      <w:r w:rsidRPr="007C5A89">
        <w:rPr>
          <w:rStyle w:val="ac"/>
          <w:rFonts w:eastAsiaTheme="majorEastAsia"/>
          <w:sz w:val="24"/>
          <w:szCs w:val="24"/>
          <w:lang w:val="en-US"/>
        </w:rPr>
        <w:t>;9:e93542</w:t>
      </w:r>
      <w:proofErr w:type="gramEnd"/>
      <w:r w:rsidRPr="007C5A89">
        <w:rPr>
          <w:rStyle w:val="ac"/>
          <w:rFonts w:eastAsiaTheme="majorEastAsia"/>
          <w:sz w:val="24"/>
          <w:szCs w:val="24"/>
          <w:lang w:val="en-US"/>
        </w:rPr>
        <w:t>..</w:t>
      </w:r>
    </w:p>
    <w:p w14:paraId="6E78583E"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 xml:space="preserve">van den Born BJ, Lowenberg EC, van der Hoeven NV, et al. Endothelial dysfunction, </w:t>
      </w:r>
      <w:r w:rsidRPr="007C5A89">
        <w:rPr>
          <w:rStyle w:val="ac"/>
          <w:rFonts w:eastAsiaTheme="majorEastAsia"/>
          <w:sz w:val="24"/>
          <w:szCs w:val="24"/>
          <w:lang w:val="en-US"/>
        </w:rPr>
        <w:lastRenderedPageBreak/>
        <w:t>platelet activation, thrombogenesis and fibrinolysis in patients with hypertensive crisis. J Hypertens 2011</w:t>
      </w:r>
      <w:proofErr w:type="gramStart"/>
      <w:r w:rsidRPr="007C5A89">
        <w:rPr>
          <w:rStyle w:val="ac"/>
          <w:rFonts w:eastAsiaTheme="majorEastAsia"/>
          <w:sz w:val="24"/>
          <w:szCs w:val="24"/>
          <w:lang w:val="en-US"/>
        </w:rPr>
        <w:t>;29:922</w:t>
      </w:r>
      <w:proofErr w:type="gramEnd"/>
      <w:r w:rsidRPr="007C5A89">
        <w:rPr>
          <w:rStyle w:val="ac"/>
          <w:rFonts w:eastAsiaTheme="majorEastAsia"/>
          <w:sz w:val="24"/>
          <w:szCs w:val="24"/>
          <w:lang w:val="en-US"/>
        </w:rPr>
        <w:t>–927..</w:t>
      </w:r>
    </w:p>
    <w:p w14:paraId="19DE25CE"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«Grassi D, O’Flaherty M, Pellizzari M, et al. </w:t>
      </w:r>
      <w:r w:rsidRPr="007C5A89">
        <w:rPr>
          <w:rStyle w:val="ac"/>
          <w:rFonts w:eastAsiaTheme="majorEastAsia"/>
          <w:sz w:val="24"/>
          <w:szCs w:val="24"/>
          <w:lang w:val="en-US"/>
        </w:rPr>
        <w:t>Hypertensive urgencies in the emergency department: evaluating blood pressure response to rest and to antihypertensive drugs with different profiles. J Clin Hypertens (Greenwich) 2008</w:t>
      </w:r>
      <w:proofErr w:type="gramStart"/>
      <w:r w:rsidRPr="007C5A89">
        <w:rPr>
          <w:rStyle w:val="ac"/>
          <w:rFonts w:eastAsiaTheme="majorEastAsia"/>
          <w:sz w:val="24"/>
          <w:szCs w:val="24"/>
          <w:lang w:val="en-US"/>
        </w:rPr>
        <w:t>;10:662</w:t>
      </w:r>
      <w:proofErr w:type="gramEnd"/>
      <w:r w:rsidRPr="007C5A89">
        <w:rPr>
          <w:rStyle w:val="ac"/>
          <w:rFonts w:eastAsiaTheme="majorEastAsia"/>
          <w:sz w:val="24"/>
          <w:szCs w:val="24"/>
          <w:lang w:val="en-US"/>
        </w:rPr>
        <w:t>–667.».</w:t>
      </w:r>
    </w:p>
    <w:p w14:paraId="7A5D1D3C"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«Perez MI, Musini VM. Pharmacological interventions for hypertensive emergencies: a Cochrane systematic review. J Hum Hypertens </w:t>
      </w:r>
      <w:r w:rsidRPr="007C5A89">
        <w:rPr>
          <w:rStyle w:val="ac"/>
          <w:rFonts w:eastAsiaTheme="majorEastAsia"/>
          <w:sz w:val="24"/>
          <w:szCs w:val="24"/>
        </w:rPr>
        <w:t>2008</w:t>
      </w:r>
      <w:proofErr w:type="gramStart"/>
      <w:r w:rsidRPr="007C5A89">
        <w:rPr>
          <w:rStyle w:val="ac"/>
          <w:rFonts w:eastAsiaTheme="majorEastAsia"/>
          <w:sz w:val="24"/>
          <w:szCs w:val="24"/>
        </w:rPr>
        <w:t>;22:596</w:t>
      </w:r>
      <w:proofErr w:type="gramEnd"/>
      <w:r w:rsidRPr="007C5A89">
        <w:rPr>
          <w:rStyle w:val="ac"/>
          <w:rFonts w:eastAsiaTheme="majorEastAsia"/>
          <w:sz w:val="24"/>
          <w:szCs w:val="24"/>
        </w:rPr>
        <w:t>–607.».</w:t>
      </w:r>
    </w:p>
    <w:p w14:paraId="613778FC"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«Grossman A, Messerli FH, Grossman E. Drug induced hypertension — An unappreciated cause of secondary hypertension. Eur J Pharmacol </w:t>
      </w:r>
      <w:r w:rsidRPr="007C5A89">
        <w:rPr>
          <w:rStyle w:val="ac"/>
          <w:rFonts w:eastAsiaTheme="majorEastAsia"/>
          <w:sz w:val="24"/>
          <w:szCs w:val="24"/>
        </w:rPr>
        <w:t>2015</w:t>
      </w:r>
      <w:proofErr w:type="gramStart"/>
      <w:r w:rsidRPr="007C5A89">
        <w:rPr>
          <w:rStyle w:val="ac"/>
          <w:rFonts w:eastAsiaTheme="majorEastAsia"/>
          <w:sz w:val="24"/>
          <w:szCs w:val="24"/>
        </w:rPr>
        <w:t>;763:15</w:t>
      </w:r>
      <w:proofErr w:type="gramEnd"/>
      <w:r w:rsidRPr="007C5A89">
        <w:rPr>
          <w:rStyle w:val="ac"/>
          <w:rFonts w:eastAsiaTheme="majorEastAsia"/>
          <w:sz w:val="24"/>
          <w:szCs w:val="24"/>
        </w:rPr>
        <w:t>–22.».</w:t>
      </w:r>
    </w:p>
    <w:p w14:paraId="282954DC" w14:textId="77777777" w:rsidR="00CB781F" w:rsidRPr="00BA6915" w:rsidRDefault="00CB781F" w:rsidP="00424F51">
      <w:pPr>
        <w:pStyle w:val="11"/>
        <w:numPr>
          <w:ilvl w:val="0"/>
          <w:numId w:val="42"/>
        </w:numPr>
        <w:tabs>
          <w:tab w:val="left" w:pos="709"/>
          <w:tab w:val="left" w:pos="1280"/>
          <w:tab w:val="left" w:pos="2105"/>
          <w:tab w:val="left" w:pos="2906"/>
          <w:tab w:val="left" w:pos="4370"/>
          <w:tab w:val="left" w:pos="5407"/>
          <w:tab w:val="left" w:pos="6127"/>
          <w:tab w:val="left" w:pos="8508"/>
          <w:tab w:val="left" w:pos="9305"/>
        </w:tabs>
        <w:spacing w:line="276" w:lineRule="auto"/>
        <w:ind w:left="709" w:hanging="709"/>
        <w:jc w:val="both"/>
        <w:rPr>
          <w:sz w:val="24"/>
          <w:szCs w:val="24"/>
        </w:rPr>
      </w:pPr>
      <w:r w:rsidRPr="007C5A89">
        <w:rPr>
          <w:rStyle w:val="ac"/>
          <w:rFonts w:eastAsiaTheme="majorEastAsia"/>
          <w:sz w:val="24"/>
          <w:szCs w:val="24"/>
        </w:rPr>
        <w:t xml:space="preserve">«Приказ Министерства здравоохранения РФ от 31 июля 2020 г. </w:t>
      </w:r>
      <w:r w:rsidRPr="007C5A89">
        <w:rPr>
          <w:rStyle w:val="ac"/>
          <w:rFonts w:eastAsiaTheme="majorEastAsia"/>
          <w:sz w:val="24"/>
          <w:szCs w:val="24"/>
          <w:lang w:val="en-US"/>
        </w:rPr>
        <w:t>N</w:t>
      </w:r>
      <w:r w:rsidRPr="007C5A89">
        <w:rPr>
          <w:rStyle w:val="ac"/>
          <w:rFonts w:eastAsiaTheme="majorEastAsia"/>
          <w:sz w:val="24"/>
          <w:szCs w:val="24"/>
        </w:rPr>
        <w:t xml:space="preserve"> 778н "О Порядке организации медицинской реабилитации взрослых" Зарегистрировано в Минюсте РФ</w:t>
      </w:r>
      <w:r w:rsidRPr="007C5A89">
        <w:rPr>
          <w:rStyle w:val="ac"/>
          <w:rFonts w:eastAsiaTheme="majorEastAsia"/>
          <w:sz w:val="24"/>
          <w:szCs w:val="24"/>
        </w:rPr>
        <w:tab/>
        <w:t>25</w:t>
      </w:r>
      <w:r w:rsidRPr="007C5A89">
        <w:rPr>
          <w:rStyle w:val="ac"/>
          <w:rFonts w:eastAsiaTheme="majorEastAsia"/>
          <w:sz w:val="24"/>
          <w:szCs w:val="24"/>
        </w:rPr>
        <w:tab/>
        <w:t>сентября</w:t>
      </w:r>
      <w:r w:rsidRPr="007C5A89">
        <w:rPr>
          <w:rStyle w:val="ac"/>
          <w:rFonts w:eastAsiaTheme="majorEastAsia"/>
          <w:sz w:val="24"/>
          <w:szCs w:val="24"/>
        </w:rPr>
        <w:tab/>
        <w:t>2020</w:t>
      </w:r>
      <w:r w:rsidRPr="007C5A89">
        <w:rPr>
          <w:rStyle w:val="ac"/>
          <w:rFonts w:eastAsiaTheme="majorEastAsia"/>
          <w:sz w:val="24"/>
          <w:szCs w:val="24"/>
        </w:rPr>
        <w:tab/>
        <w:t>г.</w:t>
      </w:r>
      <w:r w:rsidRPr="007C5A89">
        <w:rPr>
          <w:rStyle w:val="ac"/>
          <w:rFonts w:eastAsiaTheme="majorEastAsia"/>
          <w:sz w:val="24"/>
          <w:szCs w:val="24"/>
        </w:rPr>
        <w:tab/>
        <w:t>Регистрационный</w:t>
      </w:r>
      <w:r w:rsidRPr="007C5A89">
        <w:rPr>
          <w:rStyle w:val="ac"/>
          <w:rFonts w:eastAsiaTheme="majorEastAsia"/>
          <w:sz w:val="24"/>
          <w:szCs w:val="24"/>
        </w:rPr>
        <w:tab/>
        <w:t>№</w:t>
      </w:r>
      <w:r w:rsidR="00BA6915">
        <w:rPr>
          <w:rStyle w:val="ac"/>
          <w:rFonts w:eastAsiaTheme="majorEastAsia"/>
          <w:sz w:val="24"/>
          <w:szCs w:val="24"/>
        </w:rPr>
        <w:t xml:space="preserve"> </w:t>
      </w:r>
      <w:r w:rsidRPr="007C5A89">
        <w:rPr>
          <w:rStyle w:val="ac"/>
          <w:rFonts w:eastAsiaTheme="majorEastAsia"/>
          <w:sz w:val="24"/>
          <w:szCs w:val="24"/>
        </w:rPr>
        <w:t>60039</w:t>
      </w:r>
      <w:r w:rsidR="00BA6915">
        <w:rPr>
          <w:sz w:val="24"/>
          <w:szCs w:val="24"/>
        </w:rPr>
        <w:t xml:space="preserve"> </w:t>
      </w:r>
      <w:hyperlink r:id="rId29" w:history="1">
        <w:r w:rsidR="00BA6915" w:rsidRPr="003D3BC6">
          <w:rPr>
            <w:rStyle w:val="afd"/>
            <w:rFonts w:eastAsiaTheme="majorEastAsia"/>
            <w:sz w:val="24"/>
            <w:szCs w:val="24"/>
            <w:lang w:val="en-US"/>
          </w:rPr>
          <w:t>https</w:t>
        </w:r>
        <w:r w:rsidR="00BA6915" w:rsidRPr="003D3BC6">
          <w:rPr>
            <w:rStyle w:val="afd"/>
            <w:rFonts w:eastAsiaTheme="majorEastAsia"/>
            <w:sz w:val="24"/>
            <w:szCs w:val="24"/>
          </w:rPr>
          <w:t>://</w:t>
        </w:r>
        <w:r w:rsidR="00BA6915" w:rsidRPr="003D3BC6">
          <w:rPr>
            <w:rStyle w:val="afd"/>
            <w:rFonts w:eastAsiaTheme="majorEastAsia"/>
            <w:sz w:val="24"/>
            <w:szCs w:val="24"/>
            <w:lang w:val="en-US"/>
          </w:rPr>
          <w:t>www</w:t>
        </w:r>
        <w:r w:rsidR="00BA6915" w:rsidRPr="003D3BC6">
          <w:rPr>
            <w:rStyle w:val="afd"/>
            <w:rFonts w:eastAsiaTheme="majorEastAsia"/>
            <w:sz w:val="24"/>
            <w:szCs w:val="24"/>
          </w:rPr>
          <w:t>.</w:t>
        </w:r>
        <w:r w:rsidR="00BA6915" w:rsidRPr="003D3BC6">
          <w:rPr>
            <w:rStyle w:val="afd"/>
            <w:rFonts w:eastAsiaTheme="majorEastAsia"/>
            <w:sz w:val="24"/>
            <w:szCs w:val="24"/>
            <w:lang w:val="en-US"/>
          </w:rPr>
          <w:t>garant</w:t>
        </w:r>
        <w:r w:rsidR="00BA6915" w:rsidRPr="003D3BC6">
          <w:rPr>
            <w:rStyle w:val="afd"/>
            <w:rFonts w:eastAsiaTheme="majorEastAsia"/>
            <w:sz w:val="24"/>
            <w:szCs w:val="24"/>
          </w:rPr>
          <w:t>.</w:t>
        </w:r>
        <w:r w:rsidR="00BA6915" w:rsidRPr="003D3BC6">
          <w:rPr>
            <w:rStyle w:val="afd"/>
            <w:rFonts w:eastAsiaTheme="majorEastAsia"/>
            <w:sz w:val="24"/>
            <w:szCs w:val="24"/>
            <w:lang w:val="en-US"/>
          </w:rPr>
          <w:t>ru</w:t>
        </w:r>
        <w:r w:rsidR="00BA6915" w:rsidRPr="003D3BC6">
          <w:rPr>
            <w:rStyle w:val="afd"/>
            <w:rFonts w:eastAsiaTheme="majorEastAsia"/>
            <w:sz w:val="24"/>
            <w:szCs w:val="24"/>
          </w:rPr>
          <w:t>/</w:t>
        </w:r>
        <w:r w:rsidR="00BA6915" w:rsidRPr="003D3BC6">
          <w:rPr>
            <w:rStyle w:val="afd"/>
            <w:rFonts w:eastAsiaTheme="majorEastAsia"/>
            <w:sz w:val="24"/>
            <w:szCs w:val="24"/>
            <w:lang w:val="en-US"/>
          </w:rPr>
          <w:t>products</w:t>
        </w:r>
        <w:r w:rsidR="00BA6915" w:rsidRPr="003D3BC6">
          <w:rPr>
            <w:rStyle w:val="afd"/>
            <w:rFonts w:eastAsiaTheme="majorEastAsia"/>
            <w:sz w:val="24"/>
            <w:szCs w:val="24"/>
          </w:rPr>
          <w:t>/</w:t>
        </w:r>
        <w:r w:rsidR="00BA6915" w:rsidRPr="003D3BC6">
          <w:rPr>
            <w:rStyle w:val="afd"/>
            <w:rFonts w:eastAsiaTheme="majorEastAsia"/>
            <w:sz w:val="24"/>
            <w:szCs w:val="24"/>
            <w:lang w:val="en-US"/>
          </w:rPr>
          <w:t>ipo</w:t>
        </w:r>
        <w:r w:rsidR="00BA6915" w:rsidRPr="003D3BC6">
          <w:rPr>
            <w:rStyle w:val="afd"/>
            <w:rFonts w:eastAsiaTheme="majorEastAsia"/>
            <w:sz w:val="24"/>
            <w:szCs w:val="24"/>
          </w:rPr>
          <w:t>/</w:t>
        </w:r>
        <w:r w:rsidR="00BA6915" w:rsidRPr="003D3BC6">
          <w:rPr>
            <w:rStyle w:val="afd"/>
            <w:rFonts w:eastAsiaTheme="majorEastAsia"/>
            <w:sz w:val="24"/>
            <w:szCs w:val="24"/>
            <w:lang w:val="en-US"/>
          </w:rPr>
          <w:t>prime</w:t>
        </w:r>
        <w:r w:rsidR="00BA6915" w:rsidRPr="003D3BC6">
          <w:rPr>
            <w:rStyle w:val="afd"/>
            <w:rFonts w:eastAsiaTheme="majorEastAsia"/>
            <w:sz w:val="24"/>
            <w:szCs w:val="24"/>
          </w:rPr>
          <w:t>/</w:t>
        </w:r>
        <w:r w:rsidR="00BA6915" w:rsidRPr="003D3BC6">
          <w:rPr>
            <w:rStyle w:val="afd"/>
            <w:rFonts w:eastAsiaTheme="majorEastAsia"/>
            <w:sz w:val="24"/>
            <w:szCs w:val="24"/>
            <w:lang w:val="en-US"/>
          </w:rPr>
          <w:t>doc</w:t>
        </w:r>
        <w:r w:rsidR="00BA6915" w:rsidRPr="003D3BC6">
          <w:rPr>
            <w:rStyle w:val="afd"/>
            <w:rFonts w:eastAsiaTheme="majorEastAsia"/>
            <w:sz w:val="24"/>
            <w:szCs w:val="24"/>
          </w:rPr>
          <w:t>/74581688/»</w:t>
        </w:r>
      </w:hyperlink>
      <w:r w:rsidRPr="00BA6915">
        <w:rPr>
          <w:rStyle w:val="ac"/>
          <w:rFonts w:eastAsiaTheme="majorEastAsia"/>
          <w:sz w:val="24"/>
          <w:szCs w:val="24"/>
        </w:rPr>
        <w:t>.</w:t>
      </w:r>
    </w:p>
    <w:p w14:paraId="54A93252"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«Cicero A.F.G., Grassi D., Tocci G., et al. </w:t>
      </w:r>
      <w:r w:rsidRPr="007C5A89">
        <w:rPr>
          <w:rStyle w:val="ac"/>
          <w:rFonts w:eastAsiaTheme="majorEastAsia"/>
          <w:sz w:val="24"/>
          <w:szCs w:val="24"/>
          <w:lang w:val="en-US"/>
        </w:rPr>
        <w:t>Nutrients and nutraceuticals for the management of high normal blood pressure: an evidence-based consensus document. High Blood Press Cardiovasc Prev. 2019</w:t>
      </w:r>
      <w:proofErr w:type="gramStart"/>
      <w:r w:rsidRPr="007C5A89">
        <w:rPr>
          <w:rStyle w:val="ac"/>
          <w:rFonts w:eastAsiaTheme="majorEastAsia"/>
          <w:sz w:val="24"/>
          <w:szCs w:val="24"/>
          <w:lang w:val="en-US"/>
        </w:rPr>
        <w:t>;26:9</w:t>
      </w:r>
      <w:proofErr w:type="gramEnd"/>
      <w:r w:rsidRPr="007C5A89">
        <w:rPr>
          <w:rStyle w:val="ac"/>
          <w:rFonts w:eastAsiaTheme="majorEastAsia"/>
          <w:sz w:val="24"/>
          <w:szCs w:val="24"/>
          <w:lang w:val="en-US"/>
        </w:rPr>
        <w:t>–25.».</w:t>
      </w:r>
    </w:p>
    <w:p w14:paraId="79FC48AE"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«Global Burden of Disease Risk Factor Collaborators. Global, regional, and national comparative risk assessment of 84 behavioural, environmental and occupational, and metabolic risks or clusters of risks, 1990– 2016: a systematic analysis for the</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 xml:space="preserve"> </w:t>
      </w:r>
      <w:r w:rsidRPr="007C5A89">
        <w:rPr>
          <w:rStyle w:val="ac"/>
          <w:rFonts w:eastAsiaTheme="majorEastAsia"/>
          <w:i/>
          <w:iCs/>
          <w:sz w:val="24"/>
          <w:szCs w:val="24"/>
          <w:lang w:val="en-US"/>
        </w:rPr>
        <w:t xml:space="preserve">Global Burden of Disease Study 2016. Lancet. </w:t>
      </w:r>
      <w:r w:rsidRPr="007C5A89">
        <w:rPr>
          <w:rStyle w:val="ac"/>
          <w:rFonts w:eastAsiaTheme="majorEastAsia"/>
          <w:i/>
          <w:iCs/>
          <w:sz w:val="24"/>
          <w:szCs w:val="24"/>
        </w:rPr>
        <w:t>2017;390:1345–1422..</w:t>
      </w:r>
    </w:p>
    <w:p w14:paraId="5E7D33B2"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«Lopez S.A.L. Effectiveness of the mindfulness-based stress reduction program on blood pressure: a systematic review of literature. Worldviews Evid Based Nurs. </w:t>
      </w:r>
      <w:r w:rsidRPr="007C5A89">
        <w:rPr>
          <w:rStyle w:val="ac"/>
          <w:rFonts w:eastAsiaTheme="majorEastAsia"/>
          <w:sz w:val="24"/>
          <w:szCs w:val="24"/>
        </w:rPr>
        <w:t>2018;15:344– 352.».</w:t>
      </w:r>
    </w:p>
    <w:p w14:paraId="04351081"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F03632">
        <w:rPr>
          <w:rStyle w:val="ac"/>
          <w:rFonts w:eastAsiaTheme="majorEastAsia"/>
          <w:sz w:val="24"/>
          <w:szCs w:val="24"/>
          <w:lang w:val="fr-FR"/>
        </w:rPr>
        <w:t xml:space="preserve">«Ambrosetti M., Abreu A., Corrà U., et al. </w:t>
      </w:r>
      <w:r w:rsidRPr="007C5A89">
        <w:rPr>
          <w:rStyle w:val="ac"/>
          <w:rFonts w:eastAsiaTheme="majorEastAsia"/>
          <w:sz w:val="24"/>
          <w:szCs w:val="24"/>
          <w:lang w:val="en-US"/>
        </w:rPr>
        <w:t>Secondary prevention through comprehensive cardiovascular rehabilitation: From knowledge to implementation. 2020 update. A position paper from the Secondary Prevention and Rehabilitation Section of the</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 xml:space="preserve"> </w:t>
      </w:r>
      <w:r w:rsidRPr="007C5A89">
        <w:rPr>
          <w:rStyle w:val="ac"/>
          <w:rFonts w:eastAsiaTheme="majorEastAsia"/>
          <w:i/>
          <w:iCs/>
          <w:sz w:val="24"/>
          <w:szCs w:val="24"/>
          <w:lang w:val="en-US"/>
        </w:rPr>
        <w:t xml:space="preserve">European Association of Preventive Cardiology. European Journal of Preventive Cardiology. </w:t>
      </w:r>
      <w:r w:rsidRPr="007C5A89">
        <w:rPr>
          <w:rStyle w:val="ac"/>
          <w:rFonts w:eastAsiaTheme="majorEastAsia"/>
          <w:i/>
          <w:iCs/>
          <w:sz w:val="24"/>
          <w:szCs w:val="24"/>
        </w:rPr>
        <w:t xml:space="preserve">2020; 28:460-495. </w:t>
      </w:r>
      <w:r w:rsidRPr="007C5A89">
        <w:rPr>
          <w:rStyle w:val="ac"/>
          <w:rFonts w:eastAsiaTheme="majorEastAsia"/>
          <w:i/>
          <w:iCs/>
          <w:sz w:val="24"/>
          <w:szCs w:val="24"/>
          <w:lang w:val="en-US"/>
        </w:rPr>
        <w:t xml:space="preserve">doi: 10.1177/2047487320913379.PMID: </w:t>
      </w:r>
      <w:proofErr w:type="gramStart"/>
      <w:r w:rsidRPr="007C5A89">
        <w:rPr>
          <w:rStyle w:val="ac"/>
          <w:rFonts w:eastAsiaTheme="majorEastAsia"/>
          <w:i/>
          <w:iCs/>
          <w:sz w:val="24"/>
          <w:szCs w:val="24"/>
        </w:rPr>
        <w:t>32223332..</w:t>
      </w:r>
      <w:proofErr w:type="gramEnd"/>
    </w:p>
    <w:p w14:paraId="02C6DA5E"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F03632">
        <w:rPr>
          <w:rStyle w:val="ac"/>
          <w:rFonts w:eastAsiaTheme="majorEastAsia"/>
          <w:sz w:val="24"/>
          <w:szCs w:val="24"/>
          <w:lang w:val="fr-FR"/>
        </w:rPr>
        <w:t xml:space="preserve">«Juocevicius A., Oral A., Lukmann A, et al. </w:t>
      </w:r>
      <w:r w:rsidRPr="007C5A89">
        <w:rPr>
          <w:rStyle w:val="ac"/>
          <w:rFonts w:eastAsiaTheme="majorEastAsia"/>
          <w:sz w:val="24"/>
          <w:szCs w:val="24"/>
          <w:lang w:val="en-US"/>
        </w:rPr>
        <w:t>Evidence-based position paper on Physical and Rehabilitation Medicine (PRM) professional practice for people with cardiovascular conditions. The European PRM position (UEMS PRM Section).</w:t>
      </w:r>
      <w:proofErr w:type="gramStart"/>
      <w:r w:rsidRPr="007C5A89">
        <w:rPr>
          <w:rStyle w:val="ac"/>
          <w:rFonts w:eastAsiaTheme="majorEastAsia"/>
          <w:sz w:val="24"/>
          <w:szCs w:val="24"/>
          <w:lang w:val="en-US"/>
        </w:rPr>
        <w:t>,»</w:t>
      </w:r>
      <w:proofErr w:type="gramEnd"/>
      <w:r w:rsidRPr="007C5A89">
        <w:rPr>
          <w:rStyle w:val="ac"/>
          <w:rFonts w:eastAsiaTheme="majorEastAsia"/>
          <w:sz w:val="24"/>
          <w:szCs w:val="24"/>
          <w:lang w:val="en-US"/>
        </w:rPr>
        <w:t xml:space="preserve"> </w:t>
      </w:r>
      <w:r w:rsidRPr="007C5A89">
        <w:rPr>
          <w:rStyle w:val="ac"/>
          <w:rFonts w:eastAsiaTheme="majorEastAsia"/>
          <w:i/>
          <w:iCs/>
          <w:sz w:val="24"/>
          <w:szCs w:val="24"/>
          <w:lang w:val="en-US"/>
        </w:rPr>
        <w:t xml:space="preserve">European Journal of Physical and Rehabilitation Medicine. </w:t>
      </w:r>
      <w:r w:rsidRPr="007C5A89">
        <w:rPr>
          <w:rStyle w:val="ac"/>
          <w:rFonts w:eastAsiaTheme="majorEastAsia"/>
          <w:i/>
          <w:iCs/>
          <w:sz w:val="24"/>
          <w:szCs w:val="24"/>
        </w:rPr>
        <w:t xml:space="preserve">2018;54(4):634-43. </w:t>
      </w:r>
      <w:r w:rsidRPr="007C5A89">
        <w:rPr>
          <w:rStyle w:val="ac"/>
          <w:rFonts w:eastAsiaTheme="majorEastAsia"/>
          <w:i/>
          <w:iCs/>
          <w:sz w:val="24"/>
          <w:szCs w:val="24"/>
          <w:lang w:val="en-US"/>
        </w:rPr>
        <w:t xml:space="preserve">doi: 10.23736/S1973- </w:t>
      </w:r>
      <w:r w:rsidRPr="007C5A89">
        <w:rPr>
          <w:rStyle w:val="ac"/>
          <w:rFonts w:eastAsiaTheme="majorEastAsia"/>
          <w:i/>
          <w:iCs/>
          <w:sz w:val="24"/>
          <w:szCs w:val="24"/>
        </w:rPr>
        <w:t>9087.18.05310-</w:t>
      </w:r>
      <w:proofErr w:type="gramStart"/>
      <w:r w:rsidRPr="007C5A89">
        <w:rPr>
          <w:rStyle w:val="ac"/>
          <w:rFonts w:eastAsiaTheme="majorEastAsia"/>
          <w:i/>
          <w:iCs/>
          <w:sz w:val="24"/>
          <w:szCs w:val="24"/>
        </w:rPr>
        <w:t>8..</w:t>
      </w:r>
      <w:proofErr w:type="gramEnd"/>
    </w:p>
    <w:p w14:paraId="21B3EFCA"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rPr>
        <w:t xml:space="preserve">«Иванова Г.Е., Мельникова Е.В., Шмонин А.А., и др. Применение международной классификации функционирования в процессе медицинской реабилитации. Вестник восстановительной медицины. 2018. № 6 (88). С. 2-77. </w:t>
      </w:r>
      <w:r w:rsidRPr="007C5A89">
        <w:rPr>
          <w:rStyle w:val="ac"/>
          <w:rFonts w:eastAsiaTheme="majorEastAsia"/>
          <w:sz w:val="24"/>
          <w:szCs w:val="24"/>
          <w:lang w:val="en-US"/>
        </w:rPr>
        <w:t xml:space="preserve">eLIBRARY ID: </w:t>
      </w:r>
      <w:r w:rsidRPr="007C5A89">
        <w:rPr>
          <w:rStyle w:val="ac"/>
          <w:rFonts w:eastAsiaTheme="majorEastAsia"/>
          <w:sz w:val="24"/>
          <w:szCs w:val="24"/>
        </w:rPr>
        <w:t>36486374.».</w:t>
      </w:r>
    </w:p>
    <w:p w14:paraId="0F02CF3C" w14:textId="77777777" w:rsidR="00CB781F" w:rsidRPr="00BA6915" w:rsidRDefault="00CB781F" w:rsidP="00424F51">
      <w:pPr>
        <w:pStyle w:val="11"/>
        <w:numPr>
          <w:ilvl w:val="0"/>
          <w:numId w:val="42"/>
        </w:numPr>
        <w:tabs>
          <w:tab w:val="left" w:pos="709"/>
          <w:tab w:val="left" w:pos="1280"/>
          <w:tab w:val="left" w:pos="2426"/>
        </w:tabs>
        <w:spacing w:line="276" w:lineRule="auto"/>
        <w:ind w:left="709" w:hanging="709"/>
        <w:jc w:val="both"/>
        <w:rPr>
          <w:sz w:val="24"/>
          <w:szCs w:val="24"/>
        </w:rPr>
      </w:pPr>
      <w:r w:rsidRPr="007C5A89">
        <w:rPr>
          <w:rStyle w:val="ac"/>
          <w:rFonts w:eastAsiaTheme="majorEastAsia"/>
          <w:sz w:val="24"/>
          <w:szCs w:val="24"/>
          <w:lang w:val="en-US"/>
        </w:rPr>
        <w:t xml:space="preserve">«Barber S., Thornicroft G. Reducing the Mortality Gap in People </w:t>
      </w:r>
      <w:proofErr w:type="gramStart"/>
      <w:r w:rsidRPr="007C5A89">
        <w:rPr>
          <w:rStyle w:val="ac"/>
          <w:rFonts w:eastAsiaTheme="majorEastAsia"/>
          <w:sz w:val="24"/>
          <w:szCs w:val="24"/>
          <w:lang w:val="en-US"/>
        </w:rPr>
        <w:t>With</w:t>
      </w:r>
      <w:proofErr w:type="gramEnd"/>
      <w:r w:rsidRPr="007C5A89">
        <w:rPr>
          <w:rStyle w:val="ac"/>
          <w:rFonts w:eastAsiaTheme="majorEastAsia"/>
          <w:sz w:val="24"/>
          <w:szCs w:val="24"/>
          <w:lang w:val="en-US"/>
        </w:rPr>
        <w:t xml:space="preserve"> Severe Mental Disorders:</w:t>
      </w:r>
      <w:r w:rsidRPr="007C5A89">
        <w:rPr>
          <w:rStyle w:val="ac"/>
          <w:rFonts w:eastAsiaTheme="majorEastAsia"/>
          <w:sz w:val="24"/>
          <w:szCs w:val="24"/>
          <w:lang w:val="en-US"/>
        </w:rPr>
        <w:tab/>
        <w:t>The Role of Lifestyle Psychosocial Interventions. Front Psychiatry.</w:t>
      </w:r>
      <w:r w:rsidR="00BA6915">
        <w:rPr>
          <w:sz w:val="24"/>
          <w:szCs w:val="24"/>
        </w:rPr>
        <w:t xml:space="preserve"> </w:t>
      </w:r>
      <w:r w:rsidRPr="00BA6915">
        <w:rPr>
          <w:rStyle w:val="ac"/>
          <w:rFonts w:eastAsiaTheme="majorEastAsia"/>
          <w:sz w:val="24"/>
          <w:szCs w:val="24"/>
        </w:rPr>
        <w:t>2018;9:463.».</w:t>
      </w:r>
    </w:p>
    <w:p w14:paraId="79D4F9C6"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«Hanssen H., Boardman H., Deiseroth A., et al. Personalized exercise prescription in the prevention and treatment of arterial hypertension: a Consensus Document from the European Association of Preventive Cardiology (EAPC) and the ESC Council on Hypertensi».</w:t>
      </w:r>
    </w:p>
    <w:p w14:paraId="7A7F1DFB"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«Kraus W.E., Powell K.E., Haskell W.L., et al. 2018 Physical Activity Guidelines Advisory Committee. Physical Activity, All-Cause and Cardiovascular Mortality, and Cardiovascular </w:t>
      </w:r>
      <w:r w:rsidRPr="007C5A89">
        <w:rPr>
          <w:rStyle w:val="ac"/>
          <w:rFonts w:eastAsiaTheme="majorEastAsia"/>
          <w:sz w:val="24"/>
          <w:szCs w:val="24"/>
          <w:lang w:val="en-US"/>
        </w:rPr>
        <w:lastRenderedPageBreak/>
        <w:t xml:space="preserve">Disease. Med Sci Sports Exerc. </w:t>
      </w:r>
      <w:r w:rsidRPr="007C5A89">
        <w:rPr>
          <w:rStyle w:val="ac"/>
          <w:rFonts w:eastAsiaTheme="majorEastAsia"/>
          <w:sz w:val="24"/>
          <w:szCs w:val="24"/>
        </w:rPr>
        <w:t>2019;51:1270-1228.».</w:t>
      </w:r>
    </w:p>
    <w:p w14:paraId="79AE2C87"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«Pescatello L.S., Buchner D.M., Jakicic J.M., et al. for the 2018 Physical activity guidelines advisory committee. Physical Activity to Prevent and Treat Hypertension: A Systematic Review. Med.Sci. Sports Exerc</w:t>
      </w:r>
      <w:proofErr w:type="gramStart"/>
      <w:r w:rsidRPr="007C5A89">
        <w:rPr>
          <w:rStyle w:val="ac"/>
          <w:rFonts w:eastAsiaTheme="majorEastAsia"/>
          <w:sz w:val="24"/>
          <w:szCs w:val="24"/>
        </w:rPr>
        <w:t>..</w:t>
      </w:r>
      <w:proofErr w:type="gramEnd"/>
      <w:r w:rsidRPr="007C5A89">
        <w:rPr>
          <w:rStyle w:val="ac"/>
          <w:rFonts w:eastAsiaTheme="majorEastAsia"/>
          <w:sz w:val="24"/>
          <w:szCs w:val="24"/>
        </w:rPr>
        <w:t xml:space="preserve"> 2019; 51(6): 1314–1323.».</w:t>
      </w:r>
    </w:p>
    <w:p w14:paraId="29EF2B1C"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«Semlitsch T. et al. Increasing physical activity for the treatment of hypertension: a systematic review and meta-analysis. Sports medicine. 2013; 43(10): 1009- 1023.».</w:t>
      </w:r>
    </w:p>
    <w:p w14:paraId="57559295"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«Fletcher G.F., Ades P.A., Kligfield P., et al. American Heart Association Exercise, Cardiac Rehabilitation, and Prevention Committee of the Council on Clinical Cardiology, Council on Nutrition, Physical Activity and Metabolism, Council on,» </w:t>
      </w:r>
      <w:r w:rsidRPr="007C5A89">
        <w:rPr>
          <w:rStyle w:val="ac"/>
          <w:rFonts w:eastAsiaTheme="majorEastAsia"/>
          <w:i/>
          <w:iCs/>
          <w:sz w:val="24"/>
          <w:szCs w:val="24"/>
          <w:lang w:val="en-US"/>
        </w:rPr>
        <w:t xml:space="preserve">Cardiovascular and Stroke Nursing, and Council on Epidemiology and Prevention. Exercise standards for testing and training: a scientific statement from the American Heart Association. Circulation. </w:t>
      </w:r>
      <w:r w:rsidRPr="007C5A89">
        <w:rPr>
          <w:rStyle w:val="ac"/>
          <w:rFonts w:eastAsiaTheme="majorEastAsia"/>
          <w:i/>
          <w:iCs/>
          <w:sz w:val="24"/>
          <w:szCs w:val="24"/>
        </w:rPr>
        <w:t xml:space="preserve">2013;128(8):873-934. </w:t>
      </w:r>
      <w:proofErr w:type="gramStart"/>
      <w:r w:rsidRPr="007C5A89">
        <w:rPr>
          <w:rStyle w:val="ac"/>
          <w:rFonts w:eastAsiaTheme="majorEastAsia"/>
          <w:i/>
          <w:iCs/>
          <w:sz w:val="24"/>
          <w:szCs w:val="24"/>
          <w:lang w:val="en-US"/>
        </w:rPr>
        <w:t>doi:10.1161</w:t>
      </w:r>
      <w:proofErr w:type="gramEnd"/>
      <w:r w:rsidRPr="007C5A89">
        <w:rPr>
          <w:rStyle w:val="ac"/>
          <w:rFonts w:eastAsiaTheme="majorEastAsia"/>
          <w:i/>
          <w:iCs/>
          <w:sz w:val="24"/>
          <w:szCs w:val="24"/>
          <w:lang w:val="en-US"/>
        </w:rPr>
        <w:t xml:space="preserve">/CIR.0b013e31829b5b44. </w:t>
      </w:r>
      <w:r w:rsidRPr="007C5A89">
        <w:rPr>
          <w:rStyle w:val="ac"/>
          <w:rFonts w:eastAsiaTheme="majorEastAsia"/>
          <w:i/>
          <w:iCs/>
          <w:sz w:val="24"/>
          <w:szCs w:val="24"/>
        </w:rPr>
        <w:t>.</w:t>
      </w:r>
    </w:p>
    <w:p w14:paraId="08E54DED"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F03632">
        <w:rPr>
          <w:rStyle w:val="ac"/>
          <w:rFonts w:eastAsiaTheme="majorEastAsia"/>
          <w:sz w:val="24"/>
          <w:szCs w:val="24"/>
          <w:lang w:val="fr-FR"/>
        </w:rPr>
        <w:t xml:space="preserve">«Lu Z., Song Y., Chen H., et al. </w:t>
      </w:r>
      <w:r w:rsidRPr="007C5A89">
        <w:rPr>
          <w:rStyle w:val="ac"/>
          <w:rFonts w:eastAsiaTheme="majorEastAsia"/>
          <w:sz w:val="24"/>
          <w:szCs w:val="24"/>
          <w:lang w:val="en-US"/>
        </w:rPr>
        <w:t xml:space="preserve">A Mixed Comparisons of Aerobic Training </w:t>
      </w:r>
      <w:proofErr w:type="gramStart"/>
      <w:r w:rsidRPr="007C5A89">
        <w:rPr>
          <w:rStyle w:val="ac"/>
          <w:rFonts w:eastAsiaTheme="majorEastAsia"/>
          <w:sz w:val="24"/>
          <w:szCs w:val="24"/>
          <w:lang w:val="en-US"/>
        </w:rPr>
        <w:t>With</w:t>
      </w:r>
      <w:proofErr w:type="gramEnd"/>
      <w:r w:rsidRPr="007C5A89">
        <w:rPr>
          <w:rStyle w:val="ac"/>
          <w:rFonts w:eastAsiaTheme="majorEastAsia"/>
          <w:sz w:val="24"/>
          <w:szCs w:val="24"/>
          <w:lang w:val="en-US"/>
        </w:rPr>
        <w:t xml:space="preserve"> Different Volumes and Intensities of Physical Exercise in Patients With Hypertension: A Systematic Review and Network Meta-Analysis. Cardiovasc. Med. </w:t>
      </w:r>
      <w:r w:rsidRPr="007C5A89">
        <w:rPr>
          <w:rStyle w:val="ac"/>
          <w:rFonts w:eastAsiaTheme="majorEastAsia"/>
          <w:sz w:val="24"/>
          <w:szCs w:val="24"/>
        </w:rPr>
        <w:t>2022</w:t>
      </w:r>
      <w:proofErr w:type="gramStart"/>
      <w:r w:rsidRPr="007C5A89">
        <w:rPr>
          <w:rStyle w:val="ac"/>
          <w:rFonts w:eastAsiaTheme="majorEastAsia"/>
          <w:sz w:val="24"/>
          <w:szCs w:val="24"/>
        </w:rPr>
        <w:t>;»</w:t>
      </w:r>
      <w:proofErr w:type="gramEnd"/>
      <w:r w:rsidRPr="007C5A89">
        <w:rPr>
          <w:rStyle w:val="ac"/>
          <w:rFonts w:eastAsiaTheme="majorEastAsia"/>
          <w:sz w:val="24"/>
          <w:szCs w:val="24"/>
        </w:rPr>
        <w:t>.</w:t>
      </w:r>
    </w:p>
    <w:p w14:paraId="5FEB30DF"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«Whelton S.P., Chin A., Xin X., et al. </w:t>
      </w:r>
      <w:r w:rsidRPr="007C5A89">
        <w:rPr>
          <w:rStyle w:val="ac"/>
          <w:rFonts w:eastAsiaTheme="majorEastAsia"/>
          <w:sz w:val="24"/>
          <w:szCs w:val="24"/>
          <w:lang w:val="en-US"/>
        </w:rPr>
        <w:t>Effect of aerobic exercise on blood pressure: a meta</w:t>
      </w:r>
      <w:r w:rsidRPr="007C5A89">
        <w:rPr>
          <w:rStyle w:val="ac"/>
          <w:rFonts w:eastAsiaTheme="majorEastAsia"/>
          <w:sz w:val="24"/>
          <w:szCs w:val="24"/>
          <w:lang w:val="en-US"/>
        </w:rPr>
        <w:softHyphen/>
        <w:t>analysis of randomized, controlled trials. Ann Intern Med. 2002</w:t>
      </w:r>
      <w:proofErr w:type="gramStart"/>
      <w:r w:rsidRPr="007C5A89">
        <w:rPr>
          <w:rStyle w:val="ac"/>
          <w:rFonts w:eastAsiaTheme="majorEastAsia"/>
          <w:sz w:val="24"/>
          <w:szCs w:val="24"/>
          <w:lang w:val="en-US"/>
        </w:rPr>
        <w:t>;136:493</w:t>
      </w:r>
      <w:proofErr w:type="gramEnd"/>
      <w:r w:rsidRPr="007C5A89">
        <w:rPr>
          <w:rStyle w:val="ac"/>
          <w:rFonts w:eastAsiaTheme="majorEastAsia"/>
          <w:sz w:val="24"/>
          <w:szCs w:val="24"/>
          <w:lang w:val="en-US"/>
        </w:rPr>
        <w:t>–503.».</w:t>
      </w:r>
    </w:p>
    <w:p w14:paraId="5CBEC88E"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«Inder J.D., Carlson D.J., Dieberg G., et al. </w:t>
      </w:r>
      <w:r w:rsidRPr="007C5A89">
        <w:rPr>
          <w:rStyle w:val="ac"/>
          <w:rFonts w:eastAsiaTheme="majorEastAsia"/>
          <w:sz w:val="24"/>
          <w:szCs w:val="24"/>
          <w:lang w:val="en-US"/>
        </w:rPr>
        <w:t>Isometric exercise training for blood pressure management: a systematic review and meta-analysis to optimize benefit. Hypertens Res. 2016</w:t>
      </w:r>
      <w:proofErr w:type="gramStart"/>
      <w:r w:rsidRPr="007C5A89">
        <w:rPr>
          <w:rStyle w:val="ac"/>
          <w:rFonts w:eastAsiaTheme="majorEastAsia"/>
          <w:sz w:val="24"/>
          <w:szCs w:val="24"/>
          <w:lang w:val="en-US"/>
        </w:rPr>
        <w:t>;39:88</w:t>
      </w:r>
      <w:proofErr w:type="gramEnd"/>
      <w:r w:rsidRPr="007C5A89">
        <w:rPr>
          <w:rStyle w:val="ac"/>
          <w:rFonts w:eastAsiaTheme="majorEastAsia"/>
          <w:sz w:val="24"/>
          <w:szCs w:val="24"/>
          <w:lang w:val="en-US"/>
        </w:rPr>
        <w:t>–94.».</w:t>
      </w:r>
    </w:p>
    <w:p w14:paraId="1E20DEDB"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«Borg G. Psychophysical scaling with applications in physical work and the perception of exertion. Scand J Work Environ Health. 1990;16(Suppl </w:t>
      </w:r>
      <w:r w:rsidRPr="007C5A89">
        <w:rPr>
          <w:rStyle w:val="ac"/>
          <w:rFonts w:eastAsiaTheme="majorEastAsia"/>
          <w:sz w:val="24"/>
          <w:szCs w:val="24"/>
        </w:rPr>
        <w:t>1):55–58.».</w:t>
      </w:r>
    </w:p>
    <w:p w14:paraId="6E124748"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F03632">
        <w:rPr>
          <w:rStyle w:val="ac"/>
          <w:rFonts w:eastAsiaTheme="majorEastAsia"/>
          <w:sz w:val="24"/>
          <w:szCs w:val="24"/>
          <w:lang w:val="fr-FR"/>
        </w:rPr>
        <w:t xml:space="preserve">«Duan Y, Xie Z, Dong F, et al. </w:t>
      </w:r>
      <w:r w:rsidRPr="007C5A89">
        <w:rPr>
          <w:rStyle w:val="ac"/>
          <w:rFonts w:eastAsiaTheme="majorEastAsia"/>
          <w:sz w:val="24"/>
          <w:szCs w:val="24"/>
          <w:lang w:val="en-US"/>
        </w:rPr>
        <w:t>Effectiveness of home blood pressure telemonitoring: a systematic review and meta-analysis of randomised controlled studies. J Hum Hypertens. 2017</w:t>
      </w:r>
      <w:proofErr w:type="gramStart"/>
      <w:r w:rsidRPr="007C5A89">
        <w:rPr>
          <w:rStyle w:val="ac"/>
          <w:rFonts w:eastAsiaTheme="majorEastAsia"/>
          <w:sz w:val="24"/>
          <w:szCs w:val="24"/>
          <w:lang w:val="en-US"/>
        </w:rPr>
        <w:t>;31:427</w:t>
      </w:r>
      <w:proofErr w:type="gramEnd"/>
      <w:r w:rsidRPr="007C5A89">
        <w:rPr>
          <w:rStyle w:val="ac"/>
          <w:rFonts w:eastAsiaTheme="majorEastAsia"/>
          <w:sz w:val="24"/>
          <w:szCs w:val="24"/>
          <w:lang w:val="en-US"/>
        </w:rPr>
        <w:t>–437.».</w:t>
      </w:r>
    </w:p>
    <w:p w14:paraId="4E45792F"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«Bray EP, Holder R, Mant J, McManus RJ. Does self-monitoring reduce bloodpressure? Meta-analysis with meta-regression of randomized controlled trials. . Ann Med 2010</w:t>
      </w:r>
      <w:proofErr w:type="gramStart"/>
      <w:r w:rsidRPr="007C5A89">
        <w:rPr>
          <w:rStyle w:val="ac"/>
          <w:rFonts w:eastAsiaTheme="majorEastAsia"/>
          <w:sz w:val="24"/>
          <w:szCs w:val="24"/>
          <w:lang w:val="en-US"/>
        </w:rPr>
        <w:t>;42:371</w:t>
      </w:r>
      <w:proofErr w:type="gramEnd"/>
      <w:r w:rsidRPr="007C5A89">
        <w:rPr>
          <w:rStyle w:val="ac"/>
          <w:rFonts w:eastAsiaTheme="majorEastAsia"/>
          <w:sz w:val="24"/>
          <w:szCs w:val="24"/>
          <w:lang w:val="en-US"/>
        </w:rPr>
        <w:t>–386.».</w:t>
      </w:r>
    </w:p>
    <w:p w14:paraId="5A46ECCB"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«Niiranen TJ, Hanninen MR, Johansson J, et al. Home-measuredblood pressure is a stronger predictor of cardiovascular risk than office bloodpressure: the Finn-Home study. Hypertension 2010</w:t>
      </w:r>
      <w:proofErr w:type="gramStart"/>
      <w:r w:rsidRPr="007C5A89">
        <w:rPr>
          <w:rStyle w:val="ac"/>
          <w:rFonts w:eastAsiaTheme="majorEastAsia"/>
          <w:sz w:val="24"/>
          <w:szCs w:val="24"/>
          <w:lang w:val="en-US"/>
        </w:rPr>
        <w:t>;55:1346</w:t>
      </w:r>
      <w:proofErr w:type="gramEnd"/>
      <w:r w:rsidRPr="007C5A89">
        <w:rPr>
          <w:rStyle w:val="ac"/>
          <w:rFonts w:eastAsiaTheme="majorEastAsia"/>
          <w:sz w:val="24"/>
          <w:szCs w:val="24"/>
          <w:lang w:val="en-US"/>
        </w:rPr>
        <w:t>–1351.».</w:t>
      </w:r>
    </w:p>
    <w:p w14:paraId="6DF71716"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rPr>
        <w:t>«Приказ Министерства здравоохранения Российской Федерации от 15.03.2022 № 168н "Об утверждении порядка проведения диспансерного наблюдения за взрослыми" (Зарегистрирован 21.04.2022 № 68288)».</w:t>
      </w:r>
    </w:p>
    <w:p w14:paraId="3B3DA40C"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rPr>
        <w:t xml:space="preserve">«Лещук, Т. Ю. (2015). Организационно-профилактические мероприятия по выявлению скрытых признаков артериальной гипертензии. CardioСоматика, </w:t>
      </w:r>
      <w:r w:rsidRPr="007C5A89">
        <w:rPr>
          <w:rStyle w:val="ac"/>
          <w:rFonts w:eastAsiaTheme="majorEastAsia"/>
          <w:sz w:val="24"/>
          <w:szCs w:val="24"/>
          <w:lang w:val="en-US"/>
        </w:rPr>
        <w:t xml:space="preserve">(S1), </w:t>
      </w:r>
      <w:r w:rsidRPr="007C5A89">
        <w:rPr>
          <w:rStyle w:val="ac"/>
          <w:rFonts w:eastAsiaTheme="majorEastAsia"/>
          <w:sz w:val="24"/>
          <w:szCs w:val="24"/>
        </w:rPr>
        <w:t>58</w:t>
      </w:r>
      <w:r w:rsidRPr="007C5A89">
        <w:rPr>
          <w:rStyle w:val="ac"/>
          <w:rFonts w:eastAsiaTheme="majorEastAsia"/>
          <w:sz w:val="24"/>
          <w:szCs w:val="24"/>
        </w:rPr>
        <w:softHyphen/>
        <w:t>58.».</w:t>
      </w:r>
    </w:p>
    <w:p w14:paraId="46CB4058"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rPr>
        <w:t xml:space="preserve">«Усманова, Х. С. (2024, </w:t>
      </w:r>
      <w:r w:rsidRPr="007C5A89">
        <w:rPr>
          <w:rStyle w:val="ac"/>
          <w:rFonts w:eastAsiaTheme="majorEastAsia"/>
          <w:sz w:val="24"/>
          <w:szCs w:val="24"/>
          <w:lang w:val="en-US"/>
        </w:rPr>
        <w:t>February</w:t>
      </w:r>
      <w:r w:rsidRPr="007C5A89">
        <w:rPr>
          <w:rStyle w:val="ac"/>
          <w:rFonts w:eastAsiaTheme="majorEastAsia"/>
          <w:sz w:val="24"/>
          <w:szCs w:val="24"/>
        </w:rPr>
        <w:t xml:space="preserve">). РЕНТГЕНОЛОГИЧЕСКИЕ ИЗМЕНЕНИЯ СЕРДЦА ПРИ АРТЕРИАЛЬНОЙ ГИПЕРТЕНЗИИ. </w:t>
      </w:r>
      <w:r w:rsidRPr="007C5A89">
        <w:rPr>
          <w:rStyle w:val="ac"/>
          <w:rFonts w:eastAsiaTheme="majorEastAsia"/>
          <w:sz w:val="24"/>
          <w:szCs w:val="24"/>
          <w:lang w:val="en-US"/>
        </w:rPr>
        <w:t>In Proceedings of International Conference on Modern Science and Scientific Studies (Vol. 3, No. 2, pp. 317-320).».</w:t>
      </w:r>
    </w:p>
    <w:p w14:paraId="7E703D97"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«Julius S, Nesbitt SD, Egan BM, et al. Trial of Preventing Hypertension Study Investigators. Feasibility of treating prehypertension with an angiotensin-receptor blocker. N Engl J Med 2006</w:t>
      </w:r>
      <w:proofErr w:type="gramStart"/>
      <w:r w:rsidRPr="007C5A89">
        <w:rPr>
          <w:rStyle w:val="ac"/>
          <w:rFonts w:eastAsiaTheme="majorEastAsia"/>
          <w:sz w:val="24"/>
          <w:szCs w:val="24"/>
          <w:lang w:val="en-US"/>
        </w:rPr>
        <w:t>;354:1685</w:t>
      </w:r>
      <w:proofErr w:type="gramEnd"/>
      <w:r w:rsidRPr="007C5A89">
        <w:rPr>
          <w:rStyle w:val="ac"/>
          <w:rFonts w:eastAsiaTheme="majorEastAsia"/>
          <w:sz w:val="24"/>
          <w:szCs w:val="24"/>
          <w:lang w:val="en-US"/>
        </w:rPr>
        <w:t>–1697.».</w:t>
      </w:r>
    </w:p>
    <w:p w14:paraId="32F7D0F4"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 xml:space="preserve">«Cook NR, Cutler JA, Obarzanek E et al. Long term effects of dietary sodium reduction on cardiovascular disease outcomes: observational follow-up of the trials of hypertension </w:t>
      </w:r>
      <w:r w:rsidRPr="007C5A89">
        <w:rPr>
          <w:rStyle w:val="ac"/>
          <w:rFonts w:eastAsiaTheme="majorEastAsia"/>
          <w:sz w:val="24"/>
          <w:szCs w:val="24"/>
          <w:lang w:val="en-US"/>
        </w:rPr>
        <w:lastRenderedPageBreak/>
        <w:t>prevention (TOHP). BMJ 2007</w:t>
      </w:r>
      <w:proofErr w:type="gramStart"/>
      <w:r w:rsidRPr="007C5A89">
        <w:rPr>
          <w:rStyle w:val="ac"/>
          <w:rFonts w:eastAsiaTheme="majorEastAsia"/>
          <w:sz w:val="24"/>
          <w:szCs w:val="24"/>
          <w:lang w:val="en-US"/>
        </w:rPr>
        <w:t>;334:885</w:t>
      </w:r>
      <w:proofErr w:type="gramEnd"/>
      <w:r w:rsidRPr="007C5A89">
        <w:rPr>
          <w:rStyle w:val="ac"/>
          <w:rFonts w:eastAsiaTheme="majorEastAsia"/>
          <w:sz w:val="24"/>
          <w:szCs w:val="24"/>
          <w:lang w:val="en-US"/>
        </w:rPr>
        <w:t>–888.».</w:t>
      </w:r>
    </w:p>
    <w:p w14:paraId="6817E74C"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«Fahey T., Schroeder K., Ebrahim S. Educational and organisational interventions used to improve the management of hypertension in primary care: a systematic review //Br J Gen Pract. – 2005. – </w:t>
      </w:r>
      <w:r w:rsidRPr="007C5A89">
        <w:rPr>
          <w:rStyle w:val="ac"/>
          <w:rFonts w:eastAsiaTheme="majorEastAsia"/>
          <w:sz w:val="24"/>
          <w:szCs w:val="24"/>
        </w:rPr>
        <w:t>Т</w:t>
      </w:r>
      <w:r w:rsidRPr="007C5A89">
        <w:rPr>
          <w:rStyle w:val="ac"/>
          <w:rFonts w:eastAsiaTheme="majorEastAsia"/>
          <w:sz w:val="24"/>
          <w:szCs w:val="24"/>
          <w:lang w:val="en-US"/>
        </w:rPr>
        <w:t xml:space="preserve">. 55. – №. </w:t>
      </w:r>
      <w:r w:rsidRPr="007C5A89">
        <w:rPr>
          <w:rStyle w:val="ac"/>
          <w:rFonts w:eastAsiaTheme="majorEastAsia"/>
          <w:sz w:val="24"/>
          <w:szCs w:val="24"/>
        </w:rPr>
        <w:t>520. – С. 875-882.».</w:t>
      </w:r>
    </w:p>
    <w:p w14:paraId="78113376"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F03632">
        <w:rPr>
          <w:rStyle w:val="ac"/>
          <w:rFonts w:eastAsiaTheme="majorEastAsia"/>
          <w:sz w:val="24"/>
          <w:szCs w:val="24"/>
          <w:lang w:val="fr-FR"/>
        </w:rPr>
        <w:t xml:space="preserve">«Glynn L. G. et al. </w:t>
      </w:r>
      <w:r w:rsidRPr="007C5A89">
        <w:rPr>
          <w:rStyle w:val="ac"/>
          <w:rFonts w:eastAsiaTheme="majorEastAsia"/>
          <w:sz w:val="24"/>
          <w:szCs w:val="24"/>
          <w:lang w:val="en-US"/>
        </w:rPr>
        <w:t xml:space="preserve">Interventions used to improve control of blood pressure in patients with hypertension //Cochrane database of systematic reviews. – 2010. – №. </w:t>
      </w:r>
      <w:r w:rsidRPr="007C5A89">
        <w:rPr>
          <w:rStyle w:val="ac"/>
          <w:rFonts w:eastAsiaTheme="majorEastAsia"/>
          <w:sz w:val="24"/>
          <w:szCs w:val="24"/>
        </w:rPr>
        <w:t>3».</w:t>
      </w:r>
    </w:p>
    <w:p w14:paraId="46F02270"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«Birtwhistle RV, Godwin MS, Delva MD, et al. Randomised equivalence trial comparing three month and six month follow up of patients with hypertension by family practitioners. BMJ.2004;328:204.».</w:t>
      </w:r>
    </w:p>
    <w:p w14:paraId="0566042C" w14:textId="77777777" w:rsidR="00CB781F" w:rsidRPr="007C5A89" w:rsidRDefault="00CB781F" w:rsidP="00424F51">
      <w:pPr>
        <w:pStyle w:val="11"/>
        <w:numPr>
          <w:ilvl w:val="0"/>
          <w:numId w:val="42"/>
        </w:numPr>
        <w:tabs>
          <w:tab w:val="left" w:pos="709"/>
          <w:tab w:val="left" w:pos="1280"/>
        </w:tabs>
        <w:spacing w:line="276" w:lineRule="auto"/>
        <w:ind w:left="709" w:hanging="709"/>
        <w:jc w:val="both"/>
        <w:rPr>
          <w:sz w:val="24"/>
          <w:szCs w:val="24"/>
        </w:rPr>
      </w:pPr>
      <w:r w:rsidRPr="007C5A89">
        <w:rPr>
          <w:rStyle w:val="ac"/>
          <w:rFonts w:eastAsiaTheme="majorEastAsia"/>
          <w:sz w:val="24"/>
          <w:szCs w:val="24"/>
          <w:lang w:val="en-US"/>
        </w:rPr>
        <w:t xml:space="preserve">«Omboni S, Gazzola T, Carabelli G, Parati G. Clinical usefulness and cost effectiveness of home blood pressure telemonitoring: meta-analysis of randomized controlled studies. J Hypertens. </w:t>
      </w:r>
      <w:r w:rsidRPr="007C5A89">
        <w:rPr>
          <w:rStyle w:val="ac"/>
          <w:rFonts w:eastAsiaTheme="majorEastAsia"/>
          <w:sz w:val="24"/>
          <w:szCs w:val="24"/>
        </w:rPr>
        <w:t>2013;31:455-468.».</w:t>
      </w:r>
    </w:p>
    <w:p w14:paraId="35BACB86" w14:textId="77777777" w:rsidR="00CB781F" w:rsidRPr="005503A7" w:rsidRDefault="00CB781F" w:rsidP="00424F51">
      <w:pPr>
        <w:pStyle w:val="11"/>
        <w:numPr>
          <w:ilvl w:val="0"/>
          <w:numId w:val="42"/>
        </w:numPr>
        <w:tabs>
          <w:tab w:val="left" w:pos="709"/>
          <w:tab w:val="left" w:pos="1280"/>
        </w:tabs>
        <w:spacing w:line="276" w:lineRule="auto"/>
        <w:ind w:left="709" w:hanging="709"/>
        <w:jc w:val="both"/>
        <w:rPr>
          <w:sz w:val="24"/>
          <w:szCs w:val="24"/>
          <w:lang w:val="en-US"/>
        </w:rPr>
      </w:pPr>
      <w:r w:rsidRPr="007C5A89">
        <w:rPr>
          <w:rStyle w:val="ac"/>
          <w:rFonts w:eastAsiaTheme="majorEastAsia"/>
          <w:sz w:val="24"/>
          <w:szCs w:val="24"/>
          <w:lang w:val="en-US"/>
        </w:rPr>
        <w:t xml:space="preserve">«Omboni S, Ferrari R. The role of telemedicine in hypertension management: focus on blood pressure telemonitoring. Curr Hypertens Rep. </w:t>
      </w:r>
      <w:r w:rsidRPr="005503A7">
        <w:rPr>
          <w:rStyle w:val="ac"/>
          <w:rFonts w:eastAsiaTheme="majorEastAsia"/>
          <w:sz w:val="24"/>
          <w:szCs w:val="24"/>
          <w:lang w:val="en-US"/>
        </w:rPr>
        <w:t>2015</w:t>
      </w:r>
      <w:proofErr w:type="gramStart"/>
      <w:r w:rsidRPr="005503A7">
        <w:rPr>
          <w:rStyle w:val="ac"/>
          <w:rFonts w:eastAsiaTheme="majorEastAsia"/>
          <w:sz w:val="24"/>
          <w:szCs w:val="24"/>
          <w:lang w:val="en-US"/>
        </w:rPr>
        <w:t>;17:535</w:t>
      </w:r>
      <w:proofErr w:type="gramEnd"/>
      <w:r w:rsidRPr="005503A7">
        <w:rPr>
          <w:rStyle w:val="ac"/>
          <w:rFonts w:eastAsiaTheme="majorEastAsia"/>
          <w:sz w:val="24"/>
          <w:szCs w:val="24"/>
          <w:lang w:val="en-US"/>
        </w:rPr>
        <w:t>.».</w:t>
      </w:r>
    </w:p>
    <w:p w14:paraId="5A1EAEB7" w14:textId="74DC2B9E" w:rsidR="00CB781F" w:rsidRPr="005503A7" w:rsidRDefault="005503A7" w:rsidP="00424F51">
      <w:pPr>
        <w:pStyle w:val="11"/>
        <w:numPr>
          <w:ilvl w:val="0"/>
          <w:numId w:val="42"/>
        </w:numPr>
        <w:tabs>
          <w:tab w:val="left" w:pos="709"/>
          <w:tab w:val="left" w:pos="1280"/>
        </w:tabs>
        <w:spacing w:line="276" w:lineRule="auto"/>
        <w:ind w:left="709" w:hanging="709"/>
        <w:jc w:val="both"/>
        <w:rPr>
          <w:rStyle w:val="ac"/>
          <w:sz w:val="24"/>
          <w:szCs w:val="24"/>
        </w:rPr>
      </w:pPr>
      <w:r w:rsidRPr="007C5A89">
        <w:rPr>
          <w:rStyle w:val="ac"/>
          <w:rFonts w:eastAsiaTheme="majorEastAsia"/>
          <w:sz w:val="24"/>
          <w:szCs w:val="24"/>
        </w:rPr>
        <w:t>«Ткачева</w:t>
      </w:r>
      <w:r w:rsidR="00CB781F" w:rsidRPr="007C5A89">
        <w:rPr>
          <w:rStyle w:val="ac"/>
          <w:rFonts w:eastAsiaTheme="majorEastAsia"/>
          <w:sz w:val="24"/>
          <w:szCs w:val="24"/>
        </w:rPr>
        <w:t xml:space="preserve"> О.Н., Рунихина Н.К., Остапенко В.С., Шарашкина Н.В., Мхитарян Э.А., Онучина Ю.С., Лысенков С.Н. Валидация опросника для скрининга синдрома старческой астении в амбулаторной практике. Успехи геронтологии. 2017. Т. 30. № 2. С. 236-242.».</w:t>
      </w:r>
    </w:p>
    <w:p w14:paraId="3B4CE188" w14:textId="75BC45D1" w:rsidR="005503A7" w:rsidRDefault="005503A7" w:rsidP="00424F51">
      <w:pPr>
        <w:pStyle w:val="affb"/>
        <w:numPr>
          <w:ilvl w:val="0"/>
          <w:numId w:val="42"/>
        </w:numPr>
        <w:spacing w:line="276" w:lineRule="auto"/>
        <w:ind w:left="709" w:hanging="709"/>
        <w:jc w:val="both"/>
        <w:rPr>
          <w:rStyle w:val="16"/>
          <w:sz w:val="24"/>
          <w:szCs w:val="24"/>
        </w:rPr>
      </w:pPr>
      <w:bookmarkStart w:id="80" w:name="_Hlk206936356"/>
      <w:r w:rsidRPr="005503A7">
        <w:rPr>
          <w:rStyle w:val="16"/>
          <w:sz w:val="24"/>
          <w:szCs w:val="24"/>
        </w:rPr>
        <w:t>«Скорая медицинская помощь. Национальное руководство / Багненко С.Ф., Хубутия М.Ш., Мирошниченко</w:t>
      </w:r>
      <w:r w:rsidRPr="005503A7">
        <w:rPr>
          <w:sz w:val="24"/>
          <w:szCs w:val="24"/>
        </w:rPr>
        <w:t xml:space="preserve"> </w:t>
      </w:r>
      <w:r w:rsidRPr="005503A7">
        <w:rPr>
          <w:rStyle w:val="16"/>
          <w:sz w:val="24"/>
          <w:szCs w:val="24"/>
        </w:rPr>
        <w:t>А.Г.</w:t>
      </w:r>
      <w:hyperlink r:id="rId30" w:history="1">
        <w:r w:rsidRPr="005503A7">
          <w:rPr>
            <w:rStyle w:val="16"/>
            <w:sz w:val="24"/>
            <w:szCs w:val="24"/>
          </w:rPr>
          <w:t>, ГЭОТАР-Медиа</w:t>
        </w:r>
      </w:hyperlink>
      <w:r w:rsidRPr="005503A7">
        <w:rPr>
          <w:rStyle w:val="16"/>
          <w:sz w:val="24"/>
          <w:szCs w:val="24"/>
        </w:rPr>
        <w:t>, 2021)»</w:t>
      </w:r>
    </w:p>
    <w:p w14:paraId="35B853D8" w14:textId="77777777" w:rsidR="005503A7" w:rsidRPr="005503A7" w:rsidRDefault="005503A7" w:rsidP="00424F51">
      <w:pPr>
        <w:pStyle w:val="affb"/>
        <w:numPr>
          <w:ilvl w:val="0"/>
          <w:numId w:val="42"/>
        </w:numPr>
        <w:spacing w:line="276" w:lineRule="auto"/>
        <w:ind w:left="709" w:hanging="709"/>
        <w:jc w:val="both"/>
        <w:rPr>
          <w:rStyle w:val="16"/>
          <w:rFonts w:ascii="Courier New" w:hAnsi="Courier New" w:cs="Courier New"/>
          <w:sz w:val="28"/>
          <w:szCs w:val="28"/>
        </w:rPr>
      </w:pPr>
      <w:r w:rsidRPr="005503A7">
        <w:rPr>
          <w:rStyle w:val="16"/>
          <w:sz w:val="24"/>
          <w:szCs w:val="24"/>
        </w:rPr>
        <w:t xml:space="preserve"> «Скорая медицинская помощь. Клинические рекомендации / под ред. С.Ф. Багненко. -Москва: ГЭОТАР- Мепиа. 2022»</w:t>
      </w:r>
    </w:p>
    <w:p w14:paraId="04F95DC5" w14:textId="77777777" w:rsidR="009B7665" w:rsidRDefault="005503A7" w:rsidP="00424F51">
      <w:pPr>
        <w:pStyle w:val="affb"/>
        <w:numPr>
          <w:ilvl w:val="0"/>
          <w:numId w:val="42"/>
        </w:numPr>
        <w:spacing w:line="276" w:lineRule="auto"/>
        <w:ind w:left="709" w:hanging="709"/>
        <w:jc w:val="both"/>
        <w:rPr>
          <w:color w:val="auto"/>
          <w:sz w:val="24"/>
          <w:szCs w:val="24"/>
        </w:rPr>
      </w:pPr>
      <w:r w:rsidRPr="003201C9">
        <w:rPr>
          <w:rStyle w:val="16"/>
          <w:color w:val="auto"/>
          <w:sz w:val="24"/>
          <w:szCs w:val="24"/>
        </w:rPr>
        <w:t>«</w:t>
      </w:r>
      <w:r w:rsidRPr="003201C9">
        <w:rPr>
          <w:color w:val="auto"/>
          <w:spacing w:val="-2"/>
          <w:sz w:val="24"/>
          <w:szCs w:val="24"/>
        </w:rPr>
        <w:t>Руководство по скорой медицинской помощи. Для врачей и фельдшеров (2-ое издание, дополненное, переработанное)</w:t>
      </w:r>
      <w:r w:rsidRPr="003201C9">
        <w:rPr>
          <w:color w:val="auto"/>
          <w:sz w:val="24"/>
          <w:szCs w:val="24"/>
        </w:rPr>
        <w:t xml:space="preserve"> </w:t>
      </w:r>
      <w:hyperlink r:id="rId31" w:history="1">
        <w:r w:rsidRPr="003201C9">
          <w:rPr>
            <w:rStyle w:val="afd"/>
            <w:color w:val="auto"/>
            <w:sz w:val="24"/>
            <w:szCs w:val="24"/>
            <w:u w:val="none"/>
            <w:shd w:val="clear" w:color="auto" w:fill="FFFFFF"/>
          </w:rPr>
          <w:t>Автор(ы): Вёрткин А.Л., Свешников К.А.</w:t>
        </w:r>
      </w:hyperlink>
      <w:r w:rsidR="00F2626E" w:rsidRPr="003201C9">
        <w:rPr>
          <w:color w:val="auto"/>
          <w:sz w:val="24"/>
          <w:szCs w:val="24"/>
        </w:rPr>
        <w:t xml:space="preserve"> издательство «ЭКСМО» серия «Врач высшей категории»</w:t>
      </w:r>
      <w:r w:rsidR="003201C9" w:rsidRPr="003201C9">
        <w:rPr>
          <w:color w:val="auto"/>
          <w:sz w:val="24"/>
          <w:szCs w:val="24"/>
        </w:rPr>
        <w:t>.</w:t>
      </w:r>
      <w:r w:rsidR="003201C9" w:rsidRPr="003201C9">
        <w:rPr>
          <w:color w:val="191817"/>
          <w:sz w:val="24"/>
          <w:szCs w:val="24"/>
          <w:shd w:val="clear" w:color="auto" w:fill="FFFFFF"/>
        </w:rPr>
        <w:t xml:space="preserve"> </w:t>
      </w:r>
      <w:r w:rsidR="003201C9" w:rsidRPr="003201C9">
        <w:rPr>
          <w:sz w:val="24"/>
          <w:szCs w:val="24"/>
          <w:shd w:val="clear" w:color="auto" w:fill="FFFFFF"/>
        </w:rPr>
        <w:t xml:space="preserve">ISBN </w:t>
      </w:r>
      <w:r w:rsidR="003201C9" w:rsidRPr="003201C9">
        <w:rPr>
          <w:color w:val="191817"/>
          <w:sz w:val="24"/>
          <w:szCs w:val="24"/>
          <w:shd w:val="clear" w:color="auto" w:fill="FFFFFF"/>
        </w:rPr>
        <w:t>9785041705411</w:t>
      </w:r>
      <w:r w:rsidR="00F2626E" w:rsidRPr="003201C9">
        <w:rPr>
          <w:color w:val="auto"/>
          <w:sz w:val="24"/>
          <w:szCs w:val="24"/>
        </w:rPr>
        <w:t xml:space="preserve"> количество страниц 656.2024 год»</w:t>
      </w:r>
    </w:p>
    <w:p w14:paraId="1915B6CD" w14:textId="77777777" w:rsidR="009B7665" w:rsidRPr="009B7665" w:rsidRDefault="009B7665" w:rsidP="00424F51">
      <w:pPr>
        <w:pStyle w:val="affb"/>
        <w:numPr>
          <w:ilvl w:val="0"/>
          <w:numId w:val="42"/>
        </w:numPr>
        <w:spacing w:line="276" w:lineRule="auto"/>
        <w:ind w:left="709" w:hanging="709"/>
        <w:jc w:val="both"/>
        <w:rPr>
          <w:color w:val="auto"/>
          <w:sz w:val="24"/>
          <w:szCs w:val="24"/>
        </w:rPr>
      </w:pPr>
      <w:r w:rsidRPr="009B7665">
        <w:rPr>
          <w:rFonts w:ascii="Times New Roman CYR" w:hAnsi="Times New Roman CYR" w:cs="Times New Roman CYR"/>
          <w:kern w:val="0"/>
          <w:sz w:val="24"/>
          <w:szCs w:val="24"/>
        </w:rPr>
        <w:t xml:space="preserve">Рекомендации Российского медицинского общества по артериальной гипертонии и Всероссийского научного общества кардиологов) / И. Е. Чазова, Л. Г. Ратова, С. А. Бойцов, Д. В. Небиеридзе // Системные </w:t>
      </w:r>
      <w:proofErr w:type="gramStart"/>
      <w:r w:rsidRPr="009B7665">
        <w:rPr>
          <w:rFonts w:ascii="Times New Roman CYR" w:hAnsi="Times New Roman CYR" w:cs="Times New Roman CYR"/>
          <w:kern w:val="0"/>
          <w:sz w:val="24"/>
          <w:szCs w:val="24"/>
        </w:rPr>
        <w:t>гипертензии.</w:t>
      </w:r>
      <w:r w:rsidRPr="009B7665">
        <w:rPr>
          <w:kern w:val="0"/>
          <w:sz w:val="24"/>
          <w:szCs w:val="24"/>
        </w:rPr>
        <w:t>—</w:t>
      </w:r>
      <w:proofErr w:type="gramEnd"/>
      <w:r w:rsidRPr="009B7665">
        <w:rPr>
          <w:kern w:val="0"/>
          <w:sz w:val="24"/>
          <w:szCs w:val="24"/>
        </w:rPr>
        <w:t xml:space="preserve"> 2010. — № 3. — </w:t>
      </w:r>
      <w:r w:rsidRPr="009B7665">
        <w:rPr>
          <w:rFonts w:ascii="Times New Roman CYR" w:hAnsi="Times New Roman CYR" w:cs="Times New Roman CYR"/>
          <w:kern w:val="0"/>
          <w:sz w:val="24"/>
          <w:szCs w:val="24"/>
        </w:rPr>
        <w:t xml:space="preserve">С. 5 </w:t>
      </w:r>
      <w:r w:rsidRPr="009B7665">
        <w:rPr>
          <w:kern w:val="0"/>
          <w:sz w:val="24"/>
          <w:szCs w:val="24"/>
        </w:rPr>
        <w:t>– 27.</w:t>
      </w:r>
    </w:p>
    <w:p w14:paraId="6B3CA507" w14:textId="39806B86" w:rsidR="009B7665" w:rsidRPr="00DA64F2" w:rsidRDefault="009B7665" w:rsidP="00424F51">
      <w:pPr>
        <w:pStyle w:val="affb"/>
        <w:numPr>
          <w:ilvl w:val="0"/>
          <w:numId w:val="42"/>
        </w:numPr>
        <w:spacing w:line="276" w:lineRule="auto"/>
        <w:ind w:left="709" w:hanging="709"/>
        <w:jc w:val="both"/>
        <w:rPr>
          <w:color w:val="auto"/>
          <w:sz w:val="24"/>
          <w:szCs w:val="24"/>
          <w:lang w:val="en-US"/>
        </w:rPr>
      </w:pPr>
      <w:r w:rsidRPr="009B7665">
        <w:rPr>
          <w:kern w:val="0"/>
          <w:sz w:val="24"/>
          <w:szCs w:val="24"/>
          <w:lang w:val="en-US"/>
        </w:rPr>
        <w:t>Joint National Committee on Prevention, Detection, Evaluation, and Treatment of High Blood Pressure. Sixth Report // Arch Intern Med. — 1997. — Vol. 157. — P. 2413 – 2446.</w:t>
      </w:r>
      <w:bookmarkEnd w:id="80"/>
    </w:p>
    <w:p w14:paraId="3555DEC2" w14:textId="77777777" w:rsidR="00C0383B" w:rsidRPr="00DA64F2" w:rsidRDefault="00C0383B" w:rsidP="00424F51">
      <w:pPr>
        <w:pStyle w:val="affb"/>
        <w:numPr>
          <w:ilvl w:val="0"/>
          <w:numId w:val="42"/>
        </w:numPr>
        <w:ind w:left="709" w:hanging="709"/>
        <w:rPr>
          <w:sz w:val="24"/>
          <w:szCs w:val="24"/>
        </w:rPr>
      </w:pPr>
      <w:bookmarkStart w:id="81" w:name="_Hlk206937381"/>
      <w:r w:rsidRPr="00C0383B">
        <w:rPr>
          <w:rStyle w:val="16"/>
          <w:sz w:val="24"/>
          <w:szCs w:val="24"/>
        </w:rPr>
        <w:t xml:space="preserve">«Станция скорой и неотложной медицинской помощи им. А.С. Пучкова ДЗ г. Москвы» — </w:t>
      </w:r>
      <w:hyperlink r:id="rId32" w:history="1">
        <w:r w:rsidRPr="00C0383B">
          <w:rPr>
            <w:rStyle w:val="16"/>
            <w:sz w:val="24"/>
            <w:szCs w:val="24"/>
            <w:lang w:val="en-US"/>
          </w:rPr>
          <w:t>https</w:t>
        </w:r>
        <w:r w:rsidRPr="00C0383B">
          <w:rPr>
            <w:rStyle w:val="16"/>
            <w:sz w:val="24"/>
            <w:szCs w:val="24"/>
          </w:rPr>
          <w:t>://</w:t>
        </w:r>
        <w:r w:rsidRPr="00C0383B">
          <w:rPr>
            <w:rStyle w:val="16"/>
            <w:sz w:val="24"/>
            <w:szCs w:val="24"/>
            <w:lang w:val="en-US"/>
          </w:rPr>
          <w:t>mos</w:t>
        </w:r>
        <w:r w:rsidRPr="00C0383B">
          <w:rPr>
            <w:rStyle w:val="16"/>
            <w:sz w:val="24"/>
            <w:szCs w:val="24"/>
          </w:rPr>
          <w:t>03.</w:t>
        </w:r>
        <w:r w:rsidRPr="00C0383B">
          <w:rPr>
            <w:rStyle w:val="16"/>
            <w:sz w:val="24"/>
            <w:szCs w:val="24"/>
            <w:lang w:val="en-US"/>
          </w:rPr>
          <w:t>ru</w:t>
        </w:r>
        <w:r w:rsidRPr="00C0383B">
          <w:rPr>
            <w:rStyle w:val="16"/>
            <w:sz w:val="24"/>
            <w:szCs w:val="24"/>
          </w:rPr>
          <w:t>/</w:t>
        </w:r>
      </w:hyperlink>
    </w:p>
    <w:p w14:paraId="1F47DD71" w14:textId="1C0C5B77" w:rsidR="00DA64F2" w:rsidRPr="00F95388" w:rsidRDefault="00DA64F2" w:rsidP="00424F51">
      <w:pPr>
        <w:pStyle w:val="affb"/>
        <w:numPr>
          <w:ilvl w:val="0"/>
          <w:numId w:val="42"/>
        </w:numPr>
        <w:spacing w:line="221" w:lineRule="auto"/>
        <w:ind w:left="709" w:hanging="709"/>
        <w:jc w:val="both"/>
        <w:rPr>
          <w:rStyle w:val="16"/>
          <w:rFonts w:ascii="Courier New" w:hAnsi="Courier New" w:cs="Courier New"/>
          <w:color w:val="auto"/>
          <w:sz w:val="24"/>
          <w:szCs w:val="24"/>
        </w:rPr>
      </w:pPr>
      <w:r w:rsidRPr="00F95388">
        <w:rPr>
          <w:rStyle w:val="16"/>
          <w:sz w:val="24"/>
          <w:szCs w:val="24"/>
        </w:rPr>
        <w:t xml:space="preserve">Руководство по скорой медицинской </w:t>
      </w:r>
      <w:proofErr w:type="gramStart"/>
      <w:r w:rsidRPr="00F95388">
        <w:rPr>
          <w:rStyle w:val="16"/>
          <w:sz w:val="24"/>
          <w:szCs w:val="24"/>
        </w:rPr>
        <w:t>помощи :</w:t>
      </w:r>
      <w:proofErr w:type="gramEnd"/>
      <w:r w:rsidRPr="00F95388">
        <w:rPr>
          <w:rStyle w:val="16"/>
          <w:sz w:val="24"/>
          <w:szCs w:val="24"/>
        </w:rPr>
        <w:t xml:space="preserve"> для врачей и фельдшеров / А.Л. Вёрткин, К.А. Свешников. — </w:t>
      </w:r>
      <w:proofErr w:type="gramStart"/>
      <w:r w:rsidRPr="00F95388">
        <w:rPr>
          <w:rStyle w:val="16"/>
          <w:sz w:val="24"/>
          <w:szCs w:val="24"/>
        </w:rPr>
        <w:t>Москва :</w:t>
      </w:r>
      <w:proofErr w:type="gramEnd"/>
      <w:r w:rsidRPr="00F95388">
        <w:rPr>
          <w:rStyle w:val="16"/>
          <w:sz w:val="24"/>
          <w:szCs w:val="24"/>
        </w:rPr>
        <w:t xml:space="preserve"> Изда</w:t>
      </w:r>
      <w:r w:rsidRPr="00F95388">
        <w:rPr>
          <w:rStyle w:val="16"/>
          <w:sz w:val="24"/>
          <w:szCs w:val="24"/>
        </w:rPr>
        <w:softHyphen/>
        <w:t>тельство «Э», 2017. — 560 с. — (Врач высшей категории).</w:t>
      </w:r>
    </w:p>
    <w:p w14:paraId="2E7511E5" w14:textId="75A734FA" w:rsidR="00523B5D" w:rsidRPr="00F95388" w:rsidRDefault="00523B5D" w:rsidP="00424F51">
      <w:pPr>
        <w:pStyle w:val="affb"/>
        <w:numPr>
          <w:ilvl w:val="0"/>
          <w:numId w:val="42"/>
        </w:numPr>
        <w:tabs>
          <w:tab w:val="left" w:pos="634"/>
        </w:tabs>
        <w:rPr>
          <w:rFonts w:ascii="Courier New" w:hAnsi="Courier New" w:cs="Courier New"/>
          <w:sz w:val="24"/>
          <w:szCs w:val="24"/>
        </w:rPr>
      </w:pPr>
      <w:r w:rsidRPr="00F95388">
        <w:rPr>
          <w:rStyle w:val="16"/>
          <w:sz w:val="24"/>
          <w:szCs w:val="24"/>
        </w:rPr>
        <w:t xml:space="preserve">Национальное руководство по скорой помощи / А.Л. Вёрткин. – </w:t>
      </w:r>
      <w:proofErr w:type="gramStart"/>
      <w:r w:rsidRPr="00F95388">
        <w:rPr>
          <w:rStyle w:val="16"/>
          <w:sz w:val="24"/>
          <w:szCs w:val="24"/>
        </w:rPr>
        <w:t>М. :</w:t>
      </w:r>
      <w:proofErr w:type="gramEnd"/>
      <w:r w:rsidRPr="00F95388">
        <w:rPr>
          <w:rStyle w:val="16"/>
          <w:sz w:val="24"/>
          <w:szCs w:val="24"/>
        </w:rPr>
        <w:t xml:space="preserve"> Эксмо,</w:t>
      </w:r>
      <w:r w:rsidRPr="00F95388">
        <w:rPr>
          <w:rFonts w:ascii="Courier New" w:hAnsi="Courier New" w:cs="Courier New"/>
          <w:sz w:val="24"/>
          <w:szCs w:val="24"/>
        </w:rPr>
        <w:t xml:space="preserve"> </w:t>
      </w:r>
      <w:r w:rsidRPr="00F95388">
        <w:rPr>
          <w:rStyle w:val="16"/>
          <w:sz w:val="24"/>
          <w:szCs w:val="24"/>
        </w:rPr>
        <w:t>2012. – 816 с. – (Национальное руководство).</w:t>
      </w:r>
    </w:p>
    <w:p w14:paraId="211DACEA" w14:textId="77777777" w:rsidR="00523B5D" w:rsidRPr="00F95388" w:rsidRDefault="00523B5D" w:rsidP="00523B5D">
      <w:pPr>
        <w:pStyle w:val="affb"/>
        <w:spacing w:line="221" w:lineRule="auto"/>
        <w:ind w:left="709"/>
        <w:jc w:val="both"/>
        <w:rPr>
          <w:rFonts w:ascii="Courier New" w:hAnsi="Courier New" w:cs="Courier New"/>
          <w:color w:val="auto"/>
          <w:sz w:val="24"/>
          <w:szCs w:val="24"/>
        </w:rPr>
      </w:pPr>
    </w:p>
    <w:p w14:paraId="211EF16F" w14:textId="77777777" w:rsidR="00DA64F2" w:rsidRPr="00F95388" w:rsidRDefault="00DA64F2" w:rsidP="00DA64F2">
      <w:pPr>
        <w:pStyle w:val="affb"/>
        <w:rPr>
          <w:sz w:val="24"/>
          <w:szCs w:val="24"/>
        </w:rPr>
      </w:pPr>
    </w:p>
    <w:bookmarkEnd w:id="81"/>
    <w:p w14:paraId="5D859E15" w14:textId="77777777" w:rsidR="005503A7" w:rsidRPr="00C0383B" w:rsidRDefault="005503A7" w:rsidP="00C0383B">
      <w:pPr>
        <w:pStyle w:val="affb"/>
        <w:spacing w:line="276" w:lineRule="auto"/>
        <w:ind w:left="709"/>
        <w:jc w:val="both"/>
        <w:rPr>
          <w:rFonts w:ascii="Courier New" w:hAnsi="Courier New" w:cs="Courier New"/>
          <w:sz w:val="28"/>
          <w:szCs w:val="28"/>
        </w:rPr>
      </w:pPr>
    </w:p>
    <w:p w14:paraId="41418813" w14:textId="77777777" w:rsidR="005503A7" w:rsidRPr="00C0383B" w:rsidRDefault="005503A7" w:rsidP="005503A7">
      <w:pPr>
        <w:pStyle w:val="affb"/>
        <w:spacing w:line="360" w:lineRule="auto"/>
        <w:ind w:left="709"/>
        <w:jc w:val="both"/>
        <w:rPr>
          <w:sz w:val="28"/>
          <w:szCs w:val="28"/>
        </w:rPr>
      </w:pPr>
    </w:p>
    <w:p w14:paraId="5319FCA3" w14:textId="77777777" w:rsidR="005503A7" w:rsidRPr="00C0383B" w:rsidRDefault="005503A7" w:rsidP="005503A7">
      <w:pPr>
        <w:pStyle w:val="11"/>
        <w:tabs>
          <w:tab w:val="left" w:pos="709"/>
          <w:tab w:val="left" w:pos="1280"/>
        </w:tabs>
        <w:spacing w:line="276" w:lineRule="auto"/>
        <w:ind w:left="709" w:firstLine="0"/>
        <w:jc w:val="both"/>
        <w:rPr>
          <w:sz w:val="24"/>
          <w:szCs w:val="24"/>
        </w:rPr>
      </w:pPr>
    </w:p>
    <w:p w14:paraId="662196EB" w14:textId="77777777" w:rsidR="00CB781F" w:rsidRPr="00C0383B" w:rsidRDefault="00CB781F" w:rsidP="00CB781F">
      <w:pPr>
        <w:rPr>
          <w:rFonts w:eastAsia="Times New Roman" w:cs="Times New Roman"/>
          <w:sz w:val="22"/>
        </w:rPr>
      </w:pPr>
    </w:p>
    <w:p w14:paraId="31A7998D" w14:textId="77777777" w:rsidR="00AB5297" w:rsidRPr="00C0383B" w:rsidRDefault="00AB5297" w:rsidP="00CB781F">
      <w:pPr>
        <w:rPr>
          <w:rFonts w:eastAsia="Times New Roman" w:cs="Times New Roman"/>
          <w:sz w:val="22"/>
        </w:rPr>
      </w:pPr>
    </w:p>
    <w:p w14:paraId="3ABBD3BD" w14:textId="77777777" w:rsidR="0057089D" w:rsidRDefault="00AB5297" w:rsidP="0057089D">
      <w:pPr>
        <w:pStyle w:val="1"/>
        <w:jc w:val="right"/>
        <w:rPr>
          <w:rFonts w:ascii="Times New Roman" w:hAnsi="Times New Roman" w:cs="Times New Roman"/>
          <w:b/>
          <w:color w:val="000000" w:themeColor="text1"/>
          <w:sz w:val="28"/>
          <w:szCs w:val="28"/>
        </w:rPr>
      </w:pPr>
      <w:bookmarkStart w:id="82" w:name="_Toc202877450"/>
      <w:r w:rsidRPr="00350B76">
        <w:rPr>
          <w:rFonts w:ascii="Times New Roman" w:hAnsi="Times New Roman" w:cs="Times New Roman"/>
          <w:b/>
          <w:color w:val="000000" w:themeColor="text1"/>
          <w:sz w:val="28"/>
          <w:szCs w:val="28"/>
        </w:rPr>
        <w:lastRenderedPageBreak/>
        <w:t xml:space="preserve">Приложение А1. </w:t>
      </w:r>
    </w:p>
    <w:p w14:paraId="7F1E256D" w14:textId="73B67BE4" w:rsidR="00AB5297" w:rsidRDefault="00AB5297" w:rsidP="00350B76">
      <w:pPr>
        <w:pStyle w:val="1"/>
        <w:jc w:val="center"/>
        <w:rPr>
          <w:rFonts w:ascii="Times New Roman" w:hAnsi="Times New Roman" w:cs="Times New Roman"/>
          <w:b/>
          <w:color w:val="000000" w:themeColor="text1"/>
          <w:sz w:val="28"/>
          <w:szCs w:val="28"/>
        </w:rPr>
      </w:pPr>
      <w:r w:rsidRPr="00350B76">
        <w:rPr>
          <w:rFonts w:ascii="Times New Roman" w:hAnsi="Times New Roman" w:cs="Times New Roman"/>
          <w:b/>
          <w:color w:val="000000" w:themeColor="text1"/>
          <w:sz w:val="28"/>
          <w:szCs w:val="28"/>
        </w:rPr>
        <w:t>Состав Рабочей группы</w:t>
      </w:r>
      <w:bookmarkEnd w:id="82"/>
    </w:p>
    <w:p w14:paraId="3CF646AC" w14:textId="44C9D2A1" w:rsidR="003C70AE" w:rsidRPr="003C70AE" w:rsidRDefault="003C70AE" w:rsidP="0057089D">
      <w:pPr>
        <w:autoSpaceDE w:val="0"/>
        <w:autoSpaceDN w:val="0"/>
        <w:adjustRightInd w:val="0"/>
        <w:spacing w:after="0"/>
        <w:jc w:val="center"/>
        <w:rPr>
          <w:rFonts w:cs="Times New Roman"/>
          <w:sz w:val="24"/>
          <w:szCs w:val="24"/>
        </w:rPr>
      </w:pPr>
      <w:r w:rsidRPr="001A12F4">
        <w:rPr>
          <w:rFonts w:cs="Times New Roman"/>
          <w:sz w:val="24"/>
          <w:szCs w:val="24"/>
        </w:rPr>
        <w:t xml:space="preserve">(утвержден </w:t>
      </w:r>
      <w:r w:rsidR="0057089D" w:rsidRPr="001A12F4">
        <w:rPr>
          <w:rFonts w:cs="Times New Roman"/>
          <w:sz w:val="24"/>
          <w:szCs w:val="24"/>
        </w:rPr>
        <w:t>П</w:t>
      </w:r>
      <w:r w:rsidRPr="001A12F4">
        <w:rPr>
          <w:rFonts w:cs="Times New Roman"/>
          <w:sz w:val="24"/>
          <w:szCs w:val="24"/>
        </w:rPr>
        <w:t>риказом Министерства здравоохранения Приднестровской Молдавской Республики от 3</w:t>
      </w:r>
      <w:r w:rsidR="0057089D" w:rsidRPr="001A12F4">
        <w:rPr>
          <w:rFonts w:cs="Times New Roman"/>
          <w:sz w:val="24"/>
          <w:szCs w:val="24"/>
        </w:rPr>
        <w:t xml:space="preserve"> сентября </w:t>
      </w:r>
      <w:r w:rsidRPr="001A12F4">
        <w:rPr>
          <w:rFonts w:cs="Times New Roman"/>
          <w:sz w:val="24"/>
          <w:szCs w:val="24"/>
        </w:rPr>
        <w:t>2025 г</w:t>
      </w:r>
      <w:r w:rsidR="0057089D" w:rsidRPr="001A12F4">
        <w:rPr>
          <w:rFonts w:cs="Times New Roman"/>
          <w:sz w:val="24"/>
          <w:szCs w:val="24"/>
        </w:rPr>
        <w:t>ода</w:t>
      </w:r>
      <w:r w:rsidRPr="001A12F4">
        <w:rPr>
          <w:rFonts w:cs="Times New Roman"/>
          <w:sz w:val="24"/>
          <w:szCs w:val="24"/>
        </w:rPr>
        <w:t xml:space="preserve"> № 753 – ОД «</w:t>
      </w:r>
      <w:r w:rsidRPr="001A12F4">
        <w:rPr>
          <w:rFonts w:cs="Times New Roman"/>
          <w:color w:val="000000"/>
          <w:kern w:val="0"/>
          <w:sz w:val="24"/>
          <w:szCs w:val="24"/>
        </w:rPr>
        <w:t>Об утверждении персонального состава рабочей группы по проведению экспертизы проектов клинических рекомендаций по вопросам оказания медицинской помощи пациентам с артериальной гипертензией»)</w:t>
      </w:r>
    </w:p>
    <w:p w14:paraId="428ED569" w14:textId="77777777" w:rsidR="00AB5297" w:rsidRDefault="00AB5297" w:rsidP="00AB5297">
      <w:pPr>
        <w:jc w:val="center"/>
        <w:rPr>
          <w:b/>
          <w:szCs w:val="28"/>
        </w:rPr>
      </w:pPr>
    </w:p>
    <w:p w14:paraId="29AE2A8C" w14:textId="308F3F90" w:rsidR="003C70AE" w:rsidRPr="003C70AE" w:rsidRDefault="003C70AE" w:rsidP="00F67021">
      <w:pPr>
        <w:autoSpaceDE w:val="0"/>
        <w:autoSpaceDN w:val="0"/>
        <w:adjustRightInd w:val="0"/>
        <w:spacing w:after="0" w:line="360" w:lineRule="auto"/>
        <w:ind w:firstLine="567"/>
        <w:jc w:val="both"/>
        <w:rPr>
          <w:rFonts w:cs="Times New Roman"/>
          <w:color w:val="000000"/>
          <w:kern w:val="0"/>
          <w:sz w:val="24"/>
          <w:szCs w:val="24"/>
        </w:rPr>
      </w:pPr>
      <w:r>
        <w:rPr>
          <w:rFonts w:cs="Times New Roman"/>
          <w:b/>
          <w:bCs/>
          <w:color w:val="000000"/>
          <w:kern w:val="0"/>
          <w:sz w:val="24"/>
          <w:szCs w:val="24"/>
        </w:rPr>
        <w:t>а)</w:t>
      </w:r>
      <w:r w:rsidRPr="003C70AE">
        <w:rPr>
          <w:rFonts w:cs="Times New Roman"/>
          <w:b/>
          <w:bCs/>
          <w:color w:val="000000"/>
          <w:kern w:val="0"/>
          <w:sz w:val="24"/>
          <w:szCs w:val="24"/>
        </w:rPr>
        <w:t xml:space="preserve"> Председатель </w:t>
      </w:r>
      <w:r>
        <w:rPr>
          <w:rFonts w:cs="Times New Roman"/>
          <w:b/>
          <w:bCs/>
          <w:color w:val="000000"/>
          <w:kern w:val="0"/>
          <w:sz w:val="24"/>
          <w:szCs w:val="24"/>
        </w:rPr>
        <w:t>р</w:t>
      </w:r>
      <w:r w:rsidRPr="003C70AE">
        <w:rPr>
          <w:rFonts w:cs="Times New Roman"/>
          <w:b/>
          <w:bCs/>
          <w:color w:val="000000"/>
          <w:kern w:val="0"/>
          <w:sz w:val="24"/>
          <w:szCs w:val="24"/>
        </w:rPr>
        <w:t xml:space="preserve">абочей </w:t>
      </w:r>
      <w:r>
        <w:rPr>
          <w:rFonts w:cs="Times New Roman"/>
          <w:b/>
          <w:bCs/>
          <w:color w:val="000000"/>
          <w:kern w:val="0"/>
          <w:sz w:val="24"/>
          <w:szCs w:val="24"/>
        </w:rPr>
        <w:t>г</w:t>
      </w:r>
      <w:r w:rsidRPr="003C70AE">
        <w:rPr>
          <w:rFonts w:cs="Times New Roman"/>
          <w:b/>
          <w:bCs/>
          <w:color w:val="000000"/>
          <w:kern w:val="0"/>
          <w:sz w:val="24"/>
          <w:szCs w:val="24"/>
        </w:rPr>
        <w:t>руппы:</w:t>
      </w:r>
      <w:r w:rsidRPr="003C70AE">
        <w:rPr>
          <w:rFonts w:cs="Times New Roman"/>
          <w:color w:val="000000"/>
          <w:kern w:val="0"/>
          <w:sz w:val="24"/>
          <w:szCs w:val="24"/>
        </w:rPr>
        <w:t xml:space="preserve"> Тищенко Ирина Васильевна </w:t>
      </w:r>
      <w:r w:rsidRPr="003C70AE">
        <w:rPr>
          <w:rFonts w:cs="Times New Roman"/>
          <w:color w:val="586284"/>
          <w:kern w:val="0"/>
          <w:sz w:val="24"/>
          <w:szCs w:val="24"/>
        </w:rPr>
        <w:t xml:space="preserve">- </w:t>
      </w:r>
      <w:r w:rsidRPr="003C70AE">
        <w:rPr>
          <w:rFonts w:cs="Times New Roman"/>
          <w:color w:val="000000"/>
          <w:kern w:val="0"/>
          <w:sz w:val="24"/>
          <w:szCs w:val="24"/>
        </w:rPr>
        <w:t xml:space="preserve">главный внештатный кардиолог Министерства здравоохранения Приднестровской Молдавской Республики, заведующая кардиологическим отделением государственного учреждения «Республиканская клиническая больница»; </w:t>
      </w:r>
    </w:p>
    <w:p w14:paraId="4AA5F77A" w14:textId="77777777" w:rsidR="003C70AE" w:rsidRPr="003C70AE" w:rsidRDefault="003C70AE" w:rsidP="00F67021">
      <w:pPr>
        <w:autoSpaceDE w:val="0"/>
        <w:autoSpaceDN w:val="0"/>
        <w:adjustRightInd w:val="0"/>
        <w:spacing w:after="0" w:line="360" w:lineRule="auto"/>
        <w:ind w:firstLine="567"/>
        <w:jc w:val="both"/>
        <w:rPr>
          <w:rFonts w:cs="Times New Roman"/>
          <w:b/>
          <w:bCs/>
          <w:color w:val="000000"/>
          <w:kern w:val="0"/>
          <w:sz w:val="24"/>
          <w:szCs w:val="24"/>
        </w:rPr>
      </w:pPr>
      <w:r w:rsidRPr="003C70AE">
        <w:rPr>
          <w:rFonts w:cs="Times New Roman"/>
          <w:b/>
          <w:bCs/>
          <w:color w:val="000000"/>
          <w:kern w:val="0"/>
          <w:sz w:val="24"/>
          <w:szCs w:val="24"/>
        </w:rPr>
        <w:t>б) члены рабочей группы:</w:t>
      </w:r>
    </w:p>
    <w:p w14:paraId="5C13ECAB" w14:textId="77777777" w:rsidR="003C70AE" w:rsidRPr="003C70AE" w:rsidRDefault="003C70AE" w:rsidP="00F67021">
      <w:pPr>
        <w:autoSpaceDE w:val="0"/>
        <w:autoSpaceDN w:val="0"/>
        <w:adjustRightInd w:val="0"/>
        <w:spacing w:after="0" w:line="360" w:lineRule="auto"/>
        <w:ind w:firstLine="567"/>
        <w:jc w:val="both"/>
        <w:rPr>
          <w:rFonts w:cs="Times New Roman"/>
          <w:color w:val="000000"/>
          <w:kern w:val="0"/>
          <w:sz w:val="24"/>
          <w:szCs w:val="24"/>
        </w:rPr>
      </w:pPr>
      <w:r w:rsidRPr="003C70AE">
        <w:rPr>
          <w:rFonts w:cs="Times New Roman"/>
          <w:color w:val="000000"/>
          <w:kern w:val="0"/>
          <w:sz w:val="24"/>
          <w:szCs w:val="24"/>
        </w:rPr>
        <w:t>1) Окушко Ростислав Владимирович - кандидат медицинских наук, доцент, директор государственного образовательного учреждения среднего профессионального образования «Приднестровский государственный медицинский колледж имени Л.А. Тарасевича»;</w:t>
      </w:r>
    </w:p>
    <w:p w14:paraId="036B44CD" w14:textId="77777777" w:rsidR="003C70AE" w:rsidRPr="003C70AE" w:rsidRDefault="003C70AE" w:rsidP="00F67021">
      <w:pPr>
        <w:autoSpaceDE w:val="0"/>
        <w:autoSpaceDN w:val="0"/>
        <w:adjustRightInd w:val="0"/>
        <w:spacing w:after="0" w:line="360" w:lineRule="auto"/>
        <w:ind w:firstLine="567"/>
        <w:jc w:val="both"/>
        <w:rPr>
          <w:rFonts w:cs="Times New Roman"/>
          <w:color w:val="000000"/>
          <w:kern w:val="0"/>
          <w:sz w:val="24"/>
          <w:szCs w:val="24"/>
        </w:rPr>
      </w:pPr>
      <w:r w:rsidRPr="003C70AE">
        <w:rPr>
          <w:rFonts w:cs="Times New Roman"/>
          <w:color w:val="000000"/>
          <w:kern w:val="0"/>
          <w:sz w:val="24"/>
          <w:szCs w:val="24"/>
        </w:rPr>
        <w:t>2) Кравцова Алина Геннадьевна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кандидат медицинских наук,</w:t>
      </w:r>
    </w:p>
    <w:p w14:paraId="06D86F61" w14:textId="0DA2351F" w:rsidR="003C70AE" w:rsidRPr="003C70AE" w:rsidRDefault="003C70AE" w:rsidP="00F67021">
      <w:pPr>
        <w:autoSpaceDE w:val="0"/>
        <w:autoSpaceDN w:val="0"/>
        <w:adjustRightInd w:val="0"/>
        <w:spacing w:after="0" w:line="360" w:lineRule="auto"/>
        <w:ind w:firstLine="567"/>
        <w:jc w:val="both"/>
        <w:rPr>
          <w:rFonts w:cs="Times New Roman"/>
          <w:color w:val="000000"/>
          <w:kern w:val="0"/>
          <w:sz w:val="24"/>
          <w:szCs w:val="24"/>
        </w:rPr>
      </w:pPr>
      <w:r w:rsidRPr="003C70AE">
        <w:rPr>
          <w:rFonts w:cs="Times New Roman"/>
          <w:color w:val="000000"/>
          <w:kern w:val="0"/>
          <w:sz w:val="24"/>
          <w:szCs w:val="24"/>
        </w:rPr>
        <w:t>доцент кафедры педиатрии, акушерства и гинекологии Медицинского института им. Н.В. Склифосовского ГОУ «ПГУ им. Т.Г. Шевченко», врач-педиатр, неонатолог;</w:t>
      </w:r>
    </w:p>
    <w:p w14:paraId="3835818E" w14:textId="77777777" w:rsidR="003C70AE" w:rsidRPr="003C70AE" w:rsidRDefault="003C70AE" w:rsidP="00F67021">
      <w:pPr>
        <w:autoSpaceDE w:val="0"/>
        <w:autoSpaceDN w:val="0"/>
        <w:adjustRightInd w:val="0"/>
        <w:spacing w:after="0" w:line="360" w:lineRule="auto"/>
        <w:ind w:firstLine="567"/>
        <w:jc w:val="both"/>
        <w:rPr>
          <w:rFonts w:cs="Times New Roman"/>
          <w:color w:val="000000"/>
          <w:kern w:val="0"/>
          <w:sz w:val="24"/>
          <w:szCs w:val="24"/>
        </w:rPr>
      </w:pPr>
      <w:r w:rsidRPr="003C70AE">
        <w:rPr>
          <w:rFonts w:cs="Times New Roman"/>
          <w:color w:val="000000"/>
          <w:kern w:val="0"/>
          <w:sz w:val="24"/>
          <w:szCs w:val="24"/>
        </w:rPr>
        <w:t>3) Гарбузняк Анастасия Андреевна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кандидат биологических наук, доцент кафедры общественного здоровья и организации здравоохранения с циклом инфекционных заболеваний Медицинского института им. Н.В. Склифосовского ГОУ «ПГУ им. Т.Г. Шевченко», врач-инфекционист;</w:t>
      </w:r>
    </w:p>
    <w:p w14:paraId="77B7E998" w14:textId="77777777" w:rsidR="003C70AE" w:rsidRPr="003C70AE" w:rsidRDefault="003C70AE" w:rsidP="00F67021">
      <w:pPr>
        <w:autoSpaceDE w:val="0"/>
        <w:autoSpaceDN w:val="0"/>
        <w:adjustRightInd w:val="0"/>
        <w:spacing w:after="0" w:line="360" w:lineRule="auto"/>
        <w:ind w:firstLine="567"/>
        <w:jc w:val="both"/>
        <w:rPr>
          <w:rFonts w:cs="Times New Roman"/>
          <w:color w:val="000000"/>
          <w:kern w:val="0"/>
          <w:sz w:val="24"/>
          <w:szCs w:val="24"/>
        </w:rPr>
      </w:pPr>
      <w:r w:rsidRPr="003C70AE">
        <w:rPr>
          <w:rFonts w:cs="Times New Roman"/>
          <w:color w:val="000000"/>
          <w:kern w:val="0"/>
          <w:sz w:val="24"/>
          <w:szCs w:val="24"/>
        </w:rPr>
        <w:t>4) Лягу Александра Александровна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врач-эндокринолог консультативной поликлиники государственного учреждения «Бендерская центральная городская больница»;</w:t>
      </w:r>
    </w:p>
    <w:p w14:paraId="65895138" w14:textId="77777777" w:rsidR="003C70AE" w:rsidRPr="003C70AE" w:rsidRDefault="003C70AE" w:rsidP="00F67021">
      <w:pPr>
        <w:autoSpaceDE w:val="0"/>
        <w:autoSpaceDN w:val="0"/>
        <w:adjustRightInd w:val="0"/>
        <w:spacing w:after="0" w:line="360" w:lineRule="auto"/>
        <w:ind w:firstLine="567"/>
        <w:jc w:val="both"/>
        <w:rPr>
          <w:rFonts w:cs="Times New Roman"/>
          <w:color w:val="000000"/>
          <w:kern w:val="0"/>
          <w:sz w:val="24"/>
          <w:szCs w:val="24"/>
        </w:rPr>
      </w:pPr>
      <w:r w:rsidRPr="003C70AE">
        <w:rPr>
          <w:rFonts w:cs="Times New Roman"/>
          <w:color w:val="000000"/>
          <w:kern w:val="0"/>
          <w:sz w:val="24"/>
          <w:szCs w:val="24"/>
        </w:rPr>
        <w:t xml:space="preserve">5) Коваленко Татьяна Николаевна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врач-невролог (кабинета </w:t>
      </w:r>
      <w:r w:rsidRPr="003C70AE">
        <w:rPr>
          <w:rFonts w:cs="Times New Roman"/>
          <w:color w:val="000000"/>
          <w:kern w:val="0"/>
          <w:sz w:val="24"/>
          <w:szCs w:val="24"/>
        </w:rPr>
        <w:lastRenderedPageBreak/>
        <w:t>электромиографии) государственного учреждения «Республиканская клиническая больница»;</w:t>
      </w:r>
    </w:p>
    <w:p w14:paraId="5FFDCBDA" w14:textId="5BB5A0AC" w:rsidR="003C70AE" w:rsidRPr="003C70AE" w:rsidRDefault="003C70AE" w:rsidP="00F67021">
      <w:pPr>
        <w:autoSpaceDE w:val="0"/>
        <w:autoSpaceDN w:val="0"/>
        <w:adjustRightInd w:val="0"/>
        <w:spacing w:after="0" w:line="360" w:lineRule="auto"/>
        <w:ind w:firstLine="567"/>
        <w:jc w:val="both"/>
        <w:rPr>
          <w:rFonts w:cs="Times New Roman"/>
          <w:color w:val="000000"/>
          <w:kern w:val="0"/>
          <w:sz w:val="24"/>
          <w:szCs w:val="24"/>
        </w:rPr>
      </w:pPr>
      <w:r w:rsidRPr="003C70AE">
        <w:rPr>
          <w:rFonts w:cs="Times New Roman"/>
          <w:color w:val="000000"/>
          <w:kern w:val="0"/>
          <w:sz w:val="24"/>
          <w:szCs w:val="24"/>
        </w:rPr>
        <w:t>6) Гурецкая Кристина Вячеславовна - заведующая отделением общей врачебной практики поликлиники № 5 государственного учреждения «Тираспольский клинический центр амбулаторно-поликлинической помощи», врач общей врачебной практики;</w:t>
      </w:r>
    </w:p>
    <w:p w14:paraId="2682435D" w14:textId="61E1C411" w:rsidR="003C70AE" w:rsidRPr="003C70AE" w:rsidRDefault="003C70AE" w:rsidP="00F67021">
      <w:pPr>
        <w:autoSpaceDE w:val="0"/>
        <w:autoSpaceDN w:val="0"/>
        <w:adjustRightInd w:val="0"/>
        <w:spacing w:after="0" w:line="360" w:lineRule="auto"/>
        <w:ind w:firstLine="567"/>
        <w:jc w:val="both"/>
        <w:rPr>
          <w:rFonts w:cs="Times New Roman"/>
          <w:color w:val="000000"/>
          <w:kern w:val="0"/>
          <w:sz w:val="24"/>
          <w:szCs w:val="24"/>
        </w:rPr>
      </w:pPr>
      <w:r w:rsidRPr="003C70AE">
        <w:rPr>
          <w:rFonts w:cs="Times New Roman"/>
          <w:color w:val="000000"/>
          <w:kern w:val="0"/>
          <w:sz w:val="24"/>
          <w:szCs w:val="24"/>
        </w:rPr>
        <w:t>7)</w:t>
      </w:r>
      <w:r>
        <w:rPr>
          <w:rFonts w:cs="Times New Roman"/>
          <w:color w:val="000000"/>
          <w:kern w:val="0"/>
          <w:sz w:val="24"/>
          <w:szCs w:val="24"/>
        </w:rPr>
        <w:t xml:space="preserve"> </w:t>
      </w:r>
      <w:r w:rsidRPr="003C70AE">
        <w:rPr>
          <w:rFonts w:cs="Times New Roman"/>
          <w:color w:val="000000"/>
          <w:kern w:val="0"/>
          <w:sz w:val="24"/>
          <w:szCs w:val="24"/>
        </w:rPr>
        <w:t>Бугор Анатолий Дмитриевич - заместитель главного врача по медицинской части государственного учреждения «Республиканский центр скорой медицинской помощи», врач по специальности «Организация здравоохранения», врач первой квалификационной категории;</w:t>
      </w:r>
    </w:p>
    <w:p w14:paraId="6E5F001A" w14:textId="2D2BBB5C" w:rsidR="003C70AE" w:rsidRPr="003C70AE" w:rsidRDefault="003C70AE" w:rsidP="00F67021">
      <w:pPr>
        <w:autoSpaceDE w:val="0"/>
        <w:autoSpaceDN w:val="0"/>
        <w:adjustRightInd w:val="0"/>
        <w:spacing w:after="0" w:line="360" w:lineRule="auto"/>
        <w:ind w:firstLine="567"/>
        <w:jc w:val="both"/>
        <w:rPr>
          <w:rFonts w:cs="Times New Roman"/>
          <w:color w:val="000000"/>
          <w:kern w:val="0"/>
          <w:sz w:val="24"/>
          <w:szCs w:val="24"/>
        </w:rPr>
      </w:pPr>
      <w:r w:rsidRPr="003C70AE">
        <w:rPr>
          <w:rFonts w:cs="Times New Roman"/>
          <w:color w:val="000000"/>
          <w:kern w:val="0"/>
          <w:sz w:val="24"/>
          <w:szCs w:val="24"/>
        </w:rPr>
        <w:t>8)</w:t>
      </w:r>
      <w:r>
        <w:rPr>
          <w:rFonts w:cs="Times New Roman"/>
          <w:color w:val="000000"/>
          <w:kern w:val="0"/>
          <w:sz w:val="24"/>
          <w:szCs w:val="24"/>
        </w:rPr>
        <w:t xml:space="preserve"> </w:t>
      </w:r>
      <w:r w:rsidRPr="003C70AE">
        <w:rPr>
          <w:rFonts w:cs="Times New Roman"/>
          <w:color w:val="000000"/>
          <w:kern w:val="0"/>
          <w:sz w:val="24"/>
          <w:szCs w:val="24"/>
        </w:rPr>
        <w:t>Вызый Анатолий Васильевич - врач скорой медицинской помощи первой квалификационной категории, старший врач смены государственного учреждения «Региональная станция скорой медицинской помощи г. Бендеры»;</w:t>
      </w:r>
    </w:p>
    <w:p w14:paraId="4D93E3EC" w14:textId="77777777" w:rsidR="003C70AE" w:rsidRPr="003C70AE" w:rsidRDefault="003C70AE" w:rsidP="00F67021">
      <w:pPr>
        <w:autoSpaceDE w:val="0"/>
        <w:autoSpaceDN w:val="0"/>
        <w:adjustRightInd w:val="0"/>
        <w:spacing w:after="0" w:line="360" w:lineRule="auto"/>
        <w:ind w:firstLine="567"/>
        <w:jc w:val="both"/>
        <w:rPr>
          <w:rFonts w:cs="Times New Roman"/>
          <w:color w:val="000000"/>
          <w:kern w:val="0"/>
          <w:sz w:val="24"/>
          <w:szCs w:val="24"/>
        </w:rPr>
      </w:pPr>
      <w:r w:rsidRPr="003C70AE">
        <w:rPr>
          <w:rFonts w:cs="Times New Roman"/>
          <w:color w:val="000000"/>
          <w:kern w:val="0"/>
          <w:sz w:val="24"/>
          <w:szCs w:val="24"/>
        </w:rPr>
        <w:t>9) Кендигелян Елена Михайловна - заместитель главного врача по акушерству и гинекологии государственного учреждения «Бендерский центр матери и ребенка», врач первой квалификационной категории;</w:t>
      </w:r>
    </w:p>
    <w:p w14:paraId="3D9BC5F4" w14:textId="77777777" w:rsidR="003C70AE" w:rsidRPr="003C70AE" w:rsidRDefault="003C70AE" w:rsidP="00F67021">
      <w:pPr>
        <w:autoSpaceDE w:val="0"/>
        <w:autoSpaceDN w:val="0"/>
        <w:adjustRightInd w:val="0"/>
        <w:spacing w:after="0" w:line="360" w:lineRule="auto"/>
        <w:ind w:firstLine="567"/>
        <w:jc w:val="both"/>
        <w:rPr>
          <w:rFonts w:cs="Times New Roman"/>
          <w:color w:val="000000"/>
          <w:kern w:val="0"/>
          <w:sz w:val="24"/>
          <w:szCs w:val="24"/>
        </w:rPr>
      </w:pPr>
      <w:r w:rsidRPr="003C70AE">
        <w:rPr>
          <w:rFonts w:cs="Times New Roman"/>
          <w:color w:val="000000"/>
          <w:kern w:val="0"/>
          <w:sz w:val="24"/>
          <w:szCs w:val="24"/>
        </w:rPr>
        <w:t>10) Апостолова Лариса Валентиновна - врач-кардиолог первой квалификационной категории, кардиологического отделения государственного учреждения «Республиканский госпиталь инвалидов Великой Отечественной войны»;</w:t>
      </w:r>
    </w:p>
    <w:p w14:paraId="1C05E6BA" w14:textId="77777777" w:rsidR="003C70AE" w:rsidRPr="003C70AE" w:rsidRDefault="003C70AE" w:rsidP="00F67021">
      <w:pPr>
        <w:autoSpaceDE w:val="0"/>
        <w:autoSpaceDN w:val="0"/>
        <w:adjustRightInd w:val="0"/>
        <w:spacing w:after="0" w:line="360" w:lineRule="auto"/>
        <w:ind w:firstLine="567"/>
        <w:jc w:val="both"/>
        <w:rPr>
          <w:rFonts w:cs="Times New Roman"/>
          <w:color w:val="000000"/>
          <w:kern w:val="0"/>
          <w:sz w:val="24"/>
          <w:szCs w:val="24"/>
        </w:rPr>
      </w:pPr>
      <w:r w:rsidRPr="003C70AE">
        <w:rPr>
          <w:rFonts w:cs="Times New Roman"/>
          <w:color w:val="000000"/>
          <w:kern w:val="0"/>
          <w:sz w:val="24"/>
          <w:szCs w:val="24"/>
        </w:rPr>
        <w:t>11) Ипати Оксана Павловна - врач-кардиолог первой квалификационной категории, консультативной поликлиники государственного учреждения «Бендерская центральная городская больница»;</w:t>
      </w:r>
    </w:p>
    <w:p w14:paraId="2971332E" w14:textId="77777777" w:rsidR="003C70AE" w:rsidRPr="003C70AE" w:rsidRDefault="003C70AE" w:rsidP="00F67021">
      <w:pPr>
        <w:autoSpaceDE w:val="0"/>
        <w:autoSpaceDN w:val="0"/>
        <w:adjustRightInd w:val="0"/>
        <w:spacing w:after="0" w:line="360" w:lineRule="auto"/>
        <w:ind w:firstLine="567"/>
        <w:jc w:val="both"/>
        <w:rPr>
          <w:rFonts w:cs="Times New Roman"/>
          <w:color w:val="000000"/>
          <w:kern w:val="0"/>
          <w:sz w:val="24"/>
          <w:szCs w:val="24"/>
        </w:rPr>
      </w:pPr>
      <w:r w:rsidRPr="003C70AE">
        <w:rPr>
          <w:rFonts w:cs="Times New Roman"/>
          <w:color w:val="000000"/>
          <w:kern w:val="0"/>
          <w:sz w:val="24"/>
          <w:szCs w:val="24"/>
        </w:rPr>
        <w:t>12) Муту Елена Исидоровна - врач-кардиолог кардиологического отделения государственного учреждения «Республиканская клиническая больница»;</w:t>
      </w:r>
    </w:p>
    <w:p w14:paraId="76C53BBB" w14:textId="77777777" w:rsidR="003C70AE" w:rsidRPr="003C70AE" w:rsidRDefault="003C70AE" w:rsidP="00F67021">
      <w:pPr>
        <w:autoSpaceDE w:val="0"/>
        <w:autoSpaceDN w:val="0"/>
        <w:adjustRightInd w:val="0"/>
        <w:spacing w:after="0" w:line="360" w:lineRule="auto"/>
        <w:ind w:firstLine="567"/>
        <w:jc w:val="both"/>
        <w:rPr>
          <w:rFonts w:cs="Times New Roman"/>
          <w:color w:val="000000"/>
          <w:kern w:val="0"/>
          <w:sz w:val="24"/>
          <w:szCs w:val="24"/>
        </w:rPr>
      </w:pPr>
      <w:r w:rsidRPr="003C70AE">
        <w:rPr>
          <w:rFonts w:cs="Times New Roman"/>
          <w:color w:val="000000"/>
          <w:kern w:val="0"/>
          <w:sz w:val="24"/>
          <w:szCs w:val="24"/>
        </w:rPr>
        <w:t>13) Писаренко Игорь Васильевич - врач-кардиолог государственного учреждения «Дубоссарская центральная районная больница»;</w:t>
      </w:r>
    </w:p>
    <w:p w14:paraId="079174D7" w14:textId="77777777" w:rsidR="003C70AE" w:rsidRPr="003C70AE" w:rsidRDefault="003C70AE" w:rsidP="00F67021">
      <w:pPr>
        <w:autoSpaceDE w:val="0"/>
        <w:autoSpaceDN w:val="0"/>
        <w:adjustRightInd w:val="0"/>
        <w:spacing w:after="0" w:line="360" w:lineRule="auto"/>
        <w:ind w:firstLine="567"/>
        <w:jc w:val="both"/>
        <w:rPr>
          <w:rFonts w:cs="Times New Roman"/>
          <w:color w:val="000000"/>
          <w:kern w:val="0"/>
          <w:sz w:val="24"/>
          <w:szCs w:val="24"/>
        </w:rPr>
      </w:pPr>
      <w:r w:rsidRPr="003C70AE">
        <w:rPr>
          <w:rFonts w:cs="Times New Roman"/>
          <w:color w:val="000000"/>
          <w:kern w:val="0"/>
          <w:sz w:val="24"/>
          <w:szCs w:val="24"/>
        </w:rPr>
        <w:t>14) Продиус Елена Александровна - врач-кардиолог второй квалификационной категории, кардиоревматологический диспансер государственного учреждения «Республиканская клиническая больница»;</w:t>
      </w:r>
    </w:p>
    <w:p w14:paraId="723C11FA" w14:textId="77777777" w:rsidR="003C70AE" w:rsidRPr="003C70AE" w:rsidRDefault="003C70AE" w:rsidP="00F67021">
      <w:pPr>
        <w:autoSpaceDE w:val="0"/>
        <w:autoSpaceDN w:val="0"/>
        <w:adjustRightInd w:val="0"/>
        <w:spacing w:after="0" w:line="360" w:lineRule="auto"/>
        <w:ind w:firstLine="567"/>
        <w:jc w:val="both"/>
        <w:rPr>
          <w:rFonts w:cs="Times New Roman"/>
          <w:color w:val="000000"/>
          <w:kern w:val="0"/>
          <w:sz w:val="24"/>
          <w:szCs w:val="24"/>
        </w:rPr>
      </w:pPr>
      <w:r w:rsidRPr="003C70AE">
        <w:rPr>
          <w:rFonts w:cs="Times New Roman"/>
          <w:color w:val="000000"/>
          <w:kern w:val="0"/>
          <w:sz w:val="24"/>
          <w:szCs w:val="24"/>
        </w:rPr>
        <w:t>15) Скоробогатова Ирина Викторовна - врач-кардиолог кардиологического отделения государственного учреждения «Республиканский госпиталь инвалидов Великой Отечественной войны»;</w:t>
      </w:r>
    </w:p>
    <w:p w14:paraId="058A94AB" w14:textId="77777777" w:rsidR="003C70AE" w:rsidRDefault="003C70AE" w:rsidP="00F67021">
      <w:pPr>
        <w:autoSpaceDE w:val="0"/>
        <w:autoSpaceDN w:val="0"/>
        <w:adjustRightInd w:val="0"/>
        <w:spacing w:after="0" w:line="360" w:lineRule="auto"/>
        <w:ind w:firstLine="567"/>
        <w:jc w:val="both"/>
        <w:rPr>
          <w:rFonts w:cs="Times New Roman"/>
          <w:color w:val="000000"/>
          <w:kern w:val="0"/>
          <w:sz w:val="24"/>
          <w:szCs w:val="24"/>
        </w:rPr>
      </w:pPr>
      <w:r w:rsidRPr="003C70AE">
        <w:rPr>
          <w:rFonts w:cs="Times New Roman"/>
          <w:color w:val="000000"/>
          <w:kern w:val="0"/>
          <w:sz w:val="24"/>
          <w:szCs w:val="24"/>
        </w:rPr>
        <w:t>16) Храброва Лариса Витальевна - врач-кардиолог первой квалификационной категории государственного учреждения «Каменская центральная районная больница»;</w:t>
      </w:r>
    </w:p>
    <w:p w14:paraId="1CB2A888" w14:textId="35E89B6A" w:rsidR="00F67021" w:rsidRPr="003C70AE" w:rsidRDefault="00F67021" w:rsidP="00F67021">
      <w:pPr>
        <w:autoSpaceDE w:val="0"/>
        <w:autoSpaceDN w:val="0"/>
        <w:adjustRightInd w:val="0"/>
        <w:spacing w:after="0" w:line="360" w:lineRule="auto"/>
        <w:ind w:firstLine="567"/>
        <w:jc w:val="both"/>
        <w:rPr>
          <w:rFonts w:cs="Times New Roman"/>
          <w:color w:val="000000"/>
          <w:kern w:val="0"/>
          <w:sz w:val="24"/>
          <w:szCs w:val="24"/>
        </w:rPr>
      </w:pPr>
      <w:r>
        <w:rPr>
          <w:rFonts w:cs="Times New Roman"/>
          <w:color w:val="000000"/>
          <w:kern w:val="0"/>
          <w:sz w:val="24"/>
          <w:szCs w:val="24"/>
        </w:rPr>
        <w:lastRenderedPageBreak/>
        <w:t xml:space="preserve">17) Подопригора Людмила Васильевна – врач-терапевт высшей квалификационной категории </w:t>
      </w:r>
      <w:r w:rsidRPr="003C70AE">
        <w:rPr>
          <w:rFonts w:cs="Times New Roman"/>
          <w:color w:val="000000"/>
          <w:kern w:val="0"/>
          <w:sz w:val="24"/>
          <w:szCs w:val="24"/>
        </w:rPr>
        <w:t>государственного учреждения «Каменская центральная районная больница»;</w:t>
      </w:r>
    </w:p>
    <w:p w14:paraId="2B277F5C" w14:textId="67C51206" w:rsidR="003C70AE" w:rsidRDefault="003C70AE" w:rsidP="00F67021">
      <w:pPr>
        <w:autoSpaceDE w:val="0"/>
        <w:autoSpaceDN w:val="0"/>
        <w:adjustRightInd w:val="0"/>
        <w:spacing w:after="0" w:line="360" w:lineRule="auto"/>
        <w:ind w:firstLine="567"/>
        <w:jc w:val="both"/>
        <w:rPr>
          <w:rFonts w:cs="Times New Roman"/>
          <w:color w:val="000000"/>
          <w:kern w:val="0"/>
          <w:sz w:val="24"/>
          <w:szCs w:val="24"/>
        </w:rPr>
      </w:pPr>
      <w:r w:rsidRPr="003C70AE">
        <w:rPr>
          <w:rFonts w:cs="Times New Roman"/>
          <w:color w:val="000000"/>
          <w:kern w:val="0"/>
          <w:sz w:val="24"/>
          <w:szCs w:val="24"/>
        </w:rPr>
        <w:t>1</w:t>
      </w:r>
      <w:r w:rsidR="00F67021">
        <w:rPr>
          <w:rFonts w:cs="Times New Roman"/>
          <w:color w:val="000000"/>
          <w:kern w:val="0"/>
          <w:sz w:val="24"/>
          <w:szCs w:val="24"/>
        </w:rPr>
        <w:t>8</w:t>
      </w:r>
      <w:r w:rsidRPr="003C70AE">
        <w:rPr>
          <w:rFonts w:cs="Times New Roman"/>
          <w:color w:val="000000"/>
          <w:kern w:val="0"/>
          <w:sz w:val="24"/>
          <w:szCs w:val="24"/>
        </w:rPr>
        <w:t>) Шаталина Александра Валерьевна - врач-кардиолог государственного учреждения «Рыбницкая центральная районная больница»</w:t>
      </w:r>
      <w:r w:rsidR="00F67021">
        <w:rPr>
          <w:rFonts w:cs="Times New Roman"/>
          <w:color w:val="000000"/>
          <w:kern w:val="0"/>
          <w:sz w:val="24"/>
          <w:szCs w:val="24"/>
        </w:rPr>
        <w:t>;</w:t>
      </w:r>
    </w:p>
    <w:p w14:paraId="64BB4176" w14:textId="62C78E80" w:rsidR="00184253" w:rsidRDefault="00184253" w:rsidP="00F67021">
      <w:pPr>
        <w:autoSpaceDE w:val="0"/>
        <w:autoSpaceDN w:val="0"/>
        <w:adjustRightInd w:val="0"/>
        <w:spacing w:after="0" w:line="360" w:lineRule="auto"/>
        <w:ind w:firstLine="567"/>
        <w:jc w:val="both"/>
        <w:rPr>
          <w:rFonts w:cs="Times New Roman"/>
          <w:color w:val="000000"/>
          <w:kern w:val="0"/>
          <w:sz w:val="24"/>
          <w:szCs w:val="24"/>
        </w:rPr>
      </w:pPr>
      <w:r>
        <w:rPr>
          <w:rFonts w:cs="Times New Roman"/>
          <w:color w:val="000000"/>
          <w:kern w:val="0"/>
          <w:sz w:val="24"/>
          <w:szCs w:val="24"/>
        </w:rPr>
        <w:t>1</w:t>
      </w:r>
      <w:r w:rsidR="00F67021">
        <w:rPr>
          <w:rFonts w:cs="Times New Roman"/>
          <w:color w:val="000000"/>
          <w:kern w:val="0"/>
          <w:sz w:val="24"/>
          <w:szCs w:val="24"/>
        </w:rPr>
        <w:t>9</w:t>
      </w:r>
      <w:r>
        <w:rPr>
          <w:rFonts w:cs="Times New Roman"/>
          <w:color w:val="000000"/>
          <w:kern w:val="0"/>
          <w:sz w:val="24"/>
          <w:szCs w:val="24"/>
        </w:rPr>
        <w:t xml:space="preserve">) </w:t>
      </w:r>
      <w:r w:rsidRPr="00184253">
        <w:rPr>
          <w:rFonts w:cs="Times New Roman"/>
          <w:color w:val="000000"/>
          <w:kern w:val="0"/>
          <w:sz w:val="24"/>
          <w:szCs w:val="24"/>
        </w:rPr>
        <w:t xml:space="preserve">Майдук Лия Викторовна - участковый врач терапевт высшей квалификационной категории, отделения общей врачебной практики поликлиники </w:t>
      </w:r>
      <w:r>
        <w:rPr>
          <w:rFonts w:cs="Times New Roman"/>
          <w:color w:val="000000"/>
          <w:kern w:val="0"/>
          <w:sz w:val="24"/>
          <w:szCs w:val="24"/>
        </w:rPr>
        <w:t xml:space="preserve">№ </w:t>
      </w:r>
      <w:r w:rsidRPr="00184253">
        <w:rPr>
          <w:rFonts w:cs="Times New Roman"/>
          <w:color w:val="000000"/>
          <w:kern w:val="0"/>
          <w:sz w:val="24"/>
          <w:szCs w:val="24"/>
        </w:rPr>
        <w:t xml:space="preserve">3, </w:t>
      </w:r>
      <w:r w:rsidR="00F67021">
        <w:rPr>
          <w:rFonts w:cs="Times New Roman"/>
          <w:color w:val="000000"/>
          <w:kern w:val="0"/>
          <w:sz w:val="24"/>
          <w:szCs w:val="24"/>
        </w:rPr>
        <w:t>г</w:t>
      </w:r>
      <w:r w:rsidRPr="00184253">
        <w:rPr>
          <w:rFonts w:cs="Times New Roman"/>
          <w:color w:val="000000"/>
          <w:kern w:val="0"/>
          <w:sz w:val="24"/>
          <w:szCs w:val="24"/>
        </w:rPr>
        <w:t xml:space="preserve">осударственного </w:t>
      </w:r>
      <w:r w:rsidR="00F67021">
        <w:rPr>
          <w:rFonts w:cs="Times New Roman"/>
          <w:color w:val="000000"/>
          <w:kern w:val="0"/>
          <w:sz w:val="24"/>
          <w:szCs w:val="24"/>
        </w:rPr>
        <w:t>у</w:t>
      </w:r>
      <w:r w:rsidRPr="00184253">
        <w:rPr>
          <w:rFonts w:cs="Times New Roman"/>
          <w:color w:val="000000"/>
          <w:kern w:val="0"/>
          <w:sz w:val="24"/>
          <w:szCs w:val="24"/>
        </w:rPr>
        <w:t xml:space="preserve">чреждения </w:t>
      </w:r>
      <w:r w:rsidR="00F67021">
        <w:rPr>
          <w:rFonts w:cs="Times New Roman"/>
          <w:color w:val="000000"/>
          <w:kern w:val="0"/>
          <w:sz w:val="24"/>
          <w:szCs w:val="24"/>
        </w:rPr>
        <w:t>«</w:t>
      </w:r>
      <w:r w:rsidRPr="00184253">
        <w:rPr>
          <w:rFonts w:cs="Times New Roman"/>
          <w:color w:val="000000"/>
          <w:kern w:val="0"/>
          <w:sz w:val="24"/>
          <w:szCs w:val="24"/>
        </w:rPr>
        <w:t>Бендерский центр амбулаторно- поликлинической помощи</w:t>
      </w:r>
      <w:r w:rsidR="00F67021">
        <w:rPr>
          <w:rFonts w:cs="Times New Roman"/>
          <w:color w:val="000000"/>
          <w:kern w:val="0"/>
          <w:sz w:val="24"/>
          <w:szCs w:val="24"/>
        </w:rPr>
        <w:t>».</w:t>
      </w:r>
    </w:p>
    <w:p w14:paraId="7369B9EE" w14:textId="5BD26D76" w:rsidR="003C70AE" w:rsidRPr="003C70AE" w:rsidRDefault="003C70AE" w:rsidP="00F67021">
      <w:pPr>
        <w:autoSpaceDE w:val="0"/>
        <w:autoSpaceDN w:val="0"/>
        <w:adjustRightInd w:val="0"/>
        <w:spacing w:after="0" w:line="360" w:lineRule="auto"/>
        <w:ind w:firstLine="567"/>
        <w:jc w:val="both"/>
        <w:rPr>
          <w:rFonts w:cs="Times New Roman"/>
          <w:color w:val="000000"/>
          <w:kern w:val="0"/>
          <w:sz w:val="24"/>
          <w:szCs w:val="24"/>
        </w:rPr>
      </w:pPr>
      <w:r w:rsidRPr="003C70AE">
        <w:rPr>
          <w:rFonts w:cs="Times New Roman"/>
          <w:color w:val="000000"/>
          <w:kern w:val="0"/>
          <w:sz w:val="24"/>
          <w:szCs w:val="24"/>
        </w:rPr>
        <w:t xml:space="preserve"> </w:t>
      </w:r>
      <w:r w:rsidRPr="003C70AE">
        <w:rPr>
          <w:rFonts w:cs="Times New Roman"/>
          <w:b/>
          <w:bCs/>
          <w:color w:val="000000"/>
          <w:kern w:val="0"/>
          <w:sz w:val="24"/>
          <w:szCs w:val="24"/>
        </w:rPr>
        <w:t>в) эксперт по проекту клинических рекомендаций по вопросам оказания медицинской помощи пациентам с артериальной гипертензией:</w:t>
      </w:r>
      <w:r w:rsidRPr="003C70AE">
        <w:rPr>
          <w:rFonts w:cs="Times New Roman"/>
          <w:color w:val="000000"/>
          <w:kern w:val="0"/>
          <w:sz w:val="24"/>
          <w:szCs w:val="24"/>
        </w:rPr>
        <w:t xml:space="preserve"> Мали</w:t>
      </w:r>
      <w:r>
        <w:rPr>
          <w:rFonts w:cs="Times New Roman"/>
          <w:color w:val="000000"/>
          <w:kern w:val="0"/>
          <w:sz w:val="24"/>
          <w:szCs w:val="24"/>
        </w:rPr>
        <w:t>ё</w:t>
      </w:r>
      <w:r w:rsidRPr="003C70AE">
        <w:rPr>
          <w:rFonts w:cs="Times New Roman"/>
          <w:color w:val="000000"/>
          <w:kern w:val="0"/>
          <w:sz w:val="24"/>
          <w:szCs w:val="24"/>
        </w:rPr>
        <w:t>в Вячеслав Владимирович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главный внештатный специалист по скорой медицинской помощи</w:t>
      </w:r>
      <w:r w:rsidR="007567B1">
        <w:rPr>
          <w:rFonts w:cs="Times New Roman"/>
          <w:color w:val="000000"/>
          <w:kern w:val="0"/>
          <w:sz w:val="24"/>
          <w:szCs w:val="24"/>
        </w:rPr>
        <w:t xml:space="preserve"> </w:t>
      </w:r>
      <w:r w:rsidRPr="003C70AE">
        <w:rPr>
          <w:rFonts w:cs="Times New Roman"/>
          <w:color w:val="000000"/>
          <w:kern w:val="0"/>
          <w:sz w:val="24"/>
          <w:szCs w:val="24"/>
        </w:rPr>
        <w:t>Министерства здравоохранения Приднестровской Молдавской Республики, главный врач государственного учреждения «Региональная станция скорой медицинской помощи г. Бендеры».</w:t>
      </w:r>
    </w:p>
    <w:p w14:paraId="29FF86AE" w14:textId="77777777" w:rsidR="00AA63DF" w:rsidRPr="00F65C6B" w:rsidRDefault="00AA63DF" w:rsidP="00F67021">
      <w:pPr>
        <w:widowControl w:val="0"/>
        <w:tabs>
          <w:tab w:val="left" w:pos="862"/>
        </w:tabs>
        <w:autoSpaceDE w:val="0"/>
        <w:autoSpaceDN w:val="0"/>
        <w:spacing w:line="360" w:lineRule="auto"/>
        <w:ind w:firstLine="567"/>
        <w:jc w:val="both"/>
        <w:rPr>
          <w:rFonts w:eastAsia="Times New Roman" w:cs="Times New Roman"/>
          <w:sz w:val="24"/>
          <w:szCs w:val="24"/>
        </w:rPr>
      </w:pPr>
    </w:p>
    <w:p w14:paraId="4ADE8625" w14:textId="77777777" w:rsidR="00AB5297" w:rsidRDefault="00AB5297" w:rsidP="00AB5297">
      <w:pPr>
        <w:jc w:val="center"/>
        <w:rPr>
          <w:b/>
          <w:szCs w:val="28"/>
        </w:rPr>
      </w:pPr>
    </w:p>
    <w:p w14:paraId="55CD177A" w14:textId="77777777" w:rsidR="00AB5297" w:rsidRDefault="00AB5297" w:rsidP="00AB5297">
      <w:pPr>
        <w:jc w:val="center"/>
        <w:rPr>
          <w:b/>
          <w:szCs w:val="28"/>
        </w:rPr>
      </w:pPr>
    </w:p>
    <w:p w14:paraId="380A7B96" w14:textId="77777777" w:rsidR="00AB5297" w:rsidRDefault="00AB5297" w:rsidP="00AB5297">
      <w:pPr>
        <w:jc w:val="center"/>
        <w:rPr>
          <w:b/>
          <w:szCs w:val="28"/>
        </w:rPr>
      </w:pPr>
    </w:p>
    <w:p w14:paraId="05340249" w14:textId="77777777" w:rsidR="00AB5297" w:rsidRDefault="00AB5297" w:rsidP="00AB5297">
      <w:pPr>
        <w:jc w:val="center"/>
        <w:rPr>
          <w:b/>
          <w:szCs w:val="28"/>
        </w:rPr>
      </w:pPr>
    </w:p>
    <w:p w14:paraId="3748675D" w14:textId="77777777" w:rsidR="00AB5297" w:rsidRDefault="00AB5297" w:rsidP="00AB5297">
      <w:pPr>
        <w:jc w:val="center"/>
        <w:rPr>
          <w:b/>
          <w:szCs w:val="28"/>
        </w:rPr>
      </w:pPr>
    </w:p>
    <w:p w14:paraId="6FB22124" w14:textId="77777777" w:rsidR="00AB5297" w:rsidRDefault="00AB5297" w:rsidP="00AB5297">
      <w:pPr>
        <w:jc w:val="center"/>
        <w:rPr>
          <w:b/>
          <w:szCs w:val="28"/>
        </w:rPr>
      </w:pPr>
    </w:p>
    <w:p w14:paraId="1FAE516D" w14:textId="77777777" w:rsidR="00AB5297" w:rsidRDefault="00AB5297" w:rsidP="00AB5297">
      <w:pPr>
        <w:jc w:val="center"/>
        <w:rPr>
          <w:b/>
          <w:szCs w:val="28"/>
        </w:rPr>
      </w:pPr>
    </w:p>
    <w:p w14:paraId="7D767313" w14:textId="77777777" w:rsidR="00AB5297" w:rsidRDefault="00AB5297" w:rsidP="00AB5297">
      <w:pPr>
        <w:jc w:val="center"/>
        <w:rPr>
          <w:b/>
          <w:szCs w:val="28"/>
        </w:rPr>
      </w:pPr>
    </w:p>
    <w:p w14:paraId="44298DBF" w14:textId="77777777" w:rsidR="00AB5297" w:rsidRDefault="00AB5297" w:rsidP="00AB5297">
      <w:pPr>
        <w:jc w:val="center"/>
        <w:rPr>
          <w:b/>
          <w:szCs w:val="28"/>
        </w:rPr>
      </w:pPr>
    </w:p>
    <w:p w14:paraId="092FBD52" w14:textId="77777777" w:rsidR="00AB5297" w:rsidRDefault="00AB5297" w:rsidP="00AB5297">
      <w:pPr>
        <w:jc w:val="center"/>
        <w:rPr>
          <w:b/>
          <w:szCs w:val="28"/>
        </w:rPr>
      </w:pPr>
    </w:p>
    <w:p w14:paraId="077E999B" w14:textId="77777777" w:rsidR="00AB5297" w:rsidRDefault="00AB5297" w:rsidP="00AB5297">
      <w:pPr>
        <w:jc w:val="center"/>
        <w:rPr>
          <w:b/>
          <w:szCs w:val="28"/>
        </w:rPr>
      </w:pPr>
    </w:p>
    <w:p w14:paraId="1ED7863C" w14:textId="77777777" w:rsidR="00AB5297" w:rsidRDefault="00AB5297" w:rsidP="00AB5297">
      <w:pPr>
        <w:jc w:val="center"/>
        <w:rPr>
          <w:b/>
          <w:szCs w:val="28"/>
        </w:rPr>
      </w:pPr>
    </w:p>
    <w:p w14:paraId="4D4564BE" w14:textId="32BE3257" w:rsidR="00AB5297" w:rsidRDefault="00AB5297" w:rsidP="00AB5297">
      <w:pPr>
        <w:jc w:val="center"/>
        <w:rPr>
          <w:b/>
          <w:szCs w:val="28"/>
        </w:rPr>
      </w:pPr>
    </w:p>
    <w:p w14:paraId="459E11B7" w14:textId="77777777" w:rsidR="007567B1" w:rsidRDefault="007567B1" w:rsidP="00AB5297">
      <w:pPr>
        <w:jc w:val="center"/>
        <w:rPr>
          <w:b/>
          <w:szCs w:val="28"/>
        </w:rPr>
      </w:pPr>
    </w:p>
    <w:p w14:paraId="379F00DC" w14:textId="77777777" w:rsidR="00F67021" w:rsidRDefault="00F67021" w:rsidP="00AB5297">
      <w:pPr>
        <w:spacing w:after="0" w:line="360" w:lineRule="auto"/>
        <w:jc w:val="center"/>
        <w:rPr>
          <w:rFonts w:eastAsia="Times New Roman" w:cs="Times New Roman"/>
          <w:b/>
          <w:bCs/>
          <w:sz w:val="24"/>
          <w:szCs w:val="24"/>
        </w:rPr>
      </w:pPr>
    </w:p>
    <w:p w14:paraId="69F0B91B" w14:textId="77777777" w:rsidR="00F67021" w:rsidRDefault="00F67021" w:rsidP="00AB5297">
      <w:pPr>
        <w:spacing w:after="0" w:line="360" w:lineRule="auto"/>
        <w:jc w:val="center"/>
        <w:rPr>
          <w:rFonts w:eastAsia="Times New Roman" w:cs="Times New Roman"/>
          <w:b/>
          <w:bCs/>
          <w:sz w:val="24"/>
          <w:szCs w:val="24"/>
        </w:rPr>
      </w:pPr>
    </w:p>
    <w:p w14:paraId="66C19645" w14:textId="77777777" w:rsidR="00AB5297" w:rsidRPr="00AB5297" w:rsidRDefault="00AB5297" w:rsidP="00AB5297">
      <w:pPr>
        <w:spacing w:after="0" w:line="360" w:lineRule="auto"/>
        <w:jc w:val="center"/>
        <w:rPr>
          <w:rFonts w:eastAsia="Times New Roman" w:cs="Times New Roman"/>
          <w:b/>
          <w:bCs/>
          <w:sz w:val="24"/>
          <w:szCs w:val="24"/>
        </w:rPr>
      </w:pPr>
      <w:bookmarkStart w:id="83" w:name="_GoBack"/>
      <w:bookmarkEnd w:id="83"/>
      <w:r w:rsidRPr="00AB5297">
        <w:rPr>
          <w:rFonts w:eastAsia="Times New Roman" w:cs="Times New Roman"/>
          <w:b/>
          <w:bCs/>
          <w:sz w:val="24"/>
          <w:szCs w:val="24"/>
        </w:rPr>
        <w:lastRenderedPageBreak/>
        <w:t>Методология разработки клинических рекомендаций</w:t>
      </w:r>
    </w:p>
    <w:p w14:paraId="2BAECC94" w14:textId="77777777" w:rsidR="00AB5297" w:rsidRPr="00AB5297" w:rsidRDefault="00AB5297" w:rsidP="00AB5297">
      <w:pPr>
        <w:spacing w:after="0" w:line="360" w:lineRule="auto"/>
        <w:jc w:val="both"/>
        <w:rPr>
          <w:rFonts w:eastAsia="Times New Roman" w:cs="Times New Roman"/>
          <w:sz w:val="24"/>
          <w:szCs w:val="24"/>
        </w:rPr>
      </w:pPr>
      <w:r w:rsidRPr="00AB5297">
        <w:rPr>
          <w:rFonts w:eastAsia="Times New Roman" w:cs="Times New Roman"/>
          <w:sz w:val="24"/>
          <w:szCs w:val="24"/>
        </w:rPr>
        <w:t xml:space="preserve">В Рекомендациях, основанных на результатах крупнейших эпидемиологических, рандомизированных клинических исследований и метаанализов, обобщены и изложены основные принципы лечения пациентов с АГ в целом и в особых клинических ситуациях. </w:t>
      </w:r>
    </w:p>
    <w:p w14:paraId="6BEB18BD" w14:textId="77777777" w:rsidR="00AB5297" w:rsidRPr="00AB5297" w:rsidRDefault="00AB5297" w:rsidP="00AB5297">
      <w:pPr>
        <w:spacing w:after="0" w:line="360" w:lineRule="auto"/>
        <w:jc w:val="both"/>
        <w:rPr>
          <w:rFonts w:eastAsia="Times New Roman" w:cs="Times New Roman"/>
          <w:sz w:val="24"/>
          <w:szCs w:val="24"/>
        </w:rPr>
      </w:pPr>
      <w:r w:rsidRPr="00AB5297">
        <w:rPr>
          <w:rFonts w:eastAsia="Times New Roman" w:cs="Times New Roman"/>
          <w:sz w:val="24"/>
          <w:szCs w:val="24"/>
        </w:rPr>
        <w:t xml:space="preserve">Основная цель Рекомендаций — облегчить принятие решения при выборе оптимальной стратегии лечения конкретного пациента с АГ. Тем не менее окончательное решение о лечении должно быть принято сучетом индивидуальных особенностей механизмов развития и течения заболевания (например, солечувствительность, вторичный гиперальдостеронизм, индивидуальная чувствительность к АГП). </w:t>
      </w:r>
    </w:p>
    <w:p w14:paraId="3520F5BC" w14:textId="77777777" w:rsidR="00AB5297" w:rsidRPr="00AB5297" w:rsidRDefault="00AB5297" w:rsidP="00AB5297">
      <w:pPr>
        <w:spacing w:after="0" w:line="360" w:lineRule="auto"/>
        <w:jc w:val="both"/>
        <w:rPr>
          <w:rFonts w:eastAsia="Times New Roman" w:cs="Times New Roman"/>
          <w:b/>
          <w:bCs/>
          <w:sz w:val="24"/>
          <w:szCs w:val="24"/>
        </w:rPr>
      </w:pPr>
      <w:r w:rsidRPr="00AB5297">
        <w:rPr>
          <w:rFonts w:eastAsia="Times New Roman" w:cs="Times New Roman"/>
          <w:b/>
          <w:bCs/>
          <w:sz w:val="24"/>
          <w:szCs w:val="24"/>
        </w:rPr>
        <w:t xml:space="preserve">Целевая аудитория данных клинических рекомендаций: </w:t>
      </w:r>
    </w:p>
    <w:p w14:paraId="4C7FF680" w14:textId="77777777" w:rsidR="00AB5297" w:rsidRPr="00AB5297" w:rsidRDefault="00AB5297" w:rsidP="00AB5297">
      <w:pPr>
        <w:spacing w:after="0" w:line="360" w:lineRule="auto"/>
        <w:jc w:val="both"/>
        <w:rPr>
          <w:rFonts w:eastAsia="Times New Roman" w:cs="Times New Roman"/>
          <w:sz w:val="24"/>
          <w:szCs w:val="24"/>
        </w:rPr>
      </w:pPr>
      <w:r w:rsidRPr="00AB5297">
        <w:rPr>
          <w:rFonts w:eastAsia="Times New Roman" w:cs="Times New Roman"/>
          <w:sz w:val="24"/>
          <w:szCs w:val="24"/>
        </w:rPr>
        <w:t xml:space="preserve">1. Врач-кардиолог. </w:t>
      </w:r>
    </w:p>
    <w:p w14:paraId="64207818" w14:textId="77777777" w:rsidR="00AB5297" w:rsidRPr="00AB5297" w:rsidRDefault="00AB5297" w:rsidP="00AB5297">
      <w:pPr>
        <w:spacing w:after="0" w:line="360" w:lineRule="auto"/>
        <w:jc w:val="both"/>
        <w:rPr>
          <w:rFonts w:eastAsia="Times New Roman" w:cs="Times New Roman"/>
          <w:sz w:val="24"/>
          <w:szCs w:val="24"/>
        </w:rPr>
      </w:pPr>
      <w:r w:rsidRPr="00AB5297">
        <w:rPr>
          <w:rFonts w:eastAsia="Times New Roman" w:cs="Times New Roman"/>
          <w:sz w:val="24"/>
          <w:szCs w:val="24"/>
        </w:rPr>
        <w:t xml:space="preserve">2. Врач-терапевт. </w:t>
      </w:r>
    </w:p>
    <w:p w14:paraId="4CAC2AA0" w14:textId="77777777" w:rsidR="00AB5297" w:rsidRPr="00AB5297" w:rsidRDefault="00AB5297" w:rsidP="00AB5297">
      <w:pPr>
        <w:spacing w:after="0" w:line="360" w:lineRule="auto"/>
        <w:jc w:val="both"/>
        <w:rPr>
          <w:rFonts w:eastAsia="Times New Roman" w:cs="Times New Roman"/>
          <w:sz w:val="24"/>
          <w:szCs w:val="24"/>
        </w:rPr>
      </w:pPr>
      <w:r w:rsidRPr="00AB5297">
        <w:rPr>
          <w:rFonts w:eastAsia="Times New Roman" w:cs="Times New Roman"/>
          <w:sz w:val="24"/>
          <w:szCs w:val="24"/>
        </w:rPr>
        <w:t xml:space="preserve">3. Врач общей практики (семейный врач). </w:t>
      </w:r>
    </w:p>
    <w:p w14:paraId="03EC2A46" w14:textId="77777777" w:rsidR="00AB5297" w:rsidRPr="00AB5297" w:rsidRDefault="00AB5297" w:rsidP="00AB5297">
      <w:pPr>
        <w:spacing w:after="0" w:line="360" w:lineRule="auto"/>
        <w:jc w:val="both"/>
        <w:rPr>
          <w:rFonts w:eastAsia="Times New Roman" w:cs="Times New Roman"/>
          <w:sz w:val="24"/>
          <w:szCs w:val="24"/>
        </w:rPr>
      </w:pPr>
      <w:r w:rsidRPr="00AB5297">
        <w:rPr>
          <w:rFonts w:eastAsia="Times New Roman" w:cs="Times New Roman"/>
          <w:sz w:val="24"/>
          <w:szCs w:val="24"/>
        </w:rPr>
        <w:t xml:space="preserve">4. Врач-эндокринолог. </w:t>
      </w:r>
    </w:p>
    <w:p w14:paraId="161E735C" w14:textId="77777777" w:rsidR="00AB5297" w:rsidRDefault="00AB5297" w:rsidP="00AB5297">
      <w:pPr>
        <w:spacing w:after="0" w:line="360" w:lineRule="auto"/>
        <w:jc w:val="both"/>
        <w:rPr>
          <w:rFonts w:eastAsia="Times New Roman" w:cs="Times New Roman"/>
          <w:sz w:val="24"/>
          <w:szCs w:val="24"/>
        </w:rPr>
      </w:pPr>
      <w:r w:rsidRPr="00AB5297">
        <w:rPr>
          <w:rFonts w:eastAsia="Times New Roman" w:cs="Times New Roman"/>
          <w:sz w:val="24"/>
          <w:szCs w:val="24"/>
        </w:rPr>
        <w:t>5. Врач</w:t>
      </w:r>
      <w:r>
        <w:rPr>
          <w:rFonts w:eastAsia="Times New Roman" w:cs="Times New Roman"/>
          <w:sz w:val="24"/>
          <w:szCs w:val="24"/>
        </w:rPr>
        <w:t xml:space="preserve"> скорой медицинской помощи.</w:t>
      </w:r>
    </w:p>
    <w:p w14:paraId="293C3F2E" w14:textId="77777777" w:rsidR="00AB5297" w:rsidRDefault="00AB5297" w:rsidP="00AB5297">
      <w:pPr>
        <w:spacing w:after="0" w:line="360" w:lineRule="auto"/>
        <w:jc w:val="both"/>
        <w:rPr>
          <w:rFonts w:eastAsia="Times New Roman" w:cs="Times New Roman"/>
          <w:sz w:val="24"/>
          <w:szCs w:val="24"/>
        </w:rPr>
      </w:pPr>
      <w:r>
        <w:rPr>
          <w:rFonts w:eastAsia="Times New Roman" w:cs="Times New Roman"/>
          <w:sz w:val="24"/>
          <w:szCs w:val="24"/>
        </w:rPr>
        <w:t>6.Ординаторы</w:t>
      </w:r>
    </w:p>
    <w:p w14:paraId="07508861" w14:textId="77777777" w:rsidR="00AB5297" w:rsidRDefault="00AB5297" w:rsidP="00AB5297">
      <w:pPr>
        <w:spacing w:after="0" w:line="360" w:lineRule="auto"/>
        <w:jc w:val="both"/>
        <w:rPr>
          <w:rFonts w:eastAsia="Times New Roman" w:cs="Times New Roman"/>
          <w:sz w:val="24"/>
          <w:szCs w:val="24"/>
        </w:rPr>
      </w:pPr>
      <w:r>
        <w:rPr>
          <w:rFonts w:eastAsia="Times New Roman" w:cs="Times New Roman"/>
          <w:sz w:val="24"/>
          <w:szCs w:val="24"/>
        </w:rPr>
        <w:t>7.Студенты медицинских ВУЗов.</w:t>
      </w:r>
    </w:p>
    <w:p w14:paraId="378C9B59" w14:textId="77777777" w:rsidR="00AB5297" w:rsidRDefault="00AB5297" w:rsidP="00AB5297">
      <w:pPr>
        <w:spacing w:after="0" w:line="360" w:lineRule="auto"/>
        <w:jc w:val="both"/>
        <w:rPr>
          <w:rFonts w:eastAsia="Times New Roman" w:cs="Times New Roman"/>
          <w:sz w:val="24"/>
          <w:szCs w:val="24"/>
        </w:rPr>
      </w:pPr>
    </w:p>
    <w:p w14:paraId="28308252" w14:textId="77777777" w:rsidR="00AB5297" w:rsidRDefault="00AB5297" w:rsidP="00AB5297">
      <w:pPr>
        <w:spacing w:after="0" w:line="360" w:lineRule="auto"/>
        <w:jc w:val="both"/>
        <w:rPr>
          <w:rFonts w:eastAsia="Times New Roman" w:cs="Times New Roman"/>
          <w:sz w:val="24"/>
          <w:szCs w:val="24"/>
        </w:rPr>
      </w:pPr>
    </w:p>
    <w:p w14:paraId="68044739" w14:textId="77777777" w:rsidR="00AB5297" w:rsidRDefault="00AB5297" w:rsidP="00AB5297">
      <w:pPr>
        <w:spacing w:after="0" w:line="360" w:lineRule="auto"/>
        <w:jc w:val="both"/>
        <w:rPr>
          <w:rFonts w:eastAsia="Times New Roman" w:cs="Times New Roman"/>
          <w:sz w:val="24"/>
          <w:szCs w:val="24"/>
        </w:rPr>
      </w:pPr>
    </w:p>
    <w:p w14:paraId="072D41D5" w14:textId="77777777" w:rsidR="00AB5297" w:rsidRDefault="00AB5297" w:rsidP="00AB5297">
      <w:pPr>
        <w:spacing w:after="0" w:line="360" w:lineRule="auto"/>
        <w:jc w:val="both"/>
        <w:rPr>
          <w:rFonts w:eastAsia="Times New Roman" w:cs="Times New Roman"/>
          <w:sz w:val="24"/>
          <w:szCs w:val="24"/>
        </w:rPr>
      </w:pPr>
    </w:p>
    <w:p w14:paraId="6E433FF9" w14:textId="77777777" w:rsidR="00AB5297" w:rsidRDefault="00AB5297" w:rsidP="00AB5297">
      <w:pPr>
        <w:spacing w:after="0" w:line="360" w:lineRule="auto"/>
        <w:jc w:val="both"/>
        <w:rPr>
          <w:rFonts w:eastAsia="Times New Roman" w:cs="Times New Roman"/>
          <w:sz w:val="24"/>
          <w:szCs w:val="24"/>
        </w:rPr>
      </w:pPr>
    </w:p>
    <w:p w14:paraId="24FA2B1F" w14:textId="77777777" w:rsidR="00AB5297" w:rsidRDefault="00AB5297" w:rsidP="00AB5297">
      <w:pPr>
        <w:spacing w:after="0" w:line="360" w:lineRule="auto"/>
        <w:jc w:val="both"/>
        <w:rPr>
          <w:rFonts w:eastAsia="Times New Roman" w:cs="Times New Roman"/>
          <w:sz w:val="24"/>
          <w:szCs w:val="24"/>
        </w:rPr>
      </w:pPr>
    </w:p>
    <w:p w14:paraId="2C54FAE3" w14:textId="77777777" w:rsidR="00AB5297" w:rsidRDefault="00AB5297" w:rsidP="00AB5297">
      <w:pPr>
        <w:spacing w:after="0" w:line="360" w:lineRule="auto"/>
        <w:jc w:val="both"/>
        <w:rPr>
          <w:rFonts w:eastAsia="Times New Roman" w:cs="Times New Roman"/>
          <w:sz w:val="24"/>
          <w:szCs w:val="24"/>
        </w:rPr>
      </w:pPr>
    </w:p>
    <w:p w14:paraId="532999E6" w14:textId="77777777" w:rsidR="00AB5297" w:rsidRDefault="00AB5297" w:rsidP="00AB5297">
      <w:pPr>
        <w:spacing w:after="0" w:line="360" w:lineRule="auto"/>
        <w:jc w:val="both"/>
        <w:rPr>
          <w:rFonts w:eastAsia="Times New Roman" w:cs="Times New Roman"/>
          <w:sz w:val="24"/>
          <w:szCs w:val="24"/>
        </w:rPr>
      </w:pPr>
    </w:p>
    <w:p w14:paraId="7E01F8AC" w14:textId="77777777" w:rsidR="00AB5297" w:rsidRDefault="00AB5297" w:rsidP="00AB5297">
      <w:pPr>
        <w:spacing w:after="0" w:line="360" w:lineRule="auto"/>
        <w:jc w:val="both"/>
        <w:rPr>
          <w:rFonts w:eastAsia="Times New Roman" w:cs="Times New Roman"/>
          <w:sz w:val="24"/>
          <w:szCs w:val="24"/>
        </w:rPr>
      </w:pPr>
    </w:p>
    <w:p w14:paraId="2CADE2CF" w14:textId="77777777" w:rsidR="00AB5297" w:rsidRDefault="00AB5297" w:rsidP="00AB5297">
      <w:pPr>
        <w:spacing w:after="0" w:line="360" w:lineRule="auto"/>
        <w:jc w:val="both"/>
        <w:rPr>
          <w:rFonts w:eastAsia="Times New Roman" w:cs="Times New Roman"/>
          <w:sz w:val="24"/>
          <w:szCs w:val="24"/>
        </w:rPr>
      </w:pPr>
    </w:p>
    <w:p w14:paraId="25E2F0A6" w14:textId="77777777" w:rsidR="00AB5297" w:rsidRDefault="00AB5297" w:rsidP="00AB5297">
      <w:pPr>
        <w:spacing w:after="0" w:line="360" w:lineRule="auto"/>
        <w:jc w:val="both"/>
        <w:rPr>
          <w:rFonts w:eastAsia="Times New Roman" w:cs="Times New Roman"/>
          <w:sz w:val="24"/>
          <w:szCs w:val="24"/>
        </w:rPr>
      </w:pPr>
    </w:p>
    <w:p w14:paraId="0E36D4CB" w14:textId="77777777" w:rsidR="00AB5297" w:rsidRDefault="00AB5297" w:rsidP="00AB5297">
      <w:pPr>
        <w:spacing w:after="0" w:line="360" w:lineRule="auto"/>
        <w:jc w:val="both"/>
        <w:rPr>
          <w:rFonts w:eastAsia="Times New Roman" w:cs="Times New Roman"/>
          <w:sz w:val="24"/>
          <w:szCs w:val="24"/>
        </w:rPr>
      </w:pPr>
    </w:p>
    <w:p w14:paraId="688E23F8" w14:textId="77777777" w:rsidR="00AB5297" w:rsidRDefault="00AB5297" w:rsidP="00AB5297">
      <w:pPr>
        <w:spacing w:after="0" w:line="360" w:lineRule="auto"/>
        <w:jc w:val="both"/>
        <w:rPr>
          <w:rFonts w:eastAsia="Times New Roman" w:cs="Times New Roman"/>
          <w:sz w:val="24"/>
          <w:szCs w:val="24"/>
        </w:rPr>
      </w:pPr>
    </w:p>
    <w:p w14:paraId="3006D216" w14:textId="77777777" w:rsidR="00AB5297" w:rsidRDefault="00AB5297" w:rsidP="00AB5297">
      <w:pPr>
        <w:spacing w:after="0" w:line="360" w:lineRule="auto"/>
        <w:jc w:val="both"/>
        <w:rPr>
          <w:rFonts w:eastAsia="Times New Roman" w:cs="Times New Roman"/>
          <w:sz w:val="24"/>
          <w:szCs w:val="24"/>
        </w:rPr>
      </w:pPr>
    </w:p>
    <w:p w14:paraId="10B66C8A" w14:textId="77777777" w:rsidR="00AB5297" w:rsidRDefault="00AB5297" w:rsidP="00AB5297">
      <w:pPr>
        <w:spacing w:after="0" w:line="360" w:lineRule="auto"/>
        <w:jc w:val="both"/>
        <w:rPr>
          <w:rFonts w:eastAsia="Times New Roman" w:cs="Times New Roman"/>
          <w:sz w:val="24"/>
          <w:szCs w:val="24"/>
        </w:rPr>
      </w:pPr>
    </w:p>
    <w:p w14:paraId="416E95BE" w14:textId="77777777" w:rsidR="00AB5297" w:rsidRDefault="00AB5297" w:rsidP="00AB5297">
      <w:pPr>
        <w:spacing w:after="0" w:line="360" w:lineRule="auto"/>
        <w:jc w:val="both"/>
        <w:rPr>
          <w:rFonts w:eastAsia="Times New Roman" w:cs="Times New Roman"/>
          <w:sz w:val="24"/>
          <w:szCs w:val="24"/>
        </w:rPr>
      </w:pPr>
    </w:p>
    <w:p w14:paraId="4A7368EC" w14:textId="77777777" w:rsidR="00AB5297" w:rsidRDefault="00AB5297" w:rsidP="00AB5297">
      <w:pPr>
        <w:spacing w:after="0" w:line="360" w:lineRule="auto"/>
        <w:jc w:val="both"/>
        <w:rPr>
          <w:rFonts w:eastAsia="Times New Roman" w:cs="Times New Roman"/>
          <w:sz w:val="24"/>
          <w:szCs w:val="24"/>
        </w:rPr>
      </w:pPr>
    </w:p>
    <w:p w14:paraId="25AEE57B" w14:textId="77777777" w:rsidR="0057089D" w:rsidRDefault="00C668C7" w:rsidP="0057089D">
      <w:pPr>
        <w:pStyle w:val="1"/>
        <w:spacing w:line="360" w:lineRule="auto"/>
        <w:jc w:val="right"/>
        <w:rPr>
          <w:rFonts w:ascii="Times New Roman" w:hAnsi="Times New Roman" w:cs="Times New Roman"/>
          <w:b/>
          <w:bCs/>
          <w:color w:val="000000" w:themeColor="text1"/>
          <w:sz w:val="28"/>
          <w:szCs w:val="28"/>
        </w:rPr>
      </w:pPr>
      <w:bookmarkStart w:id="84" w:name="_Toc202877451"/>
      <w:r w:rsidRPr="00350B76">
        <w:rPr>
          <w:rFonts w:ascii="Times New Roman" w:hAnsi="Times New Roman" w:cs="Times New Roman"/>
          <w:b/>
          <w:color w:val="000000" w:themeColor="text1"/>
          <w:sz w:val="28"/>
          <w:szCs w:val="28"/>
        </w:rPr>
        <w:lastRenderedPageBreak/>
        <w:t>Приложение А</w:t>
      </w:r>
      <w:r w:rsidR="00390490" w:rsidRPr="00350B76">
        <w:rPr>
          <w:rFonts w:ascii="Times New Roman" w:hAnsi="Times New Roman" w:cs="Times New Roman"/>
          <w:b/>
          <w:color w:val="000000" w:themeColor="text1"/>
          <w:sz w:val="28"/>
          <w:szCs w:val="28"/>
        </w:rPr>
        <w:t>2.</w:t>
      </w:r>
      <w:r w:rsidR="00390490" w:rsidRPr="00350B76">
        <w:rPr>
          <w:rFonts w:ascii="Times New Roman" w:hAnsi="Times New Roman" w:cs="Times New Roman"/>
          <w:b/>
          <w:bCs/>
          <w:color w:val="000000" w:themeColor="text1"/>
          <w:sz w:val="28"/>
          <w:szCs w:val="28"/>
        </w:rPr>
        <w:t xml:space="preserve"> </w:t>
      </w:r>
    </w:p>
    <w:p w14:paraId="65BF4A5B" w14:textId="06487B4D" w:rsidR="00AB5297" w:rsidRPr="00350B76" w:rsidRDefault="00390490" w:rsidP="00350B76">
      <w:pPr>
        <w:pStyle w:val="1"/>
        <w:spacing w:line="360" w:lineRule="auto"/>
        <w:jc w:val="center"/>
        <w:rPr>
          <w:rFonts w:ascii="Times New Roman" w:hAnsi="Times New Roman" w:cs="Times New Roman"/>
          <w:b/>
          <w:bCs/>
          <w:color w:val="000000" w:themeColor="text1"/>
          <w:sz w:val="28"/>
          <w:szCs w:val="28"/>
        </w:rPr>
      </w:pPr>
      <w:r w:rsidRPr="00350B76">
        <w:rPr>
          <w:rFonts w:ascii="Times New Roman" w:hAnsi="Times New Roman" w:cs="Times New Roman"/>
          <w:b/>
          <w:bCs/>
          <w:color w:val="000000" w:themeColor="text1"/>
          <w:sz w:val="28"/>
          <w:szCs w:val="28"/>
        </w:rPr>
        <w:t>Справочные</w:t>
      </w:r>
      <w:r w:rsidR="00C668C7" w:rsidRPr="00350B76">
        <w:rPr>
          <w:rFonts w:ascii="Times New Roman" w:hAnsi="Times New Roman" w:cs="Times New Roman"/>
          <w:b/>
          <w:bCs/>
          <w:color w:val="000000" w:themeColor="text1"/>
          <w:sz w:val="28"/>
          <w:szCs w:val="28"/>
        </w:rPr>
        <w:t xml:space="preserve"> материалы, включая соответствие показаний к применению и противопоказаний, способов применения и доз лекарственных препаратов инструкции по </w:t>
      </w:r>
      <w:r w:rsidRPr="00350B76">
        <w:rPr>
          <w:rFonts w:ascii="Times New Roman" w:hAnsi="Times New Roman" w:cs="Times New Roman"/>
          <w:b/>
          <w:bCs/>
          <w:color w:val="000000" w:themeColor="text1"/>
          <w:sz w:val="28"/>
          <w:szCs w:val="28"/>
        </w:rPr>
        <w:t>применению лекарственного</w:t>
      </w:r>
      <w:r w:rsidR="00C668C7" w:rsidRPr="00350B76">
        <w:rPr>
          <w:rFonts w:ascii="Times New Roman" w:hAnsi="Times New Roman" w:cs="Times New Roman"/>
          <w:b/>
          <w:bCs/>
          <w:color w:val="000000" w:themeColor="text1"/>
          <w:sz w:val="28"/>
          <w:szCs w:val="28"/>
        </w:rPr>
        <w:t xml:space="preserve"> препарата</w:t>
      </w:r>
      <w:bookmarkEnd w:id="84"/>
    </w:p>
    <w:p w14:paraId="7694694F" w14:textId="77777777" w:rsidR="00390490" w:rsidRDefault="00390490" w:rsidP="00390490">
      <w:pPr>
        <w:spacing w:line="360" w:lineRule="auto"/>
        <w:ind w:firstLine="709"/>
        <w:jc w:val="both"/>
        <w:rPr>
          <w:rFonts w:eastAsia="Calibri" w:cs="Times New Roman"/>
          <w:sz w:val="24"/>
          <w:szCs w:val="24"/>
        </w:rPr>
      </w:pPr>
      <w:r w:rsidRPr="005E23EC">
        <w:rPr>
          <w:rFonts w:eastAsia="Calibri" w:cs="Times New Roman"/>
          <w:sz w:val="24"/>
          <w:szCs w:val="24"/>
        </w:rPr>
        <w:t>Данные клинические рекомендации разработаны с учетом следующих нормативно-правовых актов Приднестровской Молдавской Республики:</w:t>
      </w:r>
    </w:p>
    <w:p w14:paraId="3698FD40" w14:textId="698BAC7E" w:rsidR="00390490" w:rsidRDefault="00390490" w:rsidP="00390490">
      <w:pPr>
        <w:spacing w:line="360" w:lineRule="auto"/>
        <w:ind w:firstLine="709"/>
        <w:jc w:val="both"/>
        <w:rPr>
          <w:rFonts w:eastAsia="Calibri" w:cs="Times New Roman"/>
          <w:sz w:val="24"/>
          <w:szCs w:val="24"/>
        </w:rPr>
      </w:pPr>
      <w:r w:rsidRPr="001A12F4">
        <w:rPr>
          <w:rFonts w:eastAsia="Calibri" w:cs="Times New Roman"/>
          <w:sz w:val="24"/>
          <w:szCs w:val="24"/>
        </w:rPr>
        <w:t xml:space="preserve">1. Постановление Правительства Приднестровской Молдавской Республики от </w:t>
      </w:r>
      <w:r w:rsidR="0057089D" w:rsidRPr="001A12F4">
        <w:rPr>
          <w:rFonts w:eastAsia="Calibri" w:cs="Times New Roman"/>
          <w:sz w:val="24"/>
          <w:szCs w:val="24"/>
        </w:rPr>
        <w:t>14 апреля 2025 года № 108 «Об утверждении Программы государственных гарантий оказания гражданам Приднестровской Молдавской Республики бесплатной медицинской помощи на 2025 год» (САЗ 25-15).</w:t>
      </w:r>
    </w:p>
    <w:p w14:paraId="26385C57" w14:textId="7D834326" w:rsidR="00390490" w:rsidRDefault="00390490" w:rsidP="00390490">
      <w:pPr>
        <w:spacing w:line="360" w:lineRule="auto"/>
        <w:ind w:firstLine="709"/>
        <w:jc w:val="both"/>
        <w:rPr>
          <w:rFonts w:eastAsia="Calibri" w:cs="Times New Roman"/>
          <w:sz w:val="24"/>
          <w:szCs w:val="24"/>
        </w:rPr>
      </w:pPr>
      <w:r>
        <w:rPr>
          <w:rFonts w:eastAsia="Calibri" w:cs="Times New Roman"/>
          <w:sz w:val="24"/>
          <w:szCs w:val="24"/>
        </w:rPr>
        <w:t>2. Зак</w:t>
      </w:r>
      <w:r w:rsidRPr="005E23EC">
        <w:rPr>
          <w:rFonts w:eastAsia="Calibri" w:cs="Times New Roman"/>
          <w:sz w:val="24"/>
          <w:szCs w:val="24"/>
        </w:rPr>
        <w:t>он Приднестровской Молдавской Республики от 16 января 1997 года № 29-3 «Об основах охраны здоровья граждан (СЗМР 97-1)</w:t>
      </w:r>
      <w:r w:rsidR="0057089D">
        <w:rPr>
          <w:rFonts w:eastAsia="Calibri" w:cs="Times New Roman"/>
          <w:sz w:val="24"/>
          <w:szCs w:val="24"/>
        </w:rPr>
        <w:t>.</w:t>
      </w:r>
    </w:p>
    <w:p w14:paraId="5B3B3225" w14:textId="77777777" w:rsidR="00390490" w:rsidRDefault="00390490" w:rsidP="00390490">
      <w:pPr>
        <w:spacing w:line="360" w:lineRule="auto"/>
        <w:ind w:firstLine="709"/>
        <w:jc w:val="both"/>
        <w:rPr>
          <w:rFonts w:eastAsia="Calibri" w:cs="Times New Roman"/>
          <w:sz w:val="24"/>
          <w:szCs w:val="24"/>
        </w:rPr>
      </w:pPr>
      <w:r>
        <w:rPr>
          <w:rFonts w:eastAsia="Calibri" w:cs="Times New Roman"/>
          <w:sz w:val="24"/>
          <w:szCs w:val="24"/>
        </w:rPr>
        <w:t>3. При</w:t>
      </w:r>
      <w:r w:rsidRPr="005E23EC">
        <w:rPr>
          <w:rFonts w:eastAsia="Calibri" w:cs="Times New Roman"/>
          <w:sz w:val="24"/>
          <w:szCs w:val="24"/>
        </w:rPr>
        <w:t>каз Министерства здравоохранения Приднестровской Молдавской Республики от 12 августа 2020 года № 695 «Об утверждении Правил приема пациентов в государственных лечебно-профилактических учреждениях стационарного типа» (регистрационный № 9825 от 19 ноября 2020 года) (САЗ 20-47).</w:t>
      </w:r>
    </w:p>
    <w:p w14:paraId="08FFACA8" w14:textId="4C694F46" w:rsidR="00390490" w:rsidRDefault="00390490" w:rsidP="00390490">
      <w:pPr>
        <w:tabs>
          <w:tab w:val="left" w:pos="851"/>
        </w:tabs>
        <w:spacing w:line="360" w:lineRule="auto"/>
        <w:ind w:firstLine="709"/>
        <w:jc w:val="both"/>
        <w:rPr>
          <w:rFonts w:eastAsia="Calibri" w:cs="Times New Roman"/>
          <w:sz w:val="24"/>
          <w:szCs w:val="24"/>
        </w:rPr>
      </w:pPr>
      <w:r>
        <w:rPr>
          <w:rFonts w:eastAsia="Calibri" w:cs="Times New Roman"/>
          <w:sz w:val="24"/>
          <w:szCs w:val="24"/>
        </w:rPr>
        <w:t xml:space="preserve">Формирование </w:t>
      </w:r>
      <w:r w:rsidRPr="00B16D51">
        <w:rPr>
          <w:rFonts w:eastAsia="Calibri" w:cs="Times New Roman"/>
          <w:color w:val="000000" w:themeColor="text1"/>
          <w:sz w:val="24"/>
          <w:szCs w:val="24"/>
        </w:rPr>
        <w:t>клинических</w:t>
      </w:r>
      <w:r>
        <w:rPr>
          <w:rFonts w:eastAsia="Calibri" w:cs="Times New Roman"/>
          <w:color w:val="000000" w:themeColor="text1"/>
          <w:sz w:val="24"/>
          <w:szCs w:val="24"/>
        </w:rPr>
        <w:t xml:space="preserve"> </w:t>
      </w:r>
      <w:r w:rsidRPr="007E5F98">
        <w:rPr>
          <w:rFonts w:eastAsia="Calibri" w:cs="Times New Roman"/>
          <w:sz w:val="24"/>
          <w:szCs w:val="24"/>
        </w:rPr>
        <w:t>рекомендаций проводилось на основе рекомендаций Российского к</w:t>
      </w:r>
      <w:r>
        <w:rPr>
          <w:rFonts w:eastAsia="Calibri" w:cs="Times New Roman"/>
          <w:sz w:val="24"/>
          <w:szCs w:val="24"/>
        </w:rPr>
        <w:t>ардиологического общества (РКО)</w:t>
      </w:r>
      <w:r w:rsidRPr="007E5F98">
        <w:rPr>
          <w:rFonts w:eastAsia="Calibri" w:cs="Times New Roman"/>
          <w:sz w:val="24"/>
          <w:szCs w:val="24"/>
        </w:rPr>
        <w:t>,</w:t>
      </w:r>
      <w:r>
        <w:rPr>
          <w:rFonts w:eastAsia="Calibri" w:cs="Times New Roman"/>
          <w:sz w:val="24"/>
          <w:szCs w:val="24"/>
        </w:rPr>
        <w:t xml:space="preserve"> </w:t>
      </w:r>
      <w:r w:rsidRPr="007E5F98">
        <w:rPr>
          <w:rFonts w:eastAsia="Calibri" w:cs="Times New Roman"/>
          <w:sz w:val="24"/>
          <w:szCs w:val="24"/>
        </w:rPr>
        <w:t>Европейского общества кардиологов (ЕОК), с учетом национальной специфики, особенностей обследования, лечения, учитывающих доступность медицинской помощи. По этой причине в тексте настоящих клинических рекомендаций одновременно использованы две шкалы оценки достоверности доказательств тезисов рекомендаций: уровни достоверности док</w:t>
      </w:r>
      <w:r>
        <w:rPr>
          <w:rFonts w:eastAsia="Calibri" w:cs="Times New Roman"/>
          <w:sz w:val="24"/>
          <w:szCs w:val="24"/>
        </w:rPr>
        <w:t xml:space="preserve">азательств ЕОК с </w:t>
      </w:r>
      <w:r w:rsidR="003D51B3">
        <w:rPr>
          <w:rFonts w:eastAsia="Calibri" w:cs="Times New Roman"/>
          <w:sz w:val="24"/>
          <w:szCs w:val="24"/>
        </w:rPr>
        <w:t>Уровень убедительности рекомендаций</w:t>
      </w:r>
      <w:r>
        <w:rPr>
          <w:rFonts w:eastAsia="Calibri" w:cs="Times New Roman"/>
          <w:sz w:val="24"/>
          <w:szCs w:val="24"/>
        </w:rPr>
        <w:t xml:space="preserve">и </w:t>
      </w:r>
      <w:r w:rsidR="003D51B3">
        <w:rPr>
          <w:rFonts w:eastAsia="Calibri" w:cs="Times New Roman"/>
          <w:sz w:val="24"/>
          <w:szCs w:val="24"/>
        </w:rPr>
        <w:t>Уровень достоверности доказательств</w:t>
      </w:r>
      <w:r>
        <w:rPr>
          <w:rFonts w:eastAsia="Calibri" w:cs="Times New Roman"/>
          <w:sz w:val="24"/>
          <w:szCs w:val="24"/>
        </w:rPr>
        <w:t xml:space="preserve">. </w:t>
      </w:r>
    </w:p>
    <w:p w14:paraId="2A2913B2" w14:textId="77777777" w:rsidR="0057089D" w:rsidRDefault="008B7FFB" w:rsidP="0057089D">
      <w:pPr>
        <w:spacing w:after="0" w:line="360" w:lineRule="auto"/>
        <w:jc w:val="right"/>
        <w:rPr>
          <w:b/>
          <w:bCs/>
          <w:sz w:val="24"/>
          <w:szCs w:val="24"/>
        </w:rPr>
      </w:pPr>
      <w:r w:rsidRPr="008B7FFB">
        <w:rPr>
          <w:b/>
          <w:bCs/>
          <w:sz w:val="24"/>
          <w:szCs w:val="24"/>
        </w:rPr>
        <w:t>Таблица П1/</w:t>
      </w:r>
      <w:r w:rsidR="00FB33EA">
        <w:rPr>
          <w:b/>
          <w:bCs/>
          <w:sz w:val="24"/>
          <w:szCs w:val="24"/>
        </w:rPr>
        <w:t>А2</w:t>
      </w:r>
      <w:r w:rsidRPr="008B7FFB">
        <w:rPr>
          <w:b/>
          <w:bCs/>
          <w:sz w:val="24"/>
          <w:szCs w:val="24"/>
        </w:rPr>
        <w:t xml:space="preserve">. </w:t>
      </w:r>
    </w:p>
    <w:p w14:paraId="538F5C22" w14:textId="2FB41226" w:rsidR="008B7FFB" w:rsidRPr="008B7FFB" w:rsidRDefault="008B7FFB" w:rsidP="008B7FFB">
      <w:pPr>
        <w:spacing w:after="0" w:line="360" w:lineRule="auto"/>
        <w:rPr>
          <w:b/>
          <w:bCs/>
          <w:sz w:val="24"/>
          <w:szCs w:val="24"/>
        </w:rPr>
      </w:pPr>
      <w:r w:rsidRPr="008B7FFB">
        <w:rPr>
          <w:b/>
          <w:bCs/>
          <w:sz w:val="24"/>
          <w:szCs w:val="24"/>
        </w:rPr>
        <w:t xml:space="preserve">Правила измерения АД </w:t>
      </w:r>
    </w:p>
    <w:p w14:paraId="3DCE598C" w14:textId="77777777" w:rsidR="008B7FFB" w:rsidRDefault="008B7FFB" w:rsidP="008B7FFB">
      <w:pPr>
        <w:spacing w:after="0" w:line="360" w:lineRule="auto"/>
        <w:rPr>
          <w:b/>
          <w:bCs/>
          <w:sz w:val="24"/>
          <w:szCs w:val="24"/>
        </w:rPr>
      </w:pPr>
      <w:r w:rsidRPr="008B7FFB">
        <w:rPr>
          <w:b/>
          <w:bCs/>
          <w:sz w:val="24"/>
          <w:szCs w:val="24"/>
        </w:rPr>
        <w:t xml:space="preserve">Измерение артериального давления в кабинете врача </w:t>
      </w:r>
    </w:p>
    <w:tbl>
      <w:tblPr>
        <w:tblStyle w:val="afe"/>
        <w:tblW w:w="0" w:type="auto"/>
        <w:tblLook w:val="04A0" w:firstRow="1" w:lastRow="0" w:firstColumn="1" w:lastColumn="0" w:noHBand="0" w:noVBand="1"/>
      </w:tblPr>
      <w:tblGrid>
        <w:gridCol w:w="1129"/>
        <w:gridCol w:w="7511"/>
      </w:tblGrid>
      <w:tr w:rsidR="008B7FFB" w14:paraId="66B2EDFC" w14:textId="77777777" w:rsidTr="008B7FFB">
        <w:tc>
          <w:tcPr>
            <w:tcW w:w="1129" w:type="dxa"/>
            <w:shd w:val="clear" w:color="auto" w:fill="E7E6E6" w:themeFill="background2"/>
          </w:tcPr>
          <w:p w14:paraId="304E177E" w14:textId="77777777" w:rsidR="008B7FFB" w:rsidRDefault="008B7FFB" w:rsidP="00D45012">
            <w:r>
              <w:t>№</w:t>
            </w:r>
          </w:p>
        </w:tc>
        <w:tc>
          <w:tcPr>
            <w:tcW w:w="7511" w:type="dxa"/>
            <w:shd w:val="clear" w:color="auto" w:fill="E7E6E6" w:themeFill="background2"/>
          </w:tcPr>
          <w:p w14:paraId="3EE80920" w14:textId="77777777" w:rsidR="008B7FFB" w:rsidRDefault="008B7FFB" w:rsidP="00523D03">
            <w:pPr>
              <w:jc w:val="center"/>
            </w:pPr>
            <w:r>
              <w:t>Рекомендация</w:t>
            </w:r>
          </w:p>
        </w:tc>
      </w:tr>
      <w:tr w:rsidR="008B7FFB" w14:paraId="0DF08175" w14:textId="77777777" w:rsidTr="008B7FFB">
        <w:tc>
          <w:tcPr>
            <w:tcW w:w="1129" w:type="dxa"/>
            <w:shd w:val="clear" w:color="auto" w:fill="E7E6E6" w:themeFill="background2"/>
          </w:tcPr>
          <w:p w14:paraId="7960C2D2" w14:textId="77777777" w:rsidR="008B7FFB" w:rsidRPr="0073199D" w:rsidRDefault="008B7FFB" w:rsidP="00D45012">
            <w:pPr>
              <w:rPr>
                <w:sz w:val="24"/>
                <w:szCs w:val="20"/>
              </w:rPr>
            </w:pPr>
            <w:r w:rsidRPr="0073199D">
              <w:rPr>
                <w:sz w:val="24"/>
                <w:szCs w:val="20"/>
              </w:rPr>
              <w:t>1</w:t>
            </w:r>
          </w:p>
        </w:tc>
        <w:tc>
          <w:tcPr>
            <w:tcW w:w="7511" w:type="dxa"/>
          </w:tcPr>
          <w:p w14:paraId="101EF02C" w14:textId="77777777" w:rsidR="008B7FFB" w:rsidRPr="0073199D" w:rsidRDefault="008B7FFB" w:rsidP="00D45012">
            <w:pPr>
              <w:rPr>
                <w:sz w:val="24"/>
                <w:szCs w:val="20"/>
                <w:lang w:val="ru-RU"/>
              </w:rPr>
            </w:pPr>
            <w:r w:rsidRPr="0073199D">
              <w:rPr>
                <w:sz w:val="24"/>
                <w:szCs w:val="20"/>
                <w:lang w:val="ru-RU"/>
              </w:rPr>
              <w:t>Пациент должен находиться в положении сидя в спокойной комфортной обстановке в течение 5 минут до начала измерения АД</w:t>
            </w:r>
          </w:p>
        </w:tc>
      </w:tr>
      <w:tr w:rsidR="008B7FFB" w14:paraId="4E6EE520" w14:textId="77777777" w:rsidTr="008B7FFB">
        <w:tc>
          <w:tcPr>
            <w:tcW w:w="1129" w:type="dxa"/>
            <w:shd w:val="clear" w:color="auto" w:fill="E7E6E6" w:themeFill="background2"/>
          </w:tcPr>
          <w:p w14:paraId="5EA32531" w14:textId="77777777" w:rsidR="008B7FFB" w:rsidRPr="0073199D" w:rsidRDefault="008B7FFB" w:rsidP="00D45012">
            <w:pPr>
              <w:rPr>
                <w:sz w:val="24"/>
                <w:szCs w:val="20"/>
              </w:rPr>
            </w:pPr>
            <w:r w:rsidRPr="0073199D">
              <w:rPr>
                <w:sz w:val="24"/>
                <w:szCs w:val="20"/>
              </w:rPr>
              <w:lastRenderedPageBreak/>
              <w:t>2</w:t>
            </w:r>
          </w:p>
        </w:tc>
        <w:tc>
          <w:tcPr>
            <w:tcW w:w="7511" w:type="dxa"/>
          </w:tcPr>
          <w:p w14:paraId="33D6B1C7" w14:textId="77777777" w:rsidR="008B7FFB" w:rsidRPr="0073199D" w:rsidRDefault="008B7FFB" w:rsidP="00D45012">
            <w:pPr>
              <w:rPr>
                <w:sz w:val="24"/>
                <w:szCs w:val="20"/>
                <w:lang w:val="ru-RU"/>
              </w:rPr>
            </w:pPr>
            <w:r w:rsidRPr="0073199D">
              <w:rPr>
                <w:sz w:val="24"/>
                <w:szCs w:val="20"/>
                <w:lang w:val="ru-RU"/>
              </w:rPr>
              <w:t>Следует произвести три измерения АД с интервалами в 1–2 минуты; учитывать следует два последних измерения, если разница &lt;10 мм рт. ст.</w:t>
            </w:r>
          </w:p>
        </w:tc>
      </w:tr>
      <w:tr w:rsidR="008B7FFB" w14:paraId="0F690321" w14:textId="77777777" w:rsidTr="008B7FFB">
        <w:tc>
          <w:tcPr>
            <w:tcW w:w="1129" w:type="dxa"/>
            <w:shd w:val="clear" w:color="auto" w:fill="E7E6E6" w:themeFill="background2"/>
          </w:tcPr>
          <w:p w14:paraId="0F58E18F" w14:textId="77777777" w:rsidR="008B7FFB" w:rsidRPr="0073199D" w:rsidRDefault="008B7FFB" w:rsidP="00D45012">
            <w:pPr>
              <w:rPr>
                <w:sz w:val="24"/>
                <w:szCs w:val="20"/>
              </w:rPr>
            </w:pPr>
            <w:r w:rsidRPr="0073199D">
              <w:rPr>
                <w:sz w:val="24"/>
                <w:szCs w:val="20"/>
              </w:rPr>
              <w:t>3</w:t>
            </w:r>
          </w:p>
        </w:tc>
        <w:tc>
          <w:tcPr>
            <w:tcW w:w="7511" w:type="dxa"/>
          </w:tcPr>
          <w:p w14:paraId="5FD1D1C3" w14:textId="77777777" w:rsidR="008B7FFB" w:rsidRPr="0073199D" w:rsidRDefault="008B7FFB" w:rsidP="00D45012">
            <w:pPr>
              <w:rPr>
                <w:sz w:val="24"/>
                <w:szCs w:val="20"/>
                <w:lang w:val="ru-RU"/>
              </w:rPr>
            </w:pPr>
            <w:r w:rsidRPr="0073199D">
              <w:rPr>
                <w:sz w:val="24"/>
                <w:szCs w:val="20"/>
                <w:lang w:val="ru-RU"/>
              </w:rPr>
              <w:t>Дополнительные измерения требуются у пациентов с нарушениями ритма (например, фибрилляцией предсердий); использовать аускультативный метод</w:t>
            </w:r>
          </w:p>
        </w:tc>
      </w:tr>
      <w:tr w:rsidR="008B7FFB" w14:paraId="271A9354" w14:textId="77777777" w:rsidTr="008B7FFB">
        <w:tc>
          <w:tcPr>
            <w:tcW w:w="1129" w:type="dxa"/>
            <w:shd w:val="clear" w:color="auto" w:fill="E7E6E6" w:themeFill="background2"/>
          </w:tcPr>
          <w:p w14:paraId="4AA9C1EF" w14:textId="77777777" w:rsidR="008B7FFB" w:rsidRPr="0073199D" w:rsidRDefault="008B7FFB" w:rsidP="00D45012">
            <w:pPr>
              <w:rPr>
                <w:sz w:val="24"/>
                <w:szCs w:val="20"/>
              </w:rPr>
            </w:pPr>
            <w:r w:rsidRPr="0073199D">
              <w:rPr>
                <w:sz w:val="24"/>
                <w:szCs w:val="20"/>
              </w:rPr>
              <w:t>4</w:t>
            </w:r>
          </w:p>
        </w:tc>
        <w:tc>
          <w:tcPr>
            <w:tcW w:w="7511" w:type="dxa"/>
          </w:tcPr>
          <w:p w14:paraId="6D81C976" w14:textId="77777777" w:rsidR="008B7FFB" w:rsidRPr="0073199D" w:rsidRDefault="008B7FFB" w:rsidP="00D45012">
            <w:pPr>
              <w:rPr>
                <w:sz w:val="24"/>
                <w:szCs w:val="20"/>
                <w:lang w:val="ru-RU"/>
              </w:rPr>
            </w:pPr>
            <w:r w:rsidRPr="0073199D">
              <w:rPr>
                <w:sz w:val="24"/>
                <w:szCs w:val="20"/>
                <w:lang w:val="ru-RU"/>
              </w:rPr>
              <w:t>Использовать стандартную манжету (12–13 см шириной и 35 см длиной); при необходимости – манжеты разных размеров по окружности плеча</w:t>
            </w:r>
          </w:p>
        </w:tc>
      </w:tr>
      <w:tr w:rsidR="008B7FFB" w14:paraId="747EBB1F" w14:textId="77777777" w:rsidTr="008B7FFB">
        <w:tc>
          <w:tcPr>
            <w:tcW w:w="1129" w:type="dxa"/>
            <w:shd w:val="clear" w:color="auto" w:fill="E7E6E6" w:themeFill="background2"/>
          </w:tcPr>
          <w:p w14:paraId="4192C0E0" w14:textId="77777777" w:rsidR="008B7FFB" w:rsidRPr="0073199D" w:rsidRDefault="008B7FFB" w:rsidP="00D45012">
            <w:pPr>
              <w:rPr>
                <w:sz w:val="24"/>
                <w:szCs w:val="20"/>
              </w:rPr>
            </w:pPr>
            <w:r w:rsidRPr="0073199D">
              <w:rPr>
                <w:sz w:val="24"/>
                <w:szCs w:val="20"/>
              </w:rPr>
              <w:t>5</w:t>
            </w:r>
          </w:p>
        </w:tc>
        <w:tc>
          <w:tcPr>
            <w:tcW w:w="7511" w:type="dxa"/>
          </w:tcPr>
          <w:p w14:paraId="35FE3687" w14:textId="77777777" w:rsidR="008B7FFB" w:rsidRPr="0073199D" w:rsidRDefault="008B7FFB" w:rsidP="00D45012">
            <w:pPr>
              <w:rPr>
                <w:sz w:val="24"/>
                <w:szCs w:val="20"/>
                <w:lang w:val="ru-RU"/>
              </w:rPr>
            </w:pPr>
            <w:r w:rsidRPr="0073199D">
              <w:rPr>
                <w:sz w:val="24"/>
                <w:szCs w:val="20"/>
                <w:lang w:val="ru-RU"/>
              </w:rPr>
              <w:t>Манжета должна располагаться на уровне сердца; избегать напряжения, разговоров, изометрической нагрузки</w:t>
            </w:r>
          </w:p>
        </w:tc>
      </w:tr>
      <w:tr w:rsidR="008B7FFB" w14:paraId="0B77C052" w14:textId="77777777" w:rsidTr="008B7FFB">
        <w:tc>
          <w:tcPr>
            <w:tcW w:w="1129" w:type="dxa"/>
            <w:shd w:val="clear" w:color="auto" w:fill="E7E6E6" w:themeFill="background2"/>
          </w:tcPr>
          <w:p w14:paraId="3CDD8B8C" w14:textId="77777777" w:rsidR="008B7FFB" w:rsidRPr="0073199D" w:rsidRDefault="008B7FFB" w:rsidP="00D45012">
            <w:pPr>
              <w:rPr>
                <w:sz w:val="24"/>
                <w:szCs w:val="20"/>
              </w:rPr>
            </w:pPr>
            <w:r w:rsidRPr="0073199D">
              <w:rPr>
                <w:sz w:val="24"/>
                <w:szCs w:val="20"/>
              </w:rPr>
              <w:t>6</w:t>
            </w:r>
          </w:p>
        </w:tc>
        <w:tc>
          <w:tcPr>
            <w:tcW w:w="7511" w:type="dxa"/>
          </w:tcPr>
          <w:p w14:paraId="1A3F5A4B" w14:textId="77777777" w:rsidR="008B7FFB" w:rsidRPr="0073199D" w:rsidRDefault="008B7FFB" w:rsidP="00D45012">
            <w:pPr>
              <w:rPr>
                <w:sz w:val="24"/>
                <w:szCs w:val="20"/>
                <w:lang w:val="ru-RU"/>
              </w:rPr>
            </w:pPr>
            <w:r w:rsidRPr="0073199D">
              <w:rPr>
                <w:sz w:val="24"/>
                <w:szCs w:val="20"/>
                <w:lang w:val="ru-RU"/>
              </w:rPr>
              <w:t xml:space="preserve">При аускультации использовать фазы </w:t>
            </w:r>
            <w:r w:rsidRPr="0073199D">
              <w:rPr>
                <w:sz w:val="24"/>
                <w:szCs w:val="20"/>
              </w:rPr>
              <w:t>I</w:t>
            </w:r>
            <w:r w:rsidRPr="0073199D">
              <w:rPr>
                <w:sz w:val="24"/>
                <w:szCs w:val="20"/>
                <w:lang w:val="ru-RU"/>
              </w:rPr>
              <w:t xml:space="preserve"> и </w:t>
            </w:r>
            <w:r w:rsidRPr="0073199D">
              <w:rPr>
                <w:sz w:val="24"/>
                <w:szCs w:val="20"/>
              </w:rPr>
              <w:t>V</w:t>
            </w:r>
            <w:r w:rsidRPr="0073199D">
              <w:rPr>
                <w:sz w:val="24"/>
                <w:szCs w:val="20"/>
                <w:lang w:val="ru-RU"/>
              </w:rPr>
              <w:t xml:space="preserve"> тонов Короткова для определения САД и ДАД соответственно</w:t>
            </w:r>
          </w:p>
        </w:tc>
      </w:tr>
      <w:tr w:rsidR="008B7FFB" w14:paraId="67DEB14E" w14:textId="77777777" w:rsidTr="008B7FFB">
        <w:tc>
          <w:tcPr>
            <w:tcW w:w="1129" w:type="dxa"/>
            <w:shd w:val="clear" w:color="auto" w:fill="E7E6E6" w:themeFill="background2"/>
          </w:tcPr>
          <w:p w14:paraId="0C19D1CC" w14:textId="77777777" w:rsidR="008B7FFB" w:rsidRPr="0073199D" w:rsidRDefault="008B7FFB" w:rsidP="00D45012">
            <w:pPr>
              <w:rPr>
                <w:sz w:val="24"/>
                <w:szCs w:val="20"/>
              </w:rPr>
            </w:pPr>
            <w:r w:rsidRPr="0073199D">
              <w:rPr>
                <w:sz w:val="24"/>
                <w:szCs w:val="20"/>
              </w:rPr>
              <w:t>7</w:t>
            </w:r>
          </w:p>
        </w:tc>
        <w:tc>
          <w:tcPr>
            <w:tcW w:w="7511" w:type="dxa"/>
          </w:tcPr>
          <w:p w14:paraId="559247F0" w14:textId="77777777" w:rsidR="008B7FFB" w:rsidRPr="0073199D" w:rsidRDefault="008B7FFB" w:rsidP="00D45012">
            <w:pPr>
              <w:rPr>
                <w:sz w:val="24"/>
                <w:szCs w:val="20"/>
                <w:lang w:val="ru-RU"/>
              </w:rPr>
            </w:pPr>
            <w:r w:rsidRPr="0073199D">
              <w:rPr>
                <w:sz w:val="24"/>
                <w:szCs w:val="20"/>
                <w:lang w:val="ru-RU"/>
              </w:rPr>
              <w:t>При первом посещении измерять АД на обеих руках; в дальнейшем — на руке с более высоким давлением</w:t>
            </w:r>
          </w:p>
        </w:tc>
      </w:tr>
      <w:tr w:rsidR="008B7FFB" w14:paraId="5DD9B952" w14:textId="77777777" w:rsidTr="008B7FFB">
        <w:tc>
          <w:tcPr>
            <w:tcW w:w="1129" w:type="dxa"/>
            <w:shd w:val="clear" w:color="auto" w:fill="E7E6E6" w:themeFill="background2"/>
          </w:tcPr>
          <w:p w14:paraId="6544E57C" w14:textId="77777777" w:rsidR="008B7FFB" w:rsidRPr="0073199D" w:rsidRDefault="008B7FFB" w:rsidP="00D45012">
            <w:pPr>
              <w:rPr>
                <w:sz w:val="24"/>
                <w:szCs w:val="20"/>
              </w:rPr>
            </w:pPr>
            <w:r w:rsidRPr="0073199D">
              <w:rPr>
                <w:sz w:val="24"/>
                <w:szCs w:val="20"/>
              </w:rPr>
              <w:t>8</w:t>
            </w:r>
          </w:p>
        </w:tc>
        <w:tc>
          <w:tcPr>
            <w:tcW w:w="7511" w:type="dxa"/>
          </w:tcPr>
          <w:p w14:paraId="1F24B252" w14:textId="77777777" w:rsidR="008B7FFB" w:rsidRPr="0073199D" w:rsidRDefault="008B7FFB" w:rsidP="00D45012">
            <w:pPr>
              <w:rPr>
                <w:sz w:val="24"/>
                <w:szCs w:val="20"/>
                <w:lang w:val="ru-RU"/>
              </w:rPr>
            </w:pPr>
            <w:r w:rsidRPr="0073199D">
              <w:rPr>
                <w:sz w:val="24"/>
                <w:szCs w:val="20"/>
                <w:lang w:val="ru-RU"/>
              </w:rPr>
              <w:t>Измерять АД на 1-й и 3-й минуте после перехода из положения лежа в положение стоя для исключения ортостатической гипотензии</w:t>
            </w:r>
          </w:p>
        </w:tc>
      </w:tr>
      <w:tr w:rsidR="008B7FFB" w14:paraId="5DFE20CB" w14:textId="77777777" w:rsidTr="008B7FFB">
        <w:tc>
          <w:tcPr>
            <w:tcW w:w="1129" w:type="dxa"/>
            <w:shd w:val="clear" w:color="auto" w:fill="E7E6E6" w:themeFill="background2"/>
          </w:tcPr>
          <w:p w14:paraId="04A76E36" w14:textId="77777777" w:rsidR="008B7FFB" w:rsidRPr="0073199D" w:rsidRDefault="008B7FFB" w:rsidP="00D45012">
            <w:pPr>
              <w:rPr>
                <w:sz w:val="24"/>
                <w:szCs w:val="20"/>
              </w:rPr>
            </w:pPr>
            <w:r w:rsidRPr="0073199D">
              <w:rPr>
                <w:sz w:val="24"/>
                <w:szCs w:val="20"/>
              </w:rPr>
              <w:t>9</w:t>
            </w:r>
          </w:p>
        </w:tc>
        <w:tc>
          <w:tcPr>
            <w:tcW w:w="7511" w:type="dxa"/>
          </w:tcPr>
          <w:p w14:paraId="263BC4EB" w14:textId="77777777" w:rsidR="008B7FFB" w:rsidRPr="0073199D" w:rsidRDefault="008B7FFB" w:rsidP="00D45012">
            <w:pPr>
              <w:rPr>
                <w:sz w:val="24"/>
                <w:szCs w:val="20"/>
                <w:lang w:val="ru-RU"/>
              </w:rPr>
            </w:pPr>
            <w:r w:rsidRPr="0073199D">
              <w:rPr>
                <w:sz w:val="24"/>
                <w:szCs w:val="20"/>
                <w:lang w:val="ru-RU"/>
              </w:rPr>
              <w:t>У лежачих пациентов измерять АД на периферических артериях; особенно при сахарном диабете и других рисках ортостатической гипотензии</w:t>
            </w:r>
          </w:p>
        </w:tc>
      </w:tr>
      <w:tr w:rsidR="008B7FFB" w14:paraId="22D88330" w14:textId="77777777" w:rsidTr="008B7FFB">
        <w:tc>
          <w:tcPr>
            <w:tcW w:w="1129" w:type="dxa"/>
            <w:shd w:val="clear" w:color="auto" w:fill="E7E6E6" w:themeFill="background2"/>
          </w:tcPr>
          <w:p w14:paraId="793CF923" w14:textId="77777777" w:rsidR="008B7FFB" w:rsidRPr="0073199D" w:rsidRDefault="008B7FFB" w:rsidP="00D45012">
            <w:pPr>
              <w:rPr>
                <w:sz w:val="24"/>
                <w:szCs w:val="20"/>
              </w:rPr>
            </w:pPr>
            <w:r w:rsidRPr="0073199D">
              <w:rPr>
                <w:sz w:val="24"/>
                <w:szCs w:val="20"/>
              </w:rPr>
              <w:t>10</w:t>
            </w:r>
          </w:p>
        </w:tc>
        <w:tc>
          <w:tcPr>
            <w:tcW w:w="7511" w:type="dxa"/>
          </w:tcPr>
          <w:p w14:paraId="332EBB69" w14:textId="77777777" w:rsidR="008B7FFB" w:rsidRPr="0073199D" w:rsidRDefault="008B7FFB" w:rsidP="00D45012">
            <w:pPr>
              <w:rPr>
                <w:sz w:val="24"/>
                <w:szCs w:val="20"/>
                <w:lang w:val="ru-RU"/>
              </w:rPr>
            </w:pPr>
            <w:r w:rsidRPr="0073199D">
              <w:rPr>
                <w:sz w:val="24"/>
                <w:szCs w:val="20"/>
                <w:lang w:val="ru-RU"/>
              </w:rPr>
              <w:t>Зарегистрировать частоту сердечных сокращений и оценить пульс для исключения нарушений ритма</w:t>
            </w:r>
          </w:p>
        </w:tc>
      </w:tr>
    </w:tbl>
    <w:p w14:paraId="672D8C52" w14:textId="77777777" w:rsidR="008B7FFB" w:rsidRPr="008B7FFB" w:rsidRDefault="008B7FFB" w:rsidP="008B7FFB">
      <w:pPr>
        <w:spacing w:after="0" w:line="360" w:lineRule="auto"/>
        <w:rPr>
          <w:b/>
          <w:bCs/>
          <w:sz w:val="24"/>
          <w:szCs w:val="24"/>
        </w:rPr>
      </w:pPr>
    </w:p>
    <w:p w14:paraId="596D155B" w14:textId="77777777" w:rsidR="00FD2617" w:rsidRPr="00FD2617" w:rsidRDefault="00FD2617" w:rsidP="00FD2617">
      <w:pPr>
        <w:spacing w:after="0" w:line="360" w:lineRule="auto"/>
        <w:jc w:val="center"/>
        <w:rPr>
          <w:b/>
          <w:bCs/>
          <w:sz w:val="24"/>
          <w:szCs w:val="24"/>
        </w:rPr>
      </w:pPr>
      <w:r w:rsidRPr="00FD2617">
        <w:rPr>
          <w:b/>
          <w:bCs/>
          <w:sz w:val="24"/>
          <w:szCs w:val="24"/>
        </w:rPr>
        <w:t>Измерение артериального давления в домашних условиях</w:t>
      </w:r>
    </w:p>
    <w:p w14:paraId="48D92FA8" w14:textId="77777777" w:rsidR="00FD2617" w:rsidRPr="00FD2617" w:rsidRDefault="00FD2617" w:rsidP="00FD2617">
      <w:pPr>
        <w:spacing w:after="0" w:line="360" w:lineRule="auto"/>
        <w:jc w:val="both"/>
        <w:rPr>
          <w:sz w:val="24"/>
          <w:szCs w:val="24"/>
        </w:rPr>
      </w:pPr>
      <w:r w:rsidRPr="00FD2617">
        <w:rPr>
          <w:sz w:val="24"/>
          <w:szCs w:val="24"/>
        </w:rPr>
        <w:t xml:space="preserve">• Перед измерение АД в домашних условиях тонометр пациента должен быть валидирован медицинским персоналом на приеме в медицинской организации, используя правила и методику измерения АД в кабинете врача; </w:t>
      </w:r>
    </w:p>
    <w:p w14:paraId="4F061393" w14:textId="77777777" w:rsidR="00FD2617" w:rsidRPr="00FD2617" w:rsidRDefault="00FD2617" w:rsidP="00FD2617">
      <w:pPr>
        <w:spacing w:after="0" w:line="360" w:lineRule="auto"/>
        <w:jc w:val="both"/>
        <w:rPr>
          <w:sz w:val="24"/>
          <w:szCs w:val="24"/>
        </w:rPr>
      </w:pPr>
      <w:r w:rsidRPr="00FD2617">
        <w:rPr>
          <w:sz w:val="24"/>
          <w:szCs w:val="24"/>
        </w:rPr>
        <w:t xml:space="preserve">• За 30 минут до измерения АД необходимо не курить, не употреблять кофеинсодержащие напитки, не заниматься физическими нагрузками; </w:t>
      </w:r>
    </w:p>
    <w:p w14:paraId="3729DC8C" w14:textId="77777777" w:rsidR="00FD2617" w:rsidRPr="00FD2617" w:rsidRDefault="00FD2617" w:rsidP="00FD2617">
      <w:pPr>
        <w:spacing w:after="0" w:line="360" w:lineRule="auto"/>
        <w:jc w:val="both"/>
        <w:rPr>
          <w:sz w:val="24"/>
          <w:szCs w:val="24"/>
        </w:rPr>
      </w:pPr>
      <w:r w:rsidRPr="00FD2617">
        <w:rPr>
          <w:sz w:val="24"/>
          <w:szCs w:val="24"/>
        </w:rPr>
        <w:t xml:space="preserve">• Непосредственно перед измерением АД необходим отдых в тишине, в комфортной обстановке в течение 5-10 минут в положении сидя; </w:t>
      </w:r>
    </w:p>
    <w:p w14:paraId="5BFEC126" w14:textId="77777777" w:rsidR="00FD2617" w:rsidRPr="00FD2617" w:rsidRDefault="00FD2617" w:rsidP="00FD2617">
      <w:pPr>
        <w:spacing w:after="0" w:line="360" w:lineRule="auto"/>
        <w:jc w:val="both"/>
        <w:rPr>
          <w:sz w:val="24"/>
          <w:szCs w:val="24"/>
        </w:rPr>
      </w:pPr>
      <w:r w:rsidRPr="00FD2617">
        <w:rPr>
          <w:sz w:val="24"/>
          <w:szCs w:val="24"/>
        </w:rPr>
        <w:t xml:space="preserve">• Измерение АД всегда должно проводиться на руке, рекомендованной медицинским персоналом; </w:t>
      </w:r>
    </w:p>
    <w:p w14:paraId="5744A3EC" w14:textId="77777777" w:rsidR="00FD2617" w:rsidRPr="00FD2617" w:rsidRDefault="00FD2617" w:rsidP="00FD2617">
      <w:pPr>
        <w:spacing w:after="0" w:line="360" w:lineRule="auto"/>
        <w:jc w:val="both"/>
        <w:rPr>
          <w:sz w:val="24"/>
          <w:szCs w:val="24"/>
        </w:rPr>
      </w:pPr>
      <w:r w:rsidRPr="00FD2617">
        <w:rPr>
          <w:sz w:val="24"/>
          <w:szCs w:val="24"/>
        </w:rPr>
        <w:t xml:space="preserve">• Измерение АД необходимо проводить в утренние и вечерние часы; </w:t>
      </w:r>
    </w:p>
    <w:p w14:paraId="7F517BC2" w14:textId="77777777" w:rsidR="00FD2617" w:rsidRPr="00FD2617" w:rsidRDefault="00FD2617" w:rsidP="00FD2617">
      <w:pPr>
        <w:spacing w:after="0" w:line="360" w:lineRule="auto"/>
        <w:jc w:val="both"/>
        <w:rPr>
          <w:sz w:val="24"/>
          <w:szCs w:val="24"/>
        </w:rPr>
      </w:pPr>
      <w:r w:rsidRPr="00FD2617">
        <w:rPr>
          <w:sz w:val="24"/>
          <w:szCs w:val="24"/>
        </w:rPr>
        <w:t xml:space="preserve">• Дополнительные измерения АД в течение дня необходимо выполнять во всех ситуациях, рекомендованных медицинским персоналом либо по желанию пациента; </w:t>
      </w:r>
    </w:p>
    <w:p w14:paraId="7405B84F" w14:textId="77777777" w:rsidR="00FD2617" w:rsidRPr="00FD2617" w:rsidRDefault="00FD2617" w:rsidP="00FD2617">
      <w:pPr>
        <w:spacing w:after="0" w:line="360" w:lineRule="auto"/>
        <w:jc w:val="both"/>
        <w:rPr>
          <w:sz w:val="24"/>
          <w:szCs w:val="24"/>
        </w:rPr>
      </w:pPr>
      <w:r w:rsidRPr="00FD2617">
        <w:rPr>
          <w:sz w:val="24"/>
          <w:szCs w:val="24"/>
        </w:rPr>
        <w:t xml:space="preserve">• Утреннее измерение АД проводится сразу после пробуждения, после посещения туалета и до приема лекарственных препаратов и завтрака; </w:t>
      </w:r>
    </w:p>
    <w:p w14:paraId="1A7CB233" w14:textId="77777777" w:rsidR="00FD2617" w:rsidRPr="00FD2617" w:rsidRDefault="00FD2617" w:rsidP="00FD2617">
      <w:pPr>
        <w:spacing w:after="0" w:line="360" w:lineRule="auto"/>
        <w:jc w:val="both"/>
        <w:rPr>
          <w:sz w:val="24"/>
          <w:szCs w:val="24"/>
        </w:rPr>
      </w:pPr>
      <w:r w:rsidRPr="00FD2617">
        <w:rPr>
          <w:sz w:val="24"/>
          <w:szCs w:val="24"/>
        </w:rPr>
        <w:t xml:space="preserve">• Вечернее измерение АД проводится до приема лекарственных препаратов: </w:t>
      </w:r>
    </w:p>
    <w:p w14:paraId="3CCD1FFA" w14:textId="77777777" w:rsidR="00FD2617" w:rsidRPr="00FD2617" w:rsidRDefault="00FD2617" w:rsidP="00FD2617">
      <w:pPr>
        <w:spacing w:after="0" w:line="360" w:lineRule="auto"/>
        <w:jc w:val="both"/>
        <w:rPr>
          <w:sz w:val="24"/>
          <w:szCs w:val="24"/>
        </w:rPr>
      </w:pPr>
      <w:r w:rsidRPr="00FD2617">
        <w:rPr>
          <w:sz w:val="24"/>
          <w:szCs w:val="24"/>
        </w:rPr>
        <w:t xml:space="preserve">- непосредственно перед сном </w:t>
      </w:r>
    </w:p>
    <w:p w14:paraId="24507E4F" w14:textId="77777777" w:rsidR="00FD2617" w:rsidRPr="00FD2617" w:rsidRDefault="00FD2617" w:rsidP="00FD2617">
      <w:pPr>
        <w:spacing w:after="0" w:line="360" w:lineRule="auto"/>
        <w:jc w:val="both"/>
        <w:rPr>
          <w:sz w:val="24"/>
          <w:szCs w:val="24"/>
        </w:rPr>
      </w:pPr>
      <w:r w:rsidRPr="00FD2617">
        <w:rPr>
          <w:sz w:val="24"/>
          <w:szCs w:val="24"/>
        </w:rPr>
        <w:t xml:space="preserve">- перед ужином </w:t>
      </w:r>
    </w:p>
    <w:p w14:paraId="3F0A50ED" w14:textId="77777777" w:rsidR="00FD2617" w:rsidRPr="00FD2617" w:rsidRDefault="00FD2617" w:rsidP="00FD2617">
      <w:pPr>
        <w:spacing w:after="0" w:line="360" w:lineRule="auto"/>
        <w:jc w:val="both"/>
        <w:rPr>
          <w:sz w:val="24"/>
          <w:szCs w:val="24"/>
        </w:rPr>
      </w:pPr>
      <w:r w:rsidRPr="00FD2617">
        <w:rPr>
          <w:sz w:val="24"/>
          <w:szCs w:val="24"/>
        </w:rPr>
        <w:t xml:space="preserve">- не ранее, чем через 2 часа после ужина; </w:t>
      </w:r>
    </w:p>
    <w:p w14:paraId="09CF5EBB" w14:textId="77777777" w:rsidR="00FD2617" w:rsidRPr="00FD2617" w:rsidRDefault="00FD2617" w:rsidP="00FD2617">
      <w:pPr>
        <w:spacing w:after="0" w:line="360" w:lineRule="auto"/>
        <w:jc w:val="both"/>
        <w:rPr>
          <w:sz w:val="24"/>
          <w:szCs w:val="24"/>
        </w:rPr>
      </w:pPr>
      <w:r w:rsidRPr="00FD2617">
        <w:rPr>
          <w:sz w:val="24"/>
          <w:szCs w:val="24"/>
        </w:rPr>
        <w:lastRenderedPageBreak/>
        <w:t xml:space="preserve">• Измерение АД проводится в положении сидя за столом с поддержкой спины и полной опорой стоп на пол без перекрещивания и поджимания ног; </w:t>
      </w:r>
    </w:p>
    <w:p w14:paraId="7371DC1C" w14:textId="77777777" w:rsidR="00FD2617" w:rsidRPr="00FD2617" w:rsidRDefault="00FD2617" w:rsidP="00FD2617">
      <w:pPr>
        <w:spacing w:after="0" w:line="360" w:lineRule="auto"/>
        <w:jc w:val="both"/>
        <w:rPr>
          <w:sz w:val="24"/>
          <w:szCs w:val="24"/>
        </w:rPr>
      </w:pPr>
      <w:r w:rsidRPr="00FD2617">
        <w:rPr>
          <w:sz w:val="24"/>
          <w:szCs w:val="24"/>
        </w:rPr>
        <w:t xml:space="preserve">• При измерении АД рука расслаблена, лежит на столе так, чтобы надетая на плечо манжета находилась на уровне сердца; </w:t>
      </w:r>
    </w:p>
    <w:p w14:paraId="72161681" w14:textId="77777777" w:rsidR="00FD2617" w:rsidRPr="00FD2617" w:rsidRDefault="00FD2617" w:rsidP="00FD2617">
      <w:pPr>
        <w:spacing w:after="0" w:line="360" w:lineRule="auto"/>
        <w:jc w:val="both"/>
        <w:rPr>
          <w:sz w:val="24"/>
          <w:szCs w:val="24"/>
        </w:rPr>
      </w:pPr>
      <w:r w:rsidRPr="00FD2617">
        <w:rPr>
          <w:sz w:val="24"/>
          <w:szCs w:val="24"/>
        </w:rPr>
        <w:t xml:space="preserve">• Манжета накладывается на плечо на расстоянии 2-3 см от локтевого сгиба, одежда не должна плотно охватывать плечо и создавать складки и дополнительную компрессию; </w:t>
      </w:r>
    </w:p>
    <w:p w14:paraId="546A4846" w14:textId="77777777" w:rsidR="00FD2617" w:rsidRPr="00FD2617" w:rsidRDefault="00FD2617" w:rsidP="00FD2617">
      <w:pPr>
        <w:spacing w:after="0" w:line="360" w:lineRule="auto"/>
        <w:jc w:val="both"/>
        <w:rPr>
          <w:sz w:val="24"/>
          <w:szCs w:val="24"/>
        </w:rPr>
      </w:pPr>
      <w:r w:rsidRPr="00FD2617">
        <w:rPr>
          <w:sz w:val="24"/>
          <w:szCs w:val="24"/>
        </w:rPr>
        <w:t xml:space="preserve">• Во время измерения АД нельзя двигаться и разговаривать; </w:t>
      </w:r>
    </w:p>
    <w:p w14:paraId="0C63978D" w14:textId="77777777" w:rsidR="00FD2617" w:rsidRPr="00FD2617" w:rsidRDefault="00FD2617" w:rsidP="00FD2617">
      <w:pPr>
        <w:spacing w:after="0" w:line="360" w:lineRule="auto"/>
        <w:jc w:val="both"/>
        <w:rPr>
          <w:sz w:val="24"/>
          <w:szCs w:val="24"/>
        </w:rPr>
      </w:pPr>
      <w:r w:rsidRPr="00FD2617">
        <w:rPr>
          <w:sz w:val="24"/>
          <w:szCs w:val="24"/>
        </w:rPr>
        <w:t xml:space="preserve">• Необходимо производить серию измерений: не менее 2 измерений подряд с интервалом не менее 1 минуты после окончания предыдущего измерения. </w:t>
      </w:r>
    </w:p>
    <w:p w14:paraId="63B9A1D6" w14:textId="77777777" w:rsidR="008B7FFB" w:rsidRPr="008B7FFB" w:rsidRDefault="008B7FFB" w:rsidP="00FD2617">
      <w:pPr>
        <w:spacing w:after="0" w:line="360" w:lineRule="auto"/>
        <w:rPr>
          <w:sz w:val="24"/>
          <w:szCs w:val="24"/>
        </w:rPr>
      </w:pPr>
    </w:p>
    <w:p w14:paraId="71059B44" w14:textId="77777777" w:rsidR="0057089D" w:rsidRDefault="00FD2617" w:rsidP="0057089D">
      <w:pPr>
        <w:spacing w:after="0" w:line="360" w:lineRule="auto"/>
        <w:jc w:val="right"/>
        <w:rPr>
          <w:b/>
          <w:bCs/>
          <w:sz w:val="24"/>
          <w:szCs w:val="24"/>
        </w:rPr>
      </w:pPr>
      <w:r>
        <w:rPr>
          <w:b/>
          <w:bCs/>
          <w:sz w:val="24"/>
          <w:szCs w:val="24"/>
        </w:rPr>
        <w:t>Т</w:t>
      </w:r>
      <w:r w:rsidRPr="00FD2617">
        <w:rPr>
          <w:b/>
          <w:bCs/>
          <w:sz w:val="24"/>
          <w:szCs w:val="24"/>
        </w:rPr>
        <w:t>аблица П2/</w:t>
      </w:r>
      <w:r w:rsidR="00FB33EA">
        <w:rPr>
          <w:b/>
          <w:bCs/>
          <w:sz w:val="24"/>
          <w:szCs w:val="24"/>
        </w:rPr>
        <w:t>А2</w:t>
      </w:r>
      <w:r w:rsidRPr="00FD2617">
        <w:rPr>
          <w:b/>
          <w:bCs/>
          <w:sz w:val="24"/>
          <w:szCs w:val="24"/>
        </w:rPr>
        <w:t xml:space="preserve">. </w:t>
      </w:r>
    </w:p>
    <w:p w14:paraId="63826F9F" w14:textId="04E56FFB" w:rsidR="00FD2617" w:rsidRDefault="00FD2617" w:rsidP="00FD2617">
      <w:pPr>
        <w:spacing w:after="0" w:line="360" w:lineRule="auto"/>
        <w:rPr>
          <w:b/>
          <w:bCs/>
          <w:sz w:val="24"/>
          <w:szCs w:val="24"/>
        </w:rPr>
      </w:pPr>
      <w:r w:rsidRPr="00FD2617">
        <w:rPr>
          <w:b/>
          <w:bCs/>
          <w:sz w:val="24"/>
          <w:szCs w:val="24"/>
        </w:rPr>
        <w:t xml:space="preserve">Классификация АД, измеренного в медицинском учреждении, и определение степеней гипертензии </w:t>
      </w:r>
    </w:p>
    <w:tbl>
      <w:tblPr>
        <w:tblOverlap w:val="never"/>
        <w:tblW w:w="9663" w:type="dxa"/>
        <w:jc w:val="center"/>
        <w:tblLayout w:type="fixed"/>
        <w:tblCellMar>
          <w:left w:w="10" w:type="dxa"/>
          <w:right w:w="10" w:type="dxa"/>
        </w:tblCellMar>
        <w:tblLook w:val="0000" w:firstRow="0" w:lastRow="0" w:firstColumn="0" w:lastColumn="0" w:noHBand="0" w:noVBand="0"/>
      </w:tblPr>
      <w:tblGrid>
        <w:gridCol w:w="3681"/>
        <w:gridCol w:w="2458"/>
        <w:gridCol w:w="1378"/>
        <w:gridCol w:w="2146"/>
      </w:tblGrid>
      <w:tr w:rsidR="00FD2617" w14:paraId="41B6C427" w14:textId="77777777" w:rsidTr="00DC3C06">
        <w:trPr>
          <w:trHeight w:hRule="exact" w:val="293"/>
          <w:jc w:val="center"/>
        </w:trPr>
        <w:tc>
          <w:tcPr>
            <w:tcW w:w="3681" w:type="dxa"/>
            <w:tcBorders>
              <w:top w:val="single" w:sz="4" w:space="0" w:color="auto"/>
              <w:left w:val="single" w:sz="4" w:space="0" w:color="auto"/>
            </w:tcBorders>
            <w:shd w:val="clear" w:color="auto" w:fill="E7E6E6" w:themeFill="background2"/>
            <w:vAlign w:val="bottom"/>
          </w:tcPr>
          <w:p w14:paraId="1E0121A6" w14:textId="77777777" w:rsidR="00FD2617" w:rsidRPr="00DC3C06" w:rsidRDefault="00FD2617" w:rsidP="00DC3C06">
            <w:pPr>
              <w:pStyle w:val="af2"/>
              <w:spacing w:line="240" w:lineRule="auto"/>
              <w:ind w:firstLine="0"/>
              <w:rPr>
                <w:sz w:val="24"/>
                <w:szCs w:val="24"/>
              </w:rPr>
            </w:pPr>
            <w:r w:rsidRPr="00DC3C06">
              <w:rPr>
                <w:rStyle w:val="af1"/>
                <w:rFonts w:eastAsiaTheme="majorEastAsia"/>
                <w:sz w:val="24"/>
                <w:szCs w:val="24"/>
              </w:rPr>
              <w:t>Категория</w:t>
            </w:r>
          </w:p>
        </w:tc>
        <w:tc>
          <w:tcPr>
            <w:tcW w:w="2458" w:type="dxa"/>
            <w:tcBorders>
              <w:top w:val="single" w:sz="4" w:space="0" w:color="auto"/>
              <w:left w:val="single" w:sz="4" w:space="0" w:color="auto"/>
            </w:tcBorders>
            <w:shd w:val="clear" w:color="auto" w:fill="E7E6E6" w:themeFill="background2"/>
            <w:vAlign w:val="bottom"/>
          </w:tcPr>
          <w:p w14:paraId="2C748C96" w14:textId="77777777" w:rsidR="00FD2617" w:rsidRPr="00DC3C06" w:rsidRDefault="00FD2617" w:rsidP="00DC3C06">
            <w:pPr>
              <w:pStyle w:val="af2"/>
              <w:spacing w:line="240" w:lineRule="auto"/>
              <w:ind w:firstLine="0"/>
              <w:rPr>
                <w:sz w:val="24"/>
                <w:szCs w:val="24"/>
              </w:rPr>
            </w:pPr>
            <w:r w:rsidRPr="00DC3C06">
              <w:rPr>
                <w:rStyle w:val="af1"/>
                <w:rFonts w:eastAsiaTheme="majorEastAsia"/>
                <w:sz w:val="24"/>
                <w:szCs w:val="24"/>
              </w:rPr>
              <w:t>САД (мм рт. ст.)</w:t>
            </w:r>
          </w:p>
        </w:tc>
        <w:tc>
          <w:tcPr>
            <w:tcW w:w="1378" w:type="dxa"/>
            <w:tcBorders>
              <w:top w:val="single" w:sz="4" w:space="0" w:color="auto"/>
              <w:left w:val="single" w:sz="4" w:space="0" w:color="auto"/>
            </w:tcBorders>
            <w:shd w:val="clear" w:color="auto" w:fill="E7E6E6" w:themeFill="background2"/>
          </w:tcPr>
          <w:p w14:paraId="0E422193" w14:textId="77777777" w:rsidR="00FD2617" w:rsidRPr="00DC3C06" w:rsidRDefault="00FD2617" w:rsidP="00DC3C06">
            <w:pPr>
              <w:rPr>
                <w:sz w:val="24"/>
                <w:szCs w:val="24"/>
              </w:rPr>
            </w:pPr>
          </w:p>
        </w:tc>
        <w:tc>
          <w:tcPr>
            <w:tcW w:w="2146" w:type="dxa"/>
            <w:tcBorders>
              <w:top w:val="single" w:sz="4" w:space="0" w:color="auto"/>
              <w:left w:val="single" w:sz="4" w:space="0" w:color="auto"/>
              <w:right w:val="single" w:sz="4" w:space="0" w:color="auto"/>
            </w:tcBorders>
            <w:shd w:val="clear" w:color="auto" w:fill="E7E6E6" w:themeFill="background2"/>
            <w:vAlign w:val="bottom"/>
          </w:tcPr>
          <w:p w14:paraId="1A0EB808" w14:textId="77777777" w:rsidR="00FD2617" w:rsidRPr="00DC3C06" w:rsidRDefault="00FD2617" w:rsidP="00DC3C06">
            <w:pPr>
              <w:pStyle w:val="af2"/>
              <w:spacing w:line="240" w:lineRule="auto"/>
              <w:ind w:firstLine="0"/>
              <w:rPr>
                <w:sz w:val="24"/>
                <w:szCs w:val="24"/>
              </w:rPr>
            </w:pPr>
            <w:r w:rsidRPr="00DC3C06">
              <w:rPr>
                <w:rStyle w:val="af1"/>
                <w:rFonts w:eastAsiaTheme="majorEastAsia"/>
                <w:sz w:val="24"/>
                <w:szCs w:val="24"/>
              </w:rPr>
              <w:t>ДАД (мм рт. ст.)</w:t>
            </w:r>
          </w:p>
        </w:tc>
      </w:tr>
      <w:tr w:rsidR="00FD2617" w14:paraId="76BB2D65" w14:textId="77777777" w:rsidTr="00DC3C06">
        <w:trPr>
          <w:trHeight w:hRule="exact" w:val="283"/>
          <w:jc w:val="center"/>
        </w:trPr>
        <w:tc>
          <w:tcPr>
            <w:tcW w:w="3681" w:type="dxa"/>
            <w:tcBorders>
              <w:top w:val="single" w:sz="4" w:space="0" w:color="auto"/>
              <w:left w:val="single" w:sz="4" w:space="0" w:color="auto"/>
            </w:tcBorders>
            <w:vAlign w:val="bottom"/>
          </w:tcPr>
          <w:p w14:paraId="1B8FDD51" w14:textId="77777777" w:rsidR="00FD2617" w:rsidRPr="00DC3C06" w:rsidRDefault="00FD2617" w:rsidP="00DC3C06">
            <w:pPr>
              <w:pStyle w:val="af2"/>
              <w:spacing w:line="240" w:lineRule="auto"/>
              <w:ind w:firstLine="0"/>
              <w:rPr>
                <w:sz w:val="24"/>
                <w:szCs w:val="24"/>
              </w:rPr>
            </w:pPr>
            <w:r w:rsidRPr="00DC3C06">
              <w:rPr>
                <w:rStyle w:val="af1"/>
                <w:rFonts w:eastAsiaTheme="majorEastAsia"/>
                <w:sz w:val="24"/>
                <w:szCs w:val="24"/>
              </w:rPr>
              <w:t>Оптимальное</w:t>
            </w:r>
          </w:p>
        </w:tc>
        <w:tc>
          <w:tcPr>
            <w:tcW w:w="2458" w:type="dxa"/>
            <w:tcBorders>
              <w:top w:val="single" w:sz="4" w:space="0" w:color="auto"/>
              <w:left w:val="single" w:sz="4" w:space="0" w:color="auto"/>
            </w:tcBorders>
            <w:vAlign w:val="bottom"/>
          </w:tcPr>
          <w:p w14:paraId="792A3B66" w14:textId="77777777" w:rsidR="00FD2617" w:rsidRPr="00DC3C06" w:rsidRDefault="00FD2617" w:rsidP="00DC3C06">
            <w:pPr>
              <w:pStyle w:val="af2"/>
              <w:spacing w:line="240" w:lineRule="auto"/>
              <w:ind w:firstLine="0"/>
              <w:rPr>
                <w:sz w:val="24"/>
                <w:szCs w:val="24"/>
              </w:rPr>
            </w:pPr>
            <w:r w:rsidRPr="00DC3C06">
              <w:rPr>
                <w:rStyle w:val="af1"/>
                <w:rFonts w:eastAsiaTheme="majorEastAsia"/>
                <w:sz w:val="24"/>
                <w:szCs w:val="24"/>
              </w:rPr>
              <w:t>&lt;120</w:t>
            </w:r>
          </w:p>
        </w:tc>
        <w:tc>
          <w:tcPr>
            <w:tcW w:w="1378" w:type="dxa"/>
            <w:tcBorders>
              <w:top w:val="single" w:sz="4" w:space="0" w:color="auto"/>
              <w:left w:val="single" w:sz="4" w:space="0" w:color="auto"/>
            </w:tcBorders>
            <w:vAlign w:val="bottom"/>
          </w:tcPr>
          <w:p w14:paraId="6435A320" w14:textId="77777777" w:rsidR="00FD2617" w:rsidRPr="00DC3C06" w:rsidRDefault="00FD2617" w:rsidP="00DC3C06">
            <w:pPr>
              <w:pStyle w:val="af2"/>
              <w:spacing w:line="240" w:lineRule="auto"/>
              <w:ind w:firstLine="0"/>
              <w:rPr>
                <w:sz w:val="24"/>
                <w:szCs w:val="24"/>
              </w:rPr>
            </w:pPr>
            <w:r w:rsidRPr="00DC3C06">
              <w:rPr>
                <w:rStyle w:val="af1"/>
                <w:rFonts w:eastAsiaTheme="majorEastAsia"/>
                <w:sz w:val="24"/>
                <w:szCs w:val="24"/>
              </w:rPr>
              <w:t>и</w:t>
            </w:r>
          </w:p>
        </w:tc>
        <w:tc>
          <w:tcPr>
            <w:tcW w:w="2146" w:type="dxa"/>
            <w:tcBorders>
              <w:top w:val="single" w:sz="4" w:space="0" w:color="auto"/>
              <w:left w:val="single" w:sz="4" w:space="0" w:color="auto"/>
              <w:right w:val="single" w:sz="4" w:space="0" w:color="auto"/>
            </w:tcBorders>
            <w:vAlign w:val="bottom"/>
          </w:tcPr>
          <w:p w14:paraId="78BFF231" w14:textId="77777777" w:rsidR="00FD2617" w:rsidRPr="00DC3C06" w:rsidRDefault="00FD2617" w:rsidP="00DC3C06">
            <w:pPr>
              <w:pStyle w:val="af2"/>
              <w:spacing w:line="240" w:lineRule="auto"/>
              <w:ind w:firstLine="0"/>
              <w:rPr>
                <w:sz w:val="24"/>
                <w:szCs w:val="24"/>
              </w:rPr>
            </w:pPr>
            <w:r w:rsidRPr="00DC3C06">
              <w:rPr>
                <w:rStyle w:val="af1"/>
                <w:rFonts w:eastAsiaTheme="majorEastAsia"/>
                <w:sz w:val="24"/>
                <w:szCs w:val="24"/>
              </w:rPr>
              <w:t>&lt;80</w:t>
            </w:r>
          </w:p>
        </w:tc>
      </w:tr>
      <w:tr w:rsidR="00FD2617" w14:paraId="28513CDD" w14:textId="77777777" w:rsidTr="00DC3C06">
        <w:trPr>
          <w:trHeight w:hRule="exact" w:val="288"/>
          <w:jc w:val="center"/>
        </w:trPr>
        <w:tc>
          <w:tcPr>
            <w:tcW w:w="3681" w:type="dxa"/>
            <w:tcBorders>
              <w:top w:val="single" w:sz="4" w:space="0" w:color="auto"/>
              <w:left w:val="single" w:sz="4" w:space="0" w:color="auto"/>
            </w:tcBorders>
            <w:vAlign w:val="bottom"/>
          </w:tcPr>
          <w:p w14:paraId="05C9759B" w14:textId="77777777" w:rsidR="00FD2617" w:rsidRPr="00DC3C06" w:rsidRDefault="00FD2617" w:rsidP="00DC3C06">
            <w:pPr>
              <w:pStyle w:val="af2"/>
              <w:spacing w:line="240" w:lineRule="auto"/>
              <w:ind w:firstLine="0"/>
              <w:rPr>
                <w:sz w:val="24"/>
                <w:szCs w:val="24"/>
              </w:rPr>
            </w:pPr>
            <w:r w:rsidRPr="00DC3C06">
              <w:rPr>
                <w:rStyle w:val="af1"/>
                <w:rFonts w:eastAsiaTheme="majorEastAsia"/>
                <w:sz w:val="24"/>
                <w:szCs w:val="24"/>
              </w:rPr>
              <w:t>Нормальное</w:t>
            </w:r>
          </w:p>
        </w:tc>
        <w:tc>
          <w:tcPr>
            <w:tcW w:w="2458" w:type="dxa"/>
            <w:tcBorders>
              <w:top w:val="single" w:sz="4" w:space="0" w:color="auto"/>
              <w:left w:val="single" w:sz="4" w:space="0" w:color="auto"/>
            </w:tcBorders>
            <w:vAlign w:val="bottom"/>
          </w:tcPr>
          <w:p w14:paraId="1CB15CCE" w14:textId="77777777" w:rsidR="00FD2617" w:rsidRPr="00DC3C06" w:rsidRDefault="00FD2617" w:rsidP="00DC3C06">
            <w:pPr>
              <w:pStyle w:val="af2"/>
              <w:spacing w:line="240" w:lineRule="auto"/>
              <w:ind w:firstLine="0"/>
              <w:rPr>
                <w:sz w:val="24"/>
                <w:szCs w:val="24"/>
              </w:rPr>
            </w:pPr>
            <w:r w:rsidRPr="00DC3C06">
              <w:rPr>
                <w:rStyle w:val="af1"/>
                <w:rFonts w:eastAsiaTheme="majorEastAsia"/>
                <w:sz w:val="24"/>
                <w:szCs w:val="24"/>
              </w:rPr>
              <w:t>120–129</w:t>
            </w:r>
          </w:p>
        </w:tc>
        <w:tc>
          <w:tcPr>
            <w:tcW w:w="1378" w:type="dxa"/>
            <w:tcBorders>
              <w:top w:val="single" w:sz="4" w:space="0" w:color="auto"/>
              <w:left w:val="single" w:sz="4" w:space="0" w:color="auto"/>
            </w:tcBorders>
            <w:vAlign w:val="bottom"/>
          </w:tcPr>
          <w:p w14:paraId="5B4205BA" w14:textId="77777777" w:rsidR="00FD2617" w:rsidRPr="00DC3C06" w:rsidRDefault="00FD2617" w:rsidP="00DC3C06">
            <w:pPr>
              <w:pStyle w:val="af2"/>
              <w:spacing w:line="240" w:lineRule="auto"/>
              <w:ind w:firstLine="0"/>
              <w:rPr>
                <w:sz w:val="24"/>
                <w:szCs w:val="24"/>
              </w:rPr>
            </w:pPr>
            <w:r w:rsidRPr="00DC3C06">
              <w:rPr>
                <w:rStyle w:val="af1"/>
                <w:rFonts w:eastAsiaTheme="majorEastAsia"/>
                <w:sz w:val="24"/>
                <w:szCs w:val="24"/>
              </w:rPr>
              <w:t>и/или</w:t>
            </w:r>
          </w:p>
        </w:tc>
        <w:tc>
          <w:tcPr>
            <w:tcW w:w="2146" w:type="dxa"/>
            <w:tcBorders>
              <w:top w:val="single" w:sz="4" w:space="0" w:color="auto"/>
              <w:left w:val="single" w:sz="4" w:space="0" w:color="auto"/>
              <w:right w:val="single" w:sz="4" w:space="0" w:color="auto"/>
            </w:tcBorders>
            <w:vAlign w:val="bottom"/>
          </w:tcPr>
          <w:p w14:paraId="0EE2A7EF" w14:textId="77777777" w:rsidR="00FD2617" w:rsidRPr="00DC3C06" w:rsidRDefault="00FD2617" w:rsidP="00DC3C06">
            <w:pPr>
              <w:pStyle w:val="af2"/>
              <w:spacing w:line="240" w:lineRule="auto"/>
              <w:ind w:firstLine="0"/>
              <w:rPr>
                <w:sz w:val="24"/>
                <w:szCs w:val="24"/>
              </w:rPr>
            </w:pPr>
            <w:r w:rsidRPr="00DC3C06">
              <w:rPr>
                <w:rStyle w:val="af1"/>
                <w:rFonts w:eastAsiaTheme="majorEastAsia"/>
                <w:sz w:val="24"/>
                <w:szCs w:val="24"/>
              </w:rPr>
              <w:t>80–84</w:t>
            </w:r>
          </w:p>
        </w:tc>
      </w:tr>
      <w:tr w:rsidR="00FD2617" w14:paraId="32E4995B" w14:textId="77777777" w:rsidTr="00DC3C06">
        <w:trPr>
          <w:trHeight w:hRule="exact" w:val="288"/>
          <w:jc w:val="center"/>
        </w:trPr>
        <w:tc>
          <w:tcPr>
            <w:tcW w:w="3681" w:type="dxa"/>
            <w:tcBorders>
              <w:top w:val="single" w:sz="4" w:space="0" w:color="auto"/>
              <w:left w:val="single" w:sz="4" w:space="0" w:color="auto"/>
            </w:tcBorders>
            <w:vAlign w:val="bottom"/>
          </w:tcPr>
          <w:p w14:paraId="4F98B73C" w14:textId="77777777" w:rsidR="00FD2617" w:rsidRPr="00DC3C06" w:rsidRDefault="00FD2617" w:rsidP="00DC3C06">
            <w:pPr>
              <w:pStyle w:val="af2"/>
              <w:spacing w:line="240" w:lineRule="auto"/>
              <w:ind w:firstLine="0"/>
              <w:rPr>
                <w:sz w:val="24"/>
                <w:szCs w:val="24"/>
              </w:rPr>
            </w:pPr>
            <w:r w:rsidRPr="00DC3C06">
              <w:rPr>
                <w:rStyle w:val="af1"/>
                <w:rFonts w:eastAsiaTheme="majorEastAsia"/>
                <w:sz w:val="24"/>
                <w:szCs w:val="24"/>
              </w:rPr>
              <w:t>Высокое нормальное</w:t>
            </w:r>
          </w:p>
        </w:tc>
        <w:tc>
          <w:tcPr>
            <w:tcW w:w="2458" w:type="dxa"/>
            <w:tcBorders>
              <w:top w:val="single" w:sz="4" w:space="0" w:color="auto"/>
              <w:left w:val="single" w:sz="4" w:space="0" w:color="auto"/>
            </w:tcBorders>
            <w:vAlign w:val="bottom"/>
          </w:tcPr>
          <w:p w14:paraId="30BA678B" w14:textId="77777777" w:rsidR="00FD2617" w:rsidRPr="00DC3C06" w:rsidRDefault="00FD2617" w:rsidP="00DC3C06">
            <w:pPr>
              <w:pStyle w:val="af2"/>
              <w:spacing w:line="240" w:lineRule="auto"/>
              <w:ind w:firstLine="0"/>
              <w:rPr>
                <w:sz w:val="24"/>
                <w:szCs w:val="24"/>
              </w:rPr>
            </w:pPr>
            <w:r w:rsidRPr="00DC3C06">
              <w:rPr>
                <w:rStyle w:val="af1"/>
                <w:rFonts w:eastAsiaTheme="majorEastAsia"/>
                <w:sz w:val="24"/>
                <w:szCs w:val="24"/>
              </w:rPr>
              <w:t>130–139</w:t>
            </w:r>
          </w:p>
        </w:tc>
        <w:tc>
          <w:tcPr>
            <w:tcW w:w="1378" w:type="dxa"/>
            <w:tcBorders>
              <w:top w:val="single" w:sz="4" w:space="0" w:color="auto"/>
              <w:left w:val="single" w:sz="4" w:space="0" w:color="auto"/>
            </w:tcBorders>
            <w:vAlign w:val="bottom"/>
          </w:tcPr>
          <w:p w14:paraId="7A2304CD" w14:textId="77777777" w:rsidR="00FD2617" w:rsidRPr="00DC3C06" w:rsidRDefault="00FD2617" w:rsidP="00DC3C06">
            <w:pPr>
              <w:pStyle w:val="af2"/>
              <w:spacing w:line="240" w:lineRule="auto"/>
              <w:ind w:firstLine="0"/>
              <w:rPr>
                <w:sz w:val="24"/>
                <w:szCs w:val="24"/>
              </w:rPr>
            </w:pPr>
            <w:r w:rsidRPr="00DC3C06">
              <w:rPr>
                <w:rStyle w:val="af1"/>
                <w:rFonts w:eastAsiaTheme="majorEastAsia"/>
                <w:sz w:val="24"/>
                <w:szCs w:val="24"/>
              </w:rPr>
              <w:t>и/или</w:t>
            </w:r>
          </w:p>
        </w:tc>
        <w:tc>
          <w:tcPr>
            <w:tcW w:w="2146" w:type="dxa"/>
            <w:tcBorders>
              <w:top w:val="single" w:sz="4" w:space="0" w:color="auto"/>
              <w:left w:val="single" w:sz="4" w:space="0" w:color="auto"/>
              <w:right w:val="single" w:sz="4" w:space="0" w:color="auto"/>
            </w:tcBorders>
            <w:vAlign w:val="bottom"/>
          </w:tcPr>
          <w:p w14:paraId="2C7C2D5A" w14:textId="77777777" w:rsidR="00FD2617" w:rsidRPr="00DC3C06" w:rsidRDefault="00FD2617" w:rsidP="00DC3C06">
            <w:pPr>
              <w:pStyle w:val="af2"/>
              <w:spacing w:line="240" w:lineRule="auto"/>
              <w:ind w:firstLine="0"/>
              <w:rPr>
                <w:sz w:val="24"/>
                <w:szCs w:val="24"/>
              </w:rPr>
            </w:pPr>
            <w:r w:rsidRPr="00DC3C06">
              <w:rPr>
                <w:rStyle w:val="af1"/>
                <w:rFonts w:eastAsiaTheme="majorEastAsia"/>
                <w:sz w:val="24"/>
                <w:szCs w:val="24"/>
              </w:rPr>
              <w:t>85–89</w:t>
            </w:r>
          </w:p>
        </w:tc>
      </w:tr>
      <w:tr w:rsidR="00FD2617" w14:paraId="4DDBB688" w14:textId="77777777" w:rsidTr="00DC3C06">
        <w:trPr>
          <w:trHeight w:hRule="exact" w:val="283"/>
          <w:jc w:val="center"/>
        </w:trPr>
        <w:tc>
          <w:tcPr>
            <w:tcW w:w="3681" w:type="dxa"/>
            <w:tcBorders>
              <w:top w:val="single" w:sz="4" w:space="0" w:color="auto"/>
              <w:left w:val="single" w:sz="4" w:space="0" w:color="auto"/>
            </w:tcBorders>
            <w:vAlign w:val="bottom"/>
          </w:tcPr>
          <w:p w14:paraId="06DC12BA" w14:textId="77777777" w:rsidR="00FD2617" w:rsidRPr="00DC3C06" w:rsidRDefault="00FD2617" w:rsidP="00DC3C06">
            <w:pPr>
              <w:pStyle w:val="af2"/>
              <w:spacing w:line="240" w:lineRule="auto"/>
              <w:ind w:firstLine="0"/>
              <w:rPr>
                <w:sz w:val="24"/>
                <w:szCs w:val="24"/>
              </w:rPr>
            </w:pPr>
            <w:r w:rsidRPr="00DC3C06">
              <w:rPr>
                <w:rStyle w:val="af1"/>
                <w:rFonts w:eastAsiaTheme="majorEastAsia"/>
                <w:sz w:val="24"/>
                <w:szCs w:val="24"/>
              </w:rPr>
              <w:t>АГ 1-й степени</w:t>
            </w:r>
          </w:p>
        </w:tc>
        <w:tc>
          <w:tcPr>
            <w:tcW w:w="2458" w:type="dxa"/>
            <w:tcBorders>
              <w:top w:val="single" w:sz="4" w:space="0" w:color="auto"/>
              <w:left w:val="single" w:sz="4" w:space="0" w:color="auto"/>
            </w:tcBorders>
            <w:vAlign w:val="bottom"/>
          </w:tcPr>
          <w:p w14:paraId="43C714CE" w14:textId="77777777" w:rsidR="00FD2617" w:rsidRPr="00DC3C06" w:rsidRDefault="00FD2617" w:rsidP="00DC3C06">
            <w:pPr>
              <w:pStyle w:val="af2"/>
              <w:spacing w:line="240" w:lineRule="auto"/>
              <w:ind w:firstLine="0"/>
              <w:rPr>
                <w:sz w:val="24"/>
                <w:szCs w:val="24"/>
              </w:rPr>
            </w:pPr>
            <w:r w:rsidRPr="00DC3C06">
              <w:rPr>
                <w:rStyle w:val="af1"/>
                <w:rFonts w:eastAsiaTheme="majorEastAsia"/>
                <w:sz w:val="24"/>
                <w:szCs w:val="24"/>
              </w:rPr>
              <w:t>140–159</w:t>
            </w:r>
          </w:p>
        </w:tc>
        <w:tc>
          <w:tcPr>
            <w:tcW w:w="1378" w:type="dxa"/>
            <w:tcBorders>
              <w:top w:val="single" w:sz="4" w:space="0" w:color="auto"/>
              <w:left w:val="single" w:sz="4" w:space="0" w:color="auto"/>
            </w:tcBorders>
            <w:vAlign w:val="bottom"/>
          </w:tcPr>
          <w:p w14:paraId="4775F542" w14:textId="77777777" w:rsidR="00FD2617" w:rsidRPr="00DC3C06" w:rsidRDefault="00FD2617" w:rsidP="00DC3C06">
            <w:pPr>
              <w:pStyle w:val="af2"/>
              <w:spacing w:line="240" w:lineRule="auto"/>
              <w:ind w:firstLine="0"/>
              <w:rPr>
                <w:sz w:val="24"/>
                <w:szCs w:val="24"/>
              </w:rPr>
            </w:pPr>
            <w:r w:rsidRPr="00DC3C06">
              <w:rPr>
                <w:rStyle w:val="af1"/>
                <w:rFonts w:eastAsiaTheme="majorEastAsia"/>
                <w:sz w:val="24"/>
                <w:szCs w:val="24"/>
              </w:rPr>
              <w:t>и/или</w:t>
            </w:r>
          </w:p>
        </w:tc>
        <w:tc>
          <w:tcPr>
            <w:tcW w:w="2146" w:type="dxa"/>
            <w:tcBorders>
              <w:top w:val="single" w:sz="4" w:space="0" w:color="auto"/>
              <w:left w:val="single" w:sz="4" w:space="0" w:color="auto"/>
              <w:right w:val="single" w:sz="4" w:space="0" w:color="auto"/>
            </w:tcBorders>
            <w:vAlign w:val="bottom"/>
          </w:tcPr>
          <w:p w14:paraId="134EB753" w14:textId="77777777" w:rsidR="00FD2617" w:rsidRPr="00DC3C06" w:rsidRDefault="00FD2617" w:rsidP="00DC3C06">
            <w:pPr>
              <w:pStyle w:val="af2"/>
              <w:spacing w:line="240" w:lineRule="auto"/>
              <w:ind w:firstLine="0"/>
              <w:rPr>
                <w:sz w:val="24"/>
                <w:szCs w:val="24"/>
              </w:rPr>
            </w:pPr>
            <w:r w:rsidRPr="00DC3C06">
              <w:rPr>
                <w:rStyle w:val="af1"/>
                <w:rFonts w:eastAsiaTheme="majorEastAsia"/>
                <w:sz w:val="24"/>
                <w:szCs w:val="24"/>
              </w:rPr>
              <w:t>90–99</w:t>
            </w:r>
          </w:p>
        </w:tc>
      </w:tr>
      <w:tr w:rsidR="00FD2617" w14:paraId="25C07964" w14:textId="77777777" w:rsidTr="00DC3C06">
        <w:trPr>
          <w:trHeight w:hRule="exact" w:val="288"/>
          <w:jc w:val="center"/>
        </w:trPr>
        <w:tc>
          <w:tcPr>
            <w:tcW w:w="3681" w:type="dxa"/>
            <w:tcBorders>
              <w:top w:val="single" w:sz="4" w:space="0" w:color="auto"/>
              <w:left w:val="single" w:sz="4" w:space="0" w:color="auto"/>
            </w:tcBorders>
            <w:vAlign w:val="bottom"/>
          </w:tcPr>
          <w:p w14:paraId="00F64EE9" w14:textId="77777777" w:rsidR="00FD2617" w:rsidRPr="00DC3C06" w:rsidRDefault="00FD2617" w:rsidP="00DC3C06">
            <w:pPr>
              <w:pStyle w:val="af2"/>
              <w:spacing w:line="240" w:lineRule="auto"/>
              <w:ind w:firstLine="0"/>
              <w:rPr>
                <w:sz w:val="24"/>
                <w:szCs w:val="24"/>
              </w:rPr>
            </w:pPr>
            <w:r w:rsidRPr="00DC3C06">
              <w:rPr>
                <w:rStyle w:val="af1"/>
                <w:rFonts w:eastAsiaTheme="majorEastAsia"/>
                <w:sz w:val="24"/>
                <w:szCs w:val="24"/>
              </w:rPr>
              <w:t>АГ 2-й степени</w:t>
            </w:r>
          </w:p>
        </w:tc>
        <w:tc>
          <w:tcPr>
            <w:tcW w:w="2458" w:type="dxa"/>
            <w:tcBorders>
              <w:top w:val="single" w:sz="4" w:space="0" w:color="auto"/>
              <w:left w:val="single" w:sz="4" w:space="0" w:color="auto"/>
            </w:tcBorders>
            <w:vAlign w:val="bottom"/>
          </w:tcPr>
          <w:p w14:paraId="043DE969" w14:textId="77777777" w:rsidR="00FD2617" w:rsidRPr="00DC3C06" w:rsidRDefault="00FD2617" w:rsidP="00DC3C06">
            <w:pPr>
              <w:pStyle w:val="af2"/>
              <w:spacing w:line="240" w:lineRule="auto"/>
              <w:ind w:firstLine="0"/>
              <w:rPr>
                <w:sz w:val="24"/>
                <w:szCs w:val="24"/>
              </w:rPr>
            </w:pPr>
            <w:r w:rsidRPr="00DC3C06">
              <w:rPr>
                <w:rStyle w:val="af1"/>
                <w:rFonts w:eastAsiaTheme="majorEastAsia"/>
                <w:sz w:val="24"/>
                <w:szCs w:val="24"/>
              </w:rPr>
              <w:t>160–179</w:t>
            </w:r>
          </w:p>
        </w:tc>
        <w:tc>
          <w:tcPr>
            <w:tcW w:w="1378" w:type="dxa"/>
            <w:tcBorders>
              <w:top w:val="single" w:sz="4" w:space="0" w:color="auto"/>
              <w:left w:val="single" w:sz="4" w:space="0" w:color="auto"/>
            </w:tcBorders>
            <w:vAlign w:val="bottom"/>
          </w:tcPr>
          <w:p w14:paraId="56300D6D" w14:textId="77777777" w:rsidR="00FD2617" w:rsidRPr="00DC3C06" w:rsidRDefault="00FD2617" w:rsidP="00DC3C06">
            <w:pPr>
              <w:pStyle w:val="af2"/>
              <w:spacing w:line="240" w:lineRule="auto"/>
              <w:ind w:firstLine="0"/>
              <w:rPr>
                <w:sz w:val="24"/>
                <w:szCs w:val="24"/>
              </w:rPr>
            </w:pPr>
            <w:r w:rsidRPr="00DC3C06">
              <w:rPr>
                <w:rStyle w:val="af1"/>
                <w:rFonts w:eastAsiaTheme="majorEastAsia"/>
                <w:sz w:val="24"/>
                <w:szCs w:val="24"/>
              </w:rPr>
              <w:t>и/или</w:t>
            </w:r>
          </w:p>
        </w:tc>
        <w:tc>
          <w:tcPr>
            <w:tcW w:w="2146" w:type="dxa"/>
            <w:tcBorders>
              <w:top w:val="single" w:sz="4" w:space="0" w:color="auto"/>
              <w:left w:val="single" w:sz="4" w:space="0" w:color="auto"/>
              <w:right w:val="single" w:sz="4" w:space="0" w:color="auto"/>
            </w:tcBorders>
            <w:vAlign w:val="bottom"/>
          </w:tcPr>
          <w:p w14:paraId="0C800159" w14:textId="77777777" w:rsidR="00FD2617" w:rsidRPr="00DC3C06" w:rsidRDefault="00FD2617" w:rsidP="00DC3C06">
            <w:pPr>
              <w:pStyle w:val="af2"/>
              <w:spacing w:line="240" w:lineRule="auto"/>
              <w:ind w:firstLine="0"/>
              <w:rPr>
                <w:sz w:val="24"/>
                <w:szCs w:val="24"/>
              </w:rPr>
            </w:pPr>
            <w:r w:rsidRPr="00DC3C06">
              <w:rPr>
                <w:rStyle w:val="af1"/>
                <w:rFonts w:eastAsiaTheme="majorEastAsia"/>
                <w:sz w:val="24"/>
                <w:szCs w:val="24"/>
              </w:rPr>
              <w:t>100–109</w:t>
            </w:r>
          </w:p>
        </w:tc>
      </w:tr>
      <w:tr w:rsidR="00FD2617" w14:paraId="2EBDF771" w14:textId="77777777" w:rsidTr="00DC3C06">
        <w:trPr>
          <w:trHeight w:hRule="exact" w:val="283"/>
          <w:jc w:val="center"/>
        </w:trPr>
        <w:tc>
          <w:tcPr>
            <w:tcW w:w="3681" w:type="dxa"/>
            <w:tcBorders>
              <w:top w:val="single" w:sz="4" w:space="0" w:color="auto"/>
              <w:left w:val="single" w:sz="4" w:space="0" w:color="auto"/>
            </w:tcBorders>
            <w:vAlign w:val="bottom"/>
          </w:tcPr>
          <w:p w14:paraId="63FDC4CC" w14:textId="77777777" w:rsidR="00FD2617" w:rsidRPr="00DC3C06" w:rsidRDefault="00FD2617" w:rsidP="00DC3C06">
            <w:pPr>
              <w:pStyle w:val="af2"/>
              <w:spacing w:line="240" w:lineRule="auto"/>
              <w:ind w:firstLine="0"/>
              <w:rPr>
                <w:sz w:val="24"/>
                <w:szCs w:val="24"/>
              </w:rPr>
            </w:pPr>
            <w:r w:rsidRPr="00DC3C06">
              <w:rPr>
                <w:rStyle w:val="af1"/>
                <w:rFonts w:eastAsiaTheme="majorEastAsia"/>
                <w:sz w:val="24"/>
                <w:szCs w:val="24"/>
              </w:rPr>
              <w:t>АГ 3-й степени</w:t>
            </w:r>
          </w:p>
        </w:tc>
        <w:tc>
          <w:tcPr>
            <w:tcW w:w="2458" w:type="dxa"/>
            <w:tcBorders>
              <w:top w:val="single" w:sz="4" w:space="0" w:color="auto"/>
              <w:left w:val="single" w:sz="4" w:space="0" w:color="auto"/>
            </w:tcBorders>
            <w:vAlign w:val="bottom"/>
          </w:tcPr>
          <w:p w14:paraId="1973AD4A" w14:textId="77777777" w:rsidR="00FD2617" w:rsidRPr="00DC3C06" w:rsidRDefault="00FD2617" w:rsidP="00DC3C06">
            <w:pPr>
              <w:pStyle w:val="af2"/>
              <w:spacing w:line="240" w:lineRule="auto"/>
              <w:ind w:firstLine="0"/>
              <w:rPr>
                <w:sz w:val="24"/>
                <w:szCs w:val="24"/>
              </w:rPr>
            </w:pPr>
            <w:r w:rsidRPr="00DC3C06">
              <w:rPr>
                <w:rStyle w:val="af1"/>
                <w:rFonts w:eastAsiaTheme="majorEastAsia"/>
                <w:sz w:val="24"/>
                <w:szCs w:val="24"/>
                <w:u w:val="single"/>
              </w:rPr>
              <w:t>&gt;</w:t>
            </w:r>
            <w:r w:rsidRPr="00DC3C06">
              <w:rPr>
                <w:rStyle w:val="af1"/>
                <w:rFonts w:eastAsiaTheme="majorEastAsia"/>
                <w:sz w:val="24"/>
                <w:szCs w:val="24"/>
              </w:rPr>
              <w:t>180</w:t>
            </w:r>
          </w:p>
        </w:tc>
        <w:tc>
          <w:tcPr>
            <w:tcW w:w="1378" w:type="dxa"/>
            <w:tcBorders>
              <w:top w:val="single" w:sz="4" w:space="0" w:color="auto"/>
              <w:left w:val="single" w:sz="4" w:space="0" w:color="auto"/>
            </w:tcBorders>
            <w:vAlign w:val="bottom"/>
          </w:tcPr>
          <w:p w14:paraId="05CBA7EF" w14:textId="77777777" w:rsidR="00FD2617" w:rsidRPr="00DC3C06" w:rsidRDefault="00FD2617" w:rsidP="00DC3C06">
            <w:pPr>
              <w:pStyle w:val="af2"/>
              <w:spacing w:line="240" w:lineRule="auto"/>
              <w:ind w:firstLine="0"/>
              <w:rPr>
                <w:sz w:val="24"/>
                <w:szCs w:val="24"/>
              </w:rPr>
            </w:pPr>
            <w:r w:rsidRPr="00DC3C06">
              <w:rPr>
                <w:rStyle w:val="af1"/>
                <w:rFonts w:eastAsiaTheme="majorEastAsia"/>
                <w:sz w:val="24"/>
                <w:szCs w:val="24"/>
              </w:rPr>
              <w:t>и/или</w:t>
            </w:r>
          </w:p>
        </w:tc>
        <w:tc>
          <w:tcPr>
            <w:tcW w:w="2146" w:type="dxa"/>
            <w:tcBorders>
              <w:top w:val="single" w:sz="4" w:space="0" w:color="auto"/>
              <w:left w:val="single" w:sz="4" w:space="0" w:color="auto"/>
              <w:right w:val="single" w:sz="4" w:space="0" w:color="auto"/>
            </w:tcBorders>
            <w:vAlign w:val="bottom"/>
          </w:tcPr>
          <w:p w14:paraId="70F62A34" w14:textId="77777777" w:rsidR="00FD2617" w:rsidRPr="00DC3C06" w:rsidRDefault="00FD2617" w:rsidP="00DC3C06">
            <w:pPr>
              <w:pStyle w:val="af2"/>
              <w:spacing w:line="240" w:lineRule="auto"/>
              <w:ind w:firstLine="0"/>
              <w:rPr>
                <w:sz w:val="24"/>
                <w:szCs w:val="24"/>
              </w:rPr>
            </w:pPr>
            <w:r w:rsidRPr="00DC3C06">
              <w:rPr>
                <w:rStyle w:val="af1"/>
                <w:rFonts w:eastAsiaTheme="majorEastAsia"/>
                <w:sz w:val="24"/>
                <w:szCs w:val="24"/>
                <w:u w:val="single"/>
              </w:rPr>
              <w:t>&gt;</w:t>
            </w:r>
            <w:r w:rsidRPr="00DC3C06">
              <w:rPr>
                <w:rStyle w:val="af1"/>
                <w:rFonts w:eastAsiaTheme="majorEastAsia"/>
                <w:sz w:val="24"/>
                <w:szCs w:val="24"/>
              </w:rPr>
              <w:t>110</w:t>
            </w:r>
          </w:p>
        </w:tc>
      </w:tr>
      <w:tr w:rsidR="00FD2617" w14:paraId="32DD68C4" w14:textId="77777777" w:rsidTr="00DC3C06">
        <w:trPr>
          <w:trHeight w:hRule="exact" w:val="562"/>
          <w:jc w:val="center"/>
        </w:trPr>
        <w:tc>
          <w:tcPr>
            <w:tcW w:w="3681" w:type="dxa"/>
            <w:tcBorders>
              <w:top w:val="single" w:sz="4" w:space="0" w:color="auto"/>
              <w:left w:val="single" w:sz="4" w:space="0" w:color="auto"/>
            </w:tcBorders>
            <w:vAlign w:val="bottom"/>
          </w:tcPr>
          <w:p w14:paraId="48CA68EA" w14:textId="77777777" w:rsidR="00FD2617" w:rsidRPr="00DC3C06" w:rsidRDefault="00FD2617" w:rsidP="00DC3C06">
            <w:pPr>
              <w:pStyle w:val="af2"/>
              <w:tabs>
                <w:tab w:val="left" w:pos="2088"/>
              </w:tabs>
              <w:spacing w:line="240" w:lineRule="auto"/>
              <w:ind w:firstLine="0"/>
              <w:rPr>
                <w:sz w:val="24"/>
                <w:szCs w:val="24"/>
              </w:rPr>
            </w:pPr>
            <w:r w:rsidRPr="00DC3C06">
              <w:rPr>
                <w:rStyle w:val="af1"/>
                <w:rFonts w:eastAsiaTheme="majorEastAsia"/>
                <w:sz w:val="24"/>
                <w:szCs w:val="24"/>
              </w:rPr>
              <w:t>Изолированная</w:t>
            </w:r>
            <w:r w:rsidR="00DC3C06" w:rsidRPr="00DC3C06">
              <w:rPr>
                <w:rStyle w:val="af1"/>
                <w:rFonts w:eastAsiaTheme="majorEastAsia"/>
                <w:sz w:val="24"/>
                <w:szCs w:val="24"/>
              </w:rPr>
              <w:t xml:space="preserve"> </w:t>
            </w:r>
            <w:r w:rsidRPr="00DC3C06">
              <w:rPr>
                <w:rStyle w:val="af1"/>
                <w:rFonts w:eastAsiaTheme="majorEastAsia"/>
                <w:sz w:val="24"/>
                <w:szCs w:val="24"/>
              </w:rPr>
              <w:t>систолическая</w:t>
            </w:r>
          </w:p>
          <w:p w14:paraId="1827C20F" w14:textId="77777777" w:rsidR="00FD2617" w:rsidRPr="00DC3C06" w:rsidRDefault="00FD2617" w:rsidP="00DC3C06">
            <w:pPr>
              <w:pStyle w:val="af2"/>
              <w:spacing w:line="240" w:lineRule="auto"/>
              <w:ind w:firstLine="0"/>
              <w:rPr>
                <w:sz w:val="24"/>
                <w:szCs w:val="24"/>
              </w:rPr>
            </w:pPr>
            <w:r w:rsidRPr="00DC3C06">
              <w:rPr>
                <w:rStyle w:val="af1"/>
                <w:rFonts w:eastAsiaTheme="majorEastAsia"/>
                <w:sz w:val="24"/>
                <w:szCs w:val="24"/>
              </w:rPr>
              <w:t>гипертензия</w:t>
            </w:r>
          </w:p>
        </w:tc>
        <w:tc>
          <w:tcPr>
            <w:tcW w:w="2458" w:type="dxa"/>
            <w:tcBorders>
              <w:top w:val="single" w:sz="4" w:space="0" w:color="auto"/>
              <w:left w:val="single" w:sz="4" w:space="0" w:color="auto"/>
            </w:tcBorders>
          </w:tcPr>
          <w:p w14:paraId="484C8640" w14:textId="77777777" w:rsidR="00FD2617" w:rsidRPr="00DC3C06" w:rsidRDefault="00FD2617" w:rsidP="00DC3C06">
            <w:pPr>
              <w:pStyle w:val="af2"/>
              <w:spacing w:line="240" w:lineRule="auto"/>
              <w:ind w:firstLine="0"/>
              <w:rPr>
                <w:sz w:val="24"/>
                <w:szCs w:val="24"/>
              </w:rPr>
            </w:pPr>
            <w:r w:rsidRPr="00DC3C06">
              <w:rPr>
                <w:rStyle w:val="af1"/>
                <w:rFonts w:eastAsiaTheme="majorEastAsia"/>
                <w:sz w:val="24"/>
                <w:szCs w:val="24"/>
                <w:u w:val="single"/>
              </w:rPr>
              <w:t>&gt;</w:t>
            </w:r>
            <w:r w:rsidRPr="00DC3C06">
              <w:rPr>
                <w:rStyle w:val="af1"/>
                <w:rFonts w:eastAsiaTheme="majorEastAsia"/>
                <w:sz w:val="24"/>
                <w:szCs w:val="24"/>
              </w:rPr>
              <w:t>140</w:t>
            </w:r>
          </w:p>
        </w:tc>
        <w:tc>
          <w:tcPr>
            <w:tcW w:w="1378" w:type="dxa"/>
            <w:tcBorders>
              <w:top w:val="single" w:sz="4" w:space="0" w:color="auto"/>
              <w:left w:val="single" w:sz="4" w:space="0" w:color="auto"/>
            </w:tcBorders>
          </w:tcPr>
          <w:p w14:paraId="3AC7260F" w14:textId="77777777" w:rsidR="00FD2617" w:rsidRPr="00DC3C06" w:rsidRDefault="00FD2617" w:rsidP="00DC3C06">
            <w:pPr>
              <w:pStyle w:val="af2"/>
              <w:spacing w:line="240" w:lineRule="auto"/>
              <w:ind w:firstLine="0"/>
              <w:rPr>
                <w:sz w:val="24"/>
                <w:szCs w:val="24"/>
              </w:rPr>
            </w:pPr>
            <w:r w:rsidRPr="00DC3C06">
              <w:rPr>
                <w:rStyle w:val="af1"/>
                <w:rFonts w:eastAsiaTheme="majorEastAsia"/>
                <w:sz w:val="24"/>
                <w:szCs w:val="24"/>
              </w:rPr>
              <w:t>и</w:t>
            </w:r>
          </w:p>
        </w:tc>
        <w:tc>
          <w:tcPr>
            <w:tcW w:w="2146" w:type="dxa"/>
            <w:tcBorders>
              <w:top w:val="single" w:sz="4" w:space="0" w:color="auto"/>
              <w:left w:val="single" w:sz="4" w:space="0" w:color="auto"/>
              <w:right w:val="single" w:sz="4" w:space="0" w:color="auto"/>
            </w:tcBorders>
          </w:tcPr>
          <w:p w14:paraId="050BDB01" w14:textId="77777777" w:rsidR="00FD2617" w:rsidRPr="00DC3C06" w:rsidRDefault="00FD2617" w:rsidP="00DC3C06">
            <w:pPr>
              <w:pStyle w:val="af2"/>
              <w:spacing w:line="240" w:lineRule="auto"/>
              <w:ind w:firstLine="0"/>
              <w:rPr>
                <w:sz w:val="24"/>
                <w:szCs w:val="24"/>
              </w:rPr>
            </w:pPr>
            <w:r w:rsidRPr="00DC3C06">
              <w:rPr>
                <w:rStyle w:val="af1"/>
                <w:rFonts w:eastAsiaTheme="majorEastAsia"/>
                <w:sz w:val="24"/>
                <w:szCs w:val="24"/>
              </w:rPr>
              <w:t>&lt;90</w:t>
            </w:r>
          </w:p>
        </w:tc>
      </w:tr>
      <w:tr w:rsidR="00FD2617" w14:paraId="593F3516" w14:textId="77777777" w:rsidTr="00DC3C06">
        <w:trPr>
          <w:trHeight w:hRule="exact" w:val="566"/>
          <w:jc w:val="center"/>
        </w:trPr>
        <w:tc>
          <w:tcPr>
            <w:tcW w:w="3681" w:type="dxa"/>
            <w:tcBorders>
              <w:top w:val="single" w:sz="4" w:space="0" w:color="auto"/>
              <w:left w:val="single" w:sz="4" w:space="0" w:color="auto"/>
              <w:bottom w:val="single" w:sz="4" w:space="0" w:color="auto"/>
            </w:tcBorders>
            <w:vAlign w:val="bottom"/>
          </w:tcPr>
          <w:p w14:paraId="7308F1E7" w14:textId="77777777" w:rsidR="00FD2617" w:rsidRPr="00DC3C06" w:rsidRDefault="00FD2617" w:rsidP="00DC3C06">
            <w:pPr>
              <w:pStyle w:val="af2"/>
              <w:tabs>
                <w:tab w:val="left" w:pos="1963"/>
              </w:tabs>
              <w:spacing w:line="240" w:lineRule="auto"/>
              <w:ind w:firstLine="0"/>
              <w:rPr>
                <w:sz w:val="24"/>
                <w:szCs w:val="24"/>
              </w:rPr>
            </w:pPr>
            <w:r w:rsidRPr="00DC3C06">
              <w:rPr>
                <w:rStyle w:val="af1"/>
                <w:rFonts w:eastAsiaTheme="majorEastAsia"/>
                <w:sz w:val="24"/>
                <w:szCs w:val="24"/>
              </w:rPr>
              <w:t>Изолированная</w:t>
            </w:r>
            <w:r w:rsidR="00DC3C06" w:rsidRPr="00DC3C06">
              <w:rPr>
                <w:rStyle w:val="af1"/>
                <w:rFonts w:eastAsiaTheme="majorEastAsia"/>
                <w:sz w:val="24"/>
                <w:szCs w:val="24"/>
              </w:rPr>
              <w:t xml:space="preserve"> </w:t>
            </w:r>
            <w:r w:rsidRPr="00DC3C06">
              <w:rPr>
                <w:rStyle w:val="af1"/>
                <w:rFonts w:eastAsiaTheme="majorEastAsia"/>
                <w:sz w:val="24"/>
                <w:szCs w:val="24"/>
              </w:rPr>
              <w:t>диастолическая</w:t>
            </w:r>
          </w:p>
          <w:p w14:paraId="39352ECB" w14:textId="77777777" w:rsidR="00FD2617" w:rsidRPr="00DC3C06" w:rsidRDefault="00FD2617" w:rsidP="00DC3C06">
            <w:pPr>
              <w:pStyle w:val="af2"/>
              <w:spacing w:line="240" w:lineRule="auto"/>
              <w:ind w:firstLine="0"/>
              <w:rPr>
                <w:sz w:val="24"/>
                <w:szCs w:val="24"/>
              </w:rPr>
            </w:pPr>
            <w:r w:rsidRPr="00DC3C06">
              <w:rPr>
                <w:rStyle w:val="af1"/>
                <w:rFonts w:eastAsiaTheme="majorEastAsia"/>
                <w:sz w:val="24"/>
                <w:szCs w:val="24"/>
              </w:rPr>
              <w:t>гипертензия</w:t>
            </w:r>
          </w:p>
        </w:tc>
        <w:tc>
          <w:tcPr>
            <w:tcW w:w="2458" w:type="dxa"/>
            <w:tcBorders>
              <w:top w:val="single" w:sz="4" w:space="0" w:color="auto"/>
              <w:left w:val="single" w:sz="4" w:space="0" w:color="auto"/>
              <w:bottom w:val="single" w:sz="4" w:space="0" w:color="auto"/>
            </w:tcBorders>
          </w:tcPr>
          <w:p w14:paraId="4850EF99" w14:textId="77777777" w:rsidR="00FD2617" w:rsidRPr="00DC3C06" w:rsidRDefault="00FD2617" w:rsidP="00DC3C06">
            <w:pPr>
              <w:pStyle w:val="af2"/>
              <w:spacing w:line="240" w:lineRule="auto"/>
              <w:ind w:firstLine="0"/>
              <w:rPr>
                <w:sz w:val="24"/>
                <w:szCs w:val="24"/>
              </w:rPr>
            </w:pPr>
            <w:r w:rsidRPr="00DC3C06">
              <w:rPr>
                <w:rStyle w:val="af1"/>
                <w:rFonts w:eastAsiaTheme="majorEastAsia"/>
                <w:sz w:val="24"/>
                <w:szCs w:val="24"/>
              </w:rPr>
              <w:t>&lt;140</w:t>
            </w:r>
          </w:p>
        </w:tc>
        <w:tc>
          <w:tcPr>
            <w:tcW w:w="1378" w:type="dxa"/>
            <w:tcBorders>
              <w:top w:val="single" w:sz="4" w:space="0" w:color="auto"/>
              <w:left w:val="single" w:sz="4" w:space="0" w:color="auto"/>
              <w:bottom w:val="single" w:sz="4" w:space="0" w:color="auto"/>
            </w:tcBorders>
          </w:tcPr>
          <w:p w14:paraId="64048FDB" w14:textId="77777777" w:rsidR="00FD2617" w:rsidRPr="00DC3C06" w:rsidRDefault="00FD2617" w:rsidP="00DC3C06">
            <w:pPr>
              <w:pStyle w:val="af2"/>
              <w:spacing w:line="240" w:lineRule="auto"/>
              <w:ind w:firstLine="0"/>
              <w:rPr>
                <w:sz w:val="24"/>
                <w:szCs w:val="24"/>
              </w:rPr>
            </w:pPr>
            <w:r w:rsidRPr="00DC3C06">
              <w:rPr>
                <w:rStyle w:val="af1"/>
                <w:rFonts w:eastAsiaTheme="majorEastAsia"/>
                <w:sz w:val="24"/>
                <w:szCs w:val="24"/>
              </w:rPr>
              <w:t>и</w:t>
            </w:r>
          </w:p>
        </w:tc>
        <w:tc>
          <w:tcPr>
            <w:tcW w:w="2146" w:type="dxa"/>
            <w:tcBorders>
              <w:top w:val="single" w:sz="4" w:space="0" w:color="auto"/>
              <w:left w:val="single" w:sz="4" w:space="0" w:color="auto"/>
              <w:bottom w:val="single" w:sz="4" w:space="0" w:color="auto"/>
              <w:right w:val="single" w:sz="4" w:space="0" w:color="auto"/>
            </w:tcBorders>
          </w:tcPr>
          <w:p w14:paraId="1E0FA525" w14:textId="77777777" w:rsidR="00FD2617" w:rsidRPr="00DC3C06" w:rsidRDefault="00FD2617" w:rsidP="00DC3C06">
            <w:pPr>
              <w:pStyle w:val="af2"/>
              <w:spacing w:line="240" w:lineRule="auto"/>
              <w:ind w:firstLine="0"/>
              <w:rPr>
                <w:sz w:val="24"/>
                <w:szCs w:val="24"/>
              </w:rPr>
            </w:pPr>
            <w:r w:rsidRPr="00DC3C06">
              <w:rPr>
                <w:rStyle w:val="af1"/>
                <w:rFonts w:eastAsiaTheme="majorEastAsia"/>
                <w:sz w:val="24"/>
                <w:szCs w:val="24"/>
              </w:rPr>
              <w:t>≥90</w:t>
            </w:r>
          </w:p>
        </w:tc>
      </w:tr>
    </w:tbl>
    <w:p w14:paraId="68E4731E" w14:textId="77777777" w:rsidR="00FD2617" w:rsidRPr="00FD2617" w:rsidRDefault="00FD2617" w:rsidP="00FD2617">
      <w:pPr>
        <w:spacing w:after="0" w:line="360" w:lineRule="auto"/>
        <w:rPr>
          <w:b/>
          <w:bCs/>
          <w:sz w:val="24"/>
          <w:szCs w:val="24"/>
        </w:rPr>
      </w:pPr>
    </w:p>
    <w:p w14:paraId="665E7DF5" w14:textId="77777777" w:rsidR="0057089D" w:rsidRDefault="00DC3C06" w:rsidP="0057089D">
      <w:pPr>
        <w:spacing w:after="0" w:line="360" w:lineRule="auto"/>
        <w:jc w:val="right"/>
        <w:rPr>
          <w:b/>
          <w:bCs/>
          <w:sz w:val="24"/>
          <w:szCs w:val="24"/>
        </w:rPr>
      </w:pPr>
      <w:r w:rsidRPr="00DC3C06">
        <w:rPr>
          <w:b/>
          <w:bCs/>
          <w:sz w:val="24"/>
          <w:szCs w:val="24"/>
        </w:rPr>
        <w:t>Таблица П3/</w:t>
      </w:r>
      <w:r w:rsidR="00FB33EA">
        <w:rPr>
          <w:b/>
          <w:bCs/>
          <w:sz w:val="24"/>
          <w:szCs w:val="24"/>
        </w:rPr>
        <w:t>А2</w:t>
      </w:r>
      <w:r w:rsidRPr="00DC3C06">
        <w:rPr>
          <w:b/>
          <w:bCs/>
          <w:sz w:val="24"/>
          <w:szCs w:val="24"/>
        </w:rPr>
        <w:t xml:space="preserve">. </w:t>
      </w:r>
    </w:p>
    <w:p w14:paraId="1F2135D8" w14:textId="7F226A8C" w:rsidR="00DC3C06" w:rsidRDefault="00DC3C06" w:rsidP="00DC3C06">
      <w:pPr>
        <w:spacing w:after="0" w:line="360" w:lineRule="auto"/>
        <w:jc w:val="both"/>
        <w:rPr>
          <w:b/>
          <w:bCs/>
          <w:sz w:val="24"/>
          <w:szCs w:val="24"/>
        </w:rPr>
      </w:pPr>
      <w:r w:rsidRPr="00DC3C06">
        <w:rPr>
          <w:b/>
          <w:bCs/>
          <w:sz w:val="24"/>
          <w:szCs w:val="24"/>
        </w:rPr>
        <w:t xml:space="preserve">Основная информация, которая должна быть получена при сборе анамнеза </w:t>
      </w:r>
    </w:p>
    <w:tbl>
      <w:tblPr>
        <w:tblStyle w:val="afe"/>
        <w:tblW w:w="0" w:type="auto"/>
        <w:tblLook w:val="04A0" w:firstRow="1" w:lastRow="0" w:firstColumn="1" w:lastColumn="0" w:noHBand="0" w:noVBand="1"/>
      </w:tblPr>
      <w:tblGrid>
        <w:gridCol w:w="9339"/>
      </w:tblGrid>
      <w:tr w:rsidR="00DC3C06" w:rsidRPr="00DC3C06" w14:paraId="2D6C0704" w14:textId="77777777" w:rsidTr="00DC3C06">
        <w:tc>
          <w:tcPr>
            <w:tcW w:w="9339" w:type="dxa"/>
            <w:shd w:val="clear" w:color="auto" w:fill="E7E6E6" w:themeFill="background2"/>
          </w:tcPr>
          <w:p w14:paraId="581B612E" w14:textId="77777777" w:rsidR="00DC3C06" w:rsidRPr="00DC3C06" w:rsidRDefault="00DC3C06" w:rsidP="00DC3C06">
            <w:pPr>
              <w:spacing w:line="360" w:lineRule="auto"/>
              <w:jc w:val="center"/>
              <w:rPr>
                <w:b/>
                <w:bCs/>
                <w:sz w:val="24"/>
                <w:szCs w:val="24"/>
              </w:rPr>
            </w:pPr>
            <w:r w:rsidRPr="00DC3C06">
              <w:rPr>
                <w:b/>
                <w:bCs/>
                <w:sz w:val="24"/>
                <w:szCs w:val="24"/>
              </w:rPr>
              <w:t>Факторы риска</w:t>
            </w:r>
          </w:p>
        </w:tc>
      </w:tr>
      <w:tr w:rsidR="00DC3C06" w:rsidRPr="00DC3C06" w14:paraId="0F9C70DB" w14:textId="77777777" w:rsidTr="00DC3C06">
        <w:tc>
          <w:tcPr>
            <w:tcW w:w="9339" w:type="dxa"/>
          </w:tcPr>
          <w:p w14:paraId="2455EE1C" w14:textId="77777777" w:rsidR="00DC3C06" w:rsidRPr="00DC3C06" w:rsidRDefault="00DC3C06" w:rsidP="00DC3C06">
            <w:pPr>
              <w:jc w:val="both"/>
              <w:rPr>
                <w:sz w:val="24"/>
                <w:szCs w:val="24"/>
                <w:lang w:val="ru-RU"/>
              </w:rPr>
            </w:pPr>
            <w:r w:rsidRPr="00DC3C06">
              <w:rPr>
                <w:sz w:val="24"/>
                <w:szCs w:val="24"/>
                <w:lang w:val="ru-RU"/>
              </w:rPr>
              <w:t xml:space="preserve">Семейный и индивидуальный анамнез артериальной гипертензии, ССЗ, инсультов и заболеваний почек </w:t>
            </w:r>
          </w:p>
        </w:tc>
      </w:tr>
      <w:tr w:rsidR="00DC3C06" w:rsidRPr="00DC3C06" w14:paraId="0DF31F45" w14:textId="77777777" w:rsidTr="00DC3C06">
        <w:tc>
          <w:tcPr>
            <w:tcW w:w="9339" w:type="dxa"/>
          </w:tcPr>
          <w:p w14:paraId="7FA23C60" w14:textId="77777777" w:rsidR="00DC3C06" w:rsidRPr="00DC3C06" w:rsidRDefault="00DC3C06" w:rsidP="00DC3C06">
            <w:pPr>
              <w:jc w:val="both"/>
              <w:rPr>
                <w:sz w:val="24"/>
                <w:szCs w:val="24"/>
                <w:lang w:val="ru-RU"/>
              </w:rPr>
            </w:pPr>
            <w:r w:rsidRPr="00DC3C06">
              <w:rPr>
                <w:sz w:val="24"/>
                <w:szCs w:val="24"/>
                <w:lang w:val="ru-RU"/>
              </w:rPr>
              <w:t xml:space="preserve">Семейный и индивидуальный анамнез ассоциированных факторов риска (например, семейной гиперхолестеринемии) </w:t>
            </w:r>
          </w:p>
        </w:tc>
      </w:tr>
      <w:tr w:rsidR="00DC3C06" w:rsidRPr="00DC3C06" w14:paraId="736900A5" w14:textId="77777777" w:rsidTr="00DC3C06">
        <w:tc>
          <w:tcPr>
            <w:tcW w:w="9339" w:type="dxa"/>
          </w:tcPr>
          <w:p w14:paraId="43035F3A" w14:textId="77777777" w:rsidR="00DC3C06" w:rsidRPr="00DC3C06" w:rsidRDefault="00DC3C06" w:rsidP="00DC3C06">
            <w:pPr>
              <w:jc w:val="both"/>
              <w:rPr>
                <w:sz w:val="24"/>
                <w:szCs w:val="24"/>
              </w:rPr>
            </w:pPr>
            <w:r w:rsidRPr="00DC3C06">
              <w:rPr>
                <w:sz w:val="24"/>
                <w:szCs w:val="24"/>
              </w:rPr>
              <w:t xml:space="preserve">Анамнез курения </w:t>
            </w:r>
          </w:p>
        </w:tc>
      </w:tr>
      <w:tr w:rsidR="00DC3C06" w:rsidRPr="00DC3C06" w14:paraId="31BD473E" w14:textId="77777777" w:rsidTr="00DC3C06">
        <w:tc>
          <w:tcPr>
            <w:tcW w:w="9339" w:type="dxa"/>
          </w:tcPr>
          <w:p w14:paraId="1E4AAC36" w14:textId="77777777" w:rsidR="00DC3C06" w:rsidRPr="00DC3C06" w:rsidRDefault="00DC3C06" w:rsidP="00DC3C06">
            <w:pPr>
              <w:jc w:val="both"/>
              <w:rPr>
                <w:sz w:val="24"/>
                <w:szCs w:val="24"/>
                <w:lang w:val="ru-RU"/>
              </w:rPr>
            </w:pPr>
            <w:r w:rsidRPr="00DC3C06">
              <w:rPr>
                <w:sz w:val="24"/>
                <w:szCs w:val="24"/>
                <w:lang w:val="ru-RU"/>
              </w:rPr>
              <w:t xml:space="preserve">Диетические привычки и употребление поваренной соли </w:t>
            </w:r>
          </w:p>
        </w:tc>
      </w:tr>
      <w:tr w:rsidR="00DC3C06" w:rsidRPr="00DC3C06" w14:paraId="0062EA81" w14:textId="77777777" w:rsidTr="00DC3C06">
        <w:tc>
          <w:tcPr>
            <w:tcW w:w="9339" w:type="dxa"/>
          </w:tcPr>
          <w:p w14:paraId="4562F522" w14:textId="77777777" w:rsidR="00DC3C06" w:rsidRPr="00DC3C06" w:rsidRDefault="00DC3C06" w:rsidP="00DC3C06">
            <w:pPr>
              <w:jc w:val="both"/>
              <w:rPr>
                <w:sz w:val="24"/>
                <w:szCs w:val="24"/>
              </w:rPr>
            </w:pPr>
            <w:r w:rsidRPr="00DC3C06">
              <w:rPr>
                <w:sz w:val="24"/>
                <w:szCs w:val="24"/>
              </w:rPr>
              <w:t xml:space="preserve">Употребление алкоголя </w:t>
            </w:r>
          </w:p>
        </w:tc>
      </w:tr>
      <w:tr w:rsidR="00DC3C06" w:rsidRPr="00DC3C06" w14:paraId="1FB7B009" w14:textId="77777777" w:rsidTr="00DC3C06">
        <w:tc>
          <w:tcPr>
            <w:tcW w:w="9339" w:type="dxa"/>
          </w:tcPr>
          <w:p w14:paraId="6DCAFF79" w14:textId="77777777" w:rsidR="00DC3C06" w:rsidRPr="00DC3C06" w:rsidRDefault="00DC3C06" w:rsidP="00DC3C06">
            <w:pPr>
              <w:jc w:val="both"/>
              <w:rPr>
                <w:sz w:val="24"/>
                <w:szCs w:val="24"/>
              </w:rPr>
            </w:pPr>
            <w:r w:rsidRPr="00DC3C06">
              <w:rPr>
                <w:sz w:val="24"/>
                <w:szCs w:val="24"/>
              </w:rPr>
              <w:t xml:space="preserve">Режим физической активности </w:t>
            </w:r>
          </w:p>
        </w:tc>
      </w:tr>
      <w:tr w:rsidR="00DC3C06" w:rsidRPr="00DC3C06" w14:paraId="58DEC0F0" w14:textId="77777777" w:rsidTr="00DC3C06">
        <w:tc>
          <w:tcPr>
            <w:tcW w:w="9339" w:type="dxa"/>
          </w:tcPr>
          <w:p w14:paraId="64E8FA7F" w14:textId="77777777" w:rsidR="00DC3C06" w:rsidRPr="00DC3C06" w:rsidRDefault="00DC3C06" w:rsidP="00DC3C06">
            <w:pPr>
              <w:jc w:val="both"/>
              <w:rPr>
                <w:sz w:val="24"/>
                <w:szCs w:val="24"/>
                <w:lang w:val="ru-RU"/>
              </w:rPr>
            </w:pPr>
            <w:r w:rsidRPr="00DC3C06">
              <w:rPr>
                <w:sz w:val="24"/>
                <w:szCs w:val="24"/>
                <w:lang w:val="ru-RU"/>
              </w:rPr>
              <w:t xml:space="preserve">Указание в анамнезе на эректильную дисфункцию </w:t>
            </w:r>
          </w:p>
        </w:tc>
      </w:tr>
      <w:tr w:rsidR="00DC3C06" w:rsidRPr="00DC3C06" w14:paraId="36AAFD40" w14:textId="77777777" w:rsidTr="00DC3C06">
        <w:tc>
          <w:tcPr>
            <w:tcW w:w="9339" w:type="dxa"/>
          </w:tcPr>
          <w:p w14:paraId="749C991E" w14:textId="77777777" w:rsidR="00DC3C06" w:rsidRPr="00DC3C06" w:rsidRDefault="00DC3C06" w:rsidP="00DC3C06">
            <w:pPr>
              <w:jc w:val="both"/>
              <w:rPr>
                <w:sz w:val="24"/>
                <w:szCs w:val="24"/>
                <w:lang w:val="ru-RU"/>
              </w:rPr>
            </w:pPr>
            <w:r w:rsidRPr="00DC3C06">
              <w:rPr>
                <w:sz w:val="24"/>
                <w:szCs w:val="24"/>
                <w:lang w:val="ru-RU"/>
              </w:rPr>
              <w:t xml:space="preserve">Состояние сна, наличие храпа, эпизодов ночного апноэ (информация от членов семьи) Наличие АГ во время беременности/преэклампсия </w:t>
            </w:r>
          </w:p>
        </w:tc>
      </w:tr>
      <w:tr w:rsidR="00DC3C06" w:rsidRPr="00DC3C06" w14:paraId="2F861E61" w14:textId="77777777" w:rsidTr="00DC3C06">
        <w:tc>
          <w:tcPr>
            <w:tcW w:w="9339" w:type="dxa"/>
            <w:shd w:val="clear" w:color="auto" w:fill="E7E6E6" w:themeFill="background2"/>
          </w:tcPr>
          <w:p w14:paraId="58C242B6" w14:textId="77777777" w:rsidR="00DC3C06" w:rsidRPr="00DC3C06" w:rsidRDefault="00DC3C06" w:rsidP="00DC3C06">
            <w:pPr>
              <w:jc w:val="center"/>
              <w:rPr>
                <w:b/>
                <w:bCs/>
                <w:sz w:val="24"/>
                <w:szCs w:val="24"/>
                <w:lang w:val="ru-RU"/>
              </w:rPr>
            </w:pPr>
            <w:r w:rsidRPr="00DC3C06">
              <w:rPr>
                <w:b/>
                <w:bCs/>
                <w:sz w:val="24"/>
                <w:szCs w:val="24"/>
                <w:lang w:val="ru-RU"/>
              </w:rPr>
              <w:t>Наличие в анамнезе или признаки ПОМ, ССЗ, инсульта, ТИА, СД и заболеваний почек</w:t>
            </w:r>
          </w:p>
        </w:tc>
      </w:tr>
      <w:tr w:rsidR="00DC3C06" w:rsidRPr="00DC3C06" w14:paraId="384E36C9" w14:textId="77777777" w:rsidTr="00DC3C06">
        <w:tc>
          <w:tcPr>
            <w:tcW w:w="9339" w:type="dxa"/>
          </w:tcPr>
          <w:p w14:paraId="4748360C" w14:textId="77777777" w:rsidR="00DC3C06" w:rsidRPr="00DC3C06" w:rsidRDefault="00DC3C06" w:rsidP="00DC3C06">
            <w:pPr>
              <w:jc w:val="both"/>
              <w:rPr>
                <w:sz w:val="24"/>
                <w:szCs w:val="24"/>
                <w:lang w:val="ru-RU"/>
              </w:rPr>
            </w:pPr>
            <w:r w:rsidRPr="00DC3C06">
              <w:rPr>
                <w:sz w:val="24"/>
                <w:szCs w:val="24"/>
                <w:lang w:val="ru-RU"/>
              </w:rPr>
              <w:lastRenderedPageBreak/>
              <w:t>Головной мозг и органы зрения: головные боли, вертиго, синкопе, нарушения зрения, ТИА, нарушения моторных или сенсорных функций, инсульт, реваскуляризация сонных артерий, когнитивные нарушения, деменция (у пожилых)</w:t>
            </w:r>
          </w:p>
        </w:tc>
      </w:tr>
      <w:tr w:rsidR="00DC3C06" w:rsidRPr="00DC3C06" w14:paraId="1972B57E" w14:textId="77777777" w:rsidTr="00DC3C06">
        <w:tc>
          <w:tcPr>
            <w:tcW w:w="9339" w:type="dxa"/>
          </w:tcPr>
          <w:p w14:paraId="2B98A15A" w14:textId="77777777" w:rsidR="00DC3C06" w:rsidRPr="00DC3C06" w:rsidRDefault="00DC3C06" w:rsidP="00DC3C06">
            <w:pPr>
              <w:jc w:val="both"/>
              <w:rPr>
                <w:sz w:val="24"/>
                <w:szCs w:val="24"/>
                <w:lang w:val="ru-RU"/>
              </w:rPr>
            </w:pPr>
            <w:r w:rsidRPr="00DC3C06">
              <w:rPr>
                <w:sz w:val="24"/>
                <w:szCs w:val="24"/>
                <w:lang w:val="ru-RU"/>
              </w:rPr>
              <w:t xml:space="preserve"> Сердце: боль в грудной клетке, одышка, отеки, инфаркт миокарда, реваскуляризация коронарных артерий, синкопе, сердцебиения, аритмии (особенно ФП), сердечная недостаточность </w:t>
            </w:r>
          </w:p>
        </w:tc>
      </w:tr>
      <w:tr w:rsidR="00DC3C06" w:rsidRPr="00DC3C06" w14:paraId="5B13EA48" w14:textId="77777777" w:rsidTr="00DC3C06">
        <w:tc>
          <w:tcPr>
            <w:tcW w:w="9339" w:type="dxa"/>
          </w:tcPr>
          <w:p w14:paraId="60A9544D" w14:textId="77777777" w:rsidR="00DC3C06" w:rsidRPr="00DC3C06" w:rsidRDefault="00DC3C06" w:rsidP="00DC3C06">
            <w:pPr>
              <w:jc w:val="both"/>
              <w:rPr>
                <w:sz w:val="24"/>
                <w:szCs w:val="24"/>
                <w:lang w:val="ru-RU"/>
              </w:rPr>
            </w:pPr>
            <w:r w:rsidRPr="00DC3C06">
              <w:rPr>
                <w:sz w:val="24"/>
                <w:szCs w:val="24"/>
                <w:lang w:val="ru-RU"/>
              </w:rPr>
              <w:t xml:space="preserve">Почки: жажда, полиурия, никтурия, гематурия, инфекции мочевыводящих путей Периферические артерии: похолодание конечностей, перемежающаяся хромота, дистанция ходьбы, боли в покое, реваскуляризация периферических артерий Индивидуальный или семейный анамнез ХБП (например, поликистоз почек) </w:t>
            </w:r>
          </w:p>
        </w:tc>
      </w:tr>
      <w:tr w:rsidR="00DC3C06" w:rsidRPr="00DC3C06" w14:paraId="45DDC594" w14:textId="77777777" w:rsidTr="00DC3C06">
        <w:tc>
          <w:tcPr>
            <w:tcW w:w="9339" w:type="dxa"/>
            <w:shd w:val="clear" w:color="auto" w:fill="E7E6E6" w:themeFill="background2"/>
          </w:tcPr>
          <w:p w14:paraId="260FC3F8" w14:textId="77777777" w:rsidR="00DC3C06" w:rsidRPr="00DC3C06" w:rsidRDefault="00DC3C06" w:rsidP="00DC3C06">
            <w:pPr>
              <w:jc w:val="center"/>
              <w:rPr>
                <w:b/>
                <w:bCs/>
                <w:sz w:val="24"/>
                <w:szCs w:val="24"/>
              </w:rPr>
            </w:pPr>
            <w:r w:rsidRPr="00DC3C06">
              <w:rPr>
                <w:b/>
                <w:bCs/>
                <w:sz w:val="24"/>
                <w:szCs w:val="24"/>
              </w:rPr>
              <w:t>Признаки возможной вторичной АГ</w:t>
            </w:r>
          </w:p>
        </w:tc>
      </w:tr>
      <w:tr w:rsidR="00DC3C06" w:rsidRPr="00DC3C06" w14:paraId="3A9502B0" w14:textId="77777777" w:rsidTr="00DC3C06">
        <w:tc>
          <w:tcPr>
            <w:tcW w:w="9339" w:type="dxa"/>
          </w:tcPr>
          <w:p w14:paraId="67F1995A" w14:textId="77777777" w:rsidR="00DC3C06" w:rsidRPr="00DC3C06" w:rsidRDefault="00DC3C06" w:rsidP="00DC3C06">
            <w:pPr>
              <w:jc w:val="both"/>
              <w:rPr>
                <w:sz w:val="24"/>
                <w:szCs w:val="24"/>
                <w:lang w:val="ru-RU"/>
              </w:rPr>
            </w:pPr>
            <w:r w:rsidRPr="00DC3C06">
              <w:rPr>
                <w:sz w:val="24"/>
                <w:szCs w:val="24"/>
                <w:lang w:val="ru-RU"/>
              </w:rPr>
              <w:t xml:space="preserve">Развитие АГ 2-й или 3-й степени в молодом возрасте (&lt;40 лет), или внезапное развитие АГ, или быстрое ухудшение течения АГ у пожилых </w:t>
            </w:r>
          </w:p>
        </w:tc>
      </w:tr>
      <w:tr w:rsidR="00DC3C06" w:rsidRPr="00DC3C06" w14:paraId="49DA70A8" w14:textId="77777777" w:rsidTr="00DC3C06">
        <w:tc>
          <w:tcPr>
            <w:tcW w:w="9339" w:type="dxa"/>
          </w:tcPr>
          <w:p w14:paraId="0194F07C" w14:textId="77777777" w:rsidR="00DC3C06" w:rsidRPr="00DC3C06" w:rsidRDefault="00DC3C06" w:rsidP="00DC3C06">
            <w:pPr>
              <w:jc w:val="both"/>
              <w:rPr>
                <w:sz w:val="24"/>
                <w:szCs w:val="24"/>
                <w:lang w:val="ru-RU"/>
              </w:rPr>
            </w:pPr>
            <w:r w:rsidRPr="00DC3C06">
              <w:rPr>
                <w:sz w:val="24"/>
                <w:szCs w:val="24"/>
                <w:lang w:val="ru-RU"/>
              </w:rPr>
              <w:t>Указания в анамнезе на заболевания почек/мочевыводящих путей</w:t>
            </w:r>
          </w:p>
        </w:tc>
      </w:tr>
      <w:tr w:rsidR="00DC3C06" w:rsidRPr="00DC3C06" w14:paraId="6C70B907" w14:textId="77777777" w:rsidTr="00DC3C06">
        <w:tc>
          <w:tcPr>
            <w:tcW w:w="9339" w:type="dxa"/>
          </w:tcPr>
          <w:p w14:paraId="5C20ABEE" w14:textId="77777777" w:rsidR="00DC3C06" w:rsidRPr="00DC3C06" w:rsidRDefault="00DC3C06" w:rsidP="00DC3C06">
            <w:pPr>
              <w:jc w:val="both"/>
              <w:rPr>
                <w:sz w:val="24"/>
                <w:szCs w:val="24"/>
                <w:lang w:val="ru-RU"/>
              </w:rPr>
            </w:pPr>
            <w:r w:rsidRPr="00DC3C06">
              <w:rPr>
                <w:sz w:val="24"/>
                <w:szCs w:val="24"/>
                <w:lang w:val="ru-RU"/>
              </w:rPr>
              <w:t xml:space="preserve">Употребление наркотических препаратов/субстанций/сопутствующая терапия: ГКС, деконгестантов и других препаратов для местного применения, химиотерапия, лакрица (подробнее в Таблице П26/Приложение </w:t>
            </w:r>
            <w:r w:rsidR="00FB33EA">
              <w:rPr>
                <w:sz w:val="24"/>
                <w:szCs w:val="24"/>
                <w:lang w:val="ru-RU"/>
              </w:rPr>
              <w:t>А2</w:t>
            </w:r>
            <w:r w:rsidRPr="00DC3C06">
              <w:rPr>
                <w:sz w:val="24"/>
                <w:szCs w:val="24"/>
                <w:lang w:val="ru-RU"/>
              </w:rPr>
              <w:t xml:space="preserve">) </w:t>
            </w:r>
          </w:p>
        </w:tc>
      </w:tr>
      <w:tr w:rsidR="00DC3C06" w:rsidRPr="00DC3C06" w14:paraId="660B919F" w14:textId="77777777" w:rsidTr="00DC3C06">
        <w:tc>
          <w:tcPr>
            <w:tcW w:w="9339" w:type="dxa"/>
          </w:tcPr>
          <w:p w14:paraId="3B772D24" w14:textId="77777777" w:rsidR="00DC3C06" w:rsidRPr="00DC3C06" w:rsidRDefault="00DC3C06" w:rsidP="00DC3C06">
            <w:pPr>
              <w:jc w:val="both"/>
              <w:rPr>
                <w:sz w:val="24"/>
                <w:szCs w:val="24"/>
                <w:lang w:val="ru-RU"/>
              </w:rPr>
            </w:pPr>
            <w:r w:rsidRPr="00DC3C06">
              <w:rPr>
                <w:sz w:val="24"/>
                <w:szCs w:val="24"/>
                <w:lang w:val="ru-RU"/>
              </w:rPr>
              <w:t xml:space="preserve">Повторяющиеся эпизоды потливости, головных болей, тревоги или сердцебиений, позволяющие заподозрить феохромоцитому </w:t>
            </w:r>
          </w:p>
        </w:tc>
      </w:tr>
      <w:tr w:rsidR="00DC3C06" w:rsidRPr="00DC3C06" w14:paraId="44519492" w14:textId="77777777" w:rsidTr="00DC3C06">
        <w:tc>
          <w:tcPr>
            <w:tcW w:w="9339" w:type="dxa"/>
          </w:tcPr>
          <w:p w14:paraId="64DE6EE8" w14:textId="77777777" w:rsidR="00DC3C06" w:rsidRPr="00DC3C06" w:rsidRDefault="00DC3C06" w:rsidP="00DC3C06">
            <w:pPr>
              <w:jc w:val="both"/>
              <w:rPr>
                <w:sz w:val="24"/>
                <w:szCs w:val="24"/>
                <w:lang w:val="ru-RU"/>
              </w:rPr>
            </w:pPr>
            <w:r w:rsidRPr="00DC3C06">
              <w:rPr>
                <w:sz w:val="24"/>
                <w:szCs w:val="24"/>
                <w:lang w:val="ru-RU"/>
              </w:rPr>
              <w:t xml:space="preserve">Указание в анамнезе на эпизоды спонтанной или спровоцированной диуретиками гипокалиемии, приступы мышечной слабости или судорог (гиперальдостеронизм) Признаки заболеваний щитовидной или паращитовидных желез </w:t>
            </w:r>
          </w:p>
        </w:tc>
      </w:tr>
      <w:tr w:rsidR="00DC3C06" w:rsidRPr="00DC3C06" w14:paraId="6804378E" w14:textId="77777777" w:rsidTr="00DC3C06">
        <w:tc>
          <w:tcPr>
            <w:tcW w:w="9339" w:type="dxa"/>
          </w:tcPr>
          <w:p w14:paraId="08BD7A29" w14:textId="77777777" w:rsidR="00DC3C06" w:rsidRPr="00DC3C06" w:rsidRDefault="00DC3C06" w:rsidP="00DC3C06">
            <w:pPr>
              <w:jc w:val="both"/>
              <w:rPr>
                <w:sz w:val="24"/>
                <w:szCs w:val="24"/>
                <w:lang w:val="ru-RU"/>
              </w:rPr>
            </w:pPr>
            <w:r w:rsidRPr="00DC3C06">
              <w:rPr>
                <w:sz w:val="24"/>
                <w:szCs w:val="24"/>
                <w:lang w:val="ru-RU"/>
              </w:rPr>
              <w:t xml:space="preserve">Беременность или употребление гормональных контрацептивов системного действия в настоящее время </w:t>
            </w:r>
          </w:p>
        </w:tc>
      </w:tr>
      <w:tr w:rsidR="00DC3C06" w:rsidRPr="00DC3C06" w14:paraId="5CABC138" w14:textId="77777777" w:rsidTr="00DC3C06">
        <w:tc>
          <w:tcPr>
            <w:tcW w:w="9339" w:type="dxa"/>
          </w:tcPr>
          <w:p w14:paraId="04D4396D" w14:textId="77777777" w:rsidR="00DC3C06" w:rsidRPr="00DC3C06" w:rsidRDefault="00DC3C06" w:rsidP="00DC3C06">
            <w:pPr>
              <w:jc w:val="both"/>
              <w:rPr>
                <w:sz w:val="24"/>
                <w:szCs w:val="24"/>
                <w:lang w:val="ru-RU"/>
              </w:rPr>
            </w:pPr>
            <w:r w:rsidRPr="00DC3C06">
              <w:rPr>
                <w:sz w:val="24"/>
                <w:szCs w:val="24"/>
                <w:lang w:val="ru-RU"/>
              </w:rPr>
              <w:t xml:space="preserve">Указания в анамнезе на синдром ночного апноэ </w:t>
            </w:r>
          </w:p>
        </w:tc>
      </w:tr>
      <w:tr w:rsidR="00DC3C06" w:rsidRPr="00DC3C06" w14:paraId="2ABB3034" w14:textId="77777777" w:rsidTr="00DC3C06">
        <w:tc>
          <w:tcPr>
            <w:tcW w:w="9339" w:type="dxa"/>
            <w:shd w:val="clear" w:color="auto" w:fill="E7E6E6" w:themeFill="background2"/>
          </w:tcPr>
          <w:p w14:paraId="44206B24" w14:textId="77777777" w:rsidR="00DC3C06" w:rsidRPr="00DC3C06" w:rsidRDefault="00DC3C06" w:rsidP="00DC3C06">
            <w:pPr>
              <w:jc w:val="center"/>
              <w:rPr>
                <w:b/>
                <w:bCs/>
                <w:sz w:val="24"/>
                <w:szCs w:val="24"/>
              </w:rPr>
            </w:pPr>
            <w:r w:rsidRPr="00DC3C06">
              <w:rPr>
                <w:b/>
                <w:bCs/>
                <w:sz w:val="24"/>
                <w:szCs w:val="24"/>
              </w:rPr>
              <w:t>Антигипертензивная терапия</w:t>
            </w:r>
          </w:p>
        </w:tc>
      </w:tr>
      <w:tr w:rsidR="00DC3C06" w:rsidRPr="00DC3C06" w14:paraId="0C4776B6" w14:textId="77777777" w:rsidTr="00DC3C06">
        <w:tc>
          <w:tcPr>
            <w:tcW w:w="9339" w:type="dxa"/>
          </w:tcPr>
          <w:p w14:paraId="6A34F27C" w14:textId="77777777" w:rsidR="00DC3C06" w:rsidRPr="00DC3C06" w:rsidRDefault="00DC3C06" w:rsidP="00DC3C06">
            <w:pPr>
              <w:jc w:val="both"/>
              <w:rPr>
                <w:sz w:val="24"/>
                <w:szCs w:val="24"/>
                <w:lang w:val="ru-RU"/>
              </w:rPr>
            </w:pPr>
            <w:r w:rsidRPr="00DC3C06">
              <w:rPr>
                <w:sz w:val="24"/>
                <w:szCs w:val="24"/>
                <w:lang w:val="ru-RU"/>
              </w:rPr>
              <w:t xml:space="preserve">Текущая/прошлая антигипертензивная терапия, включая эффективность и переносимость препаратов </w:t>
            </w:r>
          </w:p>
        </w:tc>
      </w:tr>
      <w:tr w:rsidR="00DC3C06" w:rsidRPr="00DC3C06" w14:paraId="584E8E96" w14:textId="77777777" w:rsidTr="00DC3C06">
        <w:tc>
          <w:tcPr>
            <w:tcW w:w="9339" w:type="dxa"/>
          </w:tcPr>
          <w:p w14:paraId="2CA1DAAB" w14:textId="77777777" w:rsidR="00DC3C06" w:rsidRPr="00DC3C06" w:rsidRDefault="00DC3C06" w:rsidP="00DC3C06">
            <w:pPr>
              <w:jc w:val="both"/>
              <w:rPr>
                <w:sz w:val="24"/>
                <w:szCs w:val="24"/>
                <w:lang w:val="ru-RU"/>
              </w:rPr>
            </w:pPr>
            <w:r w:rsidRPr="00DC3C06">
              <w:rPr>
                <w:sz w:val="24"/>
                <w:szCs w:val="24"/>
                <w:lang w:val="ru-RU"/>
              </w:rPr>
              <w:t>Приверженность к терапии</w:t>
            </w:r>
          </w:p>
        </w:tc>
      </w:tr>
      <w:tr w:rsidR="00DC3C06" w:rsidRPr="00DC3C06" w14:paraId="507468BA" w14:textId="77777777" w:rsidTr="00DC3C06">
        <w:trPr>
          <w:trHeight w:val="2524"/>
        </w:trPr>
        <w:tc>
          <w:tcPr>
            <w:tcW w:w="9339" w:type="dxa"/>
            <w:tcBorders>
              <w:bottom w:val="single" w:sz="4" w:space="0" w:color="auto"/>
            </w:tcBorders>
          </w:tcPr>
          <w:p w14:paraId="58C100BC" w14:textId="77777777" w:rsidR="00DC3C06" w:rsidRDefault="00DC3C06" w:rsidP="00DC3C06">
            <w:pPr>
              <w:jc w:val="center"/>
              <w:rPr>
                <w:sz w:val="24"/>
                <w:szCs w:val="24"/>
                <w:lang w:val="ru-RU"/>
              </w:rPr>
            </w:pPr>
            <w:r w:rsidRPr="00DC3C06">
              <w:rPr>
                <w:b/>
                <w:bCs/>
                <w:sz w:val="24"/>
                <w:szCs w:val="24"/>
                <w:lang w:val="ru-RU"/>
              </w:rPr>
              <w:t>Особое внимание следует обратить на следующие факторы:</w:t>
            </w:r>
            <w:r w:rsidRPr="00DC3C06">
              <w:rPr>
                <w:sz w:val="24"/>
                <w:szCs w:val="24"/>
                <w:lang w:val="ru-RU"/>
              </w:rPr>
              <w:t xml:space="preserve"> </w:t>
            </w:r>
          </w:p>
          <w:p w14:paraId="7F4609E1" w14:textId="77777777" w:rsidR="00DC3C06" w:rsidRPr="00DC3C06" w:rsidRDefault="00DC3C06" w:rsidP="00424F51">
            <w:pPr>
              <w:pStyle w:val="a7"/>
              <w:numPr>
                <w:ilvl w:val="0"/>
                <w:numId w:val="48"/>
              </w:numPr>
              <w:jc w:val="both"/>
              <w:rPr>
                <w:sz w:val="24"/>
                <w:szCs w:val="24"/>
                <w:lang w:val="ru-RU"/>
              </w:rPr>
            </w:pPr>
            <w:r w:rsidRPr="00DC3C06">
              <w:rPr>
                <w:sz w:val="24"/>
                <w:szCs w:val="24"/>
                <w:lang w:val="ru-RU"/>
              </w:rPr>
              <w:t>Время установления диагноза АГ, включая данные о любых предшествующих обследованиях, госпитализациях и т.п.</w:t>
            </w:r>
          </w:p>
          <w:p w14:paraId="3CF5F7EC" w14:textId="77777777" w:rsidR="00DC3C06" w:rsidRPr="00DC3C06" w:rsidRDefault="00DC3C06" w:rsidP="00424F51">
            <w:pPr>
              <w:pStyle w:val="a7"/>
              <w:numPr>
                <w:ilvl w:val="0"/>
                <w:numId w:val="48"/>
              </w:numPr>
              <w:jc w:val="both"/>
              <w:rPr>
                <w:sz w:val="24"/>
                <w:szCs w:val="24"/>
                <w:lang w:val="ru-RU"/>
              </w:rPr>
            </w:pPr>
            <w:r w:rsidRPr="00DC3C06">
              <w:rPr>
                <w:sz w:val="24"/>
                <w:szCs w:val="24"/>
                <w:lang w:val="ru-RU"/>
              </w:rPr>
              <w:t xml:space="preserve">Все имеющиеся записи об уровнях АД в настоящем и прошлом </w:t>
            </w:r>
          </w:p>
          <w:p w14:paraId="4334E3E3" w14:textId="77777777" w:rsidR="00DC3C06" w:rsidRPr="00DC3C06" w:rsidRDefault="00DC3C06" w:rsidP="00424F51">
            <w:pPr>
              <w:pStyle w:val="a7"/>
              <w:numPr>
                <w:ilvl w:val="0"/>
                <w:numId w:val="48"/>
              </w:numPr>
              <w:jc w:val="both"/>
              <w:rPr>
                <w:sz w:val="24"/>
                <w:szCs w:val="24"/>
                <w:lang w:val="ru-RU"/>
              </w:rPr>
            </w:pPr>
            <w:r w:rsidRPr="00DC3C06">
              <w:rPr>
                <w:sz w:val="24"/>
                <w:szCs w:val="24"/>
                <w:lang w:val="ru-RU"/>
              </w:rPr>
              <w:t xml:space="preserve">Сведения о приеме любых других лекарственных препаратов, в т.ч. обладающих прессорным действием </w:t>
            </w:r>
          </w:p>
          <w:p w14:paraId="5F175C6C" w14:textId="77777777" w:rsidR="00DC3C06" w:rsidRPr="00DC3C06" w:rsidRDefault="00DC3C06" w:rsidP="00424F51">
            <w:pPr>
              <w:pStyle w:val="a7"/>
              <w:numPr>
                <w:ilvl w:val="0"/>
                <w:numId w:val="48"/>
              </w:numPr>
              <w:jc w:val="both"/>
              <w:rPr>
                <w:sz w:val="24"/>
                <w:szCs w:val="24"/>
                <w:lang w:val="ru-RU"/>
              </w:rPr>
            </w:pPr>
            <w:r w:rsidRPr="00DC3C06">
              <w:rPr>
                <w:sz w:val="24"/>
                <w:szCs w:val="24"/>
                <w:lang w:val="ru-RU"/>
              </w:rPr>
              <w:t xml:space="preserve">Описание и признаки всех сопутствующих заболеваний, имевших место в прошлом и настоящем </w:t>
            </w:r>
          </w:p>
          <w:p w14:paraId="1E4176B9" w14:textId="77777777" w:rsidR="00DC3C06" w:rsidRPr="00DC3C06" w:rsidRDefault="00DC3C06" w:rsidP="00424F51">
            <w:pPr>
              <w:pStyle w:val="a7"/>
              <w:numPr>
                <w:ilvl w:val="0"/>
                <w:numId w:val="48"/>
              </w:numPr>
              <w:jc w:val="both"/>
              <w:rPr>
                <w:sz w:val="24"/>
                <w:szCs w:val="24"/>
                <w:lang w:val="ru-RU"/>
              </w:rPr>
            </w:pPr>
            <w:r w:rsidRPr="00DC3C06">
              <w:rPr>
                <w:sz w:val="24"/>
                <w:szCs w:val="24"/>
                <w:lang w:val="ru-RU"/>
              </w:rPr>
              <w:t xml:space="preserve">История течения менопаузы и приема менопаузальной гормональной терапии </w:t>
            </w:r>
          </w:p>
        </w:tc>
      </w:tr>
    </w:tbl>
    <w:p w14:paraId="1CE29964" w14:textId="77777777" w:rsidR="00DC3C06" w:rsidRPr="00DC3C06" w:rsidRDefault="00DC3C06" w:rsidP="00DC3C06">
      <w:pPr>
        <w:spacing w:after="0" w:line="360" w:lineRule="auto"/>
        <w:jc w:val="both"/>
        <w:rPr>
          <w:sz w:val="24"/>
          <w:szCs w:val="24"/>
        </w:rPr>
      </w:pPr>
    </w:p>
    <w:p w14:paraId="3C23416F" w14:textId="77777777" w:rsidR="00664198" w:rsidRDefault="00664198" w:rsidP="00664198">
      <w:pPr>
        <w:spacing w:after="0" w:line="360" w:lineRule="auto"/>
        <w:jc w:val="both"/>
        <w:rPr>
          <w:b/>
          <w:bCs/>
          <w:sz w:val="24"/>
          <w:szCs w:val="24"/>
        </w:rPr>
      </w:pPr>
    </w:p>
    <w:p w14:paraId="2F920A54" w14:textId="77777777" w:rsidR="00664198" w:rsidRDefault="00664198" w:rsidP="00664198">
      <w:pPr>
        <w:spacing w:after="0" w:line="360" w:lineRule="auto"/>
        <w:jc w:val="both"/>
        <w:rPr>
          <w:b/>
          <w:bCs/>
          <w:sz w:val="24"/>
          <w:szCs w:val="24"/>
        </w:rPr>
      </w:pPr>
    </w:p>
    <w:p w14:paraId="10A30B8A" w14:textId="77777777" w:rsidR="00664198" w:rsidRDefault="00664198" w:rsidP="00664198">
      <w:pPr>
        <w:spacing w:after="0" w:line="360" w:lineRule="auto"/>
        <w:jc w:val="both"/>
        <w:rPr>
          <w:b/>
          <w:bCs/>
          <w:sz w:val="24"/>
          <w:szCs w:val="24"/>
        </w:rPr>
      </w:pPr>
    </w:p>
    <w:p w14:paraId="59FE6A7F" w14:textId="77777777" w:rsidR="00664198" w:rsidRDefault="00664198" w:rsidP="00664198">
      <w:pPr>
        <w:spacing w:after="0" w:line="360" w:lineRule="auto"/>
        <w:jc w:val="both"/>
        <w:rPr>
          <w:b/>
          <w:bCs/>
          <w:sz w:val="24"/>
          <w:szCs w:val="24"/>
        </w:rPr>
      </w:pPr>
    </w:p>
    <w:p w14:paraId="10488147" w14:textId="77777777" w:rsidR="00664198" w:rsidRDefault="00664198" w:rsidP="00664198">
      <w:pPr>
        <w:spacing w:after="0" w:line="360" w:lineRule="auto"/>
        <w:jc w:val="both"/>
        <w:rPr>
          <w:b/>
          <w:bCs/>
          <w:sz w:val="24"/>
          <w:szCs w:val="24"/>
        </w:rPr>
      </w:pPr>
    </w:p>
    <w:p w14:paraId="48942CED" w14:textId="77777777" w:rsidR="00664198" w:rsidRDefault="00664198" w:rsidP="00664198">
      <w:pPr>
        <w:spacing w:after="0" w:line="360" w:lineRule="auto"/>
        <w:jc w:val="both"/>
        <w:rPr>
          <w:b/>
          <w:bCs/>
          <w:sz w:val="24"/>
          <w:szCs w:val="24"/>
        </w:rPr>
      </w:pPr>
    </w:p>
    <w:p w14:paraId="778C5969" w14:textId="77777777" w:rsidR="0073199D" w:rsidRDefault="0073199D" w:rsidP="00664198">
      <w:pPr>
        <w:spacing w:after="0" w:line="360" w:lineRule="auto"/>
        <w:jc w:val="both"/>
        <w:rPr>
          <w:b/>
          <w:bCs/>
          <w:sz w:val="24"/>
          <w:szCs w:val="24"/>
        </w:rPr>
      </w:pPr>
    </w:p>
    <w:p w14:paraId="429964FF" w14:textId="77777777" w:rsidR="0057089D" w:rsidRDefault="00664198" w:rsidP="0057089D">
      <w:pPr>
        <w:spacing w:after="0" w:line="360" w:lineRule="auto"/>
        <w:jc w:val="right"/>
        <w:rPr>
          <w:b/>
          <w:bCs/>
          <w:sz w:val="24"/>
          <w:szCs w:val="24"/>
        </w:rPr>
      </w:pPr>
      <w:r w:rsidRPr="00664198">
        <w:rPr>
          <w:b/>
          <w:bCs/>
          <w:sz w:val="24"/>
          <w:szCs w:val="24"/>
        </w:rPr>
        <w:lastRenderedPageBreak/>
        <w:t>Таблица П4/</w:t>
      </w:r>
      <w:r w:rsidR="00FB33EA">
        <w:rPr>
          <w:b/>
          <w:bCs/>
          <w:sz w:val="24"/>
          <w:szCs w:val="24"/>
        </w:rPr>
        <w:t>А2</w:t>
      </w:r>
      <w:r w:rsidRPr="00664198">
        <w:rPr>
          <w:b/>
          <w:bCs/>
          <w:sz w:val="24"/>
          <w:szCs w:val="24"/>
        </w:rPr>
        <w:t xml:space="preserve">. </w:t>
      </w:r>
    </w:p>
    <w:p w14:paraId="045A66FA" w14:textId="52131F02" w:rsidR="00664198" w:rsidRPr="00664198" w:rsidRDefault="00664198" w:rsidP="00664198">
      <w:pPr>
        <w:spacing w:after="0" w:line="360" w:lineRule="auto"/>
        <w:jc w:val="center"/>
        <w:rPr>
          <w:b/>
          <w:bCs/>
          <w:sz w:val="24"/>
          <w:szCs w:val="24"/>
        </w:rPr>
      </w:pPr>
      <w:r w:rsidRPr="00664198">
        <w:rPr>
          <w:b/>
          <w:bCs/>
          <w:sz w:val="24"/>
          <w:szCs w:val="24"/>
        </w:rPr>
        <w:t>Скрининг и диагностика артериальной гипертензии</w:t>
      </w:r>
    </w:p>
    <w:p w14:paraId="1B2D268A" w14:textId="77777777" w:rsidR="00390490" w:rsidRPr="00FD2617" w:rsidRDefault="00664198" w:rsidP="00664198">
      <w:pPr>
        <w:spacing w:after="0" w:line="360" w:lineRule="auto"/>
        <w:jc w:val="center"/>
        <w:rPr>
          <w:sz w:val="24"/>
          <w:szCs w:val="24"/>
        </w:rPr>
      </w:pPr>
      <w:r w:rsidRPr="00664198">
        <w:rPr>
          <w:noProof/>
          <w:sz w:val="24"/>
          <w:szCs w:val="24"/>
          <w:lang w:eastAsia="ru-RU"/>
        </w:rPr>
        <w:drawing>
          <wp:inline distT="0" distB="0" distL="0" distR="0" wp14:anchorId="1BBFA77D" wp14:editId="22892CB2">
            <wp:extent cx="5936615" cy="3668485"/>
            <wp:effectExtent l="0" t="0" r="6985" b="8255"/>
            <wp:docPr id="14832189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218933" name=""/>
                    <pic:cNvPicPr/>
                  </pic:nvPicPr>
                  <pic:blipFill>
                    <a:blip r:embed="rId33" cstate="print"/>
                    <a:stretch>
                      <a:fillRect/>
                    </a:stretch>
                  </pic:blipFill>
                  <pic:spPr>
                    <a:xfrm>
                      <a:off x="0" y="0"/>
                      <a:ext cx="5945595" cy="3674034"/>
                    </a:xfrm>
                    <a:prstGeom prst="rect">
                      <a:avLst/>
                    </a:prstGeom>
                  </pic:spPr>
                </pic:pic>
              </a:graphicData>
            </a:graphic>
          </wp:inline>
        </w:drawing>
      </w:r>
    </w:p>
    <w:p w14:paraId="2E2C4BEF" w14:textId="5440157D" w:rsidR="001B2A32" w:rsidRDefault="001B2A32" w:rsidP="001B2A32">
      <w:pPr>
        <w:pStyle w:val="11"/>
        <w:spacing w:after="120"/>
        <w:ind w:firstLine="580"/>
        <w:jc w:val="both"/>
        <w:rPr>
          <w:rStyle w:val="ac"/>
          <w:rFonts w:eastAsiaTheme="majorEastAsia"/>
          <w:b/>
          <w:bCs/>
          <w:sz w:val="24"/>
          <w:szCs w:val="24"/>
        </w:rPr>
      </w:pPr>
    </w:p>
    <w:p w14:paraId="34A04164" w14:textId="77777777" w:rsidR="0057089D" w:rsidRDefault="001B2A32" w:rsidP="0057089D">
      <w:pPr>
        <w:pStyle w:val="11"/>
        <w:spacing w:after="120"/>
        <w:ind w:firstLine="580"/>
        <w:jc w:val="right"/>
        <w:rPr>
          <w:rStyle w:val="ac"/>
          <w:rFonts w:eastAsiaTheme="majorEastAsia"/>
          <w:b/>
          <w:bCs/>
          <w:sz w:val="24"/>
          <w:szCs w:val="24"/>
        </w:rPr>
      </w:pPr>
      <w:r w:rsidRPr="001B2A32">
        <w:rPr>
          <w:rStyle w:val="ac"/>
          <w:rFonts w:eastAsiaTheme="majorEastAsia"/>
          <w:b/>
          <w:bCs/>
          <w:sz w:val="24"/>
          <w:szCs w:val="24"/>
        </w:rPr>
        <w:t>Таблица П5/</w:t>
      </w:r>
      <w:r w:rsidR="00FB33EA">
        <w:rPr>
          <w:rStyle w:val="ac"/>
          <w:rFonts w:eastAsiaTheme="majorEastAsia"/>
          <w:b/>
          <w:bCs/>
          <w:sz w:val="24"/>
          <w:szCs w:val="24"/>
        </w:rPr>
        <w:t>А2</w:t>
      </w:r>
      <w:r w:rsidRPr="001B2A32">
        <w:rPr>
          <w:rStyle w:val="ac"/>
          <w:rFonts w:eastAsiaTheme="majorEastAsia"/>
          <w:b/>
          <w:bCs/>
          <w:sz w:val="24"/>
          <w:szCs w:val="24"/>
        </w:rPr>
        <w:t xml:space="preserve">. </w:t>
      </w:r>
    </w:p>
    <w:p w14:paraId="7469D475" w14:textId="11C4593D" w:rsidR="001B2A32" w:rsidRPr="001B2A32" w:rsidRDefault="001B2A32" w:rsidP="001B2A32">
      <w:pPr>
        <w:pStyle w:val="11"/>
        <w:spacing w:after="120"/>
        <w:ind w:firstLine="580"/>
        <w:jc w:val="both"/>
        <w:rPr>
          <w:sz w:val="24"/>
          <w:szCs w:val="24"/>
        </w:rPr>
      </w:pPr>
      <w:r w:rsidRPr="001B2A32">
        <w:rPr>
          <w:rStyle w:val="ac"/>
          <w:rFonts w:eastAsiaTheme="majorEastAsia"/>
          <w:b/>
          <w:bCs/>
          <w:sz w:val="24"/>
          <w:szCs w:val="24"/>
        </w:rPr>
        <w:t>Частые причины вторичных гипертензий и принципы диагностики</w:t>
      </w:r>
      <w:r>
        <w:rPr>
          <w:sz w:val="24"/>
          <w:szCs w:val="24"/>
        </w:rPr>
        <w:t xml:space="preserve"> </w:t>
      </w:r>
      <w:r w:rsidRPr="001B2A32">
        <w:rPr>
          <w:rStyle w:val="ac"/>
          <w:rFonts w:eastAsiaTheme="majorEastAsia"/>
          <w:b/>
          <w:bCs/>
          <w:sz w:val="24"/>
          <w:szCs w:val="24"/>
        </w:rPr>
        <w:t>некоторых вариантов вторичных гипертензий.</w:t>
      </w:r>
    </w:p>
    <w:tbl>
      <w:tblPr>
        <w:tblOverlap w:val="never"/>
        <w:tblW w:w="0" w:type="auto"/>
        <w:jc w:val="center"/>
        <w:tblLayout w:type="fixed"/>
        <w:tblCellMar>
          <w:left w:w="10" w:type="dxa"/>
          <w:right w:w="10" w:type="dxa"/>
        </w:tblCellMar>
        <w:tblLook w:val="0000" w:firstRow="0" w:lastRow="0" w:firstColumn="0" w:lastColumn="0" w:noHBand="0" w:noVBand="0"/>
      </w:tblPr>
      <w:tblGrid>
        <w:gridCol w:w="1824"/>
        <w:gridCol w:w="1714"/>
        <w:gridCol w:w="3154"/>
        <w:gridCol w:w="2237"/>
      </w:tblGrid>
      <w:tr w:rsidR="001B2A32" w14:paraId="60CE7911" w14:textId="77777777" w:rsidTr="001B2A32">
        <w:trPr>
          <w:trHeight w:hRule="exact" w:val="729"/>
          <w:jc w:val="center"/>
        </w:trPr>
        <w:tc>
          <w:tcPr>
            <w:tcW w:w="1824" w:type="dxa"/>
            <w:tcBorders>
              <w:top w:val="single" w:sz="4" w:space="0" w:color="auto"/>
              <w:left w:val="single" w:sz="4" w:space="0" w:color="auto"/>
            </w:tcBorders>
            <w:shd w:val="clear" w:color="auto" w:fill="E7E6E6" w:themeFill="background2"/>
          </w:tcPr>
          <w:p w14:paraId="1B087508" w14:textId="77777777" w:rsidR="001B2A32" w:rsidRPr="001E3E50" w:rsidRDefault="001B2A32" w:rsidP="001E3E50">
            <w:pPr>
              <w:pStyle w:val="af2"/>
              <w:spacing w:line="240" w:lineRule="auto"/>
              <w:ind w:firstLine="0"/>
              <w:rPr>
                <w:b/>
                <w:bCs/>
              </w:rPr>
            </w:pPr>
            <w:r w:rsidRPr="001E3E50">
              <w:rPr>
                <w:rStyle w:val="af1"/>
                <w:rFonts w:eastAsiaTheme="majorEastAsia"/>
                <w:b/>
                <w:bCs/>
              </w:rPr>
              <w:t>Причина</w:t>
            </w:r>
          </w:p>
        </w:tc>
        <w:tc>
          <w:tcPr>
            <w:tcW w:w="1714" w:type="dxa"/>
            <w:tcBorders>
              <w:top w:val="single" w:sz="4" w:space="0" w:color="auto"/>
              <w:left w:val="single" w:sz="4" w:space="0" w:color="auto"/>
            </w:tcBorders>
            <w:shd w:val="clear" w:color="auto" w:fill="E7E6E6" w:themeFill="background2"/>
            <w:vAlign w:val="bottom"/>
          </w:tcPr>
          <w:p w14:paraId="2E7E765E" w14:textId="77777777" w:rsidR="001B2A32" w:rsidRPr="001E3E50" w:rsidRDefault="001B2A32" w:rsidP="001E3E50">
            <w:pPr>
              <w:pStyle w:val="af2"/>
              <w:spacing w:line="240" w:lineRule="auto"/>
              <w:ind w:firstLine="0"/>
              <w:rPr>
                <w:b/>
                <w:bCs/>
              </w:rPr>
            </w:pPr>
            <w:r w:rsidRPr="001E3E50">
              <w:rPr>
                <w:rStyle w:val="af1"/>
                <w:rFonts w:eastAsiaTheme="majorEastAsia"/>
                <w:b/>
                <w:bCs/>
              </w:rPr>
              <w:t>Распростране нность среди пациентов АГ</w:t>
            </w:r>
          </w:p>
        </w:tc>
        <w:tc>
          <w:tcPr>
            <w:tcW w:w="3154" w:type="dxa"/>
            <w:tcBorders>
              <w:top w:val="single" w:sz="4" w:space="0" w:color="auto"/>
              <w:left w:val="single" w:sz="4" w:space="0" w:color="auto"/>
            </w:tcBorders>
            <w:shd w:val="clear" w:color="auto" w:fill="E7E6E6" w:themeFill="background2"/>
          </w:tcPr>
          <w:p w14:paraId="448FD269" w14:textId="77777777" w:rsidR="001B2A32" w:rsidRPr="001E3E50" w:rsidRDefault="001B2A32" w:rsidP="001E3E50">
            <w:pPr>
              <w:pStyle w:val="af2"/>
              <w:spacing w:line="240" w:lineRule="auto"/>
              <w:ind w:firstLine="0"/>
              <w:rPr>
                <w:b/>
                <w:bCs/>
              </w:rPr>
            </w:pPr>
            <w:r w:rsidRPr="001E3E50">
              <w:rPr>
                <w:rStyle w:val="af1"/>
                <w:rFonts w:eastAsiaTheme="majorEastAsia"/>
                <w:b/>
                <w:bCs/>
              </w:rPr>
              <w:t>Возможные симптомы и признаки</w:t>
            </w:r>
          </w:p>
        </w:tc>
        <w:tc>
          <w:tcPr>
            <w:tcW w:w="2237" w:type="dxa"/>
            <w:tcBorders>
              <w:top w:val="single" w:sz="4" w:space="0" w:color="auto"/>
              <w:left w:val="single" w:sz="4" w:space="0" w:color="auto"/>
              <w:right w:val="single" w:sz="4" w:space="0" w:color="auto"/>
            </w:tcBorders>
            <w:shd w:val="clear" w:color="auto" w:fill="E7E6E6" w:themeFill="background2"/>
          </w:tcPr>
          <w:p w14:paraId="5C87CCF3" w14:textId="77777777" w:rsidR="001B2A32" w:rsidRPr="001E3E50" w:rsidRDefault="001B2A32" w:rsidP="001E3E50">
            <w:pPr>
              <w:pStyle w:val="af2"/>
              <w:spacing w:line="240" w:lineRule="auto"/>
              <w:ind w:firstLine="0"/>
              <w:rPr>
                <w:b/>
                <w:bCs/>
              </w:rPr>
            </w:pPr>
            <w:r w:rsidRPr="001E3E50">
              <w:rPr>
                <w:rStyle w:val="af1"/>
                <w:rFonts w:eastAsiaTheme="majorEastAsia"/>
                <w:b/>
                <w:bCs/>
              </w:rPr>
              <w:t>Обследование</w:t>
            </w:r>
          </w:p>
        </w:tc>
      </w:tr>
      <w:tr w:rsidR="001B2A32" w:rsidRPr="00B21571" w14:paraId="3485C8E8" w14:textId="77777777" w:rsidTr="001B2A32">
        <w:trPr>
          <w:trHeight w:hRule="exact" w:val="1114"/>
          <w:jc w:val="center"/>
        </w:trPr>
        <w:tc>
          <w:tcPr>
            <w:tcW w:w="1824" w:type="dxa"/>
            <w:tcBorders>
              <w:top w:val="single" w:sz="4" w:space="0" w:color="auto"/>
              <w:left w:val="single" w:sz="4" w:space="0" w:color="auto"/>
            </w:tcBorders>
            <w:shd w:val="clear" w:color="auto" w:fill="E7E6E6" w:themeFill="background2"/>
            <w:vAlign w:val="bottom"/>
          </w:tcPr>
          <w:p w14:paraId="6C076581" w14:textId="77777777" w:rsidR="001B2A32" w:rsidRPr="00B21571" w:rsidRDefault="001B2A32" w:rsidP="00D45012">
            <w:pPr>
              <w:pStyle w:val="af2"/>
              <w:tabs>
                <w:tab w:val="left" w:pos="446"/>
                <w:tab w:val="left" w:pos="1358"/>
              </w:tabs>
              <w:spacing w:line="240" w:lineRule="auto"/>
              <w:ind w:firstLine="0"/>
            </w:pPr>
            <w:r w:rsidRPr="00B21571">
              <w:rPr>
                <w:rStyle w:val="af1"/>
                <w:rFonts w:eastAsiaTheme="majorEastAsia"/>
              </w:rPr>
              <w:t>Синдром обструктивного апноэ</w:t>
            </w:r>
            <w:r w:rsidRPr="00B21571">
              <w:rPr>
                <w:rStyle w:val="af1"/>
                <w:rFonts w:eastAsiaTheme="majorEastAsia"/>
              </w:rPr>
              <w:tab/>
              <w:t>во</w:t>
            </w:r>
          </w:p>
          <w:p w14:paraId="72CDE804" w14:textId="77777777" w:rsidR="001B2A32" w:rsidRPr="00B21571" w:rsidRDefault="001B2A32" w:rsidP="00D45012">
            <w:pPr>
              <w:pStyle w:val="af2"/>
              <w:spacing w:line="240" w:lineRule="auto"/>
              <w:ind w:firstLine="0"/>
            </w:pPr>
            <w:r w:rsidRPr="00B21571">
              <w:rPr>
                <w:rStyle w:val="af1"/>
                <w:rFonts w:eastAsiaTheme="majorEastAsia"/>
              </w:rPr>
              <w:t>время сна</w:t>
            </w:r>
          </w:p>
        </w:tc>
        <w:tc>
          <w:tcPr>
            <w:tcW w:w="1714" w:type="dxa"/>
            <w:tcBorders>
              <w:top w:val="single" w:sz="4" w:space="0" w:color="auto"/>
              <w:left w:val="single" w:sz="4" w:space="0" w:color="auto"/>
            </w:tcBorders>
          </w:tcPr>
          <w:p w14:paraId="604ADFDB" w14:textId="77777777" w:rsidR="001B2A32" w:rsidRPr="00B21571" w:rsidRDefault="001B2A32" w:rsidP="00D45012">
            <w:pPr>
              <w:pStyle w:val="af2"/>
              <w:spacing w:line="240" w:lineRule="auto"/>
              <w:ind w:firstLine="0"/>
            </w:pPr>
            <w:r w:rsidRPr="00B21571">
              <w:rPr>
                <w:rStyle w:val="af1"/>
                <w:rFonts w:eastAsiaTheme="majorEastAsia"/>
              </w:rPr>
              <w:t>5–10%</w:t>
            </w:r>
          </w:p>
        </w:tc>
        <w:tc>
          <w:tcPr>
            <w:tcW w:w="3154" w:type="dxa"/>
            <w:tcBorders>
              <w:top w:val="single" w:sz="4" w:space="0" w:color="auto"/>
              <w:left w:val="single" w:sz="4" w:space="0" w:color="auto"/>
            </w:tcBorders>
          </w:tcPr>
          <w:p w14:paraId="337ABEE2" w14:textId="77777777" w:rsidR="001B2A32" w:rsidRPr="00B21571" w:rsidRDefault="001B2A32" w:rsidP="00D45012">
            <w:pPr>
              <w:pStyle w:val="af2"/>
              <w:spacing w:line="240" w:lineRule="auto"/>
              <w:ind w:firstLine="0"/>
              <w:jc w:val="both"/>
            </w:pPr>
            <w:r w:rsidRPr="00B21571">
              <w:rPr>
                <w:rStyle w:val="af1"/>
                <w:rFonts w:eastAsiaTheme="majorEastAsia"/>
              </w:rPr>
              <w:t>Храп; ожирение (но может встречаться при отсутствии ожирения); сонливость днем</w:t>
            </w:r>
          </w:p>
        </w:tc>
        <w:tc>
          <w:tcPr>
            <w:tcW w:w="2237" w:type="dxa"/>
            <w:tcBorders>
              <w:top w:val="single" w:sz="4" w:space="0" w:color="auto"/>
              <w:left w:val="single" w:sz="4" w:space="0" w:color="auto"/>
              <w:right w:val="single" w:sz="4" w:space="0" w:color="auto"/>
            </w:tcBorders>
          </w:tcPr>
          <w:p w14:paraId="06F9B447" w14:textId="77777777" w:rsidR="001B2A32" w:rsidRPr="00B21571" w:rsidRDefault="001B2A32" w:rsidP="00D45012">
            <w:pPr>
              <w:pStyle w:val="af2"/>
              <w:spacing w:line="240" w:lineRule="auto"/>
              <w:ind w:firstLine="0"/>
            </w:pPr>
            <w:r w:rsidRPr="00B21571">
              <w:rPr>
                <w:rStyle w:val="af1"/>
                <w:rFonts w:eastAsiaTheme="majorEastAsia"/>
              </w:rPr>
              <w:t>Шкала Эпворта и полисомнография</w:t>
            </w:r>
          </w:p>
        </w:tc>
      </w:tr>
      <w:tr w:rsidR="001B2A32" w:rsidRPr="00B21571" w14:paraId="3E0AF033" w14:textId="77777777" w:rsidTr="001B2A32">
        <w:trPr>
          <w:trHeight w:hRule="exact" w:val="3331"/>
          <w:jc w:val="center"/>
        </w:trPr>
        <w:tc>
          <w:tcPr>
            <w:tcW w:w="1824" w:type="dxa"/>
            <w:tcBorders>
              <w:top w:val="single" w:sz="4" w:space="0" w:color="auto"/>
              <w:left w:val="single" w:sz="4" w:space="0" w:color="auto"/>
              <w:bottom w:val="single" w:sz="4" w:space="0" w:color="auto"/>
            </w:tcBorders>
            <w:shd w:val="clear" w:color="auto" w:fill="E7E6E6" w:themeFill="background2"/>
          </w:tcPr>
          <w:p w14:paraId="0B794034" w14:textId="77777777" w:rsidR="001B2A32" w:rsidRPr="00B21571" w:rsidRDefault="001B2A32" w:rsidP="00D45012">
            <w:pPr>
              <w:pStyle w:val="af2"/>
              <w:spacing w:line="240" w:lineRule="auto"/>
              <w:ind w:firstLine="0"/>
            </w:pPr>
            <w:r w:rsidRPr="00B21571">
              <w:rPr>
                <w:rStyle w:val="af1"/>
                <w:rFonts w:eastAsiaTheme="majorEastAsia"/>
              </w:rPr>
              <w:t>Ренопаренхима тозные заболевания</w:t>
            </w:r>
          </w:p>
        </w:tc>
        <w:tc>
          <w:tcPr>
            <w:tcW w:w="1714" w:type="dxa"/>
            <w:tcBorders>
              <w:top w:val="single" w:sz="4" w:space="0" w:color="auto"/>
              <w:left w:val="single" w:sz="4" w:space="0" w:color="auto"/>
              <w:bottom w:val="single" w:sz="4" w:space="0" w:color="auto"/>
            </w:tcBorders>
          </w:tcPr>
          <w:p w14:paraId="45A0CF26" w14:textId="77777777" w:rsidR="001B2A32" w:rsidRPr="00B21571" w:rsidRDefault="001B2A32" w:rsidP="00D45012">
            <w:pPr>
              <w:pStyle w:val="af2"/>
              <w:spacing w:line="240" w:lineRule="auto"/>
              <w:ind w:firstLine="0"/>
            </w:pPr>
            <w:r w:rsidRPr="00B21571">
              <w:rPr>
                <w:rStyle w:val="af1"/>
                <w:rFonts w:eastAsiaTheme="majorEastAsia"/>
              </w:rPr>
              <w:t>2–10%</w:t>
            </w:r>
          </w:p>
        </w:tc>
        <w:tc>
          <w:tcPr>
            <w:tcW w:w="3154" w:type="dxa"/>
            <w:tcBorders>
              <w:top w:val="single" w:sz="4" w:space="0" w:color="auto"/>
              <w:left w:val="single" w:sz="4" w:space="0" w:color="auto"/>
              <w:bottom w:val="single" w:sz="4" w:space="0" w:color="auto"/>
            </w:tcBorders>
          </w:tcPr>
          <w:p w14:paraId="4537D0DA" w14:textId="77777777" w:rsidR="001B2A32" w:rsidRPr="00B21571" w:rsidRDefault="001B2A32" w:rsidP="00D45012">
            <w:pPr>
              <w:pStyle w:val="af2"/>
              <w:spacing w:line="240" w:lineRule="auto"/>
              <w:ind w:firstLine="0"/>
              <w:jc w:val="both"/>
            </w:pPr>
            <w:r w:rsidRPr="00B21571">
              <w:rPr>
                <w:rStyle w:val="af1"/>
                <w:rFonts w:eastAsiaTheme="majorEastAsia"/>
              </w:rPr>
              <w:t>Бессимптомное течение; сахарный диабет; гематурия, протеинурия, никтурия; анемия, образование почек при поликистозе у взрослых</w:t>
            </w:r>
          </w:p>
        </w:tc>
        <w:tc>
          <w:tcPr>
            <w:tcW w:w="2237" w:type="dxa"/>
            <w:tcBorders>
              <w:top w:val="single" w:sz="4" w:space="0" w:color="auto"/>
              <w:left w:val="single" w:sz="4" w:space="0" w:color="auto"/>
              <w:bottom w:val="single" w:sz="4" w:space="0" w:color="auto"/>
              <w:right w:val="single" w:sz="4" w:space="0" w:color="auto"/>
            </w:tcBorders>
            <w:vAlign w:val="bottom"/>
          </w:tcPr>
          <w:p w14:paraId="09541231" w14:textId="77777777" w:rsidR="001B2A32" w:rsidRPr="00B21571" w:rsidRDefault="001B2A32" w:rsidP="00D45012">
            <w:pPr>
              <w:pStyle w:val="af2"/>
              <w:tabs>
                <w:tab w:val="left" w:pos="696"/>
                <w:tab w:val="left" w:pos="1882"/>
              </w:tabs>
              <w:spacing w:line="240" w:lineRule="auto"/>
              <w:ind w:firstLine="0"/>
            </w:pPr>
            <w:r w:rsidRPr="00B21571">
              <w:rPr>
                <w:rStyle w:val="af1"/>
                <w:rFonts w:eastAsiaTheme="majorEastAsia"/>
              </w:rPr>
              <w:t>Исследование уровня креатинина в крови</w:t>
            </w:r>
            <w:r w:rsidR="001E3E50" w:rsidRPr="00B21571">
              <w:rPr>
                <w:rStyle w:val="af1"/>
                <w:rFonts w:eastAsiaTheme="majorEastAsia"/>
              </w:rPr>
              <w:t xml:space="preserve"> </w:t>
            </w:r>
            <w:r w:rsidRPr="00B21571">
              <w:rPr>
                <w:rStyle w:val="af1"/>
                <w:rFonts w:eastAsiaTheme="majorEastAsia"/>
              </w:rPr>
              <w:t>и</w:t>
            </w:r>
          </w:p>
          <w:p w14:paraId="794A90DA" w14:textId="77777777" w:rsidR="001B2A32" w:rsidRPr="00B21571" w:rsidRDefault="001B2A32" w:rsidP="00D45012">
            <w:pPr>
              <w:pStyle w:val="af2"/>
              <w:tabs>
                <w:tab w:val="left" w:pos="1435"/>
              </w:tabs>
              <w:spacing w:line="240" w:lineRule="auto"/>
              <w:ind w:firstLine="0"/>
            </w:pPr>
            <w:r w:rsidRPr="00B21571">
              <w:rPr>
                <w:rStyle w:val="af1"/>
                <w:rFonts w:eastAsiaTheme="majorEastAsia"/>
              </w:rPr>
              <w:t>электролиты плазмы, СКФ;</w:t>
            </w:r>
          </w:p>
          <w:p w14:paraId="3CA3FE18" w14:textId="77777777" w:rsidR="001B2A32" w:rsidRPr="00B21571" w:rsidRDefault="001B2A32" w:rsidP="00D45012">
            <w:pPr>
              <w:pStyle w:val="af2"/>
              <w:tabs>
                <w:tab w:val="left" w:pos="1882"/>
              </w:tabs>
              <w:spacing w:line="240" w:lineRule="auto"/>
              <w:ind w:firstLine="0"/>
            </w:pPr>
            <w:r w:rsidRPr="00B21571">
              <w:rPr>
                <w:rStyle w:val="af1"/>
                <w:rFonts w:eastAsiaTheme="majorEastAsia"/>
              </w:rPr>
              <w:t>обнаружение гемоглобина и</w:t>
            </w:r>
          </w:p>
          <w:p w14:paraId="7A57C524" w14:textId="77777777" w:rsidR="001B2A32" w:rsidRPr="00B21571" w:rsidRDefault="001B2A32" w:rsidP="001E3E50">
            <w:pPr>
              <w:pStyle w:val="af2"/>
              <w:tabs>
                <w:tab w:val="left" w:pos="1594"/>
              </w:tabs>
              <w:spacing w:line="240" w:lineRule="auto"/>
              <w:ind w:firstLine="0"/>
              <w:rPr>
                <w:rStyle w:val="af1"/>
              </w:rPr>
            </w:pPr>
            <w:r w:rsidRPr="00B21571">
              <w:rPr>
                <w:rStyle w:val="af1"/>
                <w:rFonts w:eastAsiaTheme="majorEastAsia"/>
              </w:rPr>
              <w:t>белка в моче и белок, или</w:t>
            </w:r>
            <w:r w:rsidR="001E3E50" w:rsidRPr="00B21571">
              <w:t xml:space="preserve"> </w:t>
            </w:r>
            <w:r w:rsidRPr="00B21571">
              <w:rPr>
                <w:rStyle w:val="af1"/>
                <w:rFonts w:eastAsiaTheme="majorEastAsia"/>
              </w:rPr>
              <w:t>определение альбумина в моче и исследование</w:t>
            </w:r>
          </w:p>
          <w:p w14:paraId="143301E6" w14:textId="77777777" w:rsidR="001B2A32" w:rsidRPr="00B21571" w:rsidRDefault="001B2A32" w:rsidP="00D45012">
            <w:pPr>
              <w:pStyle w:val="af2"/>
              <w:spacing w:line="240" w:lineRule="auto"/>
              <w:ind w:firstLine="0"/>
              <w:rPr>
                <w:rStyle w:val="af1"/>
                <w:rFonts w:eastAsiaTheme="majorEastAsia"/>
              </w:rPr>
            </w:pPr>
          </w:p>
          <w:p w14:paraId="03DC85F0" w14:textId="77777777" w:rsidR="001B2A32" w:rsidRPr="00B21571" w:rsidRDefault="001B2A32" w:rsidP="00D45012">
            <w:pPr>
              <w:pStyle w:val="af2"/>
              <w:spacing w:line="240" w:lineRule="auto"/>
              <w:ind w:firstLine="0"/>
            </w:pPr>
          </w:p>
        </w:tc>
      </w:tr>
      <w:tr w:rsidR="001B2A32" w:rsidRPr="00B21571" w14:paraId="2A258D2A" w14:textId="77777777" w:rsidTr="001E3E50">
        <w:trPr>
          <w:trHeight w:hRule="exact" w:val="2265"/>
          <w:jc w:val="center"/>
        </w:trPr>
        <w:tc>
          <w:tcPr>
            <w:tcW w:w="1824" w:type="dxa"/>
            <w:tcBorders>
              <w:top w:val="single" w:sz="4" w:space="0" w:color="auto"/>
              <w:left w:val="single" w:sz="4" w:space="0" w:color="auto"/>
              <w:bottom w:val="single" w:sz="4" w:space="0" w:color="auto"/>
            </w:tcBorders>
            <w:shd w:val="clear" w:color="auto" w:fill="E7E6E6" w:themeFill="background2"/>
          </w:tcPr>
          <w:p w14:paraId="44ADAE37" w14:textId="77777777" w:rsidR="001B2A32" w:rsidRPr="00B21571" w:rsidRDefault="001B2A32" w:rsidP="001B2A32">
            <w:pPr>
              <w:pStyle w:val="af2"/>
              <w:rPr>
                <w:rFonts w:eastAsiaTheme="majorEastAsia"/>
              </w:rPr>
            </w:pPr>
          </w:p>
        </w:tc>
        <w:tc>
          <w:tcPr>
            <w:tcW w:w="1714" w:type="dxa"/>
            <w:tcBorders>
              <w:top w:val="single" w:sz="4" w:space="0" w:color="auto"/>
              <w:left w:val="single" w:sz="4" w:space="0" w:color="auto"/>
              <w:bottom w:val="single" w:sz="4" w:space="0" w:color="auto"/>
            </w:tcBorders>
          </w:tcPr>
          <w:p w14:paraId="56015E14" w14:textId="77777777" w:rsidR="001B2A32" w:rsidRPr="00B21571" w:rsidRDefault="001B2A32" w:rsidP="001B2A32">
            <w:pPr>
              <w:pStyle w:val="af2"/>
              <w:rPr>
                <w:rFonts w:eastAsiaTheme="majorEastAsia"/>
              </w:rPr>
            </w:pPr>
          </w:p>
        </w:tc>
        <w:tc>
          <w:tcPr>
            <w:tcW w:w="3154" w:type="dxa"/>
            <w:tcBorders>
              <w:top w:val="single" w:sz="4" w:space="0" w:color="auto"/>
              <w:left w:val="single" w:sz="4" w:space="0" w:color="auto"/>
              <w:bottom w:val="single" w:sz="4" w:space="0" w:color="auto"/>
            </w:tcBorders>
          </w:tcPr>
          <w:p w14:paraId="0D8306E7" w14:textId="77777777" w:rsidR="001B2A32" w:rsidRPr="00B21571" w:rsidRDefault="001B2A32" w:rsidP="001B2A32">
            <w:pPr>
              <w:pStyle w:val="af2"/>
              <w:jc w:val="both"/>
              <w:rPr>
                <w:rFonts w:eastAsiaTheme="majorEastAsia"/>
              </w:rPr>
            </w:pPr>
          </w:p>
        </w:tc>
        <w:tc>
          <w:tcPr>
            <w:tcW w:w="2237" w:type="dxa"/>
            <w:tcBorders>
              <w:top w:val="single" w:sz="4" w:space="0" w:color="auto"/>
              <w:left w:val="single" w:sz="4" w:space="0" w:color="auto"/>
              <w:bottom w:val="single" w:sz="4" w:space="0" w:color="auto"/>
              <w:right w:val="single" w:sz="4" w:space="0" w:color="auto"/>
            </w:tcBorders>
            <w:vAlign w:val="bottom"/>
          </w:tcPr>
          <w:p w14:paraId="76AC7307" w14:textId="77777777" w:rsidR="001B2A32" w:rsidRPr="00B21571" w:rsidRDefault="001B2A32" w:rsidP="001B2A32">
            <w:pPr>
              <w:pStyle w:val="af2"/>
              <w:tabs>
                <w:tab w:val="left" w:pos="696"/>
                <w:tab w:val="left" w:pos="1882"/>
              </w:tabs>
              <w:spacing w:line="240" w:lineRule="auto"/>
              <w:ind w:firstLine="0"/>
              <w:rPr>
                <w:rFonts w:eastAsiaTheme="majorEastAsia"/>
              </w:rPr>
            </w:pPr>
            <w:r w:rsidRPr="00B21571">
              <w:rPr>
                <w:rStyle w:val="af1"/>
                <w:rFonts w:eastAsiaTheme="majorEastAsia"/>
              </w:rPr>
              <w:t>креатинина в моче с расчетом</w:t>
            </w:r>
          </w:p>
          <w:p w14:paraId="50C5CCB4" w14:textId="77777777" w:rsidR="001B2A32" w:rsidRPr="00B21571" w:rsidRDefault="001B2A32" w:rsidP="001B2A32">
            <w:pPr>
              <w:pStyle w:val="af2"/>
              <w:tabs>
                <w:tab w:val="left" w:pos="696"/>
                <w:tab w:val="left" w:pos="1882"/>
              </w:tabs>
              <w:spacing w:line="240" w:lineRule="auto"/>
              <w:ind w:firstLine="0"/>
              <w:rPr>
                <w:rFonts w:eastAsiaTheme="majorEastAsia"/>
              </w:rPr>
            </w:pPr>
            <w:r w:rsidRPr="00B21571">
              <w:rPr>
                <w:rStyle w:val="af1"/>
                <w:rFonts w:eastAsiaTheme="majorEastAsia"/>
              </w:rPr>
              <w:t>отношения альбумин/креатини н; ультразвуковое исследование</w:t>
            </w:r>
          </w:p>
          <w:p w14:paraId="4F4AE44A" w14:textId="77777777" w:rsidR="001B2A32" w:rsidRPr="00B21571" w:rsidRDefault="001B2A32" w:rsidP="001B2A32">
            <w:pPr>
              <w:pStyle w:val="af2"/>
              <w:tabs>
                <w:tab w:val="left" w:pos="696"/>
                <w:tab w:val="left" w:pos="1882"/>
              </w:tabs>
              <w:spacing w:line="240" w:lineRule="auto"/>
              <w:ind w:firstLine="0"/>
              <w:rPr>
                <w:rFonts w:eastAsiaTheme="majorEastAsia"/>
              </w:rPr>
            </w:pPr>
            <w:r w:rsidRPr="00B21571">
              <w:rPr>
                <w:rStyle w:val="af1"/>
                <w:rFonts w:eastAsiaTheme="majorEastAsia"/>
              </w:rPr>
              <w:t>почек,</w:t>
            </w:r>
            <w:r w:rsidRPr="00B21571">
              <w:rPr>
                <w:rStyle w:val="af1"/>
                <w:rFonts w:eastAsiaTheme="majorEastAsia"/>
              </w:rPr>
              <w:tab/>
              <w:t>прием</w:t>
            </w:r>
          </w:p>
          <w:p w14:paraId="0724CEFE" w14:textId="77777777" w:rsidR="001B2A32" w:rsidRPr="00B21571" w:rsidRDefault="001B2A32" w:rsidP="001B2A32">
            <w:pPr>
              <w:pStyle w:val="af2"/>
              <w:tabs>
                <w:tab w:val="left" w:pos="696"/>
                <w:tab w:val="left" w:pos="1882"/>
              </w:tabs>
              <w:spacing w:line="240" w:lineRule="auto"/>
              <w:ind w:firstLine="0"/>
              <w:rPr>
                <w:rFonts w:eastAsiaTheme="majorEastAsia"/>
              </w:rPr>
            </w:pPr>
            <w:r w:rsidRPr="00B21571">
              <w:rPr>
                <w:rStyle w:val="af1"/>
                <w:rFonts w:eastAsiaTheme="majorEastAsia"/>
              </w:rPr>
              <w:t>(осмотр, консультация) врача-нефролога</w:t>
            </w:r>
          </w:p>
        </w:tc>
      </w:tr>
      <w:tr w:rsidR="001B2A32" w:rsidRPr="00B21571" w14:paraId="47E786FE" w14:textId="77777777" w:rsidTr="001E3E50">
        <w:trPr>
          <w:trHeight w:hRule="exact" w:val="278"/>
          <w:jc w:val="center"/>
        </w:trPr>
        <w:tc>
          <w:tcPr>
            <w:tcW w:w="8929" w:type="dxa"/>
            <w:gridSpan w:val="4"/>
            <w:tcBorders>
              <w:top w:val="single" w:sz="4" w:space="0" w:color="auto"/>
              <w:left w:val="single" w:sz="4" w:space="0" w:color="auto"/>
              <w:right w:val="single" w:sz="4" w:space="0" w:color="auto"/>
            </w:tcBorders>
            <w:shd w:val="clear" w:color="auto" w:fill="E7E6E6" w:themeFill="background2"/>
            <w:vAlign w:val="bottom"/>
          </w:tcPr>
          <w:p w14:paraId="7DA54225" w14:textId="77777777" w:rsidR="001B2A32" w:rsidRPr="00B21571" w:rsidRDefault="001B2A32" w:rsidP="001E3E50">
            <w:pPr>
              <w:pStyle w:val="af2"/>
              <w:spacing w:line="240" w:lineRule="auto"/>
              <w:ind w:firstLine="0"/>
              <w:jc w:val="center"/>
            </w:pPr>
            <w:r w:rsidRPr="00B21571">
              <w:rPr>
                <w:rStyle w:val="af1"/>
                <w:rFonts w:eastAsiaTheme="majorEastAsia"/>
                <w:b/>
                <w:bCs/>
              </w:rPr>
              <w:t>Реноваскулярные заболевания</w:t>
            </w:r>
          </w:p>
        </w:tc>
      </w:tr>
      <w:tr w:rsidR="001B2A32" w:rsidRPr="00B21571" w14:paraId="197924CE" w14:textId="77777777" w:rsidTr="001E3E50">
        <w:trPr>
          <w:trHeight w:hRule="exact" w:val="1949"/>
          <w:jc w:val="center"/>
        </w:trPr>
        <w:tc>
          <w:tcPr>
            <w:tcW w:w="1824" w:type="dxa"/>
            <w:tcBorders>
              <w:top w:val="single" w:sz="4" w:space="0" w:color="auto"/>
              <w:left w:val="single" w:sz="4" w:space="0" w:color="auto"/>
            </w:tcBorders>
            <w:shd w:val="clear" w:color="auto" w:fill="E7E6E6" w:themeFill="background2"/>
          </w:tcPr>
          <w:p w14:paraId="18329A5D" w14:textId="77777777" w:rsidR="001B2A32" w:rsidRPr="00B21571" w:rsidRDefault="001B2A32" w:rsidP="00D45012">
            <w:pPr>
              <w:pStyle w:val="af2"/>
              <w:spacing w:line="240" w:lineRule="auto"/>
              <w:ind w:firstLine="0"/>
            </w:pPr>
            <w:r w:rsidRPr="00B21571">
              <w:rPr>
                <w:rStyle w:val="af1"/>
                <w:rFonts w:eastAsiaTheme="majorEastAsia"/>
              </w:rPr>
              <w:t>Атеросклероз почечных артерий</w:t>
            </w:r>
          </w:p>
        </w:tc>
        <w:tc>
          <w:tcPr>
            <w:tcW w:w="1714" w:type="dxa"/>
            <w:vMerge w:val="restart"/>
            <w:tcBorders>
              <w:top w:val="single" w:sz="4" w:space="0" w:color="auto"/>
              <w:left w:val="single" w:sz="4" w:space="0" w:color="auto"/>
            </w:tcBorders>
          </w:tcPr>
          <w:p w14:paraId="68589E53" w14:textId="77777777" w:rsidR="001B2A32" w:rsidRPr="00B21571" w:rsidRDefault="001B2A32" w:rsidP="00D45012">
            <w:pPr>
              <w:pStyle w:val="af2"/>
              <w:spacing w:line="240" w:lineRule="auto"/>
              <w:ind w:firstLine="0"/>
            </w:pPr>
            <w:r w:rsidRPr="00B21571">
              <w:rPr>
                <w:rStyle w:val="af1"/>
                <w:rFonts w:eastAsiaTheme="majorEastAsia"/>
              </w:rPr>
              <w:t>1-10%</w:t>
            </w:r>
          </w:p>
        </w:tc>
        <w:tc>
          <w:tcPr>
            <w:tcW w:w="3154" w:type="dxa"/>
            <w:tcBorders>
              <w:top w:val="single" w:sz="4" w:space="0" w:color="auto"/>
              <w:left w:val="single" w:sz="4" w:space="0" w:color="auto"/>
            </w:tcBorders>
            <w:vAlign w:val="bottom"/>
          </w:tcPr>
          <w:p w14:paraId="2ABECD5D" w14:textId="77777777" w:rsidR="001B2A32" w:rsidRPr="00B21571" w:rsidRDefault="001B2A32" w:rsidP="00D45012">
            <w:pPr>
              <w:pStyle w:val="af2"/>
              <w:spacing w:line="240" w:lineRule="auto"/>
              <w:ind w:firstLine="0"/>
              <w:jc w:val="both"/>
            </w:pPr>
            <w:r w:rsidRPr="00B21571">
              <w:rPr>
                <w:rStyle w:val="af1"/>
                <w:rFonts w:eastAsiaTheme="majorEastAsia"/>
              </w:rPr>
              <w:t>Пожилые; диффузный атеросклероз (особенно периферических артерий); диабет; курение; рецидивирующий отек легких; шум в проекции</w:t>
            </w:r>
          </w:p>
          <w:p w14:paraId="74D9423F" w14:textId="77777777" w:rsidR="001B2A32" w:rsidRPr="00B21571" w:rsidRDefault="001B2A32" w:rsidP="00D45012">
            <w:pPr>
              <w:pStyle w:val="af2"/>
              <w:spacing w:line="240" w:lineRule="auto"/>
              <w:ind w:firstLine="0"/>
            </w:pPr>
            <w:r w:rsidRPr="00B21571">
              <w:rPr>
                <w:rStyle w:val="af1"/>
                <w:rFonts w:eastAsiaTheme="majorEastAsia"/>
              </w:rPr>
              <w:t>почечных артерий.</w:t>
            </w:r>
          </w:p>
        </w:tc>
        <w:tc>
          <w:tcPr>
            <w:tcW w:w="2237" w:type="dxa"/>
            <w:vMerge w:val="restart"/>
            <w:tcBorders>
              <w:top w:val="single" w:sz="4" w:space="0" w:color="auto"/>
              <w:left w:val="single" w:sz="4" w:space="0" w:color="auto"/>
              <w:right w:val="single" w:sz="4" w:space="0" w:color="auto"/>
            </w:tcBorders>
          </w:tcPr>
          <w:p w14:paraId="4DCF6671" w14:textId="77777777" w:rsidR="001B2A32" w:rsidRPr="00B21571" w:rsidRDefault="001B2A32" w:rsidP="00D45012">
            <w:pPr>
              <w:pStyle w:val="af2"/>
              <w:tabs>
                <w:tab w:val="right" w:pos="2006"/>
              </w:tabs>
              <w:spacing w:line="240" w:lineRule="auto"/>
              <w:ind w:firstLine="0"/>
            </w:pPr>
            <w:r w:rsidRPr="00B21571">
              <w:rPr>
                <w:rStyle w:val="af1"/>
                <w:rFonts w:eastAsiaTheme="majorEastAsia"/>
              </w:rPr>
              <w:t>Дуплексное сканирование почечных артерий или</w:t>
            </w:r>
            <w:r w:rsidRPr="00B21571">
              <w:rPr>
                <w:rStyle w:val="af1"/>
                <w:rFonts w:eastAsiaTheme="majorEastAsia"/>
              </w:rPr>
              <w:tab/>
              <w:t>ангиография</w:t>
            </w:r>
          </w:p>
          <w:p w14:paraId="2899EB1F" w14:textId="77777777" w:rsidR="001B2A32" w:rsidRPr="00B21571" w:rsidRDefault="001B2A32" w:rsidP="00D45012">
            <w:pPr>
              <w:pStyle w:val="af2"/>
              <w:tabs>
                <w:tab w:val="right" w:pos="1992"/>
              </w:tabs>
              <w:spacing w:line="240" w:lineRule="auto"/>
              <w:ind w:firstLine="0"/>
            </w:pPr>
            <w:r w:rsidRPr="00B21571">
              <w:rPr>
                <w:rStyle w:val="af1"/>
                <w:rFonts w:eastAsiaTheme="majorEastAsia"/>
              </w:rPr>
              <w:t>сосудов</w:t>
            </w:r>
            <w:r w:rsidRPr="00B21571">
              <w:rPr>
                <w:rStyle w:val="af1"/>
                <w:rFonts w:eastAsiaTheme="majorEastAsia"/>
              </w:rPr>
              <w:tab/>
              <w:t>почек,</w:t>
            </w:r>
          </w:p>
          <w:p w14:paraId="33DDD795" w14:textId="77777777" w:rsidR="001B2A32" w:rsidRPr="00B21571" w:rsidRDefault="001B2A32" w:rsidP="00D45012">
            <w:pPr>
              <w:pStyle w:val="af2"/>
              <w:tabs>
                <w:tab w:val="right" w:pos="1992"/>
              </w:tabs>
              <w:spacing w:line="240" w:lineRule="auto"/>
              <w:ind w:firstLine="0"/>
            </w:pPr>
            <w:r w:rsidRPr="00B21571">
              <w:rPr>
                <w:rStyle w:val="af1"/>
                <w:rFonts w:eastAsiaTheme="majorEastAsia"/>
              </w:rPr>
              <w:t>прием</w:t>
            </w:r>
            <w:r w:rsidRPr="00B21571">
              <w:rPr>
                <w:rStyle w:val="af1"/>
                <w:rFonts w:eastAsiaTheme="majorEastAsia"/>
              </w:rPr>
              <w:tab/>
              <w:t>(осмотр,</w:t>
            </w:r>
          </w:p>
          <w:p w14:paraId="60A4485E" w14:textId="77777777" w:rsidR="001B2A32" w:rsidRPr="00B21571" w:rsidRDefault="001B2A32" w:rsidP="00D45012">
            <w:pPr>
              <w:pStyle w:val="af2"/>
              <w:spacing w:line="240" w:lineRule="auto"/>
              <w:ind w:firstLine="0"/>
            </w:pPr>
            <w:r w:rsidRPr="00B21571">
              <w:rPr>
                <w:rStyle w:val="af1"/>
                <w:rFonts w:eastAsiaTheme="majorEastAsia"/>
              </w:rPr>
              <w:t>консультация) врача-нефролога</w:t>
            </w:r>
          </w:p>
        </w:tc>
      </w:tr>
      <w:tr w:rsidR="001B2A32" w:rsidRPr="00B21571" w14:paraId="4759A73B" w14:textId="77777777" w:rsidTr="001E3E50">
        <w:trPr>
          <w:trHeight w:hRule="exact" w:val="1114"/>
          <w:jc w:val="center"/>
        </w:trPr>
        <w:tc>
          <w:tcPr>
            <w:tcW w:w="1824" w:type="dxa"/>
            <w:tcBorders>
              <w:top w:val="single" w:sz="4" w:space="0" w:color="auto"/>
              <w:left w:val="single" w:sz="4" w:space="0" w:color="auto"/>
            </w:tcBorders>
            <w:shd w:val="clear" w:color="auto" w:fill="E7E6E6" w:themeFill="background2"/>
            <w:vAlign w:val="bottom"/>
          </w:tcPr>
          <w:p w14:paraId="5785A077" w14:textId="77777777" w:rsidR="001B2A32" w:rsidRPr="00B21571" w:rsidRDefault="001B2A32" w:rsidP="00D45012">
            <w:pPr>
              <w:pStyle w:val="af2"/>
              <w:spacing w:line="240" w:lineRule="auto"/>
              <w:ind w:firstLine="0"/>
            </w:pPr>
            <w:r w:rsidRPr="00B21571">
              <w:rPr>
                <w:rStyle w:val="af1"/>
                <w:rFonts w:eastAsiaTheme="majorEastAsia"/>
              </w:rPr>
              <w:t>Фибромускуля рная дисплазия почечных артерий</w:t>
            </w:r>
          </w:p>
        </w:tc>
        <w:tc>
          <w:tcPr>
            <w:tcW w:w="1714" w:type="dxa"/>
            <w:vMerge/>
            <w:tcBorders>
              <w:left w:val="single" w:sz="4" w:space="0" w:color="auto"/>
            </w:tcBorders>
          </w:tcPr>
          <w:p w14:paraId="3C69E6D3" w14:textId="77777777" w:rsidR="001B2A32" w:rsidRPr="00B21571" w:rsidRDefault="001B2A32" w:rsidP="00D45012">
            <w:pPr>
              <w:rPr>
                <w:rFonts w:cs="Times New Roman"/>
              </w:rPr>
            </w:pPr>
          </w:p>
        </w:tc>
        <w:tc>
          <w:tcPr>
            <w:tcW w:w="3154" w:type="dxa"/>
            <w:tcBorders>
              <w:top w:val="single" w:sz="4" w:space="0" w:color="auto"/>
              <w:left w:val="single" w:sz="4" w:space="0" w:color="auto"/>
            </w:tcBorders>
          </w:tcPr>
          <w:p w14:paraId="45C8EE37" w14:textId="77777777" w:rsidR="001B2A32" w:rsidRPr="00B21571" w:rsidRDefault="001B2A32" w:rsidP="00D45012">
            <w:pPr>
              <w:pStyle w:val="af2"/>
              <w:spacing w:line="240" w:lineRule="auto"/>
              <w:ind w:firstLine="0"/>
            </w:pPr>
            <w:r w:rsidRPr="00B21571">
              <w:rPr>
                <w:rStyle w:val="af1"/>
                <w:rFonts w:eastAsiaTheme="majorEastAsia"/>
              </w:rPr>
              <w:t>Молодые; чаще у женщин; шум в проекции почечных артерия</w:t>
            </w:r>
          </w:p>
        </w:tc>
        <w:tc>
          <w:tcPr>
            <w:tcW w:w="2237" w:type="dxa"/>
            <w:vMerge/>
            <w:tcBorders>
              <w:left w:val="single" w:sz="4" w:space="0" w:color="auto"/>
              <w:right w:val="single" w:sz="4" w:space="0" w:color="auto"/>
            </w:tcBorders>
          </w:tcPr>
          <w:p w14:paraId="48678B59" w14:textId="77777777" w:rsidR="001B2A32" w:rsidRPr="00B21571" w:rsidRDefault="001B2A32" w:rsidP="00D45012">
            <w:pPr>
              <w:rPr>
                <w:rFonts w:cs="Times New Roman"/>
              </w:rPr>
            </w:pPr>
          </w:p>
        </w:tc>
      </w:tr>
      <w:tr w:rsidR="001B2A32" w:rsidRPr="00B21571" w14:paraId="763EBA02" w14:textId="77777777" w:rsidTr="001E3E50">
        <w:trPr>
          <w:trHeight w:hRule="exact" w:val="288"/>
          <w:jc w:val="center"/>
        </w:trPr>
        <w:tc>
          <w:tcPr>
            <w:tcW w:w="8929" w:type="dxa"/>
            <w:gridSpan w:val="4"/>
            <w:tcBorders>
              <w:top w:val="single" w:sz="4" w:space="0" w:color="auto"/>
              <w:left w:val="single" w:sz="4" w:space="0" w:color="auto"/>
              <w:right w:val="single" w:sz="4" w:space="0" w:color="auto"/>
            </w:tcBorders>
            <w:shd w:val="clear" w:color="auto" w:fill="E7E6E6" w:themeFill="background2"/>
            <w:vAlign w:val="bottom"/>
          </w:tcPr>
          <w:p w14:paraId="55714A5D" w14:textId="77777777" w:rsidR="001B2A32" w:rsidRPr="00B21571" w:rsidRDefault="001B2A32" w:rsidP="001E3E50">
            <w:pPr>
              <w:pStyle w:val="af2"/>
              <w:spacing w:line="240" w:lineRule="auto"/>
              <w:ind w:firstLine="0"/>
              <w:jc w:val="center"/>
            </w:pPr>
            <w:r w:rsidRPr="00B21571">
              <w:rPr>
                <w:rStyle w:val="af1"/>
                <w:rFonts w:eastAsiaTheme="majorEastAsia"/>
                <w:b/>
                <w:bCs/>
              </w:rPr>
              <w:t>Эндокринные причины</w:t>
            </w:r>
          </w:p>
        </w:tc>
      </w:tr>
      <w:tr w:rsidR="001B2A32" w:rsidRPr="00B21571" w14:paraId="0C2F469A" w14:textId="77777777" w:rsidTr="001E3E50">
        <w:trPr>
          <w:trHeight w:hRule="exact" w:val="4699"/>
          <w:jc w:val="center"/>
        </w:trPr>
        <w:tc>
          <w:tcPr>
            <w:tcW w:w="1824" w:type="dxa"/>
            <w:tcBorders>
              <w:top w:val="single" w:sz="4" w:space="0" w:color="auto"/>
              <w:left w:val="single" w:sz="4" w:space="0" w:color="auto"/>
            </w:tcBorders>
            <w:shd w:val="clear" w:color="auto" w:fill="E7E6E6" w:themeFill="background2"/>
          </w:tcPr>
          <w:p w14:paraId="5F72D1F7" w14:textId="77777777" w:rsidR="001B2A32" w:rsidRPr="00B21571" w:rsidRDefault="001B2A32" w:rsidP="00D45012">
            <w:pPr>
              <w:pStyle w:val="af2"/>
              <w:spacing w:line="240" w:lineRule="auto"/>
              <w:ind w:firstLine="0"/>
            </w:pPr>
            <w:r w:rsidRPr="00B21571">
              <w:rPr>
                <w:rStyle w:val="af1"/>
                <w:rFonts w:eastAsiaTheme="majorEastAsia"/>
              </w:rPr>
              <w:t>Первичный альдостеронизм</w:t>
            </w:r>
          </w:p>
        </w:tc>
        <w:tc>
          <w:tcPr>
            <w:tcW w:w="1714" w:type="dxa"/>
            <w:tcBorders>
              <w:top w:val="single" w:sz="4" w:space="0" w:color="auto"/>
              <w:left w:val="single" w:sz="4" w:space="0" w:color="auto"/>
            </w:tcBorders>
          </w:tcPr>
          <w:p w14:paraId="52EDD8A8" w14:textId="77777777" w:rsidR="001B2A32" w:rsidRPr="00B21571" w:rsidRDefault="001B2A32" w:rsidP="00D45012">
            <w:pPr>
              <w:pStyle w:val="af2"/>
              <w:spacing w:line="240" w:lineRule="auto"/>
              <w:ind w:firstLine="0"/>
            </w:pPr>
            <w:r w:rsidRPr="00B21571">
              <w:rPr>
                <w:rStyle w:val="af1"/>
                <w:rFonts w:eastAsiaTheme="majorEastAsia"/>
              </w:rPr>
              <w:t>5-15%</w:t>
            </w:r>
          </w:p>
        </w:tc>
        <w:tc>
          <w:tcPr>
            <w:tcW w:w="3154" w:type="dxa"/>
            <w:tcBorders>
              <w:top w:val="single" w:sz="4" w:space="0" w:color="auto"/>
              <w:left w:val="single" w:sz="4" w:space="0" w:color="auto"/>
            </w:tcBorders>
          </w:tcPr>
          <w:p w14:paraId="099D7C67" w14:textId="77777777" w:rsidR="001B2A32" w:rsidRPr="00B21571" w:rsidRDefault="001B2A32" w:rsidP="00D45012">
            <w:pPr>
              <w:pStyle w:val="af2"/>
              <w:tabs>
                <w:tab w:val="left" w:pos="2534"/>
              </w:tabs>
              <w:spacing w:line="240" w:lineRule="auto"/>
              <w:ind w:firstLine="0"/>
            </w:pPr>
            <w:r w:rsidRPr="00B21571">
              <w:rPr>
                <w:rStyle w:val="af1"/>
                <w:rFonts w:eastAsiaTheme="majorEastAsia"/>
              </w:rPr>
              <w:t>Спонтанная</w:t>
            </w:r>
            <w:r w:rsidRPr="00B21571">
              <w:rPr>
                <w:rStyle w:val="af1"/>
                <w:rFonts w:eastAsiaTheme="majorEastAsia"/>
              </w:rPr>
              <w:tab/>
              <w:t>или</w:t>
            </w:r>
          </w:p>
          <w:p w14:paraId="79BA26F3" w14:textId="77777777" w:rsidR="001B2A32" w:rsidRPr="00B21571" w:rsidRDefault="001B2A32" w:rsidP="00D45012">
            <w:pPr>
              <w:pStyle w:val="af2"/>
              <w:tabs>
                <w:tab w:val="left" w:pos="1829"/>
              </w:tabs>
              <w:spacing w:line="240" w:lineRule="auto"/>
              <w:ind w:firstLine="0"/>
            </w:pPr>
            <w:r w:rsidRPr="00B21571">
              <w:rPr>
                <w:rStyle w:val="af1"/>
                <w:rFonts w:eastAsiaTheme="majorEastAsia"/>
              </w:rPr>
              <w:t>индуцированная диуретиками гипокалиемия, гипертензия в сочетании с надпочечниковой инсиденталомой, или синдромом сонного апноэ или семейным</w:t>
            </w:r>
            <w:r w:rsidRPr="00B21571">
              <w:rPr>
                <w:rStyle w:val="af1"/>
                <w:rFonts w:eastAsiaTheme="majorEastAsia"/>
              </w:rPr>
              <w:tab/>
              <w:t>анамнезом</w:t>
            </w:r>
          </w:p>
          <w:p w14:paraId="75752692" w14:textId="77777777" w:rsidR="001B2A32" w:rsidRPr="00B21571" w:rsidRDefault="001B2A32" w:rsidP="00D45012">
            <w:pPr>
              <w:pStyle w:val="af2"/>
              <w:tabs>
                <w:tab w:val="left" w:pos="1670"/>
                <w:tab w:val="left" w:pos="2174"/>
              </w:tabs>
              <w:spacing w:line="240" w:lineRule="auto"/>
              <w:ind w:firstLine="0"/>
            </w:pPr>
            <w:r w:rsidRPr="00B21571">
              <w:rPr>
                <w:rStyle w:val="af1"/>
                <w:rFonts w:eastAsiaTheme="majorEastAsia"/>
              </w:rPr>
              <w:t>гипертензии</w:t>
            </w:r>
            <w:r w:rsidRPr="00B21571">
              <w:rPr>
                <w:rStyle w:val="af1"/>
                <w:rFonts w:eastAsiaTheme="majorEastAsia"/>
              </w:rPr>
              <w:tab/>
              <w:t>в</w:t>
            </w:r>
            <w:r w:rsidRPr="00B21571">
              <w:rPr>
                <w:rStyle w:val="af1"/>
                <w:rFonts w:eastAsiaTheme="majorEastAsia"/>
              </w:rPr>
              <w:tab/>
              <w:t>раннем</w:t>
            </w:r>
          </w:p>
          <w:p w14:paraId="2A559744" w14:textId="77777777" w:rsidR="001B2A32" w:rsidRPr="00B21571" w:rsidRDefault="001B2A32" w:rsidP="00D45012">
            <w:pPr>
              <w:pStyle w:val="af2"/>
              <w:tabs>
                <w:tab w:val="left" w:pos="1210"/>
                <w:tab w:val="left" w:pos="1862"/>
                <w:tab w:val="left" w:pos="2438"/>
              </w:tabs>
              <w:spacing w:line="240" w:lineRule="auto"/>
              <w:ind w:firstLine="0"/>
            </w:pPr>
            <w:r w:rsidRPr="00B21571">
              <w:rPr>
                <w:rStyle w:val="af1"/>
                <w:rFonts w:eastAsiaTheme="majorEastAsia"/>
              </w:rPr>
              <w:t>возрасте</w:t>
            </w:r>
            <w:r w:rsidRPr="00B21571">
              <w:rPr>
                <w:rStyle w:val="af1"/>
                <w:rFonts w:eastAsiaTheme="majorEastAsia"/>
              </w:rPr>
              <w:tab/>
              <w:t>(до</w:t>
            </w:r>
            <w:r w:rsidRPr="00B21571">
              <w:rPr>
                <w:rStyle w:val="af1"/>
                <w:rFonts w:eastAsiaTheme="majorEastAsia"/>
              </w:rPr>
              <w:tab/>
              <w:t>40</w:t>
            </w:r>
            <w:r w:rsidRPr="00B21571">
              <w:rPr>
                <w:rStyle w:val="af1"/>
                <w:rFonts w:eastAsiaTheme="majorEastAsia"/>
              </w:rPr>
              <w:tab/>
              <w:t>лет),</w:t>
            </w:r>
          </w:p>
          <w:p w14:paraId="3098D8A8" w14:textId="77777777" w:rsidR="001B2A32" w:rsidRPr="00B21571" w:rsidRDefault="001B2A32" w:rsidP="00D45012">
            <w:pPr>
              <w:pStyle w:val="af2"/>
              <w:tabs>
                <w:tab w:val="left" w:pos="1824"/>
              </w:tabs>
              <w:spacing w:line="240" w:lineRule="auto"/>
              <w:ind w:firstLine="0"/>
            </w:pPr>
            <w:r w:rsidRPr="00B21571">
              <w:rPr>
                <w:rStyle w:val="af1"/>
                <w:rFonts w:eastAsiaTheme="majorEastAsia"/>
              </w:rPr>
              <w:t>семейным</w:t>
            </w:r>
            <w:r w:rsidRPr="00B21571">
              <w:rPr>
                <w:rStyle w:val="af1"/>
                <w:rFonts w:eastAsiaTheme="majorEastAsia"/>
              </w:rPr>
              <w:tab/>
              <w:t>анамнезом</w:t>
            </w:r>
          </w:p>
          <w:p w14:paraId="72BC6D69" w14:textId="77777777" w:rsidR="001B2A32" w:rsidRPr="00B21571" w:rsidRDefault="001B2A32" w:rsidP="00D45012">
            <w:pPr>
              <w:pStyle w:val="af2"/>
              <w:spacing w:line="240" w:lineRule="auto"/>
              <w:ind w:firstLine="0"/>
            </w:pPr>
            <w:r w:rsidRPr="00B21571">
              <w:rPr>
                <w:rStyle w:val="af1"/>
                <w:rFonts w:eastAsiaTheme="majorEastAsia"/>
              </w:rPr>
              <w:t>первичного гиперальдостеронизма (родственники 1 -й линии родства)</w:t>
            </w:r>
          </w:p>
        </w:tc>
        <w:tc>
          <w:tcPr>
            <w:tcW w:w="2237" w:type="dxa"/>
            <w:tcBorders>
              <w:top w:val="single" w:sz="4" w:space="0" w:color="auto"/>
              <w:left w:val="single" w:sz="4" w:space="0" w:color="auto"/>
              <w:right w:val="single" w:sz="4" w:space="0" w:color="auto"/>
            </w:tcBorders>
          </w:tcPr>
          <w:p w14:paraId="41BE40D1" w14:textId="77777777" w:rsidR="001B2A32" w:rsidRPr="00B21571" w:rsidRDefault="001B2A32" w:rsidP="00D45012">
            <w:pPr>
              <w:pStyle w:val="af2"/>
              <w:tabs>
                <w:tab w:val="left" w:pos="1896"/>
              </w:tabs>
              <w:spacing w:line="240" w:lineRule="auto"/>
              <w:ind w:firstLine="0"/>
            </w:pPr>
            <w:r w:rsidRPr="00B21571">
              <w:rPr>
                <w:rStyle w:val="af1"/>
                <w:rFonts w:eastAsiaTheme="majorEastAsia"/>
              </w:rPr>
              <w:t>Исследование уровня ренина и альдостерона</w:t>
            </w:r>
            <w:r w:rsidRPr="00B21571">
              <w:rPr>
                <w:rStyle w:val="af1"/>
                <w:rFonts w:eastAsiaTheme="majorEastAsia"/>
              </w:rPr>
              <w:tab/>
              <w:t>в</w:t>
            </w:r>
          </w:p>
          <w:p w14:paraId="3AC96C84" w14:textId="77777777" w:rsidR="001B2A32" w:rsidRPr="00B21571" w:rsidRDefault="001B2A32" w:rsidP="00D45012">
            <w:pPr>
              <w:pStyle w:val="af2"/>
              <w:tabs>
                <w:tab w:val="left" w:pos="1776"/>
              </w:tabs>
              <w:spacing w:line="240" w:lineRule="auto"/>
              <w:ind w:firstLine="0"/>
            </w:pPr>
            <w:r w:rsidRPr="00B21571">
              <w:rPr>
                <w:rStyle w:val="af1"/>
                <w:rFonts w:eastAsiaTheme="majorEastAsia"/>
              </w:rPr>
              <w:t>крови (исследование проводят</w:t>
            </w:r>
            <w:r w:rsidRPr="00B21571">
              <w:rPr>
                <w:rStyle w:val="af1"/>
                <w:rFonts w:eastAsiaTheme="majorEastAsia"/>
              </w:rPr>
              <w:tab/>
              <w:t>на</w:t>
            </w:r>
          </w:p>
          <w:p w14:paraId="5C54CE95" w14:textId="77777777" w:rsidR="001B2A32" w:rsidRPr="00B21571" w:rsidRDefault="001B2A32" w:rsidP="00D45012">
            <w:pPr>
              <w:pStyle w:val="af2"/>
              <w:tabs>
                <w:tab w:val="left" w:pos="874"/>
                <w:tab w:val="left" w:pos="1315"/>
              </w:tabs>
              <w:spacing w:line="240" w:lineRule="auto"/>
              <w:ind w:firstLine="0"/>
            </w:pPr>
            <w:r w:rsidRPr="00B21571">
              <w:rPr>
                <w:rStyle w:val="af1"/>
                <w:rFonts w:eastAsiaTheme="majorEastAsia"/>
              </w:rPr>
              <w:t>нормокалиемии и через</w:t>
            </w:r>
            <w:r w:rsidRPr="00B21571">
              <w:rPr>
                <w:rStyle w:val="af1"/>
                <w:rFonts w:eastAsiaTheme="majorEastAsia"/>
              </w:rPr>
              <w:tab/>
              <w:t>6</w:t>
            </w:r>
            <w:r w:rsidRPr="00B21571">
              <w:rPr>
                <w:rStyle w:val="af1"/>
                <w:rFonts w:eastAsiaTheme="majorEastAsia"/>
              </w:rPr>
              <w:tab/>
              <w:t>недель</w:t>
            </w:r>
          </w:p>
          <w:p w14:paraId="3C8600AC" w14:textId="77777777" w:rsidR="001B2A32" w:rsidRPr="00B21571" w:rsidRDefault="001B2A32" w:rsidP="00D45012">
            <w:pPr>
              <w:pStyle w:val="af2"/>
              <w:tabs>
                <w:tab w:val="left" w:pos="1238"/>
              </w:tabs>
              <w:spacing w:line="240" w:lineRule="auto"/>
              <w:ind w:firstLine="0"/>
            </w:pPr>
            <w:r w:rsidRPr="00B21571">
              <w:rPr>
                <w:rStyle w:val="af1"/>
                <w:rFonts w:eastAsiaTheme="majorEastAsia"/>
              </w:rPr>
              <w:t>после</w:t>
            </w:r>
            <w:r w:rsidRPr="00B21571">
              <w:rPr>
                <w:rStyle w:val="af1"/>
                <w:rFonts w:eastAsiaTheme="majorEastAsia"/>
              </w:rPr>
              <w:tab/>
              <w:t>отмены</w:t>
            </w:r>
          </w:p>
          <w:p w14:paraId="7BD49874" w14:textId="77777777" w:rsidR="001B2A32" w:rsidRPr="00B21571" w:rsidRDefault="001B2A32" w:rsidP="00D45012">
            <w:pPr>
              <w:pStyle w:val="af2"/>
              <w:tabs>
                <w:tab w:val="left" w:pos="1910"/>
              </w:tabs>
              <w:spacing w:line="240" w:lineRule="auto"/>
              <w:ind w:firstLine="0"/>
            </w:pPr>
            <w:r w:rsidRPr="00B21571">
              <w:rPr>
                <w:rStyle w:val="af1"/>
                <w:rFonts w:eastAsiaTheme="majorEastAsia"/>
              </w:rPr>
              <w:t>верошпирона); трактуют результаты</w:t>
            </w:r>
            <w:r w:rsidRPr="00B21571">
              <w:rPr>
                <w:rStyle w:val="af1"/>
                <w:rFonts w:eastAsiaTheme="majorEastAsia"/>
              </w:rPr>
              <w:tab/>
              <w:t>с</w:t>
            </w:r>
          </w:p>
          <w:p w14:paraId="25E98F68" w14:textId="77777777" w:rsidR="001B2A32" w:rsidRPr="00B21571" w:rsidRDefault="001B2A32" w:rsidP="00D45012">
            <w:pPr>
              <w:pStyle w:val="af2"/>
              <w:spacing w:line="240" w:lineRule="auto"/>
              <w:ind w:firstLine="0"/>
            </w:pPr>
            <w:r w:rsidRPr="00B21571">
              <w:rPr>
                <w:rStyle w:val="af1"/>
                <w:rFonts w:eastAsiaTheme="majorEastAsia"/>
              </w:rPr>
              <w:t>учетом антигипертензивой терапии, которую получает пациент</w:t>
            </w:r>
          </w:p>
        </w:tc>
      </w:tr>
      <w:tr w:rsidR="001B2A32" w:rsidRPr="00B21571" w14:paraId="596BF3CA" w14:textId="77777777" w:rsidTr="00B6714B">
        <w:trPr>
          <w:trHeight w:hRule="exact" w:val="2302"/>
          <w:jc w:val="center"/>
        </w:trPr>
        <w:tc>
          <w:tcPr>
            <w:tcW w:w="1824" w:type="dxa"/>
            <w:tcBorders>
              <w:top w:val="single" w:sz="4" w:space="0" w:color="auto"/>
              <w:left w:val="single" w:sz="4" w:space="0" w:color="auto"/>
              <w:bottom w:val="single" w:sz="4" w:space="0" w:color="auto"/>
            </w:tcBorders>
            <w:shd w:val="clear" w:color="auto" w:fill="E7E6E6" w:themeFill="background2"/>
          </w:tcPr>
          <w:p w14:paraId="0CB42FCE" w14:textId="77777777" w:rsidR="001B2A32" w:rsidRPr="00B21571" w:rsidRDefault="001B2A32" w:rsidP="00D45012">
            <w:pPr>
              <w:pStyle w:val="af2"/>
              <w:spacing w:line="240" w:lineRule="auto"/>
              <w:ind w:firstLine="0"/>
            </w:pPr>
            <w:r w:rsidRPr="00B21571">
              <w:rPr>
                <w:rStyle w:val="af1"/>
                <w:rFonts w:eastAsiaTheme="majorEastAsia"/>
              </w:rPr>
              <w:t>Феохромоцитома</w:t>
            </w:r>
          </w:p>
        </w:tc>
        <w:tc>
          <w:tcPr>
            <w:tcW w:w="1714" w:type="dxa"/>
            <w:tcBorders>
              <w:top w:val="single" w:sz="4" w:space="0" w:color="auto"/>
              <w:left w:val="single" w:sz="4" w:space="0" w:color="auto"/>
              <w:bottom w:val="single" w:sz="4" w:space="0" w:color="auto"/>
            </w:tcBorders>
          </w:tcPr>
          <w:p w14:paraId="779AAB9A" w14:textId="77777777" w:rsidR="001B2A32" w:rsidRPr="00B21571" w:rsidRDefault="001B2A32" w:rsidP="00D45012">
            <w:pPr>
              <w:pStyle w:val="af2"/>
              <w:spacing w:line="240" w:lineRule="auto"/>
              <w:ind w:firstLine="0"/>
            </w:pPr>
            <w:r w:rsidRPr="00B21571">
              <w:rPr>
                <w:rStyle w:val="af1"/>
                <w:rFonts w:eastAsiaTheme="majorEastAsia"/>
              </w:rPr>
              <w:t>&lt;1%</w:t>
            </w:r>
          </w:p>
        </w:tc>
        <w:tc>
          <w:tcPr>
            <w:tcW w:w="3154" w:type="dxa"/>
            <w:tcBorders>
              <w:top w:val="single" w:sz="4" w:space="0" w:color="auto"/>
              <w:left w:val="single" w:sz="4" w:space="0" w:color="auto"/>
              <w:bottom w:val="single" w:sz="4" w:space="0" w:color="auto"/>
            </w:tcBorders>
            <w:vAlign w:val="bottom"/>
          </w:tcPr>
          <w:p w14:paraId="03B634E0" w14:textId="77777777" w:rsidR="001B2A32" w:rsidRPr="00B21571" w:rsidRDefault="001B2A32" w:rsidP="00D45012">
            <w:pPr>
              <w:pStyle w:val="af2"/>
              <w:spacing w:line="240" w:lineRule="auto"/>
              <w:ind w:firstLine="0"/>
              <w:jc w:val="both"/>
            </w:pPr>
            <w:r w:rsidRPr="00B21571">
              <w:rPr>
                <w:rStyle w:val="af1"/>
                <w:rFonts w:eastAsiaTheme="majorEastAsia"/>
              </w:rPr>
              <w:t>Периодические симптомы: эпизоды повышения АД, головная боль, потливость, сердцебиения и бледность; лабильное АД; подъемы АД могут быть спровоцированы приемом препаратов (ББ, метоклопрамида**, симпатомиметиков,</w:t>
            </w:r>
          </w:p>
        </w:tc>
        <w:tc>
          <w:tcPr>
            <w:tcW w:w="2237" w:type="dxa"/>
            <w:tcBorders>
              <w:top w:val="single" w:sz="4" w:space="0" w:color="auto"/>
              <w:left w:val="single" w:sz="4" w:space="0" w:color="auto"/>
              <w:bottom w:val="single" w:sz="4" w:space="0" w:color="auto"/>
              <w:right w:val="single" w:sz="4" w:space="0" w:color="auto"/>
            </w:tcBorders>
          </w:tcPr>
          <w:p w14:paraId="001727A8" w14:textId="77777777" w:rsidR="001B2A32" w:rsidRPr="00B21571" w:rsidRDefault="001B2A32" w:rsidP="00D45012">
            <w:pPr>
              <w:pStyle w:val="af2"/>
              <w:tabs>
                <w:tab w:val="left" w:pos="1896"/>
              </w:tabs>
              <w:spacing w:line="240" w:lineRule="auto"/>
              <w:ind w:firstLine="0"/>
            </w:pPr>
            <w:r w:rsidRPr="00B21571">
              <w:rPr>
                <w:rStyle w:val="af1"/>
                <w:rFonts w:eastAsiaTheme="majorEastAsia"/>
              </w:rPr>
              <w:t>Исследование уровня метанефринов</w:t>
            </w:r>
            <w:r w:rsidRPr="00B21571">
              <w:rPr>
                <w:rStyle w:val="af1"/>
                <w:rFonts w:eastAsiaTheme="majorEastAsia"/>
              </w:rPr>
              <w:tab/>
              <w:t>в</w:t>
            </w:r>
          </w:p>
          <w:p w14:paraId="135906F0" w14:textId="77777777" w:rsidR="001B2A32" w:rsidRPr="00B21571" w:rsidRDefault="001B2A32" w:rsidP="00D45012">
            <w:pPr>
              <w:pStyle w:val="af2"/>
              <w:spacing w:line="240" w:lineRule="auto"/>
              <w:ind w:firstLine="0"/>
            </w:pPr>
            <w:r w:rsidRPr="00B21571">
              <w:rPr>
                <w:rStyle w:val="af1"/>
                <w:rFonts w:eastAsiaTheme="majorEastAsia"/>
              </w:rPr>
              <w:t>крови или в моче</w:t>
            </w:r>
          </w:p>
        </w:tc>
      </w:tr>
    </w:tbl>
    <w:p w14:paraId="1D746246" w14:textId="77777777" w:rsidR="00AB5297" w:rsidRPr="00B21571" w:rsidRDefault="00AB5297" w:rsidP="00FD2617">
      <w:pPr>
        <w:spacing w:after="0" w:line="360" w:lineRule="auto"/>
        <w:jc w:val="both"/>
        <w:rPr>
          <w:rFonts w:eastAsia="Times New Roman" w:cs="Times New Roman"/>
          <w:sz w:val="24"/>
          <w:szCs w:val="24"/>
        </w:rPr>
      </w:pPr>
    </w:p>
    <w:p w14:paraId="14EAC92F" w14:textId="77777777" w:rsidR="00AB5297" w:rsidRPr="00B21571" w:rsidRDefault="00AB5297" w:rsidP="00FD2617">
      <w:pPr>
        <w:spacing w:after="0" w:line="360" w:lineRule="auto"/>
        <w:jc w:val="both"/>
        <w:rPr>
          <w:rFonts w:eastAsia="Times New Roman" w:cs="Times New Roman"/>
          <w:sz w:val="24"/>
          <w:szCs w:val="24"/>
        </w:rPr>
      </w:pPr>
    </w:p>
    <w:p w14:paraId="0E34DAEE" w14:textId="77777777" w:rsidR="00AB5297" w:rsidRPr="00B21571" w:rsidRDefault="00AB5297" w:rsidP="00AB5297">
      <w:pPr>
        <w:spacing w:after="0" w:line="360" w:lineRule="auto"/>
        <w:jc w:val="both"/>
        <w:rPr>
          <w:rFonts w:eastAsia="Times New Roman" w:cs="Times New Roman"/>
          <w:sz w:val="24"/>
          <w:szCs w:val="24"/>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824"/>
        <w:gridCol w:w="1714"/>
        <w:gridCol w:w="3154"/>
        <w:gridCol w:w="2237"/>
      </w:tblGrid>
      <w:tr w:rsidR="001B2A32" w:rsidRPr="00B21571" w14:paraId="3748155A" w14:textId="77777777" w:rsidTr="001E3E50">
        <w:trPr>
          <w:trHeight w:hRule="exact" w:val="840"/>
          <w:jc w:val="center"/>
        </w:trPr>
        <w:tc>
          <w:tcPr>
            <w:tcW w:w="1824" w:type="dxa"/>
            <w:tcBorders>
              <w:top w:val="single" w:sz="4" w:space="0" w:color="auto"/>
              <w:left w:val="single" w:sz="4" w:space="0" w:color="auto"/>
            </w:tcBorders>
            <w:shd w:val="clear" w:color="auto" w:fill="E7E6E6" w:themeFill="background2"/>
          </w:tcPr>
          <w:p w14:paraId="1CBFA18C" w14:textId="77777777" w:rsidR="001B2A32" w:rsidRPr="00B21571" w:rsidRDefault="001B2A32" w:rsidP="00D45012">
            <w:pPr>
              <w:rPr>
                <w:rFonts w:cs="Times New Roman"/>
                <w:sz w:val="10"/>
                <w:szCs w:val="10"/>
              </w:rPr>
            </w:pPr>
          </w:p>
        </w:tc>
        <w:tc>
          <w:tcPr>
            <w:tcW w:w="1714" w:type="dxa"/>
            <w:tcBorders>
              <w:top w:val="single" w:sz="4" w:space="0" w:color="auto"/>
              <w:left w:val="single" w:sz="4" w:space="0" w:color="auto"/>
            </w:tcBorders>
          </w:tcPr>
          <w:p w14:paraId="7EA53D77" w14:textId="77777777" w:rsidR="001B2A32" w:rsidRPr="00B21571" w:rsidRDefault="001B2A32" w:rsidP="00D45012">
            <w:pPr>
              <w:rPr>
                <w:rFonts w:cs="Times New Roman"/>
                <w:sz w:val="10"/>
                <w:szCs w:val="10"/>
              </w:rPr>
            </w:pPr>
          </w:p>
        </w:tc>
        <w:tc>
          <w:tcPr>
            <w:tcW w:w="3154" w:type="dxa"/>
            <w:tcBorders>
              <w:top w:val="single" w:sz="4" w:space="0" w:color="auto"/>
              <w:left w:val="single" w:sz="4" w:space="0" w:color="auto"/>
            </w:tcBorders>
            <w:vAlign w:val="bottom"/>
          </w:tcPr>
          <w:p w14:paraId="2433F49F" w14:textId="77777777" w:rsidR="001B2A32" w:rsidRPr="00B21571" w:rsidRDefault="001B2A32" w:rsidP="00D45012">
            <w:pPr>
              <w:pStyle w:val="af2"/>
              <w:spacing w:line="240" w:lineRule="auto"/>
              <w:ind w:firstLine="0"/>
              <w:jc w:val="both"/>
            </w:pPr>
            <w:r w:rsidRPr="00B21571">
              <w:rPr>
                <w:rStyle w:val="af1"/>
                <w:rFonts w:eastAsiaTheme="majorEastAsia"/>
              </w:rPr>
              <w:t>опиоидов, неселективных ингибиторов обратного захвата моноаминов)</w:t>
            </w:r>
          </w:p>
        </w:tc>
        <w:tc>
          <w:tcPr>
            <w:tcW w:w="2237" w:type="dxa"/>
            <w:tcBorders>
              <w:top w:val="single" w:sz="4" w:space="0" w:color="auto"/>
              <w:left w:val="single" w:sz="4" w:space="0" w:color="auto"/>
              <w:right w:val="single" w:sz="4" w:space="0" w:color="auto"/>
            </w:tcBorders>
          </w:tcPr>
          <w:p w14:paraId="783C2AEF" w14:textId="77777777" w:rsidR="001B2A32" w:rsidRPr="00B21571" w:rsidRDefault="001B2A32" w:rsidP="00D45012">
            <w:pPr>
              <w:rPr>
                <w:rFonts w:cs="Times New Roman"/>
                <w:sz w:val="10"/>
                <w:szCs w:val="10"/>
              </w:rPr>
            </w:pPr>
          </w:p>
        </w:tc>
      </w:tr>
      <w:tr w:rsidR="001B2A32" w:rsidRPr="00B21571" w14:paraId="715B1752" w14:textId="77777777" w:rsidTr="00B6714B">
        <w:trPr>
          <w:trHeight w:hRule="exact" w:val="2986"/>
          <w:jc w:val="center"/>
        </w:trPr>
        <w:tc>
          <w:tcPr>
            <w:tcW w:w="1824" w:type="dxa"/>
            <w:tcBorders>
              <w:top w:val="single" w:sz="4" w:space="0" w:color="auto"/>
              <w:left w:val="single" w:sz="4" w:space="0" w:color="auto"/>
            </w:tcBorders>
            <w:shd w:val="clear" w:color="auto" w:fill="E7E6E6" w:themeFill="background2"/>
          </w:tcPr>
          <w:p w14:paraId="6367E15B" w14:textId="77777777" w:rsidR="001B2A32" w:rsidRPr="00B21571" w:rsidRDefault="001B2A32" w:rsidP="00D45012">
            <w:pPr>
              <w:pStyle w:val="af2"/>
              <w:spacing w:line="240" w:lineRule="auto"/>
              <w:ind w:firstLine="0"/>
            </w:pPr>
            <w:r w:rsidRPr="00B21571">
              <w:rPr>
                <w:rStyle w:val="af1"/>
                <w:rFonts w:eastAsiaTheme="majorEastAsia"/>
              </w:rPr>
              <w:t>Синдром</w:t>
            </w:r>
          </w:p>
          <w:p w14:paraId="233D3AB9" w14:textId="77777777" w:rsidR="001B2A32" w:rsidRPr="00B21571" w:rsidRDefault="001B2A32" w:rsidP="00D45012">
            <w:pPr>
              <w:pStyle w:val="af2"/>
              <w:spacing w:line="240" w:lineRule="auto"/>
              <w:ind w:firstLine="0"/>
            </w:pPr>
            <w:r w:rsidRPr="00B21571">
              <w:rPr>
                <w:rStyle w:val="af1"/>
                <w:rFonts w:eastAsiaTheme="majorEastAsia"/>
              </w:rPr>
              <w:t>Кушинга</w:t>
            </w:r>
          </w:p>
        </w:tc>
        <w:tc>
          <w:tcPr>
            <w:tcW w:w="1714" w:type="dxa"/>
            <w:tcBorders>
              <w:top w:val="single" w:sz="4" w:space="0" w:color="auto"/>
              <w:left w:val="single" w:sz="4" w:space="0" w:color="auto"/>
            </w:tcBorders>
          </w:tcPr>
          <w:p w14:paraId="7F029CCD" w14:textId="77777777" w:rsidR="001B2A32" w:rsidRPr="00B21571" w:rsidRDefault="001B2A32" w:rsidP="00D45012">
            <w:pPr>
              <w:pStyle w:val="af2"/>
              <w:spacing w:line="240" w:lineRule="auto"/>
              <w:ind w:firstLine="0"/>
            </w:pPr>
            <w:r w:rsidRPr="00B21571">
              <w:rPr>
                <w:rStyle w:val="af1"/>
                <w:rFonts w:eastAsiaTheme="majorEastAsia"/>
              </w:rPr>
              <w:t>&lt;1%</w:t>
            </w:r>
          </w:p>
        </w:tc>
        <w:tc>
          <w:tcPr>
            <w:tcW w:w="3154" w:type="dxa"/>
            <w:tcBorders>
              <w:top w:val="single" w:sz="4" w:space="0" w:color="auto"/>
              <w:left w:val="single" w:sz="4" w:space="0" w:color="auto"/>
            </w:tcBorders>
          </w:tcPr>
          <w:p w14:paraId="22465D42" w14:textId="77777777" w:rsidR="001B2A32" w:rsidRPr="00B21571" w:rsidRDefault="001B2A32" w:rsidP="00D45012">
            <w:pPr>
              <w:pStyle w:val="af2"/>
              <w:tabs>
                <w:tab w:val="right" w:pos="2909"/>
              </w:tabs>
              <w:spacing w:line="240" w:lineRule="auto"/>
              <w:ind w:firstLine="0"/>
              <w:jc w:val="both"/>
            </w:pPr>
            <w:r w:rsidRPr="00B21571">
              <w:rPr>
                <w:rStyle w:val="af1"/>
                <w:rFonts w:eastAsiaTheme="majorEastAsia"/>
              </w:rPr>
              <w:t>Лунообразное</w:t>
            </w:r>
            <w:r w:rsidRPr="00B21571">
              <w:rPr>
                <w:rStyle w:val="af1"/>
                <w:rFonts w:eastAsiaTheme="majorEastAsia"/>
              </w:rPr>
              <w:tab/>
              <w:t>лицо,</w:t>
            </w:r>
          </w:p>
          <w:p w14:paraId="00747F54" w14:textId="77777777" w:rsidR="001B2A32" w:rsidRPr="00B21571" w:rsidRDefault="001B2A32" w:rsidP="00D45012">
            <w:pPr>
              <w:pStyle w:val="af2"/>
              <w:tabs>
                <w:tab w:val="right" w:pos="2904"/>
              </w:tabs>
              <w:spacing w:line="240" w:lineRule="auto"/>
              <w:ind w:firstLine="0"/>
              <w:jc w:val="both"/>
            </w:pPr>
            <w:r w:rsidRPr="00B21571">
              <w:rPr>
                <w:rStyle w:val="af1"/>
                <w:rFonts w:eastAsiaTheme="majorEastAsia"/>
              </w:rPr>
              <w:t>центральное</w:t>
            </w:r>
            <w:r w:rsidRPr="00B21571">
              <w:rPr>
                <w:rStyle w:val="af1"/>
                <w:rFonts w:eastAsiaTheme="majorEastAsia"/>
              </w:rPr>
              <w:tab/>
              <w:t>ожирение,</w:t>
            </w:r>
          </w:p>
          <w:p w14:paraId="10455E89" w14:textId="77777777" w:rsidR="001B2A32" w:rsidRPr="00B21571" w:rsidRDefault="001B2A32" w:rsidP="00D45012">
            <w:pPr>
              <w:pStyle w:val="af2"/>
              <w:tabs>
                <w:tab w:val="left" w:pos="1258"/>
                <w:tab w:val="right" w:pos="2904"/>
              </w:tabs>
              <w:spacing w:line="240" w:lineRule="auto"/>
              <w:ind w:firstLine="0"/>
              <w:jc w:val="both"/>
            </w:pPr>
            <w:r w:rsidRPr="00B21571">
              <w:rPr>
                <w:rStyle w:val="af1"/>
                <w:rFonts w:eastAsiaTheme="majorEastAsia"/>
              </w:rPr>
              <w:t>атрофия</w:t>
            </w:r>
            <w:r w:rsidRPr="00B21571">
              <w:rPr>
                <w:rStyle w:val="af1"/>
                <w:rFonts w:eastAsiaTheme="majorEastAsia"/>
              </w:rPr>
              <w:tab/>
              <w:t>кожи,</w:t>
            </w:r>
            <w:r w:rsidRPr="00B21571">
              <w:rPr>
                <w:rStyle w:val="af1"/>
                <w:rFonts w:eastAsiaTheme="majorEastAsia"/>
              </w:rPr>
              <w:tab/>
              <w:t>стрии,</w:t>
            </w:r>
          </w:p>
          <w:p w14:paraId="504856E8" w14:textId="77777777" w:rsidR="001B2A32" w:rsidRPr="00B21571" w:rsidRDefault="001B2A32" w:rsidP="00D45012">
            <w:pPr>
              <w:pStyle w:val="af2"/>
              <w:spacing w:line="240" w:lineRule="auto"/>
              <w:ind w:firstLine="0"/>
              <w:jc w:val="both"/>
            </w:pPr>
            <w:r w:rsidRPr="00B21571">
              <w:rPr>
                <w:rStyle w:val="af1"/>
                <w:rFonts w:eastAsiaTheme="majorEastAsia"/>
              </w:rPr>
              <w:t>диабет, длительный прием системных кортикостероидов</w:t>
            </w:r>
          </w:p>
        </w:tc>
        <w:tc>
          <w:tcPr>
            <w:tcW w:w="2237" w:type="dxa"/>
            <w:tcBorders>
              <w:top w:val="single" w:sz="4" w:space="0" w:color="auto"/>
              <w:left w:val="single" w:sz="4" w:space="0" w:color="auto"/>
              <w:right w:val="single" w:sz="4" w:space="0" w:color="auto"/>
            </w:tcBorders>
            <w:vAlign w:val="bottom"/>
          </w:tcPr>
          <w:p w14:paraId="023ADCE9" w14:textId="77777777" w:rsidR="001B2A32" w:rsidRPr="00B21571" w:rsidRDefault="001B2A32" w:rsidP="00D45012">
            <w:pPr>
              <w:pStyle w:val="af2"/>
              <w:tabs>
                <w:tab w:val="left" w:pos="936"/>
                <w:tab w:val="left" w:pos="1363"/>
                <w:tab w:val="left" w:pos="1757"/>
              </w:tabs>
              <w:spacing w:line="240" w:lineRule="auto"/>
              <w:ind w:firstLine="0"/>
            </w:pPr>
            <w:r w:rsidRPr="00B21571">
              <w:rPr>
                <w:rStyle w:val="af1"/>
                <w:rFonts w:eastAsiaTheme="majorEastAsia"/>
              </w:rPr>
              <w:t>Проба</w:t>
            </w:r>
            <w:r w:rsidRPr="00B21571">
              <w:rPr>
                <w:rStyle w:val="af1"/>
                <w:rFonts w:eastAsiaTheme="majorEastAsia"/>
              </w:rPr>
              <w:tab/>
              <w:t>с</w:t>
            </w:r>
            <w:r w:rsidRPr="00B21571">
              <w:rPr>
                <w:rStyle w:val="af1"/>
                <w:rFonts w:eastAsiaTheme="majorEastAsia"/>
              </w:rPr>
              <w:tab/>
              <w:t>1</w:t>
            </w:r>
            <w:r w:rsidRPr="00B21571">
              <w:rPr>
                <w:rStyle w:val="af1"/>
                <w:rFonts w:eastAsiaTheme="majorEastAsia"/>
              </w:rPr>
              <w:tab/>
              <w:t>мг</w:t>
            </w:r>
          </w:p>
          <w:p w14:paraId="2739918A" w14:textId="77777777" w:rsidR="001B2A32" w:rsidRPr="00B21571" w:rsidRDefault="001B2A32" w:rsidP="00D45012">
            <w:pPr>
              <w:pStyle w:val="af2"/>
              <w:tabs>
                <w:tab w:val="left" w:pos="739"/>
              </w:tabs>
              <w:spacing w:line="240" w:lineRule="auto"/>
              <w:ind w:firstLine="0"/>
            </w:pPr>
            <w:r w:rsidRPr="00B21571">
              <w:rPr>
                <w:rStyle w:val="af1"/>
                <w:rFonts w:eastAsiaTheme="majorEastAsia"/>
              </w:rPr>
              <w:t>дексаметазона**, и/или исследование уровня свободного кортизола в слюне в</w:t>
            </w:r>
            <w:r w:rsidRPr="00B21571">
              <w:rPr>
                <w:rStyle w:val="af1"/>
                <w:rFonts w:eastAsiaTheme="majorEastAsia"/>
              </w:rPr>
              <w:tab/>
              <w:t>23:00-00:00,</w:t>
            </w:r>
          </w:p>
          <w:p w14:paraId="66912C21" w14:textId="77777777" w:rsidR="001B2A32" w:rsidRPr="00B21571" w:rsidRDefault="001B2A32" w:rsidP="00D45012">
            <w:pPr>
              <w:pStyle w:val="af2"/>
              <w:tabs>
                <w:tab w:val="left" w:pos="1094"/>
              </w:tabs>
              <w:spacing w:line="240" w:lineRule="auto"/>
              <w:ind w:firstLine="0"/>
            </w:pPr>
            <w:r w:rsidRPr="00B21571">
              <w:rPr>
                <w:rStyle w:val="af1"/>
                <w:rFonts w:eastAsiaTheme="majorEastAsia"/>
              </w:rPr>
              <w:t>и/или</w:t>
            </w:r>
            <w:r w:rsidRPr="00B21571">
              <w:rPr>
                <w:rStyle w:val="af1"/>
                <w:rFonts w:eastAsiaTheme="majorEastAsia"/>
              </w:rPr>
              <w:tab/>
              <w:t>суточная</w:t>
            </w:r>
          </w:p>
          <w:p w14:paraId="6A56EC64" w14:textId="77777777" w:rsidR="00B6714B" w:rsidRPr="00B21571" w:rsidRDefault="001B2A32" w:rsidP="00D45012">
            <w:pPr>
              <w:pStyle w:val="af2"/>
              <w:tabs>
                <w:tab w:val="left" w:pos="902"/>
              </w:tabs>
              <w:spacing w:line="240" w:lineRule="auto"/>
              <w:ind w:firstLine="0"/>
              <w:rPr>
                <w:rStyle w:val="af1"/>
                <w:rFonts w:eastAsiaTheme="majorEastAsia"/>
              </w:rPr>
            </w:pPr>
            <w:r w:rsidRPr="00B21571">
              <w:rPr>
                <w:rStyle w:val="af1"/>
                <w:rFonts w:eastAsiaTheme="majorEastAsia"/>
              </w:rPr>
              <w:t>экскреция свободного кортизола с мочой —</w:t>
            </w:r>
            <w:r w:rsidRPr="00B21571">
              <w:rPr>
                <w:rStyle w:val="af1"/>
                <w:rFonts w:eastAsiaTheme="majorEastAsia"/>
              </w:rPr>
              <w:tab/>
            </w:r>
          </w:p>
          <w:p w14:paraId="23B7A294" w14:textId="77777777" w:rsidR="001B2A32" w:rsidRPr="00B21571" w:rsidRDefault="001B2A32" w:rsidP="00B6714B">
            <w:pPr>
              <w:pStyle w:val="af2"/>
              <w:tabs>
                <w:tab w:val="left" w:pos="902"/>
              </w:tabs>
              <w:spacing w:line="240" w:lineRule="auto"/>
              <w:ind w:firstLine="0"/>
              <w:rPr>
                <w:rStyle w:val="af1"/>
              </w:rPr>
            </w:pPr>
            <w:r w:rsidRPr="00B21571">
              <w:rPr>
                <w:rStyle w:val="af1"/>
                <w:rFonts w:eastAsiaTheme="majorEastAsia"/>
              </w:rPr>
              <w:t>исключить</w:t>
            </w:r>
            <w:r w:rsidR="00B6714B" w:rsidRPr="00B21571">
              <w:t xml:space="preserve"> </w:t>
            </w:r>
            <w:r w:rsidRPr="00B21571">
              <w:rPr>
                <w:rStyle w:val="af1"/>
                <w:rFonts w:eastAsiaTheme="majorEastAsia"/>
              </w:rPr>
              <w:t xml:space="preserve">прием </w:t>
            </w:r>
            <w:proofErr w:type="gramStart"/>
            <w:r w:rsidRPr="00B21571">
              <w:rPr>
                <w:rStyle w:val="af1"/>
                <w:rFonts w:eastAsiaTheme="majorEastAsia"/>
              </w:rPr>
              <w:t>глюкокортикоидов !</w:t>
            </w:r>
            <w:proofErr w:type="gramEnd"/>
          </w:p>
          <w:p w14:paraId="56E4D0F8" w14:textId="77777777" w:rsidR="00B6714B" w:rsidRPr="00B21571" w:rsidRDefault="00B6714B" w:rsidP="00D45012">
            <w:pPr>
              <w:pStyle w:val="af2"/>
              <w:spacing w:line="240" w:lineRule="auto"/>
              <w:ind w:firstLine="0"/>
              <w:rPr>
                <w:rStyle w:val="af1"/>
                <w:rFonts w:eastAsiaTheme="majorEastAsia"/>
              </w:rPr>
            </w:pPr>
          </w:p>
          <w:p w14:paraId="2331A5B1" w14:textId="77777777" w:rsidR="00B6714B" w:rsidRPr="00B21571" w:rsidRDefault="00B6714B" w:rsidP="00D45012">
            <w:pPr>
              <w:pStyle w:val="af2"/>
              <w:spacing w:line="240" w:lineRule="auto"/>
              <w:ind w:firstLine="0"/>
              <w:rPr>
                <w:rStyle w:val="af1"/>
                <w:rFonts w:eastAsiaTheme="majorEastAsia"/>
              </w:rPr>
            </w:pPr>
          </w:p>
          <w:p w14:paraId="42AE4AD9" w14:textId="77777777" w:rsidR="00B6714B" w:rsidRPr="00B21571" w:rsidRDefault="00B6714B" w:rsidP="00D45012">
            <w:pPr>
              <w:pStyle w:val="af2"/>
              <w:spacing w:line="240" w:lineRule="auto"/>
              <w:ind w:firstLine="0"/>
              <w:rPr>
                <w:rStyle w:val="af1"/>
                <w:rFonts w:eastAsiaTheme="majorEastAsia"/>
              </w:rPr>
            </w:pPr>
          </w:p>
          <w:p w14:paraId="337A2E9D" w14:textId="77777777" w:rsidR="00B6714B" w:rsidRPr="00B21571" w:rsidRDefault="00B6714B" w:rsidP="00D45012">
            <w:pPr>
              <w:pStyle w:val="af2"/>
              <w:spacing w:line="240" w:lineRule="auto"/>
              <w:ind w:firstLine="0"/>
            </w:pPr>
          </w:p>
        </w:tc>
      </w:tr>
      <w:tr w:rsidR="001B2A32" w:rsidRPr="00B21571" w14:paraId="77F44AE6" w14:textId="77777777" w:rsidTr="001E3E50">
        <w:trPr>
          <w:trHeight w:hRule="exact" w:val="2765"/>
          <w:jc w:val="center"/>
        </w:trPr>
        <w:tc>
          <w:tcPr>
            <w:tcW w:w="1824" w:type="dxa"/>
            <w:tcBorders>
              <w:top w:val="single" w:sz="4" w:space="0" w:color="auto"/>
              <w:left w:val="single" w:sz="4" w:space="0" w:color="auto"/>
            </w:tcBorders>
            <w:shd w:val="clear" w:color="auto" w:fill="E7E6E6" w:themeFill="background2"/>
          </w:tcPr>
          <w:p w14:paraId="4E9AA045" w14:textId="77777777" w:rsidR="001B2A32" w:rsidRPr="00B21571" w:rsidRDefault="001B2A32" w:rsidP="00D45012">
            <w:pPr>
              <w:pStyle w:val="af2"/>
              <w:spacing w:line="240" w:lineRule="auto"/>
              <w:ind w:firstLine="0"/>
            </w:pPr>
            <w:r w:rsidRPr="00B21571">
              <w:rPr>
                <w:rStyle w:val="af1"/>
                <w:rFonts w:eastAsiaTheme="majorEastAsia"/>
              </w:rPr>
              <w:t>Заболевания щитовидной железы (гипер- или гипотиреоз)</w:t>
            </w:r>
          </w:p>
        </w:tc>
        <w:tc>
          <w:tcPr>
            <w:tcW w:w="1714" w:type="dxa"/>
            <w:tcBorders>
              <w:top w:val="single" w:sz="4" w:space="0" w:color="auto"/>
              <w:left w:val="single" w:sz="4" w:space="0" w:color="auto"/>
            </w:tcBorders>
          </w:tcPr>
          <w:p w14:paraId="1D035E18" w14:textId="77777777" w:rsidR="001B2A32" w:rsidRPr="00B21571" w:rsidRDefault="001B2A32" w:rsidP="00D45012">
            <w:pPr>
              <w:pStyle w:val="af2"/>
              <w:spacing w:line="240" w:lineRule="auto"/>
              <w:ind w:firstLine="0"/>
            </w:pPr>
            <w:r w:rsidRPr="00B21571">
              <w:rPr>
                <w:rStyle w:val="af1"/>
                <w:rFonts w:eastAsiaTheme="majorEastAsia"/>
              </w:rPr>
              <w:t>1-2%</w:t>
            </w:r>
          </w:p>
        </w:tc>
        <w:tc>
          <w:tcPr>
            <w:tcW w:w="3154" w:type="dxa"/>
            <w:tcBorders>
              <w:top w:val="single" w:sz="4" w:space="0" w:color="auto"/>
              <w:left w:val="single" w:sz="4" w:space="0" w:color="auto"/>
            </w:tcBorders>
          </w:tcPr>
          <w:p w14:paraId="253D8F32" w14:textId="77777777" w:rsidR="001B2A32" w:rsidRPr="00B21571" w:rsidRDefault="001B2A32" w:rsidP="00D45012">
            <w:pPr>
              <w:pStyle w:val="af2"/>
              <w:tabs>
                <w:tab w:val="left" w:pos="1363"/>
                <w:tab w:val="left" w:pos="1867"/>
              </w:tabs>
              <w:spacing w:line="240" w:lineRule="auto"/>
              <w:ind w:firstLine="0"/>
              <w:jc w:val="both"/>
            </w:pPr>
            <w:r w:rsidRPr="00B21571">
              <w:rPr>
                <w:rStyle w:val="af1"/>
                <w:rFonts w:eastAsiaTheme="majorEastAsia"/>
              </w:rPr>
              <w:t>Признаки</w:t>
            </w:r>
            <w:r w:rsidRPr="00B21571">
              <w:rPr>
                <w:rStyle w:val="af1"/>
                <w:rFonts w:eastAsiaTheme="majorEastAsia"/>
              </w:rPr>
              <w:tab/>
              <w:t>и</w:t>
            </w:r>
            <w:r w:rsidRPr="00B21571">
              <w:rPr>
                <w:rStyle w:val="af1"/>
                <w:rFonts w:eastAsiaTheme="majorEastAsia"/>
              </w:rPr>
              <w:tab/>
              <w:t>симптомы</w:t>
            </w:r>
          </w:p>
          <w:p w14:paraId="45AB27C9" w14:textId="77777777" w:rsidR="001B2A32" w:rsidRPr="00B21571" w:rsidRDefault="001B2A32" w:rsidP="00D45012">
            <w:pPr>
              <w:pStyle w:val="af2"/>
              <w:spacing w:line="240" w:lineRule="auto"/>
              <w:ind w:firstLine="0"/>
              <w:jc w:val="both"/>
            </w:pPr>
            <w:r w:rsidRPr="00B21571">
              <w:rPr>
                <w:rStyle w:val="af1"/>
                <w:rFonts w:eastAsiaTheme="majorEastAsia"/>
              </w:rPr>
              <w:t>гипер- или гипотиреоза</w:t>
            </w:r>
          </w:p>
        </w:tc>
        <w:tc>
          <w:tcPr>
            <w:tcW w:w="2237" w:type="dxa"/>
            <w:tcBorders>
              <w:top w:val="single" w:sz="4" w:space="0" w:color="auto"/>
              <w:left w:val="single" w:sz="4" w:space="0" w:color="auto"/>
              <w:right w:val="single" w:sz="4" w:space="0" w:color="auto"/>
            </w:tcBorders>
            <w:vAlign w:val="bottom"/>
          </w:tcPr>
          <w:p w14:paraId="522233D1" w14:textId="77777777" w:rsidR="001B2A32" w:rsidRPr="00B21571" w:rsidRDefault="001B2A32" w:rsidP="00D45012">
            <w:pPr>
              <w:pStyle w:val="af2"/>
              <w:tabs>
                <w:tab w:val="left" w:pos="1104"/>
              </w:tabs>
              <w:spacing w:line="240" w:lineRule="auto"/>
              <w:ind w:firstLine="0"/>
            </w:pPr>
            <w:r w:rsidRPr="00B21571">
              <w:rPr>
                <w:rStyle w:val="af1"/>
                <w:rFonts w:eastAsiaTheme="majorEastAsia"/>
              </w:rPr>
              <w:t>Оценка</w:t>
            </w:r>
            <w:r w:rsidRPr="00B21571">
              <w:rPr>
                <w:rStyle w:val="af1"/>
                <w:rFonts w:eastAsiaTheme="majorEastAsia"/>
              </w:rPr>
              <w:tab/>
              <w:t>функции</w:t>
            </w:r>
          </w:p>
          <w:p w14:paraId="052AC50D" w14:textId="77777777" w:rsidR="001B2A32" w:rsidRPr="00B21571" w:rsidRDefault="001B2A32" w:rsidP="00D45012">
            <w:pPr>
              <w:pStyle w:val="af2"/>
              <w:tabs>
                <w:tab w:val="left" w:pos="1334"/>
              </w:tabs>
              <w:spacing w:line="240" w:lineRule="auto"/>
              <w:ind w:firstLine="0"/>
            </w:pPr>
            <w:r w:rsidRPr="00B21571">
              <w:rPr>
                <w:rStyle w:val="af1"/>
                <w:rFonts w:eastAsiaTheme="majorEastAsia"/>
              </w:rPr>
              <w:t>щитовидной железы (исследование уровня тиреотропного гормона</w:t>
            </w:r>
            <w:r w:rsidRPr="00B21571">
              <w:rPr>
                <w:rStyle w:val="af1"/>
                <w:rFonts w:eastAsiaTheme="majorEastAsia"/>
              </w:rPr>
              <w:tab/>
              <w:t>(ТТГ),</w:t>
            </w:r>
          </w:p>
          <w:p w14:paraId="54D63B52" w14:textId="77777777" w:rsidR="001B2A32" w:rsidRPr="00B21571" w:rsidRDefault="001B2A32" w:rsidP="00D45012">
            <w:pPr>
              <w:pStyle w:val="af2"/>
              <w:tabs>
                <w:tab w:val="left" w:pos="1882"/>
              </w:tabs>
              <w:spacing w:line="240" w:lineRule="auto"/>
              <w:ind w:firstLine="0"/>
            </w:pPr>
            <w:r w:rsidRPr="00B21571">
              <w:rPr>
                <w:rStyle w:val="af1"/>
                <w:rFonts w:eastAsiaTheme="majorEastAsia"/>
              </w:rPr>
              <w:t>тироксин</w:t>
            </w:r>
            <w:r w:rsidRPr="00B21571">
              <w:rPr>
                <w:rStyle w:val="af1"/>
                <w:rFonts w:eastAsiaTheme="majorEastAsia"/>
              </w:rPr>
              <w:tab/>
              <w:t>и</w:t>
            </w:r>
          </w:p>
          <w:p w14:paraId="39AE8A16" w14:textId="77777777" w:rsidR="001B2A32" w:rsidRPr="00B21571" w:rsidRDefault="001B2A32" w:rsidP="00D45012">
            <w:pPr>
              <w:pStyle w:val="af2"/>
              <w:spacing w:line="240" w:lineRule="auto"/>
              <w:ind w:firstLine="0"/>
            </w:pPr>
            <w:r w:rsidRPr="00B21571">
              <w:rPr>
                <w:rStyle w:val="af1"/>
                <w:rFonts w:eastAsiaTheme="majorEastAsia"/>
              </w:rPr>
              <w:t>трийодтиронина в крови)</w:t>
            </w:r>
          </w:p>
        </w:tc>
      </w:tr>
      <w:tr w:rsidR="001B2A32" w:rsidRPr="00B21571" w14:paraId="2AF409F4" w14:textId="77777777" w:rsidTr="001E3E50">
        <w:trPr>
          <w:trHeight w:hRule="exact" w:val="1949"/>
          <w:jc w:val="center"/>
        </w:trPr>
        <w:tc>
          <w:tcPr>
            <w:tcW w:w="1824" w:type="dxa"/>
            <w:tcBorders>
              <w:top w:val="single" w:sz="4" w:space="0" w:color="auto"/>
              <w:left w:val="single" w:sz="4" w:space="0" w:color="auto"/>
            </w:tcBorders>
            <w:shd w:val="clear" w:color="auto" w:fill="E7E6E6" w:themeFill="background2"/>
          </w:tcPr>
          <w:p w14:paraId="71EA62BF" w14:textId="77777777" w:rsidR="001B2A32" w:rsidRPr="00B21571" w:rsidRDefault="001B2A32" w:rsidP="00D45012">
            <w:pPr>
              <w:pStyle w:val="af2"/>
              <w:spacing w:line="240" w:lineRule="auto"/>
              <w:ind w:firstLine="0"/>
            </w:pPr>
            <w:r w:rsidRPr="00B21571">
              <w:rPr>
                <w:rStyle w:val="af1"/>
                <w:rFonts w:eastAsiaTheme="majorEastAsia"/>
              </w:rPr>
              <w:t>Гиперапаратиреоз</w:t>
            </w:r>
          </w:p>
        </w:tc>
        <w:tc>
          <w:tcPr>
            <w:tcW w:w="1714" w:type="dxa"/>
            <w:tcBorders>
              <w:top w:val="single" w:sz="4" w:space="0" w:color="auto"/>
              <w:left w:val="single" w:sz="4" w:space="0" w:color="auto"/>
            </w:tcBorders>
          </w:tcPr>
          <w:p w14:paraId="47DB29B4" w14:textId="77777777" w:rsidR="001B2A32" w:rsidRPr="00B21571" w:rsidRDefault="001B2A32" w:rsidP="00D45012">
            <w:pPr>
              <w:pStyle w:val="af2"/>
              <w:spacing w:line="240" w:lineRule="auto"/>
              <w:ind w:firstLine="0"/>
            </w:pPr>
            <w:r w:rsidRPr="00B21571">
              <w:rPr>
                <w:rStyle w:val="af1"/>
                <w:rFonts w:eastAsiaTheme="majorEastAsia"/>
              </w:rPr>
              <w:t>&lt;1%</w:t>
            </w:r>
          </w:p>
        </w:tc>
        <w:tc>
          <w:tcPr>
            <w:tcW w:w="3154" w:type="dxa"/>
            <w:tcBorders>
              <w:top w:val="single" w:sz="4" w:space="0" w:color="auto"/>
              <w:left w:val="single" w:sz="4" w:space="0" w:color="auto"/>
            </w:tcBorders>
          </w:tcPr>
          <w:p w14:paraId="3DDBC305" w14:textId="77777777" w:rsidR="001B2A32" w:rsidRPr="00B21571" w:rsidRDefault="001B2A32" w:rsidP="00D45012">
            <w:pPr>
              <w:pStyle w:val="af2"/>
              <w:spacing w:line="240" w:lineRule="auto"/>
              <w:ind w:firstLine="0"/>
              <w:jc w:val="both"/>
            </w:pPr>
            <w:r w:rsidRPr="00B21571">
              <w:rPr>
                <w:rStyle w:val="af1"/>
                <w:rFonts w:eastAsiaTheme="majorEastAsia"/>
              </w:rPr>
              <w:t>Гиперкальциемия, гипофосфатемия</w:t>
            </w:r>
          </w:p>
        </w:tc>
        <w:tc>
          <w:tcPr>
            <w:tcW w:w="2237" w:type="dxa"/>
            <w:tcBorders>
              <w:top w:val="single" w:sz="4" w:space="0" w:color="auto"/>
              <w:left w:val="single" w:sz="4" w:space="0" w:color="auto"/>
              <w:right w:val="single" w:sz="4" w:space="0" w:color="auto"/>
            </w:tcBorders>
            <w:vAlign w:val="bottom"/>
          </w:tcPr>
          <w:p w14:paraId="32D56E7C" w14:textId="77777777" w:rsidR="001B2A32" w:rsidRPr="00B21571" w:rsidRDefault="001B2A32" w:rsidP="00D45012">
            <w:pPr>
              <w:pStyle w:val="af2"/>
              <w:tabs>
                <w:tab w:val="left" w:pos="1258"/>
              </w:tabs>
              <w:spacing w:line="240" w:lineRule="auto"/>
              <w:ind w:firstLine="0"/>
            </w:pPr>
            <w:r w:rsidRPr="00B21571">
              <w:rPr>
                <w:rStyle w:val="af1"/>
                <w:rFonts w:eastAsiaTheme="majorEastAsia"/>
              </w:rPr>
              <w:t>Исследование уровня паратиреоидного гормона,</w:t>
            </w:r>
            <w:r w:rsidRPr="00B21571">
              <w:rPr>
                <w:rStyle w:val="af1"/>
                <w:rFonts w:eastAsiaTheme="majorEastAsia"/>
              </w:rPr>
              <w:tab/>
              <w:t>общего</w:t>
            </w:r>
          </w:p>
          <w:p w14:paraId="40FC5274" w14:textId="77777777" w:rsidR="001B2A32" w:rsidRPr="00B21571" w:rsidRDefault="001B2A32" w:rsidP="00D45012">
            <w:pPr>
              <w:pStyle w:val="af2"/>
              <w:spacing w:line="240" w:lineRule="auto"/>
              <w:ind w:firstLine="0"/>
            </w:pPr>
            <w:r w:rsidRPr="00B21571">
              <w:rPr>
                <w:rStyle w:val="af1"/>
                <w:rFonts w:eastAsiaTheme="majorEastAsia"/>
              </w:rPr>
              <w:t>и/или ионизированного кальция в крови</w:t>
            </w:r>
          </w:p>
        </w:tc>
      </w:tr>
      <w:tr w:rsidR="001B2A32" w:rsidRPr="00B21571" w14:paraId="43CEF659" w14:textId="77777777" w:rsidTr="001E3E50">
        <w:trPr>
          <w:trHeight w:hRule="exact" w:val="1382"/>
          <w:jc w:val="center"/>
        </w:trPr>
        <w:tc>
          <w:tcPr>
            <w:tcW w:w="1824" w:type="dxa"/>
            <w:tcBorders>
              <w:top w:val="single" w:sz="4" w:space="0" w:color="auto"/>
              <w:left w:val="single" w:sz="4" w:space="0" w:color="auto"/>
            </w:tcBorders>
            <w:shd w:val="clear" w:color="auto" w:fill="E7E6E6" w:themeFill="background2"/>
          </w:tcPr>
          <w:p w14:paraId="6F2E9900" w14:textId="77777777" w:rsidR="001B2A32" w:rsidRPr="00B21571" w:rsidRDefault="001B2A32" w:rsidP="00D45012">
            <w:pPr>
              <w:pStyle w:val="af2"/>
              <w:spacing w:line="240" w:lineRule="auto"/>
              <w:ind w:firstLine="0"/>
            </w:pPr>
            <w:r w:rsidRPr="00B21571">
              <w:rPr>
                <w:rStyle w:val="af1"/>
                <w:rFonts w:eastAsiaTheme="majorEastAsia"/>
              </w:rPr>
              <w:t>Акромегалия</w:t>
            </w:r>
          </w:p>
        </w:tc>
        <w:tc>
          <w:tcPr>
            <w:tcW w:w="1714" w:type="dxa"/>
            <w:tcBorders>
              <w:top w:val="single" w:sz="4" w:space="0" w:color="auto"/>
              <w:left w:val="single" w:sz="4" w:space="0" w:color="auto"/>
            </w:tcBorders>
          </w:tcPr>
          <w:p w14:paraId="69B07A27" w14:textId="77777777" w:rsidR="001B2A32" w:rsidRPr="00B21571" w:rsidRDefault="001B2A32" w:rsidP="00D45012">
            <w:pPr>
              <w:rPr>
                <w:rFonts w:cs="Times New Roman"/>
                <w:sz w:val="10"/>
                <w:szCs w:val="10"/>
              </w:rPr>
            </w:pPr>
          </w:p>
        </w:tc>
        <w:tc>
          <w:tcPr>
            <w:tcW w:w="3154" w:type="dxa"/>
            <w:tcBorders>
              <w:top w:val="single" w:sz="4" w:space="0" w:color="auto"/>
              <w:left w:val="single" w:sz="4" w:space="0" w:color="auto"/>
            </w:tcBorders>
          </w:tcPr>
          <w:p w14:paraId="324B0C66" w14:textId="77777777" w:rsidR="001B2A32" w:rsidRPr="00B21571" w:rsidRDefault="001B2A32" w:rsidP="00D45012">
            <w:pPr>
              <w:pStyle w:val="af2"/>
              <w:spacing w:line="240" w:lineRule="auto"/>
              <w:ind w:firstLine="0"/>
              <w:jc w:val="both"/>
            </w:pPr>
            <w:r w:rsidRPr="00B21571">
              <w:rPr>
                <w:rStyle w:val="af1"/>
                <w:rFonts w:eastAsiaTheme="majorEastAsia"/>
              </w:rPr>
              <w:t>Увеличение акральных частей тела, укрупнение и огрубление черт лица, потливость</w:t>
            </w:r>
          </w:p>
        </w:tc>
        <w:tc>
          <w:tcPr>
            <w:tcW w:w="2237" w:type="dxa"/>
            <w:tcBorders>
              <w:top w:val="single" w:sz="4" w:space="0" w:color="auto"/>
              <w:left w:val="single" w:sz="4" w:space="0" w:color="auto"/>
              <w:right w:val="single" w:sz="4" w:space="0" w:color="auto"/>
            </w:tcBorders>
            <w:vAlign w:val="bottom"/>
          </w:tcPr>
          <w:p w14:paraId="042783EB" w14:textId="77777777" w:rsidR="001B2A32" w:rsidRPr="00B21571" w:rsidRDefault="001B2A32" w:rsidP="00D45012">
            <w:pPr>
              <w:pStyle w:val="af2"/>
              <w:tabs>
                <w:tab w:val="left" w:pos="979"/>
              </w:tabs>
              <w:spacing w:line="240" w:lineRule="auto"/>
              <w:ind w:firstLine="0"/>
            </w:pPr>
            <w:r w:rsidRPr="00B21571">
              <w:rPr>
                <w:rStyle w:val="af1"/>
                <w:rFonts w:eastAsiaTheme="majorEastAsia"/>
              </w:rPr>
              <w:t>Исследование уровня инсулиноподобног о</w:t>
            </w:r>
            <w:r w:rsidRPr="00B21571">
              <w:rPr>
                <w:rStyle w:val="af1"/>
                <w:rFonts w:eastAsiaTheme="majorEastAsia"/>
              </w:rPr>
              <w:tab/>
              <w:t>ростового</w:t>
            </w:r>
          </w:p>
          <w:p w14:paraId="7AFC8032" w14:textId="77777777" w:rsidR="001B2A32" w:rsidRPr="00B21571" w:rsidRDefault="001B2A32" w:rsidP="00D45012">
            <w:pPr>
              <w:pStyle w:val="af2"/>
              <w:spacing w:line="240" w:lineRule="auto"/>
              <w:ind w:firstLine="0"/>
            </w:pPr>
            <w:r w:rsidRPr="00B21571">
              <w:rPr>
                <w:rStyle w:val="af1"/>
                <w:rFonts w:eastAsiaTheme="majorEastAsia"/>
              </w:rPr>
              <w:t>фактора I в крови</w:t>
            </w:r>
          </w:p>
        </w:tc>
      </w:tr>
      <w:tr w:rsidR="001B2A32" w:rsidRPr="00B21571" w14:paraId="6BD96860" w14:textId="77777777" w:rsidTr="001E3E50">
        <w:trPr>
          <w:trHeight w:hRule="exact" w:val="648"/>
          <w:jc w:val="center"/>
        </w:trPr>
        <w:tc>
          <w:tcPr>
            <w:tcW w:w="8929"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75CD9BA8" w14:textId="77777777" w:rsidR="001B2A32" w:rsidRPr="00B21571" w:rsidRDefault="001B2A32" w:rsidP="00D45012">
            <w:pPr>
              <w:pStyle w:val="af2"/>
              <w:spacing w:line="240" w:lineRule="auto"/>
              <w:ind w:firstLine="0"/>
            </w:pPr>
            <w:r w:rsidRPr="00B21571">
              <w:rPr>
                <w:rStyle w:val="af1"/>
                <w:rFonts w:eastAsiaTheme="majorEastAsia"/>
              </w:rPr>
              <w:t>Другие причины</w:t>
            </w:r>
          </w:p>
        </w:tc>
      </w:tr>
      <w:tr w:rsidR="00153311" w:rsidRPr="00B21571" w14:paraId="476300CA" w14:textId="77777777" w:rsidTr="00153311">
        <w:trPr>
          <w:trHeight w:hRule="exact" w:val="3605"/>
          <w:jc w:val="center"/>
        </w:trPr>
        <w:tc>
          <w:tcPr>
            <w:tcW w:w="1824" w:type="dxa"/>
            <w:tcBorders>
              <w:top w:val="single" w:sz="4" w:space="0" w:color="auto"/>
              <w:left w:val="single" w:sz="4" w:space="0" w:color="auto"/>
              <w:bottom w:val="single" w:sz="4" w:space="0" w:color="auto"/>
            </w:tcBorders>
            <w:shd w:val="clear" w:color="auto" w:fill="E7E6E6" w:themeFill="background2"/>
          </w:tcPr>
          <w:p w14:paraId="0E861DE5" w14:textId="77777777" w:rsidR="00153311" w:rsidRPr="00B21571" w:rsidRDefault="00153311" w:rsidP="00D45012">
            <w:pPr>
              <w:pStyle w:val="af2"/>
              <w:spacing w:line="240" w:lineRule="auto"/>
              <w:ind w:firstLine="0"/>
            </w:pPr>
            <w:r w:rsidRPr="00B21571">
              <w:rPr>
                <w:rStyle w:val="af1"/>
                <w:rFonts w:eastAsiaTheme="majorEastAsia"/>
              </w:rPr>
              <w:t>Коарктация аорты</w:t>
            </w:r>
          </w:p>
        </w:tc>
        <w:tc>
          <w:tcPr>
            <w:tcW w:w="1714" w:type="dxa"/>
            <w:tcBorders>
              <w:top w:val="single" w:sz="4" w:space="0" w:color="auto"/>
              <w:left w:val="single" w:sz="4" w:space="0" w:color="auto"/>
              <w:bottom w:val="single" w:sz="4" w:space="0" w:color="auto"/>
            </w:tcBorders>
          </w:tcPr>
          <w:p w14:paraId="4A3586C6" w14:textId="77777777" w:rsidR="00153311" w:rsidRPr="00B21571" w:rsidRDefault="00153311" w:rsidP="00D45012">
            <w:pPr>
              <w:pStyle w:val="af2"/>
              <w:spacing w:line="240" w:lineRule="auto"/>
              <w:ind w:firstLine="0"/>
            </w:pPr>
            <w:r w:rsidRPr="00B21571">
              <w:rPr>
                <w:rStyle w:val="af1"/>
                <w:rFonts w:eastAsiaTheme="majorEastAsia"/>
              </w:rPr>
              <w:t>&lt;1%</w:t>
            </w:r>
          </w:p>
        </w:tc>
        <w:tc>
          <w:tcPr>
            <w:tcW w:w="3154" w:type="dxa"/>
            <w:tcBorders>
              <w:top w:val="single" w:sz="4" w:space="0" w:color="auto"/>
              <w:left w:val="single" w:sz="4" w:space="0" w:color="auto"/>
              <w:bottom w:val="single" w:sz="4" w:space="0" w:color="auto"/>
            </w:tcBorders>
            <w:vAlign w:val="bottom"/>
          </w:tcPr>
          <w:p w14:paraId="028036B2" w14:textId="77777777" w:rsidR="00153311" w:rsidRPr="00B21571" w:rsidRDefault="00153311" w:rsidP="00D45012">
            <w:pPr>
              <w:pStyle w:val="af2"/>
              <w:spacing w:line="240" w:lineRule="auto"/>
              <w:ind w:firstLine="0"/>
              <w:jc w:val="both"/>
              <w:rPr>
                <w:rStyle w:val="af1"/>
                <w:rFonts w:eastAsiaTheme="majorEastAsia"/>
              </w:rPr>
            </w:pPr>
            <w:r w:rsidRPr="00B21571">
              <w:rPr>
                <w:rStyle w:val="af1"/>
                <w:rFonts w:eastAsiaTheme="majorEastAsia"/>
              </w:rPr>
              <w:t>Обычно выявляется у детей или подростков; разница АД (≥20/10 мм рт. ст.) между верхними и нижними конечностями и/или между правой и левой рукой и задержка радиально</w:t>
            </w:r>
            <w:r w:rsidRPr="00B21571">
              <w:rPr>
                <w:rStyle w:val="af1"/>
                <w:rFonts w:eastAsiaTheme="majorEastAsia"/>
              </w:rPr>
              <w:softHyphen/>
              <w:t>феморальной пульсации; низкий ЛПИ; систолический шум в межлопаточной области; узурация ребер при прицельной рентгенографии орг</w:t>
            </w:r>
            <w:r w:rsidR="0083401A" w:rsidRPr="00B21571">
              <w:rPr>
                <w:rStyle w:val="af1"/>
                <w:rFonts w:eastAsiaTheme="majorEastAsia"/>
              </w:rPr>
              <w:t>а</w:t>
            </w:r>
            <w:r w:rsidRPr="00B21571">
              <w:rPr>
                <w:rStyle w:val="af1"/>
                <w:rFonts w:eastAsiaTheme="majorEastAsia"/>
              </w:rPr>
              <w:t>нов грудной клетки</w:t>
            </w:r>
          </w:p>
          <w:p w14:paraId="0BBEF933" w14:textId="77777777" w:rsidR="00153311" w:rsidRPr="00B21571" w:rsidRDefault="00153311" w:rsidP="00D45012">
            <w:pPr>
              <w:pStyle w:val="af2"/>
              <w:spacing w:line="240" w:lineRule="auto"/>
              <w:ind w:firstLine="0"/>
              <w:jc w:val="both"/>
              <w:rPr>
                <w:rStyle w:val="af1"/>
                <w:rFonts w:eastAsiaTheme="majorEastAsia"/>
              </w:rPr>
            </w:pPr>
          </w:p>
          <w:p w14:paraId="386AC54A" w14:textId="77777777" w:rsidR="00153311" w:rsidRPr="00B21571" w:rsidRDefault="00153311" w:rsidP="00D45012">
            <w:pPr>
              <w:pStyle w:val="af2"/>
              <w:spacing w:line="240" w:lineRule="auto"/>
              <w:ind w:firstLine="0"/>
              <w:jc w:val="both"/>
            </w:pPr>
          </w:p>
          <w:p w14:paraId="731F7559" w14:textId="77777777" w:rsidR="00B6714B" w:rsidRPr="00B21571" w:rsidRDefault="00B6714B" w:rsidP="00D45012">
            <w:pPr>
              <w:pStyle w:val="af2"/>
              <w:spacing w:line="240" w:lineRule="auto"/>
              <w:ind w:firstLine="0"/>
              <w:jc w:val="both"/>
            </w:pPr>
          </w:p>
          <w:p w14:paraId="18E5C135" w14:textId="77777777" w:rsidR="00B6714B" w:rsidRPr="00B21571" w:rsidRDefault="00B6714B" w:rsidP="00D45012">
            <w:pPr>
              <w:pStyle w:val="af2"/>
              <w:spacing w:line="240" w:lineRule="auto"/>
              <w:ind w:firstLine="0"/>
              <w:jc w:val="both"/>
            </w:pPr>
          </w:p>
          <w:p w14:paraId="4131DB0E" w14:textId="77777777" w:rsidR="00B6714B" w:rsidRPr="00B21571" w:rsidRDefault="00B6714B" w:rsidP="00D45012">
            <w:pPr>
              <w:pStyle w:val="af2"/>
              <w:spacing w:line="240" w:lineRule="auto"/>
              <w:ind w:firstLine="0"/>
              <w:jc w:val="both"/>
            </w:pPr>
          </w:p>
          <w:p w14:paraId="30AD88E5" w14:textId="77777777" w:rsidR="00B6714B" w:rsidRPr="00B21571" w:rsidRDefault="00B6714B" w:rsidP="00D45012">
            <w:pPr>
              <w:pStyle w:val="af2"/>
              <w:spacing w:line="240" w:lineRule="auto"/>
              <w:ind w:firstLine="0"/>
              <w:jc w:val="both"/>
            </w:pPr>
          </w:p>
        </w:tc>
        <w:tc>
          <w:tcPr>
            <w:tcW w:w="2237" w:type="dxa"/>
            <w:tcBorders>
              <w:top w:val="single" w:sz="4" w:space="0" w:color="auto"/>
              <w:left w:val="single" w:sz="4" w:space="0" w:color="auto"/>
              <w:bottom w:val="single" w:sz="4" w:space="0" w:color="auto"/>
              <w:right w:val="single" w:sz="4" w:space="0" w:color="auto"/>
            </w:tcBorders>
          </w:tcPr>
          <w:p w14:paraId="0C6986BF" w14:textId="77777777" w:rsidR="00153311" w:rsidRPr="00B21571" w:rsidRDefault="00153311" w:rsidP="00D45012">
            <w:pPr>
              <w:pStyle w:val="af2"/>
              <w:spacing w:line="240" w:lineRule="auto"/>
              <w:ind w:firstLine="0"/>
            </w:pPr>
            <w:r w:rsidRPr="00B21571">
              <w:rPr>
                <w:rStyle w:val="af1"/>
                <w:rFonts w:eastAsiaTheme="majorEastAsia"/>
              </w:rPr>
              <w:t>Эхокардиография</w:t>
            </w:r>
          </w:p>
        </w:tc>
      </w:tr>
    </w:tbl>
    <w:p w14:paraId="3C221016" w14:textId="02F97711" w:rsidR="005359F1" w:rsidRPr="005359F1" w:rsidRDefault="005359F1" w:rsidP="0057089D">
      <w:pPr>
        <w:spacing w:after="0" w:line="360" w:lineRule="auto"/>
        <w:jc w:val="center"/>
        <w:rPr>
          <w:rFonts w:eastAsia="Times New Roman" w:cs="Times New Roman"/>
          <w:b/>
          <w:bCs/>
          <w:sz w:val="24"/>
          <w:szCs w:val="24"/>
        </w:rPr>
      </w:pPr>
      <w:r w:rsidRPr="005359F1">
        <w:rPr>
          <w:rFonts w:eastAsia="Times New Roman" w:cs="Times New Roman"/>
          <w:b/>
          <w:bCs/>
          <w:sz w:val="24"/>
          <w:szCs w:val="24"/>
        </w:rPr>
        <w:lastRenderedPageBreak/>
        <w:t>Принципы диагностики некоторых вариантов вторичных гипертензий.</w:t>
      </w:r>
    </w:p>
    <w:p w14:paraId="01CFF982" w14:textId="77777777" w:rsidR="005359F1" w:rsidRPr="005359F1" w:rsidRDefault="005359F1" w:rsidP="005359F1">
      <w:pPr>
        <w:spacing w:after="0" w:line="360" w:lineRule="auto"/>
        <w:jc w:val="both"/>
        <w:rPr>
          <w:rFonts w:eastAsia="Times New Roman" w:cs="Times New Roman"/>
          <w:b/>
          <w:bCs/>
          <w:sz w:val="24"/>
          <w:szCs w:val="24"/>
        </w:rPr>
      </w:pPr>
      <w:r w:rsidRPr="005359F1">
        <w:rPr>
          <w:rFonts w:eastAsia="Times New Roman" w:cs="Times New Roman"/>
          <w:b/>
          <w:bCs/>
          <w:sz w:val="24"/>
          <w:szCs w:val="24"/>
        </w:rPr>
        <w:t xml:space="preserve">А. Атеросклероз почечных артерий. </w:t>
      </w:r>
    </w:p>
    <w:p w14:paraId="22A397B7" w14:textId="77777777" w:rsidR="00AB5297" w:rsidRDefault="005359F1" w:rsidP="00AB5297">
      <w:pPr>
        <w:spacing w:after="0" w:line="360" w:lineRule="auto"/>
        <w:jc w:val="both"/>
        <w:rPr>
          <w:rFonts w:eastAsia="Times New Roman" w:cs="Times New Roman"/>
          <w:sz w:val="24"/>
          <w:szCs w:val="24"/>
        </w:rPr>
      </w:pPr>
      <w:r>
        <w:rPr>
          <w:noProof/>
          <w:lang w:eastAsia="ru-RU"/>
        </w:rPr>
        <w:drawing>
          <wp:inline distT="0" distB="0" distL="0" distR="0" wp14:anchorId="03846AAE" wp14:editId="09FD49AA">
            <wp:extent cx="5936615" cy="3850640"/>
            <wp:effectExtent l="0" t="0" r="6985" b="0"/>
            <wp:docPr id="851934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93477" name=""/>
                    <pic:cNvPicPr/>
                  </pic:nvPicPr>
                  <pic:blipFill>
                    <a:blip r:embed="rId34" cstate="print"/>
                    <a:stretch>
                      <a:fillRect/>
                    </a:stretch>
                  </pic:blipFill>
                  <pic:spPr>
                    <a:xfrm>
                      <a:off x="0" y="0"/>
                      <a:ext cx="5936615" cy="3850640"/>
                    </a:xfrm>
                    <a:prstGeom prst="rect">
                      <a:avLst/>
                    </a:prstGeom>
                  </pic:spPr>
                </pic:pic>
              </a:graphicData>
            </a:graphic>
          </wp:inline>
        </w:drawing>
      </w:r>
    </w:p>
    <w:p w14:paraId="790016C1" w14:textId="77777777" w:rsidR="00AB5297" w:rsidRDefault="00AB5297" w:rsidP="00AB5297">
      <w:pPr>
        <w:spacing w:after="0" w:line="360" w:lineRule="auto"/>
        <w:jc w:val="both"/>
        <w:rPr>
          <w:rFonts w:eastAsia="Times New Roman" w:cs="Times New Roman"/>
          <w:sz w:val="24"/>
          <w:szCs w:val="24"/>
        </w:rPr>
      </w:pPr>
    </w:p>
    <w:p w14:paraId="1375E1B4" w14:textId="7BB13388" w:rsidR="005359F1" w:rsidRDefault="002E0EFB" w:rsidP="005359F1">
      <w:pPr>
        <w:spacing w:after="0" w:line="360" w:lineRule="auto"/>
        <w:jc w:val="both"/>
        <w:rPr>
          <w:rFonts w:eastAsia="Times New Roman" w:cs="Times New Roman"/>
          <w:sz w:val="24"/>
          <w:szCs w:val="24"/>
        </w:rPr>
      </w:pPr>
      <w:r>
        <w:rPr>
          <w:rFonts w:eastAsia="Times New Roman" w:cs="Times New Roman"/>
          <w:sz w:val="24"/>
          <w:szCs w:val="24"/>
        </w:rPr>
        <w:t>Р</w:t>
      </w:r>
      <w:r w:rsidR="005359F1" w:rsidRPr="005359F1">
        <w:rPr>
          <w:rFonts w:eastAsia="Times New Roman" w:cs="Times New Roman"/>
          <w:sz w:val="24"/>
          <w:szCs w:val="24"/>
        </w:rPr>
        <w:t>аспространенность атеросклеротического поражения почечных артерий варьирует в зависимости от популяции (среди пациентов старше 65 лет 6,8%, среди пациентов с мягкой АГ ≈ 1%, при тяжелой или резистентной АГ до 14-24%. 2в связи с частыми ассоциациями с наличием атеросклероза других локализаций, следует проводить соответствующее обследование. 3цель медикаментозного лечения – снижение СС риска и нефропротекция, в связи с чем основное значение имеет контроль АД. ИАПФ или БРА – препараты первой линии (противопоказаны при двустороннем стенозе почечных артерий или стенозе артерии единственной почки). стентирование почечной артерии в дополнение к медикаментозной терапии может иметь благоприятные СС и почечные эффекты у пациентов с фенотипами высокого риска (резистентной АГ, рецидивирующими отеками легких, СН и ухудшением функции почек).</w:t>
      </w:r>
    </w:p>
    <w:p w14:paraId="2C6065F9" w14:textId="77777777" w:rsidR="005359F1" w:rsidRDefault="005359F1" w:rsidP="005359F1">
      <w:pPr>
        <w:spacing w:after="0" w:line="360" w:lineRule="auto"/>
        <w:jc w:val="both"/>
        <w:rPr>
          <w:rFonts w:eastAsia="Times New Roman" w:cs="Times New Roman"/>
          <w:sz w:val="24"/>
          <w:szCs w:val="24"/>
        </w:rPr>
      </w:pPr>
    </w:p>
    <w:p w14:paraId="0934C20D" w14:textId="77777777" w:rsidR="005359F1" w:rsidRDefault="005359F1" w:rsidP="005359F1">
      <w:pPr>
        <w:spacing w:after="0" w:line="360" w:lineRule="auto"/>
        <w:jc w:val="both"/>
        <w:rPr>
          <w:rFonts w:eastAsia="Times New Roman" w:cs="Times New Roman"/>
          <w:sz w:val="24"/>
          <w:szCs w:val="24"/>
        </w:rPr>
      </w:pPr>
    </w:p>
    <w:p w14:paraId="48050FDD" w14:textId="77777777" w:rsidR="005359F1" w:rsidRDefault="005359F1" w:rsidP="005359F1">
      <w:pPr>
        <w:spacing w:after="0" w:line="360" w:lineRule="auto"/>
        <w:jc w:val="both"/>
        <w:rPr>
          <w:rFonts w:eastAsia="Times New Roman" w:cs="Times New Roman"/>
          <w:sz w:val="24"/>
          <w:szCs w:val="24"/>
        </w:rPr>
      </w:pPr>
    </w:p>
    <w:p w14:paraId="053E7265" w14:textId="77777777" w:rsidR="005359F1" w:rsidRDefault="005359F1" w:rsidP="005359F1">
      <w:pPr>
        <w:spacing w:after="0" w:line="360" w:lineRule="auto"/>
        <w:jc w:val="both"/>
        <w:rPr>
          <w:rFonts w:eastAsia="Times New Roman" w:cs="Times New Roman"/>
          <w:sz w:val="24"/>
          <w:szCs w:val="24"/>
        </w:rPr>
      </w:pPr>
    </w:p>
    <w:p w14:paraId="5E7B6864" w14:textId="77777777" w:rsidR="005359F1" w:rsidRDefault="005359F1" w:rsidP="005359F1">
      <w:pPr>
        <w:spacing w:after="0" w:line="360" w:lineRule="auto"/>
        <w:jc w:val="both"/>
        <w:rPr>
          <w:rFonts w:eastAsia="Times New Roman" w:cs="Times New Roman"/>
          <w:sz w:val="24"/>
          <w:szCs w:val="24"/>
        </w:rPr>
      </w:pPr>
    </w:p>
    <w:p w14:paraId="3F60B6E5" w14:textId="77777777" w:rsidR="005359F1" w:rsidRPr="005359F1" w:rsidRDefault="005359F1" w:rsidP="002E0EFB">
      <w:pPr>
        <w:spacing w:after="0" w:line="360" w:lineRule="auto"/>
        <w:jc w:val="center"/>
        <w:rPr>
          <w:rFonts w:eastAsia="Times New Roman" w:cs="Times New Roman"/>
          <w:b/>
          <w:bCs/>
          <w:sz w:val="24"/>
          <w:szCs w:val="24"/>
        </w:rPr>
      </w:pPr>
      <w:r w:rsidRPr="005359F1">
        <w:rPr>
          <w:rFonts w:eastAsia="Times New Roman" w:cs="Times New Roman"/>
          <w:b/>
          <w:bCs/>
          <w:sz w:val="24"/>
          <w:szCs w:val="24"/>
        </w:rPr>
        <w:lastRenderedPageBreak/>
        <w:t>Б. Фибромускулярная дисплазия</w:t>
      </w:r>
    </w:p>
    <w:p w14:paraId="7C553E9D" w14:textId="77777777" w:rsidR="005359F1" w:rsidRPr="005359F1" w:rsidRDefault="005359F1" w:rsidP="005359F1">
      <w:pPr>
        <w:spacing w:after="0" w:line="360" w:lineRule="auto"/>
        <w:jc w:val="both"/>
        <w:rPr>
          <w:rFonts w:eastAsia="Times New Roman" w:cs="Times New Roman"/>
          <w:sz w:val="24"/>
          <w:szCs w:val="24"/>
        </w:rPr>
      </w:pPr>
      <w:r>
        <w:rPr>
          <w:noProof/>
          <w:lang w:eastAsia="ru-RU"/>
        </w:rPr>
        <w:drawing>
          <wp:inline distT="0" distB="0" distL="0" distR="0" wp14:anchorId="54FFB7ED" wp14:editId="713FEFA3">
            <wp:extent cx="5936615" cy="3949065"/>
            <wp:effectExtent l="0" t="0" r="6985" b="0"/>
            <wp:docPr id="20784946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494662" name=""/>
                    <pic:cNvPicPr/>
                  </pic:nvPicPr>
                  <pic:blipFill>
                    <a:blip r:embed="rId35" cstate="print"/>
                    <a:stretch>
                      <a:fillRect/>
                    </a:stretch>
                  </pic:blipFill>
                  <pic:spPr>
                    <a:xfrm>
                      <a:off x="0" y="0"/>
                      <a:ext cx="5936615" cy="3949065"/>
                    </a:xfrm>
                    <a:prstGeom prst="rect">
                      <a:avLst/>
                    </a:prstGeom>
                  </pic:spPr>
                </pic:pic>
              </a:graphicData>
            </a:graphic>
          </wp:inline>
        </w:drawing>
      </w:r>
    </w:p>
    <w:p w14:paraId="6D4FFB8D" w14:textId="0333AAFA" w:rsidR="005359F1" w:rsidRPr="005359F1" w:rsidRDefault="002E0EFB" w:rsidP="005359F1">
      <w:pPr>
        <w:spacing w:after="0" w:line="360" w:lineRule="auto"/>
        <w:jc w:val="both"/>
        <w:rPr>
          <w:rFonts w:eastAsia="Times New Roman" w:cs="Times New Roman"/>
          <w:sz w:val="24"/>
          <w:szCs w:val="24"/>
        </w:rPr>
      </w:pPr>
      <w:r>
        <w:rPr>
          <w:rFonts w:eastAsia="Times New Roman" w:cs="Times New Roman"/>
          <w:sz w:val="24"/>
          <w:szCs w:val="24"/>
        </w:rPr>
        <w:t>В</w:t>
      </w:r>
      <w:r w:rsidR="005359F1" w:rsidRPr="005359F1">
        <w:rPr>
          <w:rFonts w:eastAsia="Times New Roman" w:cs="Times New Roman"/>
          <w:sz w:val="24"/>
          <w:szCs w:val="24"/>
        </w:rPr>
        <w:t xml:space="preserve"> основном встречается у женщин молодого и среднего возраста, но может быть диагностирована в любом возрасте, у женщин и мужчин. 2описано 2 варианта заболевания: мультифокальная ФМД (80-90%) с чередованием участков стеноза и дилатации в средних и дистальных участках артерии (симптом четок) и локальная ФМД (10-20%) с наличием стеноза различной протяженности в любой части артерии. 3частота излечения после ангиопластики 14-85%, но может быть выше у молодых пациентов с недавним дебютом АГ. 4</w:t>
      </w:r>
      <w:r>
        <w:rPr>
          <w:rFonts w:eastAsia="Times New Roman" w:cs="Times New Roman"/>
          <w:sz w:val="24"/>
          <w:szCs w:val="24"/>
        </w:rPr>
        <w:t xml:space="preserve"> </w:t>
      </w:r>
      <w:r w:rsidR="005359F1" w:rsidRPr="005359F1">
        <w:rPr>
          <w:rFonts w:eastAsia="Times New Roman" w:cs="Times New Roman"/>
          <w:sz w:val="24"/>
          <w:szCs w:val="24"/>
        </w:rPr>
        <w:t xml:space="preserve">при почечной ФМД стентирование не рекомендовано (только в случаях ограничивающего кровоток расслоения на фоне процедуры или при аневризме почечной артерии 5более, чем у половины пациентов наблюдается мультисосудистое поражение, а также расслоение, аневризмы или выраженная извитость артерий, в связи с чем всем рекомендовано выполнение КТ-ангиографии всего тела (при противопоказаниях – МРТ-ангиографии) хотя бы раз в жизни у всех пациентов с ФМД. </w:t>
      </w:r>
    </w:p>
    <w:p w14:paraId="30724D6E" w14:textId="77777777" w:rsidR="0073199D" w:rsidRDefault="0073199D" w:rsidP="005359F1">
      <w:pPr>
        <w:spacing w:after="0" w:line="360" w:lineRule="auto"/>
        <w:jc w:val="both"/>
        <w:rPr>
          <w:rFonts w:eastAsia="Times New Roman" w:cs="Times New Roman"/>
          <w:b/>
          <w:bCs/>
          <w:sz w:val="24"/>
          <w:szCs w:val="24"/>
        </w:rPr>
      </w:pPr>
    </w:p>
    <w:p w14:paraId="2C113C85" w14:textId="77777777" w:rsidR="0073199D" w:rsidRDefault="0073199D" w:rsidP="005359F1">
      <w:pPr>
        <w:spacing w:after="0" w:line="360" w:lineRule="auto"/>
        <w:jc w:val="both"/>
        <w:rPr>
          <w:rFonts w:eastAsia="Times New Roman" w:cs="Times New Roman"/>
          <w:b/>
          <w:bCs/>
          <w:sz w:val="24"/>
          <w:szCs w:val="24"/>
        </w:rPr>
      </w:pPr>
    </w:p>
    <w:p w14:paraId="2C4B7FB4" w14:textId="77777777" w:rsidR="0073199D" w:rsidRDefault="0073199D" w:rsidP="005359F1">
      <w:pPr>
        <w:spacing w:after="0" w:line="360" w:lineRule="auto"/>
        <w:jc w:val="both"/>
        <w:rPr>
          <w:rFonts w:eastAsia="Times New Roman" w:cs="Times New Roman"/>
          <w:b/>
          <w:bCs/>
          <w:sz w:val="24"/>
          <w:szCs w:val="24"/>
        </w:rPr>
      </w:pPr>
    </w:p>
    <w:p w14:paraId="676ED782" w14:textId="77777777" w:rsidR="0073199D" w:rsidRDefault="0073199D" w:rsidP="005359F1">
      <w:pPr>
        <w:spacing w:after="0" w:line="360" w:lineRule="auto"/>
        <w:jc w:val="both"/>
        <w:rPr>
          <w:rFonts w:eastAsia="Times New Roman" w:cs="Times New Roman"/>
          <w:b/>
          <w:bCs/>
          <w:sz w:val="24"/>
          <w:szCs w:val="24"/>
        </w:rPr>
      </w:pPr>
    </w:p>
    <w:p w14:paraId="224E7C22" w14:textId="77777777" w:rsidR="0073199D" w:rsidRDefault="0073199D" w:rsidP="005359F1">
      <w:pPr>
        <w:spacing w:after="0" w:line="360" w:lineRule="auto"/>
        <w:jc w:val="both"/>
        <w:rPr>
          <w:rFonts w:eastAsia="Times New Roman" w:cs="Times New Roman"/>
          <w:b/>
          <w:bCs/>
          <w:sz w:val="24"/>
          <w:szCs w:val="24"/>
        </w:rPr>
      </w:pPr>
    </w:p>
    <w:p w14:paraId="37FCD907" w14:textId="77777777" w:rsidR="0073199D" w:rsidRDefault="0073199D" w:rsidP="005359F1">
      <w:pPr>
        <w:spacing w:after="0" w:line="360" w:lineRule="auto"/>
        <w:jc w:val="both"/>
        <w:rPr>
          <w:rFonts w:eastAsia="Times New Roman" w:cs="Times New Roman"/>
          <w:b/>
          <w:bCs/>
          <w:sz w:val="24"/>
          <w:szCs w:val="24"/>
        </w:rPr>
      </w:pPr>
    </w:p>
    <w:p w14:paraId="7A1EAF9D" w14:textId="7032F356" w:rsidR="005359F1" w:rsidRPr="005359F1" w:rsidRDefault="005359F1" w:rsidP="002E0EFB">
      <w:pPr>
        <w:spacing w:after="0" w:line="360" w:lineRule="auto"/>
        <w:jc w:val="center"/>
        <w:rPr>
          <w:rFonts w:eastAsia="Times New Roman" w:cs="Times New Roman"/>
          <w:b/>
          <w:bCs/>
          <w:sz w:val="24"/>
          <w:szCs w:val="24"/>
        </w:rPr>
      </w:pPr>
      <w:r w:rsidRPr="005359F1">
        <w:rPr>
          <w:rFonts w:eastAsia="Times New Roman" w:cs="Times New Roman"/>
          <w:b/>
          <w:bCs/>
          <w:sz w:val="24"/>
          <w:szCs w:val="24"/>
        </w:rPr>
        <w:lastRenderedPageBreak/>
        <w:t>В. Первичный гиперальдостеронизм</w:t>
      </w:r>
    </w:p>
    <w:p w14:paraId="06442495" w14:textId="77777777" w:rsidR="00AB5297" w:rsidRDefault="005359F1" w:rsidP="00AB5297">
      <w:pPr>
        <w:spacing w:after="0" w:line="360" w:lineRule="auto"/>
        <w:jc w:val="both"/>
        <w:rPr>
          <w:rFonts w:eastAsia="Times New Roman" w:cs="Times New Roman"/>
          <w:sz w:val="24"/>
          <w:szCs w:val="24"/>
        </w:rPr>
      </w:pPr>
      <w:r>
        <w:rPr>
          <w:noProof/>
          <w:lang w:eastAsia="ru-RU"/>
        </w:rPr>
        <w:drawing>
          <wp:inline distT="0" distB="0" distL="0" distR="0" wp14:anchorId="3CD939AD" wp14:editId="74866641">
            <wp:extent cx="5936615" cy="4050030"/>
            <wp:effectExtent l="0" t="0" r="6985" b="7620"/>
            <wp:docPr id="6450276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027666" name=""/>
                    <pic:cNvPicPr/>
                  </pic:nvPicPr>
                  <pic:blipFill>
                    <a:blip r:embed="rId36" cstate="print"/>
                    <a:stretch>
                      <a:fillRect/>
                    </a:stretch>
                  </pic:blipFill>
                  <pic:spPr>
                    <a:xfrm>
                      <a:off x="0" y="0"/>
                      <a:ext cx="5936615" cy="4050030"/>
                    </a:xfrm>
                    <a:prstGeom prst="rect">
                      <a:avLst/>
                    </a:prstGeom>
                  </pic:spPr>
                </pic:pic>
              </a:graphicData>
            </a:graphic>
          </wp:inline>
        </w:drawing>
      </w:r>
    </w:p>
    <w:p w14:paraId="7F3C160E" w14:textId="77777777" w:rsidR="00221F69" w:rsidRDefault="00221F69" w:rsidP="005359F1">
      <w:pPr>
        <w:spacing w:after="0" w:line="360" w:lineRule="auto"/>
        <w:jc w:val="both"/>
        <w:rPr>
          <w:rFonts w:eastAsia="Times New Roman" w:cs="Times New Roman"/>
          <w:sz w:val="24"/>
          <w:szCs w:val="24"/>
        </w:rPr>
      </w:pPr>
      <w:r>
        <w:rPr>
          <w:rFonts w:eastAsia="Times New Roman" w:cs="Times New Roman"/>
          <w:sz w:val="24"/>
          <w:szCs w:val="24"/>
          <w:vertAlign w:val="superscript"/>
        </w:rPr>
        <w:t>1</w:t>
      </w:r>
      <w:r w:rsidR="005359F1" w:rsidRPr="005359F1">
        <w:rPr>
          <w:rFonts w:eastAsia="Times New Roman" w:cs="Times New Roman"/>
          <w:sz w:val="24"/>
          <w:szCs w:val="24"/>
        </w:rPr>
        <w:t xml:space="preserve">в зависимости от популяции: от 3,2% до 12,7% в первичной практике и от 1% до 30% в специализированных центрах. При тяжелой АГ распространенность увеличивается до 20%. </w:t>
      </w:r>
      <w:r w:rsidRPr="00221F69">
        <w:rPr>
          <w:rFonts w:eastAsia="Times New Roman" w:cs="Times New Roman"/>
          <w:sz w:val="24"/>
          <w:szCs w:val="24"/>
          <w:vertAlign w:val="superscript"/>
        </w:rPr>
        <w:t>2</w:t>
      </w:r>
      <w:r w:rsidR="005359F1" w:rsidRPr="005359F1">
        <w:rPr>
          <w:rFonts w:eastAsia="Times New Roman" w:cs="Times New Roman"/>
          <w:sz w:val="24"/>
          <w:szCs w:val="24"/>
        </w:rPr>
        <w:t xml:space="preserve">распространенность при инсиденталоме надпочечников варьирует от 1,6% до 4,3%. </w:t>
      </w:r>
    </w:p>
    <w:p w14:paraId="3F27248D" w14:textId="77777777" w:rsidR="005359F1" w:rsidRPr="005359F1" w:rsidRDefault="00221F69" w:rsidP="005359F1">
      <w:pPr>
        <w:spacing w:after="0" w:line="360" w:lineRule="auto"/>
        <w:jc w:val="both"/>
        <w:rPr>
          <w:rFonts w:eastAsia="Times New Roman" w:cs="Times New Roman"/>
          <w:sz w:val="24"/>
          <w:szCs w:val="24"/>
        </w:rPr>
      </w:pPr>
      <w:r w:rsidRPr="00221F69">
        <w:rPr>
          <w:rFonts w:eastAsia="Times New Roman" w:cs="Times New Roman"/>
          <w:sz w:val="24"/>
          <w:szCs w:val="24"/>
          <w:vertAlign w:val="superscript"/>
        </w:rPr>
        <w:t>3</w:t>
      </w:r>
      <w:r w:rsidR="005359F1" w:rsidRPr="005359F1">
        <w:rPr>
          <w:rFonts w:eastAsia="Times New Roman" w:cs="Times New Roman"/>
          <w:sz w:val="24"/>
          <w:szCs w:val="24"/>
        </w:rPr>
        <w:t xml:space="preserve">оценка АРП требует нормализации уровня калия и временного прекращения приема спиронолактона** и ББ. </w:t>
      </w:r>
      <w:r w:rsidR="005359F1" w:rsidRPr="00221F69">
        <w:rPr>
          <w:rFonts w:eastAsia="Times New Roman" w:cs="Times New Roman"/>
          <w:sz w:val="24"/>
          <w:szCs w:val="24"/>
          <w:vertAlign w:val="superscript"/>
        </w:rPr>
        <w:t>4</w:t>
      </w:r>
      <w:r w:rsidR="005359F1" w:rsidRPr="005359F1">
        <w:rPr>
          <w:rFonts w:eastAsia="Times New Roman" w:cs="Times New Roman"/>
          <w:sz w:val="24"/>
          <w:szCs w:val="24"/>
        </w:rPr>
        <w:t xml:space="preserve">проба с введением физиологического раствора представляется надежной и менее сложной, чем тест с флудрокортизоном или солевой нагрузкой. Каптоприловая проба может быть хорошей альтернативой у пациентов с риском перегрузки объемом (почечная или сердечная недостаточность). </w:t>
      </w:r>
      <w:r w:rsidR="005359F1" w:rsidRPr="00221F69">
        <w:rPr>
          <w:rFonts w:eastAsia="Times New Roman" w:cs="Times New Roman"/>
          <w:sz w:val="24"/>
          <w:szCs w:val="24"/>
          <w:vertAlign w:val="superscript"/>
        </w:rPr>
        <w:t>5</w:t>
      </w:r>
      <w:r w:rsidR="005359F1" w:rsidRPr="005359F1">
        <w:rPr>
          <w:rFonts w:eastAsia="Times New Roman" w:cs="Times New Roman"/>
          <w:sz w:val="24"/>
          <w:szCs w:val="24"/>
        </w:rPr>
        <w:t xml:space="preserve">большинство случаев первичного гиперальдостеронизма являются спорадическими, но до 5% пациентов могут иметь семейную форму заболевания. Генетическая проба должна быть выполнена у всех лиц с ранним началом заболевания (до 20 лет), независимо от тяжести, и у всех пациентов с семейным анамнезом заболевания. </w:t>
      </w:r>
      <w:r w:rsidR="005359F1" w:rsidRPr="00221F69">
        <w:rPr>
          <w:rFonts w:eastAsia="Times New Roman" w:cs="Times New Roman"/>
          <w:sz w:val="24"/>
          <w:szCs w:val="24"/>
          <w:vertAlign w:val="superscript"/>
        </w:rPr>
        <w:t>6</w:t>
      </w:r>
      <w:r w:rsidR="005359F1" w:rsidRPr="005359F1">
        <w:rPr>
          <w:rFonts w:eastAsia="Times New Roman" w:cs="Times New Roman"/>
          <w:sz w:val="24"/>
          <w:szCs w:val="24"/>
        </w:rPr>
        <w:t xml:space="preserve">Стероидные АМКР – препарат выбора при первичном гиперальдостеронизме при двусторонней гиперплазии надпочечников или при одностороннем поражении с невозможностью хирургического лечения. </w:t>
      </w:r>
    </w:p>
    <w:p w14:paraId="7432CDF2" w14:textId="77777777" w:rsidR="002E0EFB" w:rsidRDefault="002E0EFB" w:rsidP="00AB5297">
      <w:pPr>
        <w:spacing w:after="0" w:line="360" w:lineRule="auto"/>
        <w:jc w:val="both"/>
        <w:rPr>
          <w:rFonts w:eastAsia="Times New Roman" w:cs="Times New Roman"/>
          <w:b/>
          <w:bCs/>
          <w:sz w:val="24"/>
          <w:szCs w:val="24"/>
        </w:rPr>
      </w:pPr>
    </w:p>
    <w:p w14:paraId="049C78C3" w14:textId="77777777" w:rsidR="001A12F4" w:rsidRDefault="001A12F4" w:rsidP="002E0EFB">
      <w:pPr>
        <w:spacing w:after="0" w:line="360" w:lineRule="auto"/>
        <w:jc w:val="center"/>
        <w:rPr>
          <w:rFonts w:eastAsia="Times New Roman" w:cs="Times New Roman"/>
          <w:b/>
          <w:bCs/>
          <w:sz w:val="24"/>
          <w:szCs w:val="24"/>
        </w:rPr>
      </w:pPr>
    </w:p>
    <w:p w14:paraId="5C01FDCA" w14:textId="77777777" w:rsidR="001A12F4" w:rsidRDefault="001A12F4" w:rsidP="002E0EFB">
      <w:pPr>
        <w:spacing w:after="0" w:line="360" w:lineRule="auto"/>
        <w:jc w:val="center"/>
        <w:rPr>
          <w:rFonts w:eastAsia="Times New Roman" w:cs="Times New Roman"/>
          <w:b/>
          <w:bCs/>
          <w:sz w:val="24"/>
          <w:szCs w:val="24"/>
        </w:rPr>
      </w:pPr>
    </w:p>
    <w:p w14:paraId="59B50FBE" w14:textId="77777777" w:rsidR="001A12F4" w:rsidRDefault="001A12F4" w:rsidP="002E0EFB">
      <w:pPr>
        <w:spacing w:after="0" w:line="360" w:lineRule="auto"/>
        <w:jc w:val="center"/>
        <w:rPr>
          <w:rFonts w:eastAsia="Times New Roman" w:cs="Times New Roman"/>
          <w:b/>
          <w:bCs/>
          <w:sz w:val="24"/>
          <w:szCs w:val="24"/>
        </w:rPr>
      </w:pPr>
    </w:p>
    <w:p w14:paraId="36A71EF4" w14:textId="53720EF8" w:rsidR="00AB5297" w:rsidRPr="0073199D" w:rsidRDefault="005359F1" w:rsidP="002E0EFB">
      <w:pPr>
        <w:spacing w:after="0" w:line="360" w:lineRule="auto"/>
        <w:jc w:val="center"/>
        <w:rPr>
          <w:rFonts w:eastAsia="Times New Roman" w:cs="Times New Roman"/>
          <w:b/>
          <w:bCs/>
          <w:sz w:val="24"/>
          <w:szCs w:val="24"/>
        </w:rPr>
      </w:pPr>
      <w:r w:rsidRPr="005359F1">
        <w:rPr>
          <w:rFonts w:eastAsia="Times New Roman" w:cs="Times New Roman"/>
          <w:b/>
          <w:bCs/>
          <w:sz w:val="24"/>
          <w:szCs w:val="24"/>
        </w:rPr>
        <w:lastRenderedPageBreak/>
        <w:t>Г. Феохромоцитома и параганглиома</w:t>
      </w:r>
    </w:p>
    <w:p w14:paraId="445B49E3" w14:textId="77777777" w:rsidR="00AB5297" w:rsidRDefault="00AB5297" w:rsidP="00AB5297">
      <w:pPr>
        <w:spacing w:after="0" w:line="360" w:lineRule="auto"/>
        <w:jc w:val="both"/>
        <w:rPr>
          <w:rFonts w:eastAsia="Times New Roman" w:cs="Times New Roman"/>
          <w:sz w:val="24"/>
          <w:szCs w:val="24"/>
        </w:rPr>
      </w:pPr>
    </w:p>
    <w:p w14:paraId="7D2E5BBC" w14:textId="77777777" w:rsidR="00AB5297" w:rsidRDefault="005359F1" w:rsidP="00AB5297">
      <w:pPr>
        <w:spacing w:after="0" w:line="360" w:lineRule="auto"/>
        <w:jc w:val="both"/>
        <w:rPr>
          <w:rFonts w:eastAsia="Times New Roman" w:cs="Times New Roman"/>
          <w:sz w:val="24"/>
          <w:szCs w:val="24"/>
        </w:rPr>
      </w:pPr>
      <w:r>
        <w:rPr>
          <w:noProof/>
          <w:lang w:eastAsia="ru-RU"/>
        </w:rPr>
        <w:drawing>
          <wp:inline distT="0" distB="0" distL="0" distR="0" wp14:anchorId="630DC598" wp14:editId="22624D55">
            <wp:extent cx="5936615" cy="4082415"/>
            <wp:effectExtent l="0" t="0" r="6985" b="0"/>
            <wp:docPr id="15272316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231665" name=""/>
                    <pic:cNvPicPr/>
                  </pic:nvPicPr>
                  <pic:blipFill>
                    <a:blip r:embed="rId37" cstate="print"/>
                    <a:stretch>
                      <a:fillRect/>
                    </a:stretch>
                  </pic:blipFill>
                  <pic:spPr>
                    <a:xfrm>
                      <a:off x="0" y="0"/>
                      <a:ext cx="5936615" cy="4082415"/>
                    </a:xfrm>
                    <a:prstGeom prst="rect">
                      <a:avLst/>
                    </a:prstGeom>
                  </pic:spPr>
                </pic:pic>
              </a:graphicData>
            </a:graphic>
          </wp:inline>
        </w:drawing>
      </w:r>
    </w:p>
    <w:p w14:paraId="76822611" w14:textId="77777777" w:rsidR="005359F1" w:rsidRPr="005359F1" w:rsidRDefault="005359F1" w:rsidP="005359F1">
      <w:pPr>
        <w:spacing w:after="0" w:line="360" w:lineRule="auto"/>
        <w:jc w:val="both"/>
        <w:rPr>
          <w:rFonts w:eastAsia="Times New Roman" w:cs="Times New Roman"/>
          <w:sz w:val="24"/>
          <w:szCs w:val="24"/>
        </w:rPr>
      </w:pPr>
      <w:r w:rsidRPr="00221F69">
        <w:rPr>
          <w:rFonts w:eastAsia="Times New Roman" w:cs="Times New Roman"/>
          <w:sz w:val="24"/>
          <w:szCs w:val="24"/>
          <w:vertAlign w:val="superscript"/>
        </w:rPr>
        <w:t>1</w:t>
      </w:r>
      <w:r w:rsidRPr="005359F1">
        <w:rPr>
          <w:rFonts w:eastAsia="Times New Roman" w:cs="Times New Roman"/>
          <w:sz w:val="24"/>
          <w:szCs w:val="24"/>
        </w:rPr>
        <w:t xml:space="preserve">варьирует от 0,2 до 0,6% при АГ и &lt;0,05% в общей популяции. </w:t>
      </w:r>
      <w:r w:rsidRPr="00221F69">
        <w:rPr>
          <w:rFonts w:eastAsia="Times New Roman" w:cs="Times New Roman"/>
          <w:sz w:val="24"/>
          <w:szCs w:val="24"/>
          <w:vertAlign w:val="superscript"/>
        </w:rPr>
        <w:t>2</w:t>
      </w:r>
      <w:r w:rsidRPr="005359F1">
        <w:rPr>
          <w:rFonts w:eastAsia="Times New Roman" w:cs="Times New Roman"/>
          <w:sz w:val="24"/>
          <w:szCs w:val="24"/>
        </w:rPr>
        <w:t xml:space="preserve">данные симптомы встречаются чаще всего; другие (бледность, тремор, тошнота, паническая атака ил тревога) – значительно реже. </w:t>
      </w:r>
      <w:r w:rsidRPr="00221F69">
        <w:rPr>
          <w:rFonts w:eastAsia="Times New Roman" w:cs="Times New Roman"/>
          <w:sz w:val="24"/>
          <w:szCs w:val="24"/>
          <w:vertAlign w:val="superscript"/>
        </w:rPr>
        <w:t>3</w:t>
      </w:r>
      <w:r w:rsidRPr="005359F1">
        <w:rPr>
          <w:rFonts w:eastAsia="Times New Roman" w:cs="Times New Roman"/>
          <w:sz w:val="24"/>
          <w:szCs w:val="24"/>
        </w:rPr>
        <w:t xml:space="preserve">рутинное генетическое обследование рекомендовано во всех случаях феохромоцитом и параганглиом. Наиболее часто вовлекаются гены SDHB, SDHD, VHL, RET и NF1. При наличии мутации SDHB высок риск малигнизации. Таким пациентам необходимо проводить регулярный биохимический скрининг и визуализацию. </w:t>
      </w:r>
      <w:r w:rsidRPr="005923AA">
        <w:rPr>
          <w:rFonts w:eastAsia="Times New Roman" w:cs="Times New Roman"/>
          <w:sz w:val="24"/>
          <w:szCs w:val="24"/>
          <w:vertAlign w:val="superscript"/>
        </w:rPr>
        <w:t>4</w:t>
      </w:r>
      <w:r w:rsidRPr="005359F1">
        <w:rPr>
          <w:rFonts w:eastAsia="Times New Roman" w:cs="Times New Roman"/>
          <w:sz w:val="24"/>
          <w:szCs w:val="24"/>
        </w:rPr>
        <w:t xml:space="preserve">Подготовка к операции включает назначение альфа-1 АБ в качестве препарата первого выбора для предотвращения жизнеугрожающих СС осложнений в периоперационном периоде. </w:t>
      </w:r>
      <w:r w:rsidRPr="005923AA">
        <w:rPr>
          <w:rFonts w:eastAsia="Times New Roman" w:cs="Times New Roman"/>
          <w:sz w:val="24"/>
          <w:szCs w:val="24"/>
          <w:vertAlign w:val="superscript"/>
        </w:rPr>
        <w:t>5</w:t>
      </w:r>
      <w:r w:rsidRPr="005359F1">
        <w:rPr>
          <w:rFonts w:eastAsia="Times New Roman" w:cs="Times New Roman"/>
          <w:sz w:val="24"/>
          <w:szCs w:val="24"/>
        </w:rPr>
        <w:t xml:space="preserve">Всех оперированных пациентов необходимо наблюдать не менее 10 лет, Первый осмотр должен быть проведен через 2-6 недель после операции для подтверждения полного удаления опухоли. </w:t>
      </w:r>
    </w:p>
    <w:p w14:paraId="4987960D" w14:textId="77777777" w:rsidR="00B21571" w:rsidRDefault="00B21571" w:rsidP="005359F1">
      <w:pPr>
        <w:spacing w:after="0" w:line="360" w:lineRule="auto"/>
        <w:jc w:val="both"/>
        <w:rPr>
          <w:rFonts w:eastAsia="Times New Roman" w:cs="Times New Roman"/>
          <w:b/>
          <w:bCs/>
          <w:sz w:val="24"/>
          <w:szCs w:val="24"/>
        </w:rPr>
      </w:pPr>
    </w:p>
    <w:p w14:paraId="5420EECA" w14:textId="77777777" w:rsidR="002E0EFB" w:rsidRDefault="002E0EFB" w:rsidP="005359F1">
      <w:pPr>
        <w:spacing w:after="0" w:line="360" w:lineRule="auto"/>
        <w:jc w:val="both"/>
        <w:rPr>
          <w:rFonts w:eastAsia="Times New Roman" w:cs="Times New Roman"/>
          <w:b/>
          <w:bCs/>
          <w:sz w:val="24"/>
          <w:szCs w:val="24"/>
        </w:rPr>
      </w:pPr>
    </w:p>
    <w:p w14:paraId="4EA88BDD" w14:textId="77777777" w:rsidR="002E0EFB" w:rsidRDefault="002E0EFB" w:rsidP="005359F1">
      <w:pPr>
        <w:spacing w:after="0" w:line="360" w:lineRule="auto"/>
        <w:jc w:val="both"/>
        <w:rPr>
          <w:rFonts w:eastAsia="Times New Roman" w:cs="Times New Roman"/>
          <w:b/>
          <w:bCs/>
          <w:sz w:val="24"/>
          <w:szCs w:val="24"/>
        </w:rPr>
      </w:pPr>
    </w:p>
    <w:p w14:paraId="33A59701" w14:textId="77777777" w:rsidR="002E0EFB" w:rsidRDefault="002E0EFB" w:rsidP="005359F1">
      <w:pPr>
        <w:spacing w:after="0" w:line="360" w:lineRule="auto"/>
        <w:jc w:val="both"/>
        <w:rPr>
          <w:rFonts w:eastAsia="Times New Roman" w:cs="Times New Roman"/>
          <w:b/>
          <w:bCs/>
          <w:sz w:val="24"/>
          <w:szCs w:val="24"/>
        </w:rPr>
      </w:pPr>
    </w:p>
    <w:p w14:paraId="69C434AA" w14:textId="77777777" w:rsidR="002E0EFB" w:rsidRDefault="002E0EFB" w:rsidP="005359F1">
      <w:pPr>
        <w:spacing w:after="0" w:line="360" w:lineRule="auto"/>
        <w:jc w:val="both"/>
        <w:rPr>
          <w:rFonts w:eastAsia="Times New Roman" w:cs="Times New Roman"/>
          <w:b/>
          <w:bCs/>
          <w:sz w:val="24"/>
          <w:szCs w:val="24"/>
        </w:rPr>
      </w:pPr>
    </w:p>
    <w:p w14:paraId="719444CA" w14:textId="77777777" w:rsidR="005359F1" w:rsidRPr="005359F1" w:rsidRDefault="005359F1" w:rsidP="002E0EFB">
      <w:pPr>
        <w:spacing w:after="0" w:line="360" w:lineRule="auto"/>
        <w:jc w:val="center"/>
        <w:rPr>
          <w:rFonts w:eastAsia="Times New Roman" w:cs="Times New Roman"/>
          <w:b/>
          <w:bCs/>
          <w:sz w:val="24"/>
          <w:szCs w:val="24"/>
        </w:rPr>
      </w:pPr>
      <w:r w:rsidRPr="005359F1">
        <w:rPr>
          <w:rFonts w:eastAsia="Times New Roman" w:cs="Times New Roman"/>
          <w:b/>
          <w:bCs/>
          <w:sz w:val="24"/>
          <w:szCs w:val="24"/>
        </w:rPr>
        <w:lastRenderedPageBreak/>
        <w:t>Д. Синдром Иценко-Кушинга.</w:t>
      </w:r>
    </w:p>
    <w:p w14:paraId="601FF1F1" w14:textId="77777777" w:rsidR="00AB5297" w:rsidRDefault="005359F1" w:rsidP="00AB5297">
      <w:pPr>
        <w:spacing w:after="0" w:line="360" w:lineRule="auto"/>
        <w:jc w:val="both"/>
        <w:rPr>
          <w:rFonts w:eastAsia="Times New Roman" w:cs="Times New Roman"/>
          <w:sz w:val="24"/>
          <w:szCs w:val="24"/>
        </w:rPr>
      </w:pPr>
      <w:r>
        <w:rPr>
          <w:noProof/>
          <w:lang w:eastAsia="ru-RU"/>
        </w:rPr>
        <w:drawing>
          <wp:inline distT="0" distB="0" distL="0" distR="0" wp14:anchorId="303D8C0C" wp14:editId="44327DDA">
            <wp:extent cx="5936615" cy="3999230"/>
            <wp:effectExtent l="0" t="0" r="6985" b="1270"/>
            <wp:docPr id="129196010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960100" name=""/>
                    <pic:cNvPicPr/>
                  </pic:nvPicPr>
                  <pic:blipFill>
                    <a:blip r:embed="rId38" cstate="print"/>
                    <a:stretch>
                      <a:fillRect/>
                    </a:stretch>
                  </pic:blipFill>
                  <pic:spPr>
                    <a:xfrm>
                      <a:off x="0" y="0"/>
                      <a:ext cx="5936615" cy="3999230"/>
                    </a:xfrm>
                    <a:prstGeom prst="rect">
                      <a:avLst/>
                    </a:prstGeom>
                  </pic:spPr>
                </pic:pic>
              </a:graphicData>
            </a:graphic>
          </wp:inline>
        </w:drawing>
      </w:r>
    </w:p>
    <w:p w14:paraId="44918E6E" w14:textId="77777777" w:rsidR="00AB5297" w:rsidRDefault="00AB5297" w:rsidP="00AB5297">
      <w:pPr>
        <w:spacing w:after="0" w:line="360" w:lineRule="auto"/>
        <w:jc w:val="both"/>
        <w:rPr>
          <w:rFonts w:eastAsia="Times New Roman" w:cs="Times New Roman"/>
          <w:sz w:val="24"/>
          <w:szCs w:val="24"/>
        </w:rPr>
      </w:pPr>
    </w:p>
    <w:p w14:paraId="1F11F0AC" w14:textId="736D243A" w:rsidR="005359F1" w:rsidRDefault="005359F1" w:rsidP="005359F1">
      <w:pPr>
        <w:spacing w:after="0" w:line="360" w:lineRule="auto"/>
        <w:jc w:val="both"/>
        <w:rPr>
          <w:rFonts w:eastAsia="Times New Roman" w:cs="Times New Roman"/>
          <w:sz w:val="24"/>
          <w:szCs w:val="24"/>
        </w:rPr>
      </w:pPr>
      <w:r w:rsidRPr="00221F69">
        <w:rPr>
          <w:rFonts w:eastAsia="Times New Roman" w:cs="Times New Roman"/>
          <w:sz w:val="24"/>
          <w:szCs w:val="24"/>
          <w:vertAlign w:val="superscript"/>
        </w:rPr>
        <w:t>1</w:t>
      </w:r>
      <w:r w:rsidRPr="005359F1">
        <w:rPr>
          <w:rFonts w:eastAsia="Times New Roman" w:cs="Times New Roman"/>
          <w:sz w:val="24"/>
          <w:szCs w:val="24"/>
        </w:rPr>
        <w:t xml:space="preserve">в отдельных популяциях, включая трудно контролируемую АГ или СД 2 типа. В общей популяции встречаемость 0,7-2,4 на млн в год. </w:t>
      </w:r>
      <w:r w:rsidRPr="004B0670">
        <w:rPr>
          <w:rFonts w:eastAsia="Times New Roman" w:cs="Times New Roman"/>
          <w:sz w:val="24"/>
          <w:szCs w:val="24"/>
          <w:vertAlign w:val="superscript"/>
        </w:rPr>
        <w:t>2</w:t>
      </w:r>
      <w:r w:rsidRPr="005359F1">
        <w:rPr>
          <w:rFonts w:eastAsia="Times New Roman" w:cs="Times New Roman"/>
          <w:sz w:val="24"/>
          <w:szCs w:val="24"/>
        </w:rPr>
        <w:t xml:space="preserve">при отклонениях в результатах первичного анализа для подтверждения диагноза требуется положительный результат хотя бы еще одного из скрининговых тестов. </w:t>
      </w:r>
    </w:p>
    <w:p w14:paraId="5EB801DE" w14:textId="77777777" w:rsidR="002E0EFB" w:rsidRDefault="002E0EFB" w:rsidP="005359F1">
      <w:pPr>
        <w:spacing w:after="0" w:line="360" w:lineRule="auto"/>
        <w:jc w:val="both"/>
        <w:rPr>
          <w:b/>
          <w:bCs/>
          <w:sz w:val="24"/>
          <w:szCs w:val="20"/>
        </w:rPr>
      </w:pPr>
    </w:p>
    <w:p w14:paraId="4A6A71FF" w14:textId="77777777" w:rsidR="002E0EFB" w:rsidRDefault="00D3749B" w:rsidP="002E0EFB">
      <w:pPr>
        <w:spacing w:after="0" w:line="360" w:lineRule="auto"/>
        <w:jc w:val="right"/>
        <w:rPr>
          <w:b/>
          <w:bCs/>
          <w:sz w:val="24"/>
          <w:szCs w:val="20"/>
        </w:rPr>
      </w:pPr>
      <w:r w:rsidRPr="00D3749B">
        <w:rPr>
          <w:b/>
          <w:bCs/>
          <w:sz w:val="24"/>
          <w:szCs w:val="20"/>
        </w:rPr>
        <w:t xml:space="preserve">Таблица П6/А3. </w:t>
      </w:r>
    </w:p>
    <w:p w14:paraId="3D13B889" w14:textId="542C8155" w:rsidR="00D3749B" w:rsidRPr="00D3749B" w:rsidRDefault="00D3749B" w:rsidP="005359F1">
      <w:pPr>
        <w:spacing w:after="0" w:line="360" w:lineRule="auto"/>
        <w:jc w:val="both"/>
        <w:rPr>
          <w:rFonts w:eastAsia="Times New Roman" w:cs="Times New Roman"/>
          <w:b/>
          <w:bCs/>
          <w:sz w:val="22"/>
        </w:rPr>
      </w:pPr>
      <w:r w:rsidRPr="00D3749B">
        <w:rPr>
          <w:b/>
          <w:bCs/>
          <w:sz w:val="24"/>
          <w:szCs w:val="20"/>
        </w:rPr>
        <w:t>Основные требования к физическому обследованию</w:t>
      </w:r>
    </w:p>
    <w:tbl>
      <w:tblPr>
        <w:tblStyle w:val="afe"/>
        <w:tblW w:w="0" w:type="auto"/>
        <w:tblLook w:val="04A0" w:firstRow="1" w:lastRow="0" w:firstColumn="1" w:lastColumn="0" w:noHBand="0" w:noVBand="1"/>
      </w:tblPr>
      <w:tblGrid>
        <w:gridCol w:w="9339"/>
      </w:tblGrid>
      <w:tr w:rsidR="00333B40" w:rsidRPr="00333B40" w14:paraId="64D0ECB9" w14:textId="77777777">
        <w:tc>
          <w:tcPr>
            <w:tcW w:w="9339" w:type="dxa"/>
          </w:tcPr>
          <w:p w14:paraId="0E4AC0BE" w14:textId="77777777" w:rsidR="00333B40" w:rsidRPr="00333B40" w:rsidRDefault="00333B40" w:rsidP="00333B40">
            <w:pPr>
              <w:jc w:val="both"/>
              <w:rPr>
                <w:rFonts w:eastAsia="Times New Roman" w:cs="Times New Roman"/>
                <w:b/>
                <w:bCs/>
                <w:sz w:val="24"/>
                <w:szCs w:val="24"/>
              </w:rPr>
            </w:pPr>
            <w:r w:rsidRPr="00333B40">
              <w:rPr>
                <w:rFonts w:eastAsia="Times New Roman" w:cs="Times New Roman"/>
                <w:b/>
                <w:bCs/>
                <w:sz w:val="24"/>
                <w:szCs w:val="24"/>
              </w:rPr>
              <w:t xml:space="preserve">Антропометрические показатели </w:t>
            </w:r>
          </w:p>
        </w:tc>
      </w:tr>
      <w:tr w:rsidR="00333B40" w:rsidRPr="00333B40" w14:paraId="7ACBFB0B" w14:textId="77777777">
        <w:tc>
          <w:tcPr>
            <w:tcW w:w="9339" w:type="dxa"/>
          </w:tcPr>
          <w:p w14:paraId="3E165BC9" w14:textId="77777777" w:rsidR="00333B40" w:rsidRPr="00333B40" w:rsidRDefault="00333B40" w:rsidP="00333B40">
            <w:pPr>
              <w:jc w:val="both"/>
              <w:rPr>
                <w:rFonts w:eastAsia="Times New Roman" w:cs="Times New Roman"/>
                <w:sz w:val="24"/>
                <w:szCs w:val="24"/>
                <w:lang w:val="ru-RU"/>
              </w:rPr>
            </w:pPr>
            <w:r w:rsidRPr="00333B40">
              <w:rPr>
                <w:rFonts w:eastAsia="Times New Roman" w:cs="Times New Roman"/>
                <w:sz w:val="24"/>
                <w:szCs w:val="24"/>
                <w:lang w:val="ru-RU"/>
              </w:rPr>
              <w:t xml:space="preserve">Определение веса и роста с помощью калиброванных приборов, расчет ИМТ </w:t>
            </w:r>
          </w:p>
        </w:tc>
      </w:tr>
      <w:tr w:rsidR="00333B40" w:rsidRPr="00333B40" w14:paraId="61EF6961" w14:textId="77777777">
        <w:tc>
          <w:tcPr>
            <w:tcW w:w="9339" w:type="dxa"/>
          </w:tcPr>
          <w:p w14:paraId="7E6ACAB4" w14:textId="77777777" w:rsidR="00333B40" w:rsidRPr="00333B40" w:rsidRDefault="00333B40" w:rsidP="00333B40">
            <w:pPr>
              <w:jc w:val="both"/>
              <w:rPr>
                <w:rFonts w:eastAsia="Times New Roman" w:cs="Times New Roman"/>
                <w:sz w:val="24"/>
                <w:szCs w:val="24"/>
              </w:rPr>
            </w:pPr>
            <w:r w:rsidRPr="00333B40">
              <w:rPr>
                <w:rFonts w:eastAsia="Times New Roman" w:cs="Times New Roman"/>
                <w:sz w:val="24"/>
                <w:szCs w:val="24"/>
              </w:rPr>
              <w:t xml:space="preserve">Окружность талии </w:t>
            </w:r>
          </w:p>
        </w:tc>
      </w:tr>
      <w:tr w:rsidR="00333B40" w:rsidRPr="00333B40" w14:paraId="0269AAF9" w14:textId="77777777">
        <w:tc>
          <w:tcPr>
            <w:tcW w:w="9339" w:type="dxa"/>
          </w:tcPr>
          <w:p w14:paraId="38AA902C" w14:textId="77777777" w:rsidR="00333B40" w:rsidRPr="00333B40" w:rsidRDefault="00333B40" w:rsidP="00333B40">
            <w:pPr>
              <w:jc w:val="both"/>
              <w:rPr>
                <w:rFonts w:eastAsia="Times New Roman" w:cs="Times New Roman"/>
                <w:b/>
                <w:bCs/>
                <w:sz w:val="24"/>
                <w:szCs w:val="24"/>
              </w:rPr>
            </w:pPr>
            <w:r w:rsidRPr="00333B40">
              <w:rPr>
                <w:rFonts w:eastAsia="Times New Roman" w:cs="Times New Roman"/>
                <w:b/>
                <w:bCs/>
                <w:sz w:val="24"/>
                <w:szCs w:val="24"/>
              </w:rPr>
              <w:t xml:space="preserve">Признаки ПОМ </w:t>
            </w:r>
          </w:p>
        </w:tc>
      </w:tr>
      <w:tr w:rsidR="00333B40" w:rsidRPr="00333B40" w14:paraId="287F59E5" w14:textId="77777777">
        <w:tc>
          <w:tcPr>
            <w:tcW w:w="9339" w:type="dxa"/>
          </w:tcPr>
          <w:p w14:paraId="2AD0D4C5" w14:textId="77777777" w:rsidR="00333B40" w:rsidRPr="00333B40" w:rsidRDefault="00333B40" w:rsidP="00333B40">
            <w:pPr>
              <w:jc w:val="both"/>
              <w:rPr>
                <w:rFonts w:eastAsia="Times New Roman" w:cs="Times New Roman"/>
                <w:sz w:val="24"/>
                <w:szCs w:val="24"/>
                <w:lang w:val="ru-RU"/>
              </w:rPr>
            </w:pPr>
            <w:r w:rsidRPr="00333B40">
              <w:rPr>
                <w:rFonts w:eastAsia="Times New Roman" w:cs="Times New Roman"/>
                <w:sz w:val="24"/>
                <w:szCs w:val="24"/>
                <w:lang w:val="ru-RU"/>
              </w:rPr>
              <w:t xml:space="preserve">Неврологическое обследование и оценка когнитивного статуса </w:t>
            </w:r>
          </w:p>
        </w:tc>
      </w:tr>
      <w:tr w:rsidR="00333B40" w:rsidRPr="00333B40" w14:paraId="2F5951B7" w14:textId="77777777">
        <w:tc>
          <w:tcPr>
            <w:tcW w:w="9339" w:type="dxa"/>
          </w:tcPr>
          <w:p w14:paraId="38A865E2" w14:textId="77777777" w:rsidR="00333B40" w:rsidRPr="00333B40" w:rsidRDefault="00333B40" w:rsidP="00333B40">
            <w:pPr>
              <w:jc w:val="both"/>
              <w:rPr>
                <w:rFonts w:eastAsia="Times New Roman" w:cs="Times New Roman"/>
                <w:sz w:val="24"/>
                <w:szCs w:val="24"/>
                <w:lang w:val="ru-RU"/>
              </w:rPr>
            </w:pPr>
            <w:r w:rsidRPr="00333B40">
              <w:rPr>
                <w:rFonts w:eastAsia="Times New Roman" w:cs="Times New Roman"/>
                <w:sz w:val="24"/>
                <w:szCs w:val="24"/>
                <w:lang w:val="ru-RU"/>
              </w:rPr>
              <w:t>Фундоскопия для выявления гипертонической ретинопатии</w:t>
            </w:r>
          </w:p>
        </w:tc>
      </w:tr>
      <w:tr w:rsidR="00333B40" w:rsidRPr="00333B40" w14:paraId="7D0CA4FD" w14:textId="77777777">
        <w:tc>
          <w:tcPr>
            <w:tcW w:w="9339" w:type="dxa"/>
          </w:tcPr>
          <w:p w14:paraId="10A09F51" w14:textId="77777777" w:rsidR="00333B40" w:rsidRPr="00333B40" w:rsidRDefault="00333B40" w:rsidP="00333B40">
            <w:pPr>
              <w:jc w:val="both"/>
              <w:rPr>
                <w:rFonts w:eastAsia="Times New Roman" w:cs="Times New Roman"/>
                <w:sz w:val="24"/>
                <w:szCs w:val="24"/>
                <w:lang w:val="ru-RU"/>
              </w:rPr>
            </w:pPr>
            <w:r w:rsidRPr="00333B40">
              <w:rPr>
                <w:rFonts w:eastAsia="Times New Roman" w:cs="Times New Roman"/>
                <w:sz w:val="24"/>
                <w:szCs w:val="24"/>
                <w:lang w:val="ru-RU"/>
              </w:rPr>
              <w:t xml:space="preserve"> Пальпация и аускультация сердца, сонных и почечных артерий </w:t>
            </w:r>
          </w:p>
        </w:tc>
      </w:tr>
      <w:tr w:rsidR="00333B40" w:rsidRPr="00333B40" w14:paraId="69672636" w14:textId="77777777">
        <w:tc>
          <w:tcPr>
            <w:tcW w:w="9339" w:type="dxa"/>
          </w:tcPr>
          <w:p w14:paraId="69227173" w14:textId="77777777" w:rsidR="00333B40" w:rsidRPr="00333B40" w:rsidRDefault="00333B40" w:rsidP="00333B40">
            <w:pPr>
              <w:jc w:val="both"/>
              <w:rPr>
                <w:rFonts w:eastAsia="Times New Roman" w:cs="Times New Roman"/>
                <w:sz w:val="24"/>
                <w:szCs w:val="24"/>
              </w:rPr>
            </w:pPr>
            <w:r w:rsidRPr="00333B40">
              <w:rPr>
                <w:rFonts w:eastAsia="Times New Roman" w:cs="Times New Roman"/>
                <w:sz w:val="24"/>
                <w:szCs w:val="24"/>
              </w:rPr>
              <w:t xml:space="preserve">Пальпация периферических артерий </w:t>
            </w:r>
          </w:p>
        </w:tc>
      </w:tr>
      <w:tr w:rsidR="00333B40" w:rsidRPr="00333B40" w14:paraId="53733BAE" w14:textId="77777777">
        <w:tc>
          <w:tcPr>
            <w:tcW w:w="9339" w:type="dxa"/>
          </w:tcPr>
          <w:p w14:paraId="3531D2DD" w14:textId="77777777" w:rsidR="00333B40" w:rsidRPr="00333B40" w:rsidRDefault="00333B40" w:rsidP="00333B40">
            <w:pPr>
              <w:jc w:val="both"/>
              <w:rPr>
                <w:rFonts w:eastAsia="Times New Roman" w:cs="Times New Roman"/>
                <w:sz w:val="24"/>
                <w:szCs w:val="24"/>
                <w:lang w:val="ru-RU"/>
              </w:rPr>
            </w:pPr>
            <w:r w:rsidRPr="00333B40">
              <w:rPr>
                <w:rFonts w:eastAsia="Times New Roman" w:cs="Times New Roman"/>
                <w:sz w:val="24"/>
                <w:szCs w:val="24"/>
                <w:lang w:val="ru-RU"/>
              </w:rPr>
              <w:t xml:space="preserve">Определение АД на обеих руках (как минимум однократно) </w:t>
            </w:r>
          </w:p>
        </w:tc>
      </w:tr>
      <w:tr w:rsidR="00333B40" w:rsidRPr="00333B40" w14:paraId="5D5D8566" w14:textId="77777777">
        <w:tc>
          <w:tcPr>
            <w:tcW w:w="9339" w:type="dxa"/>
          </w:tcPr>
          <w:p w14:paraId="06C5626C" w14:textId="77777777" w:rsidR="00333B40" w:rsidRPr="00333B40" w:rsidRDefault="00333B40" w:rsidP="00333B40">
            <w:pPr>
              <w:jc w:val="both"/>
              <w:rPr>
                <w:rFonts w:eastAsia="Times New Roman" w:cs="Times New Roman"/>
                <w:sz w:val="24"/>
                <w:szCs w:val="24"/>
              </w:rPr>
            </w:pPr>
            <w:r w:rsidRPr="00333B40">
              <w:rPr>
                <w:rFonts w:eastAsia="Times New Roman" w:cs="Times New Roman"/>
                <w:sz w:val="24"/>
                <w:szCs w:val="24"/>
              </w:rPr>
              <w:t xml:space="preserve">Определение лодыжечно-плечевого индекса </w:t>
            </w:r>
          </w:p>
        </w:tc>
      </w:tr>
      <w:tr w:rsidR="00333B40" w:rsidRPr="00333B40" w14:paraId="3AFFD117" w14:textId="77777777">
        <w:tc>
          <w:tcPr>
            <w:tcW w:w="9339" w:type="dxa"/>
          </w:tcPr>
          <w:p w14:paraId="67D394C9" w14:textId="77777777" w:rsidR="00333B40" w:rsidRPr="00333B40" w:rsidRDefault="00333B40" w:rsidP="00333B40">
            <w:pPr>
              <w:jc w:val="both"/>
              <w:rPr>
                <w:rFonts w:eastAsia="Times New Roman" w:cs="Times New Roman"/>
                <w:b/>
                <w:bCs/>
                <w:sz w:val="24"/>
                <w:szCs w:val="24"/>
              </w:rPr>
            </w:pPr>
            <w:r w:rsidRPr="00333B40">
              <w:rPr>
                <w:rFonts w:eastAsia="Times New Roman" w:cs="Times New Roman"/>
                <w:b/>
                <w:bCs/>
                <w:sz w:val="24"/>
                <w:szCs w:val="24"/>
              </w:rPr>
              <w:t xml:space="preserve">Вторичные гипертензии </w:t>
            </w:r>
          </w:p>
        </w:tc>
      </w:tr>
      <w:tr w:rsidR="00333B40" w:rsidRPr="00333B40" w14:paraId="7975F016" w14:textId="77777777">
        <w:tc>
          <w:tcPr>
            <w:tcW w:w="9339" w:type="dxa"/>
          </w:tcPr>
          <w:p w14:paraId="030532AE" w14:textId="77777777" w:rsidR="00333B40" w:rsidRPr="00333B40" w:rsidRDefault="00333B40" w:rsidP="00333B40">
            <w:pPr>
              <w:jc w:val="both"/>
              <w:rPr>
                <w:rFonts w:eastAsia="Times New Roman" w:cs="Times New Roman"/>
                <w:sz w:val="24"/>
                <w:szCs w:val="24"/>
                <w:lang w:val="ru-RU"/>
              </w:rPr>
            </w:pPr>
            <w:r w:rsidRPr="00333B40">
              <w:rPr>
                <w:rFonts w:eastAsia="Times New Roman" w:cs="Times New Roman"/>
                <w:sz w:val="24"/>
                <w:szCs w:val="24"/>
                <w:lang w:val="ru-RU"/>
              </w:rPr>
              <w:t xml:space="preserve">Осмотр кожных покровов: признаки нейрофиброматоза (феохромоцитома) </w:t>
            </w:r>
          </w:p>
        </w:tc>
      </w:tr>
      <w:tr w:rsidR="00333B40" w:rsidRPr="00333B40" w14:paraId="573D3F03" w14:textId="77777777">
        <w:tc>
          <w:tcPr>
            <w:tcW w:w="9339" w:type="dxa"/>
          </w:tcPr>
          <w:p w14:paraId="3C8862A6" w14:textId="77777777" w:rsidR="00333B40" w:rsidRPr="00333B40" w:rsidRDefault="00333B40" w:rsidP="00333B40">
            <w:pPr>
              <w:jc w:val="both"/>
              <w:rPr>
                <w:rFonts w:eastAsia="Times New Roman" w:cs="Times New Roman"/>
                <w:sz w:val="24"/>
                <w:szCs w:val="24"/>
                <w:lang w:val="ru-RU"/>
              </w:rPr>
            </w:pPr>
            <w:r w:rsidRPr="00333B40">
              <w:rPr>
                <w:rFonts w:eastAsia="Times New Roman" w:cs="Times New Roman"/>
                <w:sz w:val="24"/>
                <w:szCs w:val="24"/>
                <w:lang w:val="ru-RU"/>
              </w:rPr>
              <w:t>Пальпация почек для исключения их увеличения при поликистозе</w:t>
            </w:r>
          </w:p>
        </w:tc>
      </w:tr>
      <w:tr w:rsidR="00333B40" w:rsidRPr="00333B40" w14:paraId="232549C2" w14:textId="77777777">
        <w:tc>
          <w:tcPr>
            <w:tcW w:w="9339" w:type="dxa"/>
          </w:tcPr>
          <w:p w14:paraId="63A74595" w14:textId="77777777" w:rsidR="00333B40" w:rsidRPr="00333B40" w:rsidRDefault="00333B40" w:rsidP="00333B40">
            <w:pPr>
              <w:jc w:val="both"/>
              <w:rPr>
                <w:rFonts w:eastAsia="Times New Roman" w:cs="Times New Roman"/>
                <w:sz w:val="24"/>
                <w:szCs w:val="24"/>
                <w:lang w:val="ru-RU"/>
              </w:rPr>
            </w:pPr>
            <w:r w:rsidRPr="00333B40">
              <w:rPr>
                <w:rFonts w:eastAsia="Times New Roman" w:cs="Times New Roman"/>
                <w:sz w:val="24"/>
                <w:szCs w:val="24"/>
                <w:lang w:val="ru-RU"/>
              </w:rPr>
              <w:lastRenderedPageBreak/>
              <w:t xml:space="preserve"> Аускультация сердца и почечных артерий для выявления шумов, являющихся признаком коарктации аорты или реноваскулярной гипертензии</w:t>
            </w:r>
          </w:p>
        </w:tc>
      </w:tr>
      <w:tr w:rsidR="00333B40" w:rsidRPr="00333B40" w14:paraId="4833A5D9" w14:textId="77777777">
        <w:tc>
          <w:tcPr>
            <w:tcW w:w="9339" w:type="dxa"/>
          </w:tcPr>
          <w:p w14:paraId="688B6F24" w14:textId="77777777" w:rsidR="00333B40" w:rsidRPr="00333B40" w:rsidRDefault="00333B40" w:rsidP="00333B40">
            <w:pPr>
              <w:jc w:val="both"/>
              <w:rPr>
                <w:rFonts w:eastAsia="Times New Roman" w:cs="Times New Roman"/>
                <w:sz w:val="24"/>
                <w:szCs w:val="24"/>
                <w:lang w:val="ru-RU"/>
              </w:rPr>
            </w:pPr>
            <w:r w:rsidRPr="00333B40">
              <w:rPr>
                <w:rFonts w:eastAsia="Times New Roman" w:cs="Times New Roman"/>
                <w:sz w:val="24"/>
                <w:szCs w:val="24"/>
                <w:lang w:val="ru-RU"/>
              </w:rPr>
              <w:t xml:space="preserve"> Сравнение пульсации на радиальных и бедренных артериях для выявления задержки пульсовой волны при коарктации аорты</w:t>
            </w:r>
          </w:p>
        </w:tc>
      </w:tr>
      <w:tr w:rsidR="00333B40" w:rsidRPr="00333B40" w14:paraId="030E1175" w14:textId="77777777">
        <w:tc>
          <w:tcPr>
            <w:tcW w:w="9339" w:type="dxa"/>
          </w:tcPr>
          <w:p w14:paraId="006E53A5" w14:textId="77777777" w:rsidR="00333B40" w:rsidRDefault="00333B40" w:rsidP="00333B40">
            <w:pPr>
              <w:jc w:val="both"/>
              <w:rPr>
                <w:rFonts w:eastAsia="Times New Roman" w:cs="Times New Roman"/>
                <w:sz w:val="24"/>
                <w:szCs w:val="24"/>
                <w:lang w:val="ru-RU"/>
              </w:rPr>
            </w:pPr>
            <w:r w:rsidRPr="00333B40">
              <w:rPr>
                <w:rFonts w:eastAsia="Times New Roman" w:cs="Times New Roman"/>
                <w:sz w:val="24"/>
                <w:szCs w:val="24"/>
                <w:lang w:val="ru-RU"/>
              </w:rPr>
              <w:t xml:space="preserve"> Признаки синдрома Кушинга (сочетание 2 или более симптомов): </w:t>
            </w:r>
          </w:p>
          <w:p w14:paraId="238BA44E" w14:textId="77777777" w:rsidR="00333B40" w:rsidRPr="00333B40" w:rsidRDefault="00333B40" w:rsidP="00333B40">
            <w:pPr>
              <w:jc w:val="both"/>
              <w:rPr>
                <w:rFonts w:eastAsia="Times New Roman" w:cs="Times New Roman"/>
                <w:sz w:val="24"/>
                <w:szCs w:val="24"/>
                <w:lang w:val="ru-RU"/>
              </w:rPr>
            </w:pPr>
            <w:r>
              <w:rPr>
                <w:rFonts w:eastAsia="Times New Roman" w:cs="Times New Roman"/>
                <w:sz w:val="24"/>
                <w:szCs w:val="24"/>
                <w:lang w:val="ru-RU"/>
              </w:rPr>
              <w:t>«</w:t>
            </w:r>
            <w:r w:rsidRPr="00333B40">
              <w:rPr>
                <w:rFonts w:eastAsia="Times New Roman" w:cs="Times New Roman"/>
                <w:sz w:val="24"/>
                <w:szCs w:val="24"/>
                <w:lang w:val="ru-RU"/>
              </w:rPr>
              <w:t xml:space="preserve">центральное ожирение, </w:t>
            </w:r>
          </w:p>
          <w:p w14:paraId="3F2B0321" w14:textId="77777777" w:rsidR="00333B40" w:rsidRPr="00221F69" w:rsidRDefault="00333B40" w:rsidP="00424F51">
            <w:pPr>
              <w:pStyle w:val="a7"/>
              <w:numPr>
                <w:ilvl w:val="0"/>
                <w:numId w:val="56"/>
              </w:numPr>
              <w:jc w:val="both"/>
              <w:rPr>
                <w:rFonts w:eastAsia="Times New Roman" w:cs="Times New Roman"/>
                <w:sz w:val="24"/>
                <w:szCs w:val="24"/>
                <w:lang w:val="ru-RU"/>
              </w:rPr>
            </w:pPr>
            <w:r w:rsidRPr="00221F69">
              <w:rPr>
                <w:rFonts w:eastAsia="Times New Roman" w:cs="Times New Roman"/>
                <w:sz w:val="24"/>
                <w:szCs w:val="24"/>
                <w:lang w:val="ru-RU"/>
              </w:rPr>
              <w:t xml:space="preserve">проксимальная мышечная слабость, </w:t>
            </w:r>
          </w:p>
          <w:p w14:paraId="7023D034" w14:textId="77777777" w:rsidR="00333B40" w:rsidRPr="00917CE9" w:rsidRDefault="00333B40" w:rsidP="00424F51">
            <w:pPr>
              <w:pStyle w:val="a7"/>
              <w:numPr>
                <w:ilvl w:val="0"/>
                <w:numId w:val="53"/>
              </w:numPr>
              <w:jc w:val="both"/>
              <w:rPr>
                <w:rFonts w:eastAsia="Times New Roman" w:cs="Times New Roman"/>
                <w:sz w:val="24"/>
                <w:szCs w:val="24"/>
                <w:lang w:val="ru-RU"/>
              </w:rPr>
            </w:pPr>
            <w:r w:rsidRPr="00917CE9">
              <w:rPr>
                <w:rFonts w:eastAsia="Times New Roman" w:cs="Times New Roman"/>
                <w:sz w:val="24"/>
                <w:szCs w:val="24"/>
                <w:lang w:val="ru-RU"/>
              </w:rPr>
              <w:t xml:space="preserve">подкожные кровоизлияния, </w:t>
            </w:r>
          </w:p>
          <w:p w14:paraId="28F760DD" w14:textId="77777777" w:rsidR="00333B40" w:rsidRPr="00917CE9" w:rsidRDefault="00333B40" w:rsidP="00424F51">
            <w:pPr>
              <w:pStyle w:val="a7"/>
              <w:numPr>
                <w:ilvl w:val="0"/>
                <w:numId w:val="53"/>
              </w:numPr>
              <w:jc w:val="both"/>
              <w:rPr>
                <w:rFonts w:eastAsia="Times New Roman" w:cs="Times New Roman"/>
                <w:sz w:val="24"/>
                <w:szCs w:val="24"/>
                <w:lang w:val="ru-RU"/>
              </w:rPr>
            </w:pPr>
            <w:r w:rsidRPr="00917CE9">
              <w:rPr>
                <w:rFonts w:eastAsia="Times New Roman" w:cs="Times New Roman"/>
                <w:sz w:val="24"/>
                <w:szCs w:val="24"/>
                <w:lang w:val="ru-RU"/>
              </w:rPr>
              <w:t xml:space="preserve">широкие и глубокие стрии, </w:t>
            </w:r>
          </w:p>
          <w:p w14:paraId="354BCF6F" w14:textId="77777777" w:rsidR="00333B40" w:rsidRPr="00917CE9" w:rsidRDefault="00333B40" w:rsidP="00424F51">
            <w:pPr>
              <w:pStyle w:val="a7"/>
              <w:numPr>
                <w:ilvl w:val="0"/>
                <w:numId w:val="53"/>
              </w:numPr>
              <w:jc w:val="both"/>
              <w:rPr>
                <w:rFonts w:eastAsia="Times New Roman" w:cs="Times New Roman"/>
                <w:sz w:val="24"/>
                <w:szCs w:val="24"/>
                <w:lang w:val="ru-RU"/>
              </w:rPr>
            </w:pPr>
            <w:r w:rsidRPr="00917CE9">
              <w:rPr>
                <w:rFonts w:eastAsia="Times New Roman" w:cs="Times New Roman"/>
                <w:sz w:val="24"/>
                <w:szCs w:val="24"/>
                <w:lang w:val="ru-RU"/>
              </w:rPr>
              <w:t xml:space="preserve">необъяснимый остеопороз, </w:t>
            </w:r>
          </w:p>
          <w:p w14:paraId="3861A44D" w14:textId="77777777" w:rsidR="00333B40" w:rsidRPr="00917CE9" w:rsidRDefault="00333B40" w:rsidP="00424F51">
            <w:pPr>
              <w:pStyle w:val="a7"/>
              <w:numPr>
                <w:ilvl w:val="0"/>
                <w:numId w:val="53"/>
              </w:numPr>
              <w:jc w:val="both"/>
              <w:rPr>
                <w:rFonts w:eastAsia="Times New Roman" w:cs="Times New Roman"/>
                <w:sz w:val="24"/>
                <w:szCs w:val="24"/>
                <w:lang w:val="ru-RU"/>
              </w:rPr>
            </w:pPr>
            <w:r w:rsidRPr="00917CE9">
              <w:rPr>
                <w:rFonts w:eastAsia="Times New Roman" w:cs="Times New Roman"/>
                <w:sz w:val="24"/>
                <w:szCs w:val="24"/>
                <w:lang w:val="ru-RU"/>
              </w:rPr>
              <w:t xml:space="preserve">гипокалиемия, </w:t>
            </w:r>
          </w:p>
          <w:p w14:paraId="14E8E2AF" w14:textId="77777777" w:rsidR="00333B40" w:rsidRPr="00917CE9" w:rsidRDefault="00333B40" w:rsidP="00424F51">
            <w:pPr>
              <w:pStyle w:val="a7"/>
              <w:numPr>
                <w:ilvl w:val="0"/>
                <w:numId w:val="53"/>
              </w:numPr>
              <w:jc w:val="both"/>
              <w:rPr>
                <w:rFonts w:eastAsia="Times New Roman" w:cs="Times New Roman"/>
                <w:sz w:val="24"/>
                <w:szCs w:val="24"/>
                <w:lang w:val="ru-RU"/>
              </w:rPr>
            </w:pPr>
            <w:r w:rsidRPr="00917CE9">
              <w:rPr>
                <w:rFonts w:eastAsia="Times New Roman" w:cs="Times New Roman"/>
                <w:sz w:val="24"/>
                <w:szCs w:val="24"/>
                <w:lang w:val="ru-RU"/>
              </w:rPr>
              <w:t xml:space="preserve">вновь начавшийся СД, </w:t>
            </w:r>
          </w:p>
          <w:p w14:paraId="454D1CB4" w14:textId="77777777" w:rsidR="00333B40" w:rsidRPr="00917CE9" w:rsidRDefault="00333B40" w:rsidP="00424F51">
            <w:pPr>
              <w:pStyle w:val="a7"/>
              <w:numPr>
                <w:ilvl w:val="0"/>
                <w:numId w:val="53"/>
              </w:numPr>
              <w:jc w:val="both"/>
              <w:rPr>
                <w:rFonts w:eastAsia="Times New Roman" w:cs="Times New Roman"/>
                <w:sz w:val="24"/>
                <w:szCs w:val="24"/>
              </w:rPr>
            </w:pPr>
            <w:r w:rsidRPr="00917CE9">
              <w:rPr>
                <w:rFonts w:eastAsia="Times New Roman" w:cs="Times New Roman"/>
                <w:sz w:val="24"/>
                <w:szCs w:val="24"/>
              </w:rPr>
              <w:t xml:space="preserve">аменорея, </w:t>
            </w:r>
          </w:p>
          <w:p w14:paraId="3A530A05" w14:textId="77777777" w:rsidR="00333B40" w:rsidRPr="00917CE9" w:rsidRDefault="00333B40" w:rsidP="00424F51">
            <w:pPr>
              <w:pStyle w:val="a7"/>
              <w:numPr>
                <w:ilvl w:val="0"/>
                <w:numId w:val="53"/>
              </w:numPr>
              <w:jc w:val="both"/>
              <w:rPr>
                <w:rFonts w:eastAsia="Times New Roman" w:cs="Times New Roman"/>
                <w:sz w:val="24"/>
                <w:szCs w:val="24"/>
              </w:rPr>
            </w:pPr>
            <w:r w:rsidRPr="00917CE9">
              <w:rPr>
                <w:rFonts w:eastAsia="Times New Roman" w:cs="Times New Roman"/>
                <w:sz w:val="24"/>
                <w:szCs w:val="24"/>
              </w:rPr>
              <w:t xml:space="preserve">инсиденталома надпочечника </w:t>
            </w:r>
          </w:p>
          <w:p w14:paraId="1EB4397C" w14:textId="77777777" w:rsidR="00333B40" w:rsidRPr="00333B40" w:rsidRDefault="00333B40" w:rsidP="00333B40">
            <w:pPr>
              <w:jc w:val="both"/>
              <w:rPr>
                <w:rFonts w:eastAsia="Times New Roman" w:cs="Times New Roman"/>
                <w:sz w:val="24"/>
                <w:szCs w:val="24"/>
                <w:lang w:val="ru-RU"/>
              </w:rPr>
            </w:pPr>
          </w:p>
        </w:tc>
      </w:tr>
      <w:tr w:rsidR="00333B40" w:rsidRPr="00333B40" w14:paraId="2CDF81AB" w14:textId="77777777">
        <w:tc>
          <w:tcPr>
            <w:tcW w:w="9339" w:type="dxa"/>
          </w:tcPr>
          <w:p w14:paraId="4DC06CF3" w14:textId="77777777" w:rsidR="00333B40" w:rsidRPr="00333B40" w:rsidRDefault="00333B40" w:rsidP="00333B40">
            <w:pPr>
              <w:jc w:val="both"/>
              <w:rPr>
                <w:rFonts w:eastAsia="Times New Roman" w:cs="Times New Roman"/>
                <w:sz w:val="24"/>
                <w:szCs w:val="24"/>
                <w:lang w:val="ru-RU"/>
              </w:rPr>
            </w:pPr>
            <w:r w:rsidRPr="00333B40">
              <w:rPr>
                <w:rFonts w:eastAsia="Times New Roman" w:cs="Times New Roman"/>
                <w:sz w:val="24"/>
                <w:szCs w:val="24"/>
                <w:lang w:val="ru-RU"/>
              </w:rPr>
              <w:t xml:space="preserve">Признаки акромегалии </w:t>
            </w:r>
          </w:p>
          <w:p w14:paraId="6A209000" w14:textId="77777777" w:rsidR="00333B40" w:rsidRPr="00917CE9" w:rsidRDefault="00333B40" w:rsidP="00424F51">
            <w:pPr>
              <w:pStyle w:val="a7"/>
              <w:numPr>
                <w:ilvl w:val="0"/>
                <w:numId w:val="54"/>
              </w:numPr>
              <w:jc w:val="both"/>
              <w:rPr>
                <w:rFonts w:eastAsia="Times New Roman" w:cs="Times New Roman"/>
                <w:sz w:val="24"/>
                <w:szCs w:val="24"/>
                <w:lang w:val="ru-RU"/>
              </w:rPr>
            </w:pPr>
            <w:r w:rsidRPr="00917CE9">
              <w:rPr>
                <w:rFonts w:eastAsia="Times New Roman" w:cs="Times New Roman"/>
                <w:sz w:val="24"/>
                <w:szCs w:val="24"/>
                <w:lang w:val="ru-RU"/>
              </w:rPr>
              <w:t xml:space="preserve">увеличение акральных частей тела, </w:t>
            </w:r>
          </w:p>
          <w:p w14:paraId="7E414C27" w14:textId="77777777" w:rsidR="00333B40" w:rsidRPr="00917CE9" w:rsidRDefault="00333B40" w:rsidP="00424F51">
            <w:pPr>
              <w:pStyle w:val="a7"/>
              <w:numPr>
                <w:ilvl w:val="0"/>
                <w:numId w:val="54"/>
              </w:numPr>
              <w:jc w:val="both"/>
              <w:rPr>
                <w:rFonts w:eastAsia="Times New Roman" w:cs="Times New Roman"/>
                <w:sz w:val="24"/>
                <w:szCs w:val="24"/>
                <w:lang w:val="ru-RU"/>
              </w:rPr>
            </w:pPr>
            <w:r w:rsidRPr="00917CE9">
              <w:rPr>
                <w:rFonts w:eastAsia="Times New Roman" w:cs="Times New Roman"/>
                <w:sz w:val="24"/>
                <w:szCs w:val="24"/>
                <w:lang w:val="ru-RU"/>
              </w:rPr>
              <w:t xml:space="preserve">укрупнение и огрубление черт лица, </w:t>
            </w:r>
          </w:p>
          <w:p w14:paraId="2A13738C" w14:textId="77777777" w:rsidR="00333B40" w:rsidRPr="00917CE9" w:rsidRDefault="00333B40" w:rsidP="00424F51">
            <w:pPr>
              <w:pStyle w:val="a7"/>
              <w:numPr>
                <w:ilvl w:val="0"/>
                <w:numId w:val="54"/>
              </w:numPr>
              <w:jc w:val="both"/>
              <w:rPr>
                <w:rFonts w:eastAsia="Times New Roman" w:cs="Times New Roman"/>
                <w:sz w:val="24"/>
                <w:szCs w:val="24"/>
                <w:lang w:val="ru-RU"/>
              </w:rPr>
            </w:pPr>
            <w:r w:rsidRPr="00917CE9">
              <w:rPr>
                <w:rFonts w:eastAsia="Times New Roman" w:cs="Times New Roman"/>
                <w:sz w:val="24"/>
                <w:szCs w:val="24"/>
                <w:lang w:val="ru-RU"/>
              </w:rPr>
              <w:t xml:space="preserve">потливость </w:t>
            </w:r>
          </w:p>
          <w:p w14:paraId="4744939B" w14:textId="77777777" w:rsidR="00333B40" w:rsidRPr="00333B40" w:rsidRDefault="00333B40" w:rsidP="00333B40">
            <w:pPr>
              <w:jc w:val="both"/>
              <w:rPr>
                <w:rFonts w:eastAsia="Times New Roman" w:cs="Times New Roman"/>
                <w:sz w:val="24"/>
                <w:szCs w:val="24"/>
              </w:rPr>
            </w:pPr>
          </w:p>
        </w:tc>
      </w:tr>
      <w:tr w:rsidR="00333B40" w:rsidRPr="00333B40" w14:paraId="0B224688" w14:textId="77777777">
        <w:tc>
          <w:tcPr>
            <w:tcW w:w="9339" w:type="dxa"/>
          </w:tcPr>
          <w:p w14:paraId="157E473A" w14:textId="77777777" w:rsidR="00333B40" w:rsidRPr="00E409F6" w:rsidRDefault="00333B40" w:rsidP="00424F51">
            <w:pPr>
              <w:pStyle w:val="a7"/>
              <w:numPr>
                <w:ilvl w:val="0"/>
                <w:numId w:val="54"/>
              </w:numPr>
              <w:jc w:val="both"/>
              <w:rPr>
                <w:rFonts w:eastAsia="Times New Roman" w:cs="Times New Roman"/>
                <w:sz w:val="24"/>
                <w:szCs w:val="24"/>
                <w:lang w:val="ru-RU"/>
              </w:rPr>
            </w:pPr>
            <w:r w:rsidRPr="00E409F6">
              <w:rPr>
                <w:rFonts w:eastAsia="Times New Roman" w:cs="Times New Roman"/>
                <w:sz w:val="24"/>
                <w:szCs w:val="24"/>
                <w:lang w:val="ru-RU"/>
              </w:rPr>
              <w:t xml:space="preserve">Признаки заболеваний щитовидной железы (синдром гипотиреоза): </w:t>
            </w:r>
          </w:p>
          <w:p w14:paraId="287F4833" w14:textId="77777777" w:rsidR="00333B40" w:rsidRPr="00E409F6" w:rsidRDefault="00333B40" w:rsidP="00424F51">
            <w:pPr>
              <w:pStyle w:val="a7"/>
              <w:numPr>
                <w:ilvl w:val="0"/>
                <w:numId w:val="54"/>
              </w:numPr>
              <w:jc w:val="both"/>
              <w:rPr>
                <w:rFonts w:eastAsia="Times New Roman" w:cs="Times New Roman"/>
                <w:sz w:val="24"/>
                <w:szCs w:val="24"/>
                <w:lang w:val="ru-RU"/>
              </w:rPr>
            </w:pPr>
            <w:r w:rsidRPr="00E409F6">
              <w:rPr>
                <w:rFonts w:eastAsia="Times New Roman" w:cs="Times New Roman"/>
                <w:sz w:val="24"/>
                <w:szCs w:val="24"/>
                <w:lang w:val="ru-RU"/>
              </w:rPr>
              <w:t xml:space="preserve">склонность к брадикардии; </w:t>
            </w:r>
          </w:p>
          <w:p w14:paraId="360194FC" w14:textId="77777777" w:rsidR="00333B40" w:rsidRPr="00E409F6" w:rsidRDefault="00333B40" w:rsidP="00424F51">
            <w:pPr>
              <w:pStyle w:val="a7"/>
              <w:numPr>
                <w:ilvl w:val="0"/>
                <w:numId w:val="54"/>
              </w:numPr>
              <w:jc w:val="both"/>
              <w:rPr>
                <w:rFonts w:eastAsia="Times New Roman" w:cs="Times New Roman"/>
                <w:sz w:val="24"/>
                <w:szCs w:val="24"/>
                <w:lang w:val="ru-RU"/>
              </w:rPr>
            </w:pPr>
            <w:r w:rsidRPr="00E409F6">
              <w:rPr>
                <w:rFonts w:eastAsia="Times New Roman" w:cs="Times New Roman"/>
                <w:sz w:val="24"/>
                <w:szCs w:val="24"/>
                <w:lang w:val="ru-RU"/>
              </w:rPr>
              <w:t xml:space="preserve">плохая переносимость холода (зябкость); </w:t>
            </w:r>
          </w:p>
          <w:p w14:paraId="75BD53D2" w14:textId="77777777" w:rsidR="00333B40" w:rsidRPr="00E409F6" w:rsidRDefault="00333B40" w:rsidP="00424F51">
            <w:pPr>
              <w:pStyle w:val="a7"/>
              <w:numPr>
                <w:ilvl w:val="0"/>
                <w:numId w:val="54"/>
              </w:numPr>
              <w:jc w:val="both"/>
              <w:rPr>
                <w:rFonts w:eastAsia="Times New Roman" w:cs="Times New Roman"/>
                <w:sz w:val="24"/>
                <w:szCs w:val="24"/>
                <w:lang w:val="ru-RU"/>
              </w:rPr>
            </w:pPr>
            <w:r w:rsidRPr="00E409F6">
              <w:rPr>
                <w:rFonts w:eastAsia="Times New Roman" w:cs="Times New Roman"/>
                <w:sz w:val="24"/>
                <w:szCs w:val="24"/>
                <w:lang w:val="ru-RU"/>
              </w:rPr>
              <w:t xml:space="preserve">нарушения стула по типу запора; </w:t>
            </w:r>
          </w:p>
          <w:p w14:paraId="7B459C0B" w14:textId="77777777" w:rsidR="00333B40" w:rsidRPr="00E409F6" w:rsidRDefault="00333B40" w:rsidP="00424F51">
            <w:pPr>
              <w:pStyle w:val="a7"/>
              <w:numPr>
                <w:ilvl w:val="0"/>
                <w:numId w:val="54"/>
              </w:numPr>
              <w:jc w:val="both"/>
              <w:rPr>
                <w:rFonts w:eastAsia="Times New Roman" w:cs="Times New Roman"/>
                <w:sz w:val="24"/>
                <w:szCs w:val="24"/>
                <w:lang w:val="ru-RU"/>
              </w:rPr>
            </w:pPr>
            <w:r w:rsidRPr="00E409F6">
              <w:rPr>
                <w:rFonts w:eastAsia="Times New Roman" w:cs="Times New Roman"/>
                <w:sz w:val="24"/>
                <w:szCs w:val="24"/>
                <w:lang w:val="ru-RU"/>
              </w:rPr>
              <w:t xml:space="preserve">диффузная алопеция, </w:t>
            </w:r>
          </w:p>
          <w:p w14:paraId="38803C78" w14:textId="77777777" w:rsidR="00333B40" w:rsidRPr="00E409F6" w:rsidRDefault="00333B40" w:rsidP="00424F51">
            <w:pPr>
              <w:pStyle w:val="a7"/>
              <w:numPr>
                <w:ilvl w:val="0"/>
                <w:numId w:val="54"/>
              </w:numPr>
              <w:jc w:val="both"/>
              <w:rPr>
                <w:rFonts w:eastAsia="Times New Roman" w:cs="Times New Roman"/>
                <w:sz w:val="24"/>
                <w:szCs w:val="24"/>
                <w:lang w:val="ru-RU"/>
              </w:rPr>
            </w:pPr>
            <w:r w:rsidRPr="00E409F6">
              <w:rPr>
                <w:rFonts w:eastAsia="Times New Roman" w:cs="Times New Roman"/>
                <w:sz w:val="24"/>
                <w:szCs w:val="24"/>
                <w:lang w:val="ru-RU"/>
              </w:rPr>
              <w:t xml:space="preserve">раннее поседение волос, </w:t>
            </w:r>
          </w:p>
          <w:p w14:paraId="2A9CA5C8" w14:textId="77777777" w:rsidR="00333B40" w:rsidRPr="00E409F6" w:rsidRDefault="00333B40" w:rsidP="00424F51">
            <w:pPr>
              <w:pStyle w:val="a7"/>
              <w:numPr>
                <w:ilvl w:val="0"/>
                <w:numId w:val="54"/>
              </w:numPr>
              <w:jc w:val="both"/>
              <w:rPr>
                <w:rFonts w:eastAsia="Times New Roman" w:cs="Times New Roman"/>
                <w:sz w:val="24"/>
                <w:szCs w:val="24"/>
                <w:lang w:val="ru-RU"/>
              </w:rPr>
            </w:pPr>
            <w:r w:rsidRPr="00E409F6">
              <w:rPr>
                <w:rFonts w:eastAsia="Times New Roman" w:cs="Times New Roman"/>
                <w:sz w:val="24"/>
                <w:szCs w:val="24"/>
                <w:lang w:val="ru-RU"/>
              </w:rPr>
              <w:t xml:space="preserve">дистрофии ногтевых пластин (важен факт появления в недавнем анамнезе, возможен неудачный опыт лечения у дерматолога); </w:t>
            </w:r>
          </w:p>
          <w:p w14:paraId="5690A97E" w14:textId="77777777" w:rsidR="00333B40" w:rsidRPr="00E409F6" w:rsidRDefault="00333B40" w:rsidP="00424F51">
            <w:pPr>
              <w:pStyle w:val="a7"/>
              <w:numPr>
                <w:ilvl w:val="0"/>
                <w:numId w:val="54"/>
              </w:numPr>
              <w:jc w:val="both"/>
              <w:rPr>
                <w:rFonts w:eastAsia="Times New Roman" w:cs="Times New Roman"/>
                <w:sz w:val="24"/>
                <w:szCs w:val="24"/>
                <w:lang w:val="ru-RU"/>
              </w:rPr>
            </w:pPr>
            <w:r w:rsidRPr="00E409F6">
              <w:rPr>
                <w:rFonts w:eastAsia="Times New Roman" w:cs="Times New Roman"/>
                <w:sz w:val="24"/>
                <w:szCs w:val="24"/>
                <w:lang w:val="ru-RU"/>
              </w:rPr>
              <w:t xml:space="preserve">нарушения менструальной функции у женщин (по типу олиго-, опсо-, аменореи), анамнез бесплодия, невынашивания беременности) </w:t>
            </w:r>
          </w:p>
          <w:p w14:paraId="06C33DB0" w14:textId="77777777" w:rsidR="00333B40" w:rsidRPr="00333B40" w:rsidRDefault="00333B40" w:rsidP="00333B40">
            <w:pPr>
              <w:jc w:val="both"/>
              <w:rPr>
                <w:rFonts w:eastAsia="Times New Roman" w:cs="Times New Roman"/>
                <w:sz w:val="24"/>
                <w:szCs w:val="24"/>
                <w:lang w:val="ru-RU"/>
              </w:rPr>
            </w:pPr>
          </w:p>
        </w:tc>
      </w:tr>
      <w:tr w:rsidR="00333B40" w:rsidRPr="00333B40" w14:paraId="42900DD6" w14:textId="77777777">
        <w:tc>
          <w:tcPr>
            <w:tcW w:w="9339" w:type="dxa"/>
          </w:tcPr>
          <w:p w14:paraId="3CF88EB9" w14:textId="77777777" w:rsidR="00333B40" w:rsidRPr="00E409F6" w:rsidRDefault="00333B40" w:rsidP="00424F51">
            <w:pPr>
              <w:pStyle w:val="a7"/>
              <w:numPr>
                <w:ilvl w:val="0"/>
                <w:numId w:val="54"/>
              </w:numPr>
              <w:jc w:val="both"/>
              <w:rPr>
                <w:rFonts w:eastAsia="Times New Roman" w:cs="Times New Roman"/>
                <w:sz w:val="24"/>
                <w:szCs w:val="24"/>
                <w:lang w:val="ru-RU"/>
              </w:rPr>
            </w:pPr>
            <w:r w:rsidRPr="00E409F6">
              <w:rPr>
                <w:rFonts w:eastAsia="Times New Roman" w:cs="Times New Roman"/>
                <w:sz w:val="24"/>
                <w:szCs w:val="24"/>
                <w:lang w:val="ru-RU"/>
              </w:rPr>
              <w:t xml:space="preserve">Признаки заболеваний щитовидной железы (синдром тиреотоксикоза): </w:t>
            </w:r>
          </w:p>
          <w:p w14:paraId="26881557" w14:textId="77777777" w:rsidR="00333B40" w:rsidRPr="00E409F6" w:rsidRDefault="00333B40" w:rsidP="00424F51">
            <w:pPr>
              <w:pStyle w:val="a7"/>
              <w:numPr>
                <w:ilvl w:val="0"/>
                <w:numId w:val="54"/>
              </w:numPr>
              <w:jc w:val="both"/>
              <w:rPr>
                <w:rFonts w:eastAsia="Times New Roman" w:cs="Times New Roman"/>
                <w:sz w:val="24"/>
                <w:szCs w:val="24"/>
                <w:lang w:val="ru-RU"/>
              </w:rPr>
            </w:pPr>
            <w:r w:rsidRPr="00E409F6">
              <w:rPr>
                <w:rFonts w:eastAsia="Times New Roman" w:cs="Times New Roman"/>
                <w:sz w:val="24"/>
                <w:szCs w:val="24"/>
                <w:lang w:val="ru-RU"/>
              </w:rPr>
              <w:t xml:space="preserve">склонность к тахикардии (нарушения ритма в анамнезе — фибрилляция и трепетание предсердий, суправентрикулярные тахикардии, частые наджелудочковые и желудочковые экстрасистолии); </w:t>
            </w:r>
          </w:p>
          <w:p w14:paraId="4DA7850B" w14:textId="77777777" w:rsidR="00333B40" w:rsidRPr="00E409F6" w:rsidRDefault="00333B40" w:rsidP="00424F51">
            <w:pPr>
              <w:pStyle w:val="a7"/>
              <w:numPr>
                <w:ilvl w:val="0"/>
                <w:numId w:val="54"/>
              </w:numPr>
              <w:jc w:val="both"/>
              <w:rPr>
                <w:rFonts w:eastAsia="Times New Roman" w:cs="Times New Roman"/>
                <w:sz w:val="24"/>
                <w:szCs w:val="24"/>
                <w:lang w:val="ru-RU"/>
              </w:rPr>
            </w:pPr>
            <w:r w:rsidRPr="00E409F6">
              <w:rPr>
                <w:rFonts w:eastAsia="Times New Roman" w:cs="Times New Roman"/>
                <w:sz w:val="24"/>
                <w:szCs w:val="24"/>
                <w:lang w:val="ru-RU"/>
              </w:rPr>
              <w:t xml:space="preserve">плохая переносимость тепла; </w:t>
            </w:r>
          </w:p>
          <w:p w14:paraId="2EA7DA0D" w14:textId="77777777" w:rsidR="00333B40" w:rsidRPr="00E409F6" w:rsidRDefault="00333B40" w:rsidP="00424F51">
            <w:pPr>
              <w:pStyle w:val="a7"/>
              <w:numPr>
                <w:ilvl w:val="0"/>
                <w:numId w:val="54"/>
              </w:numPr>
              <w:jc w:val="both"/>
              <w:rPr>
                <w:rFonts w:eastAsia="Times New Roman" w:cs="Times New Roman"/>
                <w:sz w:val="24"/>
                <w:szCs w:val="24"/>
                <w:lang w:val="ru-RU"/>
              </w:rPr>
            </w:pPr>
            <w:r w:rsidRPr="00E409F6">
              <w:rPr>
                <w:rFonts w:eastAsia="Times New Roman" w:cs="Times New Roman"/>
                <w:sz w:val="24"/>
                <w:szCs w:val="24"/>
                <w:lang w:val="ru-RU"/>
              </w:rPr>
              <w:t xml:space="preserve">потливость, кожа влажная, горячая </w:t>
            </w:r>
          </w:p>
          <w:p w14:paraId="78650381" w14:textId="77777777" w:rsidR="00E409F6" w:rsidRPr="00E409F6" w:rsidRDefault="00333B40" w:rsidP="00424F51">
            <w:pPr>
              <w:pStyle w:val="a7"/>
              <w:numPr>
                <w:ilvl w:val="0"/>
                <w:numId w:val="54"/>
              </w:numPr>
              <w:jc w:val="both"/>
              <w:rPr>
                <w:rFonts w:eastAsia="Times New Roman" w:cs="Times New Roman"/>
                <w:sz w:val="24"/>
                <w:szCs w:val="24"/>
                <w:lang w:val="ru-RU"/>
              </w:rPr>
            </w:pPr>
            <w:r w:rsidRPr="00E409F6">
              <w:rPr>
                <w:rFonts w:eastAsia="Times New Roman" w:cs="Times New Roman"/>
                <w:sz w:val="24"/>
                <w:szCs w:val="24"/>
                <w:lang w:val="ru-RU"/>
              </w:rPr>
              <w:t xml:space="preserve">потеря массы тела </w:t>
            </w:r>
          </w:p>
          <w:p w14:paraId="56446373" w14:textId="77777777" w:rsidR="00333B40" w:rsidRPr="00E409F6" w:rsidRDefault="00333B40" w:rsidP="00424F51">
            <w:pPr>
              <w:pStyle w:val="a7"/>
              <w:numPr>
                <w:ilvl w:val="0"/>
                <w:numId w:val="54"/>
              </w:numPr>
              <w:jc w:val="both"/>
              <w:rPr>
                <w:rFonts w:eastAsia="Times New Roman" w:cs="Times New Roman"/>
                <w:sz w:val="24"/>
                <w:szCs w:val="24"/>
                <w:lang w:val="ru-RU"/>
              </w:rPr>
            </w:pPr>
            <w:r w:rsidRPr="00E409F6">
              <w:rPr>
                <w:rFonts w:eastAsia="Times New Roman" w:cs="Times New Roman"/>
                <w:sz w:val="24"/>
                <w:szCs w:val="24"/>
                <w:lang w:val="ru-RU"/>
              </w:rPr>
              <w:t xml:space="preserve">диарея; </w:t>
            </w:r>
          </w:p>
          <w:p w14:paraId="18A808B9" w14:textId="77777777" w:rsidR="00333B40" w:rsidRPr="00E409F6" w:rsidRDefault="00333B40" w:rsidP="00424F51">
            <w:pPr>
              <w:pStyle w:val="a7"/>
              <w:numPr>
                <w:ilvl w:val="0"/>
                <w:numId w:val="54"/>
              </w:numPr>
              <w:jc w:val="both"/>
              <w:rPr>
                <w:rFonts w:eastAsia="Times New Roman" w:cs="Times New Roman"/>
                <w:sz w:val="24"/>
                <w:szCs w:val="24"/>
                <w:lang w:val="ru-RU"/>
              </w:rPr>
            </w:pPr>
            <w:r w:rsidRPr="00E409F6">
              <w:rPr>
                <w:rFonts w:eastAsia="Times New Roman" w:cs="Times New Roman"/>
                <w:sz w:val="24"/>
                <w:szCs w:val="24"/>
                <w:lang w:val="ru-RU"/>
              </w:rPr>
              <w:t xml:space="preserve">нарушения менструальной функции у женщин (по типу олиго-, опсо-, аменореи), анамнез бесплодия, невынашивания беременности); </w:t>
            </w:r>
          </w:p>
          <w:p w14:paraId="016361CD" w14:textId="77777777" w:rsidR="00333B40" w:rsidRPr="00E409F6" w:rsidRDefault="00333B40" w:rsidP="00424F51">
            <w:pPr>
              <w:pStyle w:val="a7"/>
              <w:numPr>
                <w:ilvl w:val="0"/>
                <w:numId w:val="54"/>
              </w:numPr>
              <w:jc w:val="both"/>
              <w:rPr>
                <w:rFonts w:eastAsia="Times New Roman" w:cs="Times New Roman"/>
                <w:sz w:val="24"/>
                <w:szCs w:val="24"/>
                <w:lang w:val="ru-RU"/>
              </w:rPr>
            </w:pPr>
            <w:r w:rsidRPr="00E409F6">
              <w:rPr>
                <w:rFonts w:eastAsia="Times New Roman" w:cs="Times New Roman"/>
                <w:sz w:val="24"/>
                <w:szCs w:val="24"/>
                <w:lang w:val="ru-RU"/>
              </w:rPr>
              <w:t xml:space="preserve">глазные симптомы: Грефе — отставание верхнего века от края роговицы при движении глазного яблока вниз. Кохера — отставание движения глазного яблока от такового верхнего века при взгляде вверх, в связи с чем обнаруживается участок склеры между верхним веком и радужкой. Краузе — усиленный блеск глаз. </w:t>
            </w:r>
          </w:p>
          <w:p w14:paraId="5CAB989D" w14:textId="77777777" w:rsidR="00333B40" w:rsidRPr="00E409F6" w:rsidRDefault="00333B40" w:rsidP="00424F51">
            <w:pPr>
              <w:pStyle w:val="a7"/>
              <w:numPr>
                <w:ilvl w:val="0"/>
                <w:numId w:val="54"/>
              </w:numPr>
              <w:jc w:val="both"/>
              <w:rPr>
                <w:rFonts w:eastAsia="Times New Roman" w:cs="Times New Roman"/>
                <w:sz w:val="24"/>
                <w:szCs w:val="24"/>
                <w:lang w:val="ru-RU"/>
              </w:rPr>
            </w:pPr>
            <w:r w:rsidRPr="00E409F6">
              <w:rPr>
                <w:rFonts w:eastAsia="Times New Roman" w:cs="Times New Roman"/>
                <w:sz w:val="24"/>
                <w:szCs w:val="24"/>
                <w:lang w:val="ru-RU"/>
              </w:rPr>
              <w:t xml:space="preserve">Дальримпля — широкое раскрытие глазных щелей — «удивленный взгляд». </w:t>
            </w:r>
          </w:p>
          <w:p w14:paraId="3E0AA025" w14:textId="77777777" w:rsidR="00333B40" w:rsidRPr="00E409F6" w:rsidRDefault="00333B40" w:rsidP="00424F51">
            <w:pPr>
              <w:pStyle w:val="a7"/>
              <w:numPr>
                <w:ilvl w:val="0"/>
                <w:numId w:val="54"/>
              </w:numPr>
              <w:jc w:val="both"/>
              <w:rPr>
                <w:rFonts w:eastAsia="Times New Roman" w:cs="Times New Roman"/>
                <w:sz w:val="24"/>
                <w:szCs w:val="24"/>
                <w:lang w:val="ru-RU"/>
              </w:rPr>
            </w:pPr>
            <w:r w:rsidRPr="00E409F6">
              <w:rPr>
                <w:rFonts w:eastAsia="Times New Roman" w:cs="Times New Roman"/>
                <w:sz w:val="24"/>
                <w:szCs w:val="24"/>
                <w:lang w:val="ru-RU"/>
              </w:rPr>
              <w:t xml:space="preserve">Розенбаха — мелкое и быстрое дрожание опущенных или слегка сомкнутых век. </w:t>
            </w:r>
          </w:p>
          <w:p w14:paraId="38AE79F8" w14:textId="77777777" w:rsidR="00333B40" w:rsidRPr="00E409F6" w:rsidRDefault="00333B40" w:rsidP="00424F51">
            <w:pPr>
              <w:pStyle w:val="a7"/>
              <w:numPr>
                <w:ilvl w:val="0"/>
                <w:numId w:val="54"/>
              </w:numPr>
              <w:jc w:val="both"/>
              <w:rPr>
                <w:rFonts w:eastAsia="Times New Roman" w:cs="Times New Roman"/>
                <w:sz w:val="24"/>
                <w:szCs w:val="24"/>
                <w:lang w:val="ru-RU"/>
              </w:rPr>
            </w:pPr>
            <w:r w:rsidRPr="00E409F6">
              <w:rPr>
                <w:rFonts w:eastAsia="Times New Roman" w:cs="Times New Roman"/>
                <w:sz w:val="24"/>
                <w:szCs w:val="24"/>
                <w:lang w:val="ru-RU"/>
              </w:rPr>
              <w:lastRenderedPageBreak/>
              <w:t xml:space="preserve">Штельвага — редкие и неполные мигательные движения всочетании с ретракцией верхнего века. Мебиуса — нарушение конвергенции. Меланодермия в области век (симптом Еллинека) </w:t>
            </w:r>
          </w:p>
          <w:p w14:paraId="1889E05C" w14:textId="77777777" w:rsidR="00333B40" w:rsidRPr="00E409F6" w:rsidRDefault="00333B40" w:rsidP="00424F51">
            <w:pPr>
              <w:pStyle w:val="a7"/>
              <w:numPr>
                <w:ilvl w:val="0"/>
                <w:numId w:val="54"/>
              </w:numPr>
              <w:jc w:val="both"/>
              <w:rPr>
                <w:rFonts w:eastAsia="Times New Roman" w:cs="Times New Roman"/>
                <w:sz w:val="24"/>
                <w:szCs w:val="24"/>
                <w:lang w:val="ru-RU"/>
              </w:rPr>
            </w:pPr>
            <w:r w:rsidRPr="00E409F6">
              <w:rPr>
                <w:rFonts w:eastAsia="Times New Roman" w:cs="Times New Roman"/>
                <w:sz w:val="24"/>
                <w:szCs w:val="24"/>
                <w:lang w:val="ru-RU"/>
              </w:rPr>
              <w:t xml:space="preserve">эндокринная офтальмопатия — выраженный экзофтальм, нередко имеющий несимметричный характер, диплопия при взгляде в одну из сторон или вверх, слезотечение, ощущение песка в глазах, отечность век. </w:t>
            </w:r>
          </w:p>
          <w:p w14:paraId="7C70E4E9" w14:textId="77777777" w:rsidR="00333B40" w:rsidRPr="00E409F6" w:rsidRDefault="00333B40" w:rsidP="00424F51">
            <w:pPr>
              <w:pStyle w:val="a7"/>
              <w:numPr>
                <w:ilvl w:val="0"/>
                <w:numId w:val="54"/>
              </w:numPr>
              <w:jc w:val="both"/>
              <w:rPr>
                <w:rFonts w:eastAsia="Times New Roman" w:cs="Times New Roman"/>
                <w:sz w:val="24"/>
                <w:szCs w:val="24"/>
                <w:lang w:val="ru-RU"/>
              </w:rPr>
            </w:pPr>
            <w:r w:rsidRPr="00E409F6">
              <w:rPr>
                <w:rFonts w:eastAsia="Times New Roman" w:cs="Times New Roman"/>
                <w:sz w:val="24"/>
                <w:szCs w:val="24"/>
                <w:lang w:val="ru-RU"/>
              </w:rPr>
              <w:t xml:space="preserve">тремор пальцев вытянутых рук, иногда всего тела (симптом телеграфного столба). </w:t>
            </w:r>
          </w:p>
          <w:p w14:paraId="120AC764" w14:textId="77777777" w:rsidR="00333B40" w:rsidRPr="00333B40" w:rsidRDefault="00333B40" w:rsidP="00333B40">
            <w:pPr>
              <w:jc w:val="both"/>
              <w:rPr>
                <w:rFonts w:eastAsia="Times New Roman" w:cs="Times New Roman"/>
                <w:sz w:val="24"/>
                <w:szCs w:val="24"/>
                <w:lang w:val="ru-RU"/>
              </w:rPr>
            </w:pPr>
          </w:p>
        </w:tc>
      </w:tr>
      <w:tr w:rsidR="00333B40" w:rsidRPr="00333B40" w14:paraId="234B852E" w14:textId="77777777">
        <w:tc>
          <w:tcPr>
            <w:tcW w:w="9339" w:type="dxa"/>
          </w:tcPr>
          <w:p w14:paraId="2B6FA1A9" w14:textId="77777777" w:rsidR="00333B40" w:rsidRPr="00333B40" w:rsidRDefault="00333B40" w:rsidP="00333B40">
            <w:pPr>
              <w:jc w:val="both"/>
              <w:rPr>
                <w:rFonts w:eastAsia="Times New Roman" w:cs="Times New Roman"/>
                <w:sz w:val="24"/>
                <w:szCs w:val="24"/>
                <w:lang w:val="ru-RU"/>
              </w:rPr>
            </w:pPr>
            <w:r w:rsidRPr="00333B40">
              <w:rPr>
                <w:rFonts w:eastAsia="Times New Roman" w:cs="Times New Roman"/>
                <w:sz w:val="24"/>
                <w:szCs w:val="24"/>
                <w:lang w:val="ru-RU"/>
              </w:rPr>
              <w:lastRenderedPageBreak/>
              <w:t xml:space="preserve">Признаки гиперпаратиреоза: </w:t>
            </w:r>
          </w:p>
          <w:p w14:paraId="74999ED7" w14:textId="77777777" w:rsidR="00333B40" w:rsidRPr="00221F69" w:rsidRDefault="00333B40" w:rsidP="00424F51">
            <w:pPr>
              <w:pStyle w:val="a7"/>
              <w:numPr>
                <w:ilvl w:val="0"/>
                <w:numId w:val="55"/>
              </w:numPr>
              <w:jc w:val="both"/>
              <w:rPr>
                <w:rFonts w:eastAsia="Times New Roman" w:cs="Times New Roman"/>
                <w:sz w:val="24"/>
                <w:szCs w:val="24"/>
                <w:lang w:val="ru-RU"/>
              </w:rPr>
            </w:pPr>
            <w:r w:rsidRPr="00221F69">
              <w:rPr>
                <w:rFonts w:eastAsia="Times New Roman" w:cs="Times New Roman"/>
                <w:sz w:val="24"/>
                <w:szCs w:val="24"/>
                <w:lang w:val="ru-RU"/>
              </w:rPr>
              <w:t xml:space="preserve">нефролитиаз, </w:t>
            </w:r>
          </w:p>
          <w:p w14:paraId="446FA520" w14:textId="77777777" w:rsidR="00333B40" w:rsidRPr="00221F69" w:rsidRDefault="00333B40" w:rsidP="00424F51">
            <w:pPr>
              <w:pStyle w:val="a7"/>
              <w:numPr>
                <w:ilvl w:val="0"/>
                <w:numId w:val="55"/>
              </w:numPr>
              <w:jc w:val="both"/>
              <w:rPr>
                <w:rFonts w:eastAsia="Times New Roman" w:cs="Times New Roman"/>
                <w:sz w:val="24"/>
                <w:szCs w:val="24"/>
                <w:lang w:val="ru-RU"/>
              </w:rPr>
            </w:pPr>
            <w:r w:rsidRPr="00221F69">
              <w:rPr>
                <w:rFonts w:eastAsia="Times New Roman" w:cs="Times New Roman"/>
                <w:sz w:val="24"/>
                <w:szCs w:val="24"/>
                <w:lang w:val="ru-RU"/>
              </w:rPr>
              <w:t xml:space="preserve">вторичный остеопороз, </w:t>
            </w:r>
          </w:p>
          <w:p w14:paraId="0A1EA2C2" w14:textId="77777777" w:rsidR="00333B40" w:rsidRPr="00221F69" w:rsidRDefault="00333B40" w:rsidP="00424F51">
            <w:pPr>
              <w:pStyle w:val="a7"/>
              <w:numPr>
                <w:ilvl w:val="0"/>
                <w:numId w:val="55"/>
              </w:numPr>
              <w:jc w:val="both"/>
              <w:rPr>
                <w:rFonts w:eastAsia="Times New Roman" w:cs="Times New Roman"/>
                <w:sz w:val="24"/>
                <w:szCs w:val="24"/>
                <w:lang w:val="ru-RU"/>
              </w:rPr>
            </w:pPr>
            <w:r w:rsidRPr="00221F69">
              <w:rPr>
                <w:rFonts w:eastAsia="Times New Roman" w:cs="Times New Roman"/>
                <w:sz w:val="24"/>
                <w:szCs w:val="24"/>
                <w:lang w:val="ru-RU"/>
              </w:rPr>
              <w:t xml:space="preserve">мышечная слабость, </w:t>
            </w:r>
          </w:p>
          <w:p w14:paraId="54568FB1" w14:textId="77777777" w:rsidR="00333B40" w:rsidRPr="00221F69" w:rsidRDefault="00333B40" w:rsidP="00424F51">
            <w:pPr>
              <w:pStyle w:val="a7"/>
              <w:numPr>
                <w:ilvl w:val="0"/>
                <w:numId w:val="55"/>
              </w:numPr>
              <w:jc w:val="both"/>
              <w:rPr>
                <w:rFonts w:eastAsia="Times New Roman" w:cs="Times New Roman"/>
                <w:sz w:val="24"/>
                <w:szCs w:val="24"/>
                <w:lang w:val="ru-RU"/>
              </w:rPr>
            </w:pPr>
            <w:r w:rsidRPr="00221F69">
              <w:rPr>
                <w:rFonts w:eastAsia="Times New Roman" w:cs="Times New Roman"/>
                <w:sz w:val="24"/>
                <w:szCs w:val="24"/>
                <w:lang w:val="ru-RU"/>
              </w:rPr>
              <w:t xml:space="preserve">боли в мышцах. </w:t>
            </w:r>
          </w:p>
          <w:p w14:paraId="17D36161" w14:textId="77777777" w:rsidR="00333B40" w:rsidRPr="00333B40" w:rsidRDefault="00333B40" w:rsidP="00333B40">
            <w:pPr>
              <w:jc w:val="both"/>
              <w:rPr>
                <w:rFonts w:eastAsia="Times New Roman" w:cs="Times New Roman"/>
                <w:sz w:val="24"/>
                <w:szCs w:val="24"/>
                <w:lang w:val="ru-RU"/>
              </w:rPr>
            </w:pPr>
          </w:p>
        </w:tc>
      </w:tr>
    </w:tbl>
    <w:p w14:paraId="2340FF5E" w14:textId="77777777" w:rsidR="00B90D37" w:rsidRDefault="00B90D37" w:rsidP="00B90D37">
      <w:pPr>
        <w:spacing w:after="0" w:line="360" w:lineRule="auto"/>
        <w:jc w:val="both"/>
        <w:rPr>
          <w:rFonts w:eastAsia="Times New Roman" w:cs="Times New Roman"/>
          <w:b/>
          <w:bCs/>
          <w:sz w:val="24"/>
          <w:szCs w:val="24"/>
        </w:rPr>
      </w:pPr>
    </w:p>
    <w:p w14:paraId="60CCBCDB" w14:textId="77777777" w:rsidR="002E0EFB" w:rsidRDefault="00B90D37" w:rsidP="002E0EFB">
      <w:pPr>
        <w:spacing w:after="0" w:line="360" w:lineRule="auto"/>
        <w:jc w:val="right"/>
        <w:rPr>
          <w:rFonts w:eastAsia="Times New Roman" w:cs="Times New Roman"/>
          <w:b/>
          <w:bCs/>
          <w:sz w:val="24"/>
          <w:szCs w:val="24"/>
        </w:rPr>
      </w:pPr>
      <w:r w:rsidRPr="00B90D37">
        <w:rPr>
          <w:rFonts w:eastAsia="Times New Roman" w:cs="Times New Roman"/>
          <w:b/>
          <w:bCs/>
          <w:sz w:val="24"/>
          <w:szCs w:val="24"/>
        </w:rPr>
        <w:t>Таблица П7/</w:t>
      </w:r>
      <w:r w:rsidR="00FB33EA">
        <w:rPr>
          <w:rFonts w:eastAsia="Times New Roman" w:cs="Times New Roman"/>
          <w:b/>
          <w:bCs/>
          <w:sz w:val="24"/>
          <w:szCs w:val="24"/>
        </w:rPr>
        <w:t>А2</w:t>
      </w:r>
      <w:r w:rsidRPr="00B90D37">
        <w:rPr>
          <w:rFonts w:eastAsia="Times New Roman" w:cs="Times New Roman"/>
          <w:b/>
          <w:bCs/>
          <w:sz w:val="24"/>
          <w:szCs w:val="24"/>
        </w:rPr>
        <w:t xml:space="preserve">. </w:t>
      </w:r>
    </w:p>
    <w:p w14:paraId="5C2E8332" w14:textId="297609AF" w:rsidR="00B90D37" w:rsidRDefault="00B90D37" w:rsidP="00B90D37">
      <w:pPr>
        <w:spacing w:after="0" w:line="360" w:lineRule="auto"/>
        <w:jc w:val="both"/>
        <w:rPr>
          <w:rFonts w:eastAsia="Times New Roman" w:cs="Times New Roman"/>
          <w:b/>
          <w:bCs/>
          <w:sz w:val="24"/>
          <w:szCs w:val="24"/>
        </w:rPr>
      </w:pPr>
      <w:r w:rsidRPr="00B90D37">
        <w:rPr>
          <w:rFonts w:eastAsia="Times New Roman" w:cs="Times New Roman"/>
          <w:b/>
          <w:bCs/>
          <w:sz w:val="24"/>
          <w:szCs w:val="24"/>
        </w:rPr>
        <w:t>Рутинное обследование пациентов с АГ</w:t>
      </w:r>
    </w:p>
    <w:tbl>
      <w:tblPr>
        <w:tblStyle w:val="afe"/>
        <w:tblW w:w="0" w:type="auto"/>
        <w:tblLook w:val="04A0" w:firstRow="1" w:lastRow="0" w:firstColumn="1" w:lastColumn="0" w:noHBand="0" w:noVBand="1"/>
      </w:tblPr>
      <w:tblGrid>
        <w:gridCol w:w="9339"/>
      </w:tblGrid>
      <w:tr w:rsidR="00B90D37" w:rsidRPr="00B90D37" w14:paraId="6E1E041B" w14:textId="77777777">
        <w:tc>
          <w:tcPr>
            <w:tcW w:w="9339" w:type="dxa"/>
          </w:tcPr>
          <w:p w14:paraId="7F6C058E" w14:textId="77777777" w:rsidR="00B90D37" w:rsidRPr="00B90D37" w:rsidRDefault="00B90D37" w:rsidP="00D45012">
            <w:pPr>
              <w:jc w:val="both"/>
              <w:rPr>
                <w:rFonts w:eastAsia="Times New Roman" w:cs="Times New Roman"/>
                <w:sz w:val="24"/>
                <w:szCs w:val="24"/>
                <w:lang w:val="ru-RU"/>
              </w:rPr>
            </w:pPr>
            <w:r w:rsidRPr="00B90D37">
              <w:rPr>
                <w:rFonts w:eastAsia="Times New Roman" w:cs="Times New Roman"/>
                <w:sz w:val="24"/>
                <w:szCs w:val="24"/>
                <w:lang w:val="ru-RU"/>
              </w:rPr>
              <w:t xml:space="preserve">Исследование уровня общего гемоглобина и/или оценка гематокрита </w:t>
            </w:r>
          </w:p>
        </w:tc>
      </w:tr>
      <w:tr w:rsidR="00B90D37" w:rsidRPr="00B90D37" w14:paraId="1091DB9A" w14:textId="77777777">
        <w:tc>
          <w:tcPr>
            <w:tcW w:w="9339" w:type="dxa"/>
          </w:tcPr>
          <w:p w14:paraId="109072D4" w14:textId="77777777" w:rsidR="00B90D37" w:rsidRPr="00B90D37" w:rsidRDefault="00B90D37" w:rsidP="00D45012">
            <w:pPr>
              <w:jc w:val="both"/>
              <w:rPr>
                <w:rFonts w:eastAsia="Times New Roman" w:cs="Times New Roman"/>
                <w:sz w:val="24"/>
                <w:szCs w:val="24"/>
                <w:lang w:val="ru-RU"/>
              </w:rPr>
            </w:pPr>
            <w:r w:rsidRPr="00B90D37">
              <w:rPr>
                <w:rFonts w:eastAsia="Times New Roman" w:cs="Times New Roman"/>
                <w:sz w:val="24"/>
                <w:szCs w:val="24"/>
                <w:lang w:val="ru-RU"/>
              </w:rPr>
              <w:t xml:space="preserve">Исследование уровня глюкозы в крови, </w:t>
            </w:r>
            <w:r w:rsidRPr="00B90D37">
              <w:rPr>
                <w:rFonts w:eastAsia="Times New Roman" w:cs="Times New Roman"/>
                <w:sz w:val="24"/>
                <w:szCs w:val="24"/>
              </w:rPr>
              <w:t>HbA</w:t>
            </w:r>
            <w:r w:rsidRPr="00B90D37">
              <w:rPr>
                <w:rFonts w:eastAsia="Times New Roman" w:cs="Times New Roman"/>
                <w:sz w:val="24"/>
                <w:szCs w:val="24"/>
                <w:lang w:val="ru-RU"/>
              </w:rPr>
              <w:t>1</w:t>
            </w:r>
            <w:r w:rsidRPr="00B90D37">
              <w:rPr>
                <w:rFonts w:eastAsia="Times New Roman" w:cs="Times New Roman"/>
                <w:sz w:val="24"/>
                <w:szCs w:val="24"/>
              </w:rPr>
              <w:t>c</w:t>
            </w:r>
            <w:r w:rsidRPr="00B90D37">
              <w:rPr>
                <w:rFonts w:eastAsia="Times New Roman" w:cs="Times New Roman"/>
                <w:sz w:val="24"/>
                <w:szCs w:val="24"/>
                <w:lang w:val="ru-RU"/>
              </w:rPr>
              <w:t xml:space="preserve"> (исследование уровня гликированного гемоглобина в крови) </w:t>
            </w:r>
          </w:p>
        </w:tc>
      </w:tr>
      <w:tr w:rsidR="00B90D37" w:rsidRPr="00B90D37" w14:paraId="5D4A59DC" w14:textId="77777777">
        <w:tc>
          <w:tcPr>
            <w:tcW w:w="9339" w:type="dxa"/>
          </w:tcPr>
          <w:p w14:paraId="46A25958" w14:textId="77777777" w:rsidR="00B90D37" w:rsidRPr="00B90D37" w:rsidRDefault="00B90D37" w:rsidP="00D45012">
            <w:pPr>
              <w:jc w:val="both"/>
              <w:rPr>
                <w:rFonts w:eastAsia="Times New Roman" w:cs="Times New Roman"/>
                <w:sz w:val="24"/>
                <w:szCs w:val="24"/>
                <w:lang w:val="ru-RU"/>
              </w:rPr>
            </w:pPr>
            <w:r w:rsidRPr="00B90D37">
              <w:rPr>
                <w:rFonts w:eastAsia="Times New Roman" w:cs="Times New Roman"/>
                <w:sz w:val="24"/>
                <w:szCs w:val="24"/>
                <w:lang w:val="ru-RU"/>
              </w:rPr>
              <w:t xml:space="preserve">Липиды крови: ОХС, ХС ЛНП, ХС ЛВП, ХС не-ЛВП </w:t>
            </w:r>
          </w:p>
        </w:tc>
      </w:tr>
      <w:tr w:rsidR="00B90D37" w:rsidRPr="00B90D37" w14:paraId="5681839E" w14:textId="77777777">
        <w:tc>
          <w:tcPr>
            <w:tcW w:w="9339" w:type="dxa"/>
          </w:tcPr>
          <w:p w14:paraId="08664569" w14:textId="77777777" w:rsidR="00B90D37" w:rsidRPr="00B90D37" w:rsidRDefault="00B90D37" w:rsidP="00D45012">
            <w:pPr>
              <w:jc w:val="both"/>
              <w:rPr>
                <w:rFonts w:eastAsia="Times New Roman" w:cs="Times New Roman"/>
                <w:sz w:val="24"/>
                <w:szCs w:val="24"/>
              </w:rPr>
            </w:pPr>
            <w:r w:rsidRPr="00B90D37">
              <w:rPr>
                <w:rFonts w:eastAsia="Times New Roman" w:cs="Times New Roman"/>
                <w:sz w:val="24"/>
                <w:szCs w:val="24"/>
              </w:rPr>
              <w:t xml:space="preserve">Триглицериды </w:t>
            </w:r>
          </w:p>
        </w:tc>
      </w:tr>
      <w:tr w:rsidR="00B90D37" w:rsidRPr="00B90D37" w14:paraId="2A197858" w14:textId="77777777">
        <w:tc>
          <w:tcPr>
            <w:tcW w:w="9339" w:type="dxa"/>
          </w:tcPr>
          <w:p w14:paraId="41A32043" w14:textId="77777777" w:rsidR="00B90D37" w:rsidRPr="00B90D37" w:rsidRDefault="00B90D37" w:rsidP="00D45012">
            <w:pPr>
              <w:jc w:val="both"/>
              <w:rPr>
                <w:rFonts w:eastAsia="Times New Roman" w:cs="Times New Roman"/>
                <w:sz w:val="24"/>
                <w:szCs w:val="24"/>
                <w:lang w:val="ru-RU"/>
              </w:rPr>
            </w:pPr>
            <w:r w:rsidRPr="00B90D37">
              <w:rPr>
                <w:rFonts w:eastAsia="Times New Roman" w:cs="Times New Roman"/>
                <w:sz w:val="24"/>
                <w:szCs w:val="24"/>
                <w:lang w:val="ru-RU"/>
              </w:rPr>
              <w:t xml:space="preserve">Общий белок, билирубин, АлАТ, АсАТ </w:t>
            </w:r>
          </w:p>
        </w:tc>
      </w:tr>
      <w:tr w:rsidR="00B90D37" w:rsidRPr="00B90D37" w14:paraId="2F4FF045" w14:textId="77777777">
        <w:tc>
          <w:tcPr>
            <w:tcW w:w="9339" w:type="dxa"/>
          </w:tcPr>
          <w:p w14:paraId="2E2A7ED1" w14:textId="77777777" w:rsidR="00B90D37" w:rsidRPr="00B90D37" w:rsidRDefault="00B90D37" w:rsidP="00D45012">
            <w:pPr>
              <w:jc w:val="both"/>
              <w:rPr>
                <w:rFonts w:eastAsia="Times New Roman" w:cs="Times New Roman"/>
                <w:sz w:val="24"/>
                <w:szCs w:val="24"/>
              </w:rPr>
            </w:pPr>
            <w:r w:rsidRPr="00B90D37">
              <w:rPr>
                <w:rFonts w:eastAsia="Times New Roman" w:cs="Times New Roman"/>
                <w:sz w:val="24"/>
                <w:szCs w:val="24"/>
              </w:rPr>
              <w:t xml:space="preserve">Калий, натрий </w:t>
            </w:r>
          </w:p>
        </w:tc>
      </w:tr>
      <w:tr w:rsidR="00B90D37" w:rsidRPr="00B90D37" w14:paraId="18D2CDF4" w14:textId="77777777">
        <w:tc>
          <w:tcPr>
            <w:tcW w:w="9339" w:type="dxa"/>
          </w:tcPr>
          <w:p w14:paraId="28C14077" w14:textId="77777777" w:rsidR="00B90D37" w:rsidRPr="00B90D37" w:rsidRDefault="00B90D37" w:rsidP="00D45012">
            <w:pPr>
              <w:jc w:val="both"/>
              <w:rPr>
                <w:rFonts w:eastAsia="Times New Roman" w:cs="Times New Roman"/>
                <w:sz w:val="24"/>
                <w:szCs w:val="24"/>
              </w:rPr>
            </w:pPr>
            <w:r w:rsidRPr="00B90D37">
              <w:rPr>
                <w:rFonts w:eastAsia="Times New Roman" w:cs="Times New Roman"/>
                <w:sz w:val="24"/>
                <w:szCs w:val="24"/>
              </w:rPr>
              <w:t xml:space="preserve">Мочевая кислота </w:t>
            </w:r>
          </w:p>
        </w:tc>
      </w:tr>
      <w:tr w:rsidR="00B90D37" w:rsidRPr="00B90D37" w14:paraId="60CDB855" w14:textId="77777777">
        <w:tc>
          <w:tcPr>
            <w:tcW w:w="9339" w:type="dxa"/>
          </w:tcPr>
          <w:p w14:paraId="6A33D05F" w14:textId="77777777" w:rsidR="00B90D37" w:rsidRPr="00B90D37" w:rsidRDefault="00B90D37" w:rsidP="00D45012">
            <w:pPr>
              <w:jc w:val="both"/>
              <w:rPr>
                <w:rFonts w:eastAsia="Times New Roman" w:cs="Times New Roman"/>
                <w:sz w:val="24"/>
                <w:szCs w:val="24"/>
              </w:rPr>
            </w:pPr>
            <w:r w:rsidRPr="00B90D37">
              <w:rPr>
                <w:rFonts w:eastAsia="Times New Roman" w:cs="Times New Roman"/>
                <w:sz w:val="24"/>
                <w:szCs w:val="24"/>
              </w:rPr>
              <w:t xml:space="preserve">Креатинин и расчетная СКФ </w:t>
            </w:r>
          </w:p>
        </w:tc>
      </w:tr>
      <w:tr w:rsidR="00B90D37" w:rsidRPr="00B90D37" w14:paraId="6C45E14B" w14:textId="77777777">
        <w:tc>
          <w:tcPr>
            <w:tcW w:w="9339" w:type="dxa"/>
          </w:tcPr>
          <w:p w14:paraId="4F257D54" w14:textId="77777777" w:rsidR="00B90D37" w:rsidRPr="00B90D37" w:rsidRDefault="00B90D37" w:rsidP="00D45012">
            <w:pPr>
              <w:jc w:val="both"/>
              <w:rPr>
                <w:rFonts w:eastAsia="Times New Roman" w:cs="Times New Roman"/>
                <w:sz w:val="24"/>
                <w:szCs w:val="24"/>
                <w:lang w:val="ru-RU"/>
              </w:rPr>
            </w:pPr>
            <w:r w:rsidRPr="00B90D37">
              <w:rPr>
                <w:rFonts w:eastAsia="Times New Roman" w:cs="Times New Roman"/>
                <w:sz w:val="24"/>
                <w:szCs w:val="24"/>
                <w:lang w:val="ru-RU"/>
              </w:rPr>
              <w:t xml:space="preserve">Анализ мочи: микроскопия осадка, качественная оценка протеинурии тест-полоской, отношение альбумин–креатинин в разовой порции мочи (оптимально) </w:t>
            </w:r>
          </w:p>
        </w:tc>
      </w:tr>
      <w:tr w:rsidR="00B90D37" w:rsidRPr="00B90D37" w14:paraId="05313CBD" w14:textId="77777777">
        <w:tc>
          <w:tcPr>
            <w:tcW w:w="9339" w:type="dxa"/>
          </w:tcPr>
          <w:p w14:paraId="4FE0FC05" w14:textId="77777777" w:rsidR="00B90D37" w:rsidRPr="00B90D37" w:rsidRDefault="00B90D37" w:rsidP="00D45012">
            <w:pPr>
              <w:jc w:val="both"/>
              <w:rPr>
                <w:rFonts w:eastAsia="Times New Roman" w:cs="Times New Roman"/>
                <w:sz w:val="24"/>
                <w:szCs w:val="24"/>
              </w:rPr>
            </w:pPr>
            <w:r w:rsidRPr="00B90D37">
              <w:rPr>
                <w:rFonts w:eastAsia="Times New Roman" w:cs="Times New Roman"/>
                <w:sz w:val="24"/>
                <w:szCs w:val="24"/>
              </w:rPr>
              <w:t xml:space="preserve">ЭКГ в 12 отведениях </w:t>
            </w:r>
          </w:p>
        </w:tc>
      </w:tr>
    </w:tbl>
    <w:p w14:paraId="4CF3C7DF" w14:textId="77777777" w:rsidR="00AB5297" w:rsidRDefault="00AB5297" w:rsidP="00AB5297">
      <w:pPr>
        <w:spacing w:after="0" w:line="360" w:lineRule="auto"/>
        <w:jc w:val="both"/>
        <w:rPr>
          <w:rFonts w:eastAsia="Times New Roman" w:cs="Times New Roman"/>
          <w:sz w:val="24"/>
          <w:szCs w:val="24"/>
        </w:rPr>
      </w:pPr>
    </w:p>
    <w:p w14:paraId="29510749" w14:textId="77777777" w:rsidR="002E0EFB" w:rsidRDefault="009A0D20" w:rsidP="002E0EFB">
      <w:pPr>
        <w:spacing w:after="0" w:line="360" w:lineRule="auto"/>
        <w:jc w:val="right"/>
        <w:rPr>
          <w:rFonts w:eastAsia="Times New Roman" w:cs="Times New Roman"/>
          <w:b/>
          <w:bCs/>
          <w:sz w:val="24"/>
          <w:szCs w:val="24"/>
        </w:rPr>
      </w:pPr>
      <w:r w:rsidRPr="009A0D20">
        <w:rPr>
          <w:rFonts w:eastAsia="Times New Roman" w:cs="Times New Roman"/>
          <w:b/>
          <w:bCs/>
          <w:sz w:val="24"/>
          <w:szCs w:val="24"/>
        </w:rPr>
        <w:t>Таблица П8/</w:t>
      </w:r>
      <w:r w:rsidR="00FB33EA">
        <w:rPr>
          <w:rFonts w:eastAsia="Times New Roman" w:cs="Times New Roman"/>
          <w:b/>
          <w:bCs/>
          <w:sz w:val="24"/>
          <w:szCs w:val="24"/>
        </w:rPr>
        <w:t>А2</w:t>
      </w:r>
      <w:r w:rsidRPr="009A0D20">
        <w:rPr>
          <w:rFonts w:eastAsia="Times New Roman" w:cs="Times New Roman"/>
          <w:b/>
          <w:bCs/>
          <w:sz w:val="24"/>
          <w:szCs w:val="24"/>
        </w:rPr>
        <w:t xml:space="preserve">. </w:t>
      </w:r>
    </w:p>
    <w:p w14:paraId="3F478C1B" w14:textId="305E362C" w:rsidR="009A0D20" w:rsidRPr="009A0D20" w:rsidRDefault="009A0D20" w:rsidP="009A0D20">
      <w:pPr>
        <w:spacing w:after="0" w:line="360" w:lineRule="auto"/>
        <w:jc w:val="both"/>
        <w:rPr>
          <w:rFonts w:eastAsia="Times New Roman" w:cs="Times New Roman"/>
          <w:b/>
          <w:bCs/>
          <w:sz w:val="24"/>
          <w:szCs w:val="24"/>
        </w:rPr>
      </w:pPr>
      <w:r w:rsidRPr="009A0D20">
        <w:rPr>
          <w:rFonts w:eastAsia="Times New Roman" w:cs="Times New Roman"/>
          <w:b/>
          <w:bCs/>
          <w:sz w:val="24"/>
          <w:szCs w:val="24"/>
        </w:rPr>
        <w:t xml:space="preserve">Обследование для выявления поражения органов-мишеней </w:t>
      </w:r>
    </w:p>
    <w:tbl>
      <w:tblPr>
        <w:tblW w:w="9360" w:type="dxa"/>
        <w:tblInd w:w="-5" w:type="dxa"/>
        <w:tblLayout w:type="fixed"/>
        <w:tblCellMar>
          <w:left w:w="0" w:type="dxa"/>
          <w:right w:w="0" w:type="dxa"/>
        </w:tblCellMar>
        <w:tblLook w:val="0000" w:firstRow="0" w:lastRow="0" w:firstColumn="0" w:lastColumn="0" w:noHBand="0" w:noVBand="0"/>
      </w:tblPr>
      <w:tblGrid>
        <w:gridCol w:w="2400"/>
        <w:gridCol w:w="2242"/>
        <w:gridCol w:w="28"/>
        <w:gridCol w:w="1114"/>
        <w:gridCol w:w="3548"/>
        <w:gridCol w:w="28"/>
      </w:tblGrid>
      <w:tr w:rsidR="009A0D20" w:rsidRPr="009A0D20" w14:paraId="1EBBB0B9" w14:textId="77777777" w:rsidTr="0073199D">
        <w:trPr>
          <w:gridAfter w:val="1"/>
          <w:wAfter w:w="28" w:type="dxa"/>
          <w:trHeight w:val="259"/>
        </w:trPr>
        <w:tc>
          <w:tcPr>
            <w:tcW w:w="4642" w:type="dxa"/>
            <w:gridSpan w:val="2"/>
            <w:tcBorders>
              <w:top w:val="single" w:sz="4" w:space="0" w:color="auto"/>
              <w:left w:val="single" w:sz="4" w:space="0" w:color="auto"/>
              <w:bottom w:val="nil"/>
              <w:right w:val="nil"/>
            </w:tcBorders>
          </w:tcPr>
          <w:p w14:paraId="36D6B656" w14:textId="77777777" w:rsidR="009A0D20" w:rsidRPr="009A0D20" w:rsidRDefault="009A0D20" w:rsidP="009A0D20">
            <w:pPr>
              <w:spacing w:after="0" w:line="360" w:lineRule="auto"/>
              <w:jc w:val="both"/>
              <w:rPr>
                <w:rFonts w:eastAsia="Times New Roman" w:cs="Times New Roman"/>
                <w:sz w:val="24"/>
                <w:szCs w:val="24"/>
              </w:rPr>
            </w:pPr>
          </w:p>
        </w:tc>
        <w:tc>
          <w:tcPr>
            <w:tcW w:w="4690" w:type="dxa"/>
            <w:gridSpan w:val="3"/>
            <w:tcBorders>
              <w:top w:val="single" w:sz="4" w:space="0" w:color="auto"/>
              <w:left w:val="single" w:sz="4" w:space="0" w:color="auto"/>
              <w:bottom w:val="nil"/>
              <w:right w:val="single" w:sz="4" w:space="0" w:color="auto"/>
            </w:tcBorders>
            <w:vAlign w:val="bottom"/>
          </w:tcPr>
          <w:p w14:paraId="661DC281" w14:textId="77777777" w:rsidR="009A0D20" w:rsidRPr="009A0D20" w:rsidRDefault="009A0D20" w:rsidP="009A0D20">
            <w:pPr>
              <w:spacing w:after="0" w:line="360" w:lineRule="auto"/>
              <w:jc w:val="both"/>
              <w:rPr>
                <w:rFonts w:eastAsia="Times New Roman" w:cs="Times New Roman"/>
                <w:sz w:val="24"/>
                <w:szCs w:val="24"/>
              </w:rPr>
            </w:pPr>
            <w:r w:rsidRPr="009A0D20">
              <w:rPr>
                <w:rFonts w:eastAsia="Times New Roman" w:cs="Times New Roman"/>
                <w:b/>
                <w:bCs/>
                <w:sz w:val="24"/>
                <w:szCs w:val="24"/>
              </w:rPr>
              <w:t>Показание и интерпретация</w:t>
            </w:r>
          </w:p>
        </w:tc>
      </w:tr>
      <w:tr w:rsidR="009A0D20" w:rsidRPr="009A0D20" w14:paraId="7C732880" w14:textId="77777777" w:rsidTr="0073199D">
        <w:trPr>
          <w:gridAfter w:val="1"/>
          <w:wAfter w:w="28" w:type="dxa"/>
          <w:trHeight w:val="278"/>
        </w:trPr>
        <w:tc>
          <w:tcPr>
            <w:tcW w:w="9332" w:type="dxa"/>
            <w:gridSpan w:val="5"/>
            <w:tcBorders>
              <w:top w:val="single" w:sz="4" w:space="0" w:color="auto"/>
              <w:left w:val="single" w:sz="4" w:space="0" w:color="auto"/>
              <w:bottom w:val="nil"/>
              <w:right w:val="single" w:sz="4" w:space="0" w:color="auto"/>
            </w:tcBorders>
            <w:vAlign w:val="bottom"/>
          </w:tcPr>
          <w:p w14:paraId="2177653A" w14:textId="77777777" w:rsidR="009A0D20" w:rsidRPr="009A0D20" w:rsidRDefault="009A0D20" w:rsidP="009A0D20">
            <w:pPr>
              <w:spacing w:after="0" w:line="360" w:lineRule="auto"/>
              <w:jc w:val="both"/>
              <w:rPr>
                <w:rFonts w:eastAsia="Times New Roman" w:cs="Times New Roman"/>
                <w:sz w:val="24"/>
                <w:szCs w:val="24"/>
              </w:rPr>
            </w:pPr>
            <w:r w:rsidRPr="009A0D20">
              <w:rPr>
                <w:rFonts w:eastAsia="Times New Roman" w:cs="Times New Roman"/>
                <w:b/>
                <w:bCs/>
                <w:sz w:val="24"/>
                <w:szCs w:val="24"/>
              </w:rPr>
              <w:t>Первичные тесты для выявления ПОМ</w:t>
            </w:r>
          </w:p>
        </w:tc>
      </w:tr>
      <w:tr w:rsidR="009A0D20" w:rsidRPr="009A0D20" w14:paraId="42142A81" w14:textId="77777777" w:rsidTr="0073199D">
        <w:trPr>
          <w:gridAfter w:val="1"/>
          <w:wAfter w:w="28" w:type="dxa"/>
          <w:trHeight w:val="1114"/>
        </w:trPr>
        <w:tc>
          <w:tcPr>
            <w:tcW w:w="4642" w:type="dxa"/>
            <w:gridSpan w:val="2"/>
            <w:tcBorders>
              <w:top w:val="single" w:sz="4" w:space="0" w:color="auto"/>
              <w:left w:val="single" w:sz="4" w:space="0" w:color="auto"/>
              <w:bottom w:val="nil"/>
              <w:right w:val="nil"/>
            </w:tcBorders>
          </w:tcPr>
          <w:p w14:paraId="68E5ACCF" w14:textId="77777777" w:rsidR="009A0D20" w:rsidRPr="009A0D20" w:rsidRDefault="009A0D20" w:rsidP="00830E15">
            <w:pPr>
              <w:spacing w:after="0"/>
              <w:jc w:val="both"/>
              <w:rPr>
                <w:rFonts w:eastAsia="Times New Roman" w:cs="Times New Roman"/>
                <w:sz w:val="24"/>
                <w:szCs w:val="24"/>
              </w:rPr>
            </w:pPr>
            <w:r w:rsidRPr="009A0D20">
              <w:rPr>
                <w:rFonts w:eastAsia="Times New Roman" w:cs="Times New Roman"/>
                <w:b/>
                <w:bCs/>
                <w:sz w:val="24"/>
                <w:szCs w:val="24"/>
              </w:rPr>
              <w:t xml:space="preserve">ЭКГ в 12 отведениях (регистрация </w:t>
            </w:r>
            <w:r w:rsidR="00830E15">
              <w:rPr>
                <w:rFonts w:eastAsia="Times New Roman" w:cs="Times New Roman"/>
                <w:b/>
                <w:bCs/>
                <w:sz w:val="24"/>
                <w:szCs w:val="24"/>
              </w:rPr>
              <w:t>элек</w:t>
            </w:r>
            <w:r w:rsidRPr="009A0D20">
              <w:rPr>
                <w:rFonts w:eastAsia="Times New Roman" w:cs="Times New Roman"/>
                <w:b/>
                <w:bCs/>
                <w:sz w:val="24"/>
                <w:szCs w:val="24"/>
              </w:rPr>
              <w:t>трокардиограммы)</w:t>
            </w:r>
          </w:p>
        </w:tc>
        <w:tc>
          <w:tcPr>
            <w:tcW w:w="4690" w:type="dxa"/>
            <w:gridSpan w:val="3"/>
            <w:tcBorders>
              <w:top w:val="single" w:sz="4" w:space="0" w:color="auto"/>
              <w:left w:val="single" w:sz="4" w:space="0" w:color="auto"/>
              <w:bottom w:val="nil"/>
              <w:right w:val="single" w:sz="4" w:space="0" w:color="auto"/>
            </w:tcBorders>
            <w:vAlign w:val="bottom"/>
          </w:tcPr>
          <w:p w14:paraId="4E237A35" w14:textId="77777777" w:rsidR="009A0D20" w:rsidRPr="009A0D20" w:rsidRDefault="009A0D20" w:rsidP="00830E15">
            <w:pPr>
              <w:spacing w:after="0"/>
              <w:jc w:val="both"/>
              <w:rPr>
                <w:rFonts w:eastAsia="Times New Roman" w:cs="Times New Roman"/>
                <w:sz w:val="24"/>
                <w:szCs w:val="24"/>
              </w:rPr>
            </w:pPr>
            <w:r w:rsidRPr="009A0D20">
              <w:rPr>
                <w:rFonts w:eastAsia="Times New Roman" w:cs="Times New Roman"/>
                <w:sz w:val="24"/>
                <w:szCs w:val="24"/>
              </w:rPr>
              <w:t>Скрининг для выявления ГЛЖ и других возможных аномалий, а также для документирования сердечного ритма и выявления аритмий</w:t>
            </w:r>
          </w:p>
        </w:tc>
      </w:tr>
      <w:tr w:rsidR="009A0D20" w:rsidRPr="009A0D20" w14:paraId="4D294C7A" w14:textId="77777777" w:rsidTr="0073199D">
        <w:trPr>
          <w:gridAfter w:val="1"/>
          <w:wAfter w:w="28" w:type="dxa"/>
          <w:trHeight w:val="1114"/>
        </w:trPr>
        <w:tc>
          <w:tcPr>
            <w:tcW w:w="4642" w:type="dxa"/>
            <w:gridSpan w:val="2"/>
            <w:tcBorders>
              <w:top w:val="single" w:sz="4" w:space="0" w:color="auto"/>
              <w:left w:val="single" w:sz="4" w:space="0" w:color="auto"/>
              <w:bottom w:val="nil"/>
              <w:right w:val="nil"/>
            </w:tcBorders>
            <w:vAlign w:val="bottom"/>
          </w:tcPr>
          <w:p w14:paraId="1AAF7C3E" w14:textId="77777777" w:rsidR="009A0D20" w:rsidRPr="009A0D20" w:rsidRDefault="009A0D20" w:rsidP="00830E15">
            <w:pPr>
              <w:spacing w:after="0"/>
              <w:jc w:val="both"/>
              <w:rPr>
                <w:rFonts w:eastAsia="Times New Roman" w:cs="Times New Roman"/>
                <w:sz w:val="24"/>
                <w:szCs w:val="24"/>
              </w:rPr>
            </w:pPr>
            <w:r w:rsidRPr="009A0D20">
              <w:rPr>
                <w:rFonts w:eastAsia="Times New Roman" w:cs="Times New Roman"/>
                <w:sz w:val="24"/>
                <w:szCs w:val="24"/>
              </w:rPr>
              <w:t>Отношение альбумин–креатинин в разовой порции мочи</w:t>
            </w:r>
          </w:p>
          <w:p w14:paraId="593E2725" w14:textId="77777777" w:rsidR="009A0D20" w:rsidRPr="009A0D20" w:rsidRDefault="009A0D20" w:rsidP="00830E15">
            <w:pPr>
              <w:spacing w:after="0"/>
              <w:jc w:val="both"/>
              <w:rPr>
                <w:rFonts w:eastAsia="Times New Roman" w:cs="Times New Roman"/>
                <w:sz w:val="24"/>
                <w:szCs w:val="24"/>
              </w:rPr>
            </w:pPr>
            <w:r w:rsidRPr="009A0D20">
              <w:rPr>
                <w:rFonts w:eastAsia="Times New Roman" w:cs="Times New Roman"/>
                <w:sz w:val="24"/>
                <w:szCs w:val="24"/>
              </w:rPr>
              <w:t>Тест</w:t>
            </w:r>
            <w:r w:rsidRPr="009A0D20">
              <w:rPr>
                <w:rFonts w:eastAsia="Times New Roman" w:cs="Times New Roman"/>
                <w:sz w:val="24"/>
                <w:szCs w:val="24"/>
              </w:rPr>
              <w:tab/>
              <w:t>полоски</w:t>
            </w:r>
            <w:r w:rsidRPr="009A0D20">
              <w:rPr>
                <w:rFonts w:eastAsia="Times New Roman" w:cs="Times New Roman"/>
                <w:sz w:val="24"/>
                <w:szCs w:val="24"/>
              </w:rPr>
              <w:tab/>
              <w:t>для</w:t>
            </w:r>
            <w:r w:rsidRPr="009A0D20">
              <w:rPr>
                <w:rFonts w:eastAsia="Times New Roman" w:cs="Times New Roman"/>
                <w:sz w:val="24"/>
                <w:szCs w:val="24"/>
              </w:rPr>
              <w:tab/>
              <w:t>определения</w:t>
            </w:r>
          </w:p>
          <w:p w14:paraId="4070A15D" w14:textId="77777777" w:rsidR="009A0D20" w:rsidRPr="009A0D20" w:rsidRDefault="009A0D20" w:rsidP="00830E15">
            <w:pPr>
              <w:spacing w:after="0"/>
              <w:jc w:val="both"/>
              <w:rPr>
                <w:rFonts w:eastAsia="Times New Roman" w:cs="Times New Roman"/>
                <w:sz w:val="24"/>
                <w:szCs w:val="24"/>
              </w:rPr>
            </w:pPr>
            <w:r w:rsidRPr="009A0D20">
              <w:rPr>
                <w:rFonts w:eastAsia="Times New Roman" w:cs="Times New Roman"/>
                <w:sz w:val="24"/>
                <w:szCs w:val="24"/>
              </w:rPr>
              <w:t>протеинурии</w:t>
            </w:r>
          </w:p>
        </w:tc>
        <w:tc>
          <w:tcPr>
            <w:tcW w:w="4690" w:type="dxa"/>
            <w:gridSpan w:val="3"/>
            <w:tcBorders>
              <w:top w:val="single" w:sz="4" w:space="0" w:color="auto"/>
              <w:left w:val="single" w:sz="4" w:space="0" w:color="auto"/>
              <w:bottom w:val="nil"/>
              <w:right w:val="single" w:sz="4" w:space="0" w:color="auto"/>
            </w:tcBorders>
          </w:tcPr>
          <w:p w14:paraId="3BEB4E58" w14:textId="77777777" w:rsidR="009A0D20" w:rsidRPr="009A0D20" w:rsidRDefault="009A0D20" w:rsidP="00830E15">
            <w:pPr>
              <w:spacing w:after="0"/>
              <w:jc w:val="both"/>
              <w:rPr>
                <w:rFonts w:eastAsia="Times New Roman" w:cs="Times New Roman"/>
                <w:sz w:val="24"/>
                <w:szCs w:val="24"/>
              </w:rPr>
            </w:pPr>
            <w:r w:rsidRPr="009A0D20">
              <w:rPr>
                <w:rFonts w:eastAsia="Times New Roman" w:cs="Times New Roman"/>
                <w:sz w:val="24"/>
                <w:szCs w:val="24"/>
              </w:rPr>
              <w:t>Для определения альбумина в моче, что указывает на возможное поражение почек</w:t>
            </w:r>
          </w:p>
        </w:tc>
      </w:tr>
      <w:tr w:rsidR="009A0D20" w:rsidRPr="009A0D20" w14:paraId="0389FE55" w14:textId="77777777" w:rsidTr="0073199D">
        <w:trPr>
          <w:gridAfter w:val="1"/>
          <w:wAfter w:w="28" w:type="dxa"/>
          <w:trHeight w:val="466"/>
        </w:trPr>
        <w:tc>
          <w:tcPr>
            <w:tcW w:w="4642" w:type="dxa"/>
            <w:gridSpan w:val="2"/>
            <w:tcBorders>
              <w:top w:val="single" w:sz="4" w:space="0" w:color="auto"/>
              <w:left w:val="single" w:sz="4" w:space="0" w:color="auto"/>
              <w:bottom w:val="nil"/>
              <w:right w:val="nil"/>
            </w:tcBorders>
            <w:vAlign w:val="center"/>
          </w:tcPr>
          <w:p w14:paraId="4467BB3D" w14:textId="77777777" w:rsidR="009A0D20" w:rsidRPr="009A0D20" w:rsidRDefault="009A0D20" w:rsidP="00830E15">
            <w:pPr>
              <w:spacing w:after="0"/>
              <w:jc w:val="both"/>
              <w:rPr>
                <w:rFonts w:eastAsia="Times New Roman" w:cs="Times New Roman"/>
                <w:sz w:val="24"/>
                <w:szCs w:val="24"/>
              </w:rPr>
            </w:pPr>
            <w:r w:rsidRPr="009A0D20">
              <w:rPr>
                <w:rFonts w:eastAsia="Times New Roman" w:cs="Times New Roman"/>
                <w:sz w:val="24"/>
                <w:szCs w:val="24"/>
              </w:rPr>
              <w:t>Креатинин и расчетная СКФ</w:t>
            </w:r>
          </w:p>
        </w:tc>
        <w:tc>
          <w:tcPr>
            <w:tcW w:w="4690" w:type="dxa"/>
            <w:gridSpan w:val="3"/>
            <w:tcBorders>
              <w:top w:val="single" w:sz="4" w:space="0" w:color="auto"/>
              <w:left w:val="single" w:sz="4" w:space="0" w:color="auto"/>
              <w:bottom w:val="nil"/>
              <w:right w:val="single" w:sz="4" w:space="0" w:color="auto"/>
            </w:tcBorders>
            <w:vAlign w:val="center"/>
          </w:tcPr>
          <w:p w14:paraId="5A86E19C" w14:textId="77777777" w:rsidR="009A0D20" w:rsidRPr="009A0D20" w:rsidRDefault="009A0D20" w:rsidP="00830E15">
            <w:pPr>
              <w:spacing w:after="0"/>
              <w:jc w:val="both"/>
              <w:rPr>
                <w:rFonts w:eastAsia="Times New Roman" w:cs="Times New Roman"/>
                <w:sz w:val="24"/>
                <w:szCs w:val="24"/>
              </w:rPr>
            </w:pPr>
            <w:r w:rsidRPr="009A0D20">
              <w:rPr>
                <w:rFonts w:eastAsia="Times New Roman" w:cs="Times New Roman"/>
                <w:sz w:val="24"/>
                <w:szCs w:val="24"/>
              </w:rPr>
              <w:t>Для выявления поражения почек</w:t>
            </w:r>
          </w:p>
        </w:tc>
      </w:tr>
      <w:tr w:rsidR="009A0D20" w:rsidRPr="009A0D20" w14:paraId="0256EB9D" w14:textId="77777777" w:rsidTr="0073199D">
        <w:trPr>
          <w:gridAfter w:val="1"/>
          <w:wAfter w:w="28" w:type="dxa"/>
          <w:trHeight w:val="840"/>
        </w:trPr>
        <w:tc>
          <w:tcPr>
            <w:tcW w:w="4642" w:type="dxa"/>
            <w:gridSpan w:val="2"/>
            <w:tcBorders>
              <w:top w:val="single" w:sz="4" w:space="0" w:color="auto"/>
              <w:left w:val="single" w:sz="4" w:space="0" w:color="auto"/>
              <w:bottom w:val="nil"/>
              <w:right w:val="nil"/>
            </w:tcBorders>
          </w:tcPr>
          <w:p w14:paraId="5FEEC27E" w14:textId="77777777" w:rsidR="009A0D20" w:rsidRPr="009A0D20" w:rsidRDefault="009A0D20" w:rsidP="00830E15">
            <w:pPr>
              <w:spacing w:after="0"/>
              <w:jc w:val="both"/>
              <w:rPr>
                <w:rFonts w:eastAsia="Times New Roman" w:cs="Times New Roman"/>
                <w:sz w:val="24"/>
                <w:szCs w:val="24"/>
              </w:rPr>
            </w:pPr>
            <w:r w:rsidRPr="009A0D20">
              <w:rPr>
                <w:rFonts w:eastAsia="Times New Roman" w:cs="Times New Roman"/>
                <w:b/>
                <w:bCs/>
                <w:sz w:val="24"/>
                <w:szCs w:val="24"/>
              </w:rPr>
              <w:lastRenderedPageBreak/>
              <w:t>Фундоскопия</w:t>
            </w:r>
          </w:p>
        </w:tc>
        <w:tc>
          <w:tcPr>
            <w:tcW w:w="4690" w:type="dxa"/>
            <w:gridSpan w:val="3"/>
            <w:tcBorders>
              <w:top w:val="single" w:sz="4" w:space="0" w:color="auto"/>
              <w:left w:val="single" w:sz="4" w:space="0" w:color="auto"/>
              <w:bottom w:val="nil"/>
              <w:right w:val="single" w:sz="4" w:space="0" w:color="auto"/>
            </w:tcBorders>
            <w:vAlign w:val="bottom"/>
          </w:tcPr>
          <w:p w14:paraId="65A83DC7" w14:textId="77777777" w:rsidR="009A0D20" w:rsidRPr="009A0D20" w:rsidRDefault="009A0D20" w:rsidP="00830E15">
            <w:pPr>
              <w:spacing w:after="0"/>
              <w:jc w:val="both"/>
              <w:rPr>
                <w:rFonts w:eastAsia="Times New Roman" w:cs="Times New Roman"/>
                <w:sz w:val="24"/>
                <w:szCs w:val="24"/>
              </w:rPr>
            </w:pPr>
            <w:r w:rsidRPr="009A0D20">
              <w:rPr>
                <w:rFonts w:eastAsia="Times New Roman" w:cs="Times New Roman"/>
                <w:sz w:val="24"/>
                <w:szCs w:val="24"/>
              </w:rPr>
              <w:t>Для выявления гипертонической ретинопатии, особенно у больных АГ 2-й или 3-й степеней</w:t>
            </w:r>
          </w:p>
        </w:tc>
      </w:tr>
      <w:tr w:rsidR="009A0D20" w:rsidRPr="009A0D20" w14:paraId="303E15C6" w14:textId="77777777" w:rsidTr="0073199D">
        <w:trPr>
          <w:gridAfter w:val="1"/>
          <w:wAfter w:w="28" w:type="dxa"/>
          <w:trHeight w:val="485"/>
        </w:trPr>
        <w:tc>
          <w:tcPr>
            <w:tcW w:w="9332" w:type="dxa"/>
            <w:gridSpan w:val="5"/>
            <w:tcBorders>
              <w:top w:val="single" w:sz="4" w:space="0" w:color="auto"/>
              <w:left w:val="single" w:sz="4" w:space="0" w:color="auto"/>
              <w:bottom w:val="nil"/>
              <w:right w:val="single" w:sz="4" w:space="0" w:color="auto"/>
            </w:tcBorders>
            <w:vAlign w:val="center"/>
          </w:tcPr>
          <w:p w14:paraId="5B99A439" w14:textId="77777777" w:rsidR="009A0D20" w:rsidRPr="009A0D20" w:rsidRDefault="009A0D20" w:rsidP="00830E15">
            <w:pPr>
              <w:spacing w:after="0"/>
              <w:jc w:val="both"/>
              <w:rPr>
                <w:rFonts w:eastAsia="Times New Roman" w:cs="Times New Roman"/>
                <w:sz w:val="24"/>
                <w:szCs w:val="24"/>
              </w:rPr>
            </w:pPr>
            <w:r w:rsidRPr="009A0D20">
              <w:rPr>
                <w:rFonts w:eastAsia="Times New Roman" w:cs="Times New Roman"/>
                <w:b/>
                <w:bCs/>
                <w:sz w:val="24"/>
                <w:szCs w:val="24"/>
              </w:rPr>
              <w:t>Детальное обследование для выявления ПОМ</w:t>
            </w:r>
          </w:p>
        </w:tc>
      </w:tr>
      <w:tr w:rsidR="009A0D20" w:rsidRPr="009A0D20" w14:paraId="61A7A1D8" w14:textId="77777777" w:rsidTr="0073199D">
        <w:trPr>
          <w:gridAfter w:val="1"/>
          <w:wAfter w:w="28" w:type="dxa"/>
          <w:trHeight w:val="835"/>
        </w:trPr>
        <w:tc>
          <w:tcPr>
            <w:tcW w:w="4642" w:type="dxa"/>
            <w:gridSpan w:val="2"/>
            <w:tcBorders>
              <w:top w:val="single" w:sz="4" w:space="0" w:color="auto"/>
              <w:left w:val="single" w:sz="4" w:space="0" w:color="auto"/>
              <w:bottom w:val="nil"/>
              <w:right w:val="nil"/>
            </w:tcBorders>
          </w:tcPr>
          <w:p w14:paraId="58D60919" w14:textId="77777777" w:rsidR="009A0D20" w:rsidRPr="009A0D20" w:rsidRDefault="009A0D20" w:rsidP="00830E15">
            <w:pPr>
              <w:spacing w:after="0"/>
              <w:jc w:val="both"/>
              <w:rPr>
                <w:rFonts w:eastAsia="Times New Roman" w:cs="Times New Roman"/>
                <w:sz w:val="24"/>
                <w:szCs w:val="24"/>
              </w:rPr>
            </w:pPr>
            <w:r w:rsidRPr="009A0D20">
              <w:rPr>
                <w:rFonts w:eastAsia="Times New Roman" w:cs="Times New Roman"/>
                <w:sz w:val="24"/>
                <w:szCs w:val="24"/>
              </w:rPr>
              <w:t>Эхокардиография</w:t>
            </w:r>
          </w:p>
        </w:tc>
        <w:tc>
          <w:tcPr>
            <w:tcW w:w="4690" w:type="dxa"/>
            <w:gridSpan w:val="3"/>
            <w:tcBorders>
              <w:top w:val="single" w:sz="4" w:space="0" w:color="auto"/>
              <w:left w:val="single" w:sz="4" w:space="0" w:color="auto"/>
              <w:bottom w:val="nil"/>
              <w:right w:val="single" w:sz="4" w:space="0" w:color="auto"/>
            </w:tcBorders>
            <w:vAlign w:val="bottom"/>
          </w:tcPr>
          <w:p w14:paraId="2627D874" w14:textId="77777777" w:rsidR="009A0D20" w:rsidRPr="009A0D20" w:rsidRDefault="009A0D20" w:rsidP="00830E15">
            <w:pPr>
              <w:spacing w:after="0"/>
              <w:jc w:val="both"/>
              <w:rPr>
                <w:rFonts w:eastAsia="Times New Roman" w:cs="Times New Roman"/>
                <w:sz w:val="24"/>
                <w:szCs w:val="24"/>
              </w:rPr>
            </w:pPr>
            <w:r w:rsidRPr="009A0D20">
              <w:rPr>
                <w:rFonts w:eastAsia="Times New Roman" w:cs="Times New Roman"/>
                <w:sz w:val="24"/>
                <w:szCs w:val="24"/>
              </w:rPr>
              <w:t>Для оценки структуры и функции сердца, если эта информация может повлиять на выбор тактики лечения</w:t>
            </w:r>
          </w:p>
        </w:tc>
      </w:tr>
      <w:tr w:rsidR="009A0D20" w:rsidRPr="009A0D20" w14:paraId="40CD0682" w14:textId="77777777" w:rsidTr="0073199D">
        <w:trPr>
          <w:gridAfter w:val="1"/>
          <w:wAfter w:w="28" w:type="dxa"/>
          <w:trHeight w:val="1397"/>
        </w:trPr>
        <w:tc>
          <w:tcPr>
            <w:tcW w:w="4642" w:type="dxa"/>
            <w:gridSpan w:val="2"/>
            <w:tcBorders>
              <w:top w:val="single" w:sz="4" w:space="0" w:color="auto"/>
              <w:left w:val="single" w:sz="4" w:space="0" w:color="auto"/>
              <w:bottom w:val="single" w:sz="4" w:space="0" w:color="auto"/>
              <w:right w:val="nil"/>
            </w:tcBorders>
          </w:tcPr>
          <w:p w14:paraId="76F8D526" w14:textId="77777777" w:rsidR="009A0D20" w:rsidRPr="009A0D20" w:rsidRDefault="009A0D20" w:rsidP="00830E15">
            <w:pPr>
              <w:spacing w:after="0"/>
              <w:jc w:val="both"/>
              <w:rPr>
                <w:rFonts w:eastAsia="Times New Roman" w:cs="Times New Roman"/>
                <w:sz w:val="24"/>
                <w:szCs w:val="24"/>
              </w:rPr>
            </w:pPr>
            <w:r w:rsidRPr="009A0D20">
              <w:rPr>
                <w:rFonts w:eastAsia="Times New Roman" w:cs="Times New Roman"/>
                <w:sz w:val="24"/>
                <w:szCs w:val="24"/>
              </w:rPr>
              <w:t>УЗИ сонных артерий</w:t>
            </w:r>
          </w:p>
        </w:tc>
        <w:tc>
          <w:tcPr>
            <w:tcW w:w="4690" w:type="dxa"/>
            <w:gridSpan w:val="3"/>
            <w:tcBorders>
              <w:top w:val="single" w:sz="4" w:space="0" w:color="auto"/>
              <w:left w:val="single" w:sz="4" w:space="0" w:color="auto"/>
              <w:bottom w:val="single" w:sz="4" w:space="0" w:color="auto"/>
              <w:right w:val="single" w:sz="4" w:space="0" w:color="auto"/>
            </w:tcBorders>
            <w:vAlign w:val="bottom"/>
          </w:tcPr>
          <w:p w14:paraId="43161268" w14:textId="77777777" w:rsidR="009A0D20" w:rsidRPr="009A0D20" w:rsidRDefault="009A0D20" w:rsidP="00830E15">
            <w:pPr>
              <w:spacing w:after="0"/>
              <w:jc w:val="both"/>
              <w:rPr>
                <w:rFonts w:eastAsia="Times New Roman" w:cs="Times New Roman"/>
                <w:sz w:val="24"/>
                <w:szCs w:val="24"/>
              </w:rPr>
            </w:pPr>
            <w:r w:rsidRPr="009A0D20">
              <w:rPr>
                <w:rFonts w:eastAsia="Times New Roman" w:cs="Times New Roman"/>
                <w:sz w:val="24"/>
                <w:szCs w:val="24"/>
              </w:rPr>
              <w:t>Для выявления наличия атеросклеротических бляшек или стенозов сонных артерий, особенно у пациентов с ЦВБ или признаками поражения сосудов других локализаций</w:t>
            </w:r>
          </w:p>
        </w:tc>
      </w:tr>
      <w:tr w:rsidR="00830E15" w:rsidRPr="00830E15" w14:paraId="20D0E73A" w14:textId="77777777" w:rsidTr="0073199D">
        <w:trPr>
          <w:trHeight w:val="4822"/>
        </w:trPr>
        <w:tc>
          <w:tcPr>
            <w:tcW w:w="4670" w:type="dxa"/>
            <w:gridSpan w:val="3"/>
            <w:tcBorders>
              <w:top w:val="single" w:sz="4" w:space="0" w:color="auto"/>
              <w:left w:val="single" w:sz="4" w:space="0" w:color="auto"/>
              <w:bottom w:val="nil"/>
              <w:right w:val="nil"/>
            </w:tcBorders>
          </w:tcPr>
          <w:p w14:paraId="147F8431" w14:textId="77777777" w:rsidR="00830E15" w:rsidRPr="00830E15" w:rsidRDefault="00830E15" w:rsidP="00830E15">
            <w:pPr>
              <w:spacing w:after="0"/>
              <w:jc w:val="both"/>
              <w:rPr>
                <w:rFonts w:eastAsia="Times New Roman" w:cs="Times New Roman"/>
                <w:sz w:val="24"/>
                <w:szCs w:val="24"/>
              </w:rPr>
            </w:pPr>
            <w:r w:rsidRPr="00830E15">
              <w:rPr>
                <w:rFonts w:eastAsia="Times New Roman" w:cs="Times New Roman"/>
                <w:sz w:val="24"/>
                <w:szCs w:val="24"/>
              </w:rPr>
              <w:t>Ультразвуковое исследование органов брюшной полости (комплексное) с дуплексным сканированием брюшной аорты и ее висцеральных ветвей и дуплексным сканированием артерий почек</w:t>
            </w:r>
          </w:p>
        </w:tc>
        <w:tc>
          <w:tcPr>
            <w:tcW w:w="4690" w:type="dxa"/>
            <w:gridSpan w:val="3"/>
            <w:tcBorders>
              <w:top w:val="single" w:sz="4" w:space="0" w:color="auto"/>
              <w:left w:val="single" w:sz="4" w:space="0" w:color="auto"/>
              <w:bottom w:val="nil"/>
              <w:right w:val="single" w:sz="4" w:space="0" w:color="auto"/>
            </w:tcBorders>
            <w:vAlign w:val="bottom"/>
          </w:tcPr>
          <w:p w14:paraId="7AFF12E8" w14:textId="77777777" w:rsidR="00830E15" w:rsidRPr="00830E15" w:rsidRDefault="00830E15" w:rsidP="00830E15">
            <w:pPr>
              <w:spacing w:after="0"/>
              <w:jc w:val="both"/>
              <w:rPr>
                <w:rFonts w:eastAsia="Times New Roman" w:cs="Times New Roman"/>
                <w:sz w:val="24"/>
                <w:szCs w:val="24"/>
              </w:rPr>
            </w:pPr>
            <w:r w:rsidRPr="00830E15">
              <w:rPr>
                <w:rFonts w:eastAsia="Times New Roman" w:cs="Times New Roman"/>
                <w:sz w:val="24"/>
                <w:szCs w:val="24"/>
              </w:rPr>
              <w:t>– Для оценки размеров и структуры почек (например, рубцовые изменения) и исключения обструктивного поражения мочевыводящих путей как причины ХБП и АГ</w:t>
            </w:r>
          </w:p>
          <w:p w14:paraId="26853695" w14:textId="77777777" w:rsidR="00830E15" w:rsidRPr="00830E15" w:rsidRDefault="00830E15" w:rsidP="00830E15">
            <w:pPr>
              <w:spacing w:after="0"/>
              <w:jc w:val="both"/>
              <w:rPr>
                <w:rFonts w:eastAsia="Times New Roman" w:cs="Times New Roman"/>
                <w:sz w:val="24"/>
                <w:szCs w:val="24"/>
              </w:rPr>
            </w:pPr>
            <w:r w:rsidRPr="00830E15">
              <w:rPr>
                <w:rFonts w:eastAsia="Times New Roman" w:cs="Times New Roman"/>
                <w:sz w:val="24"/>
                <w:szCs w:val="24"/>
              </w:rPr>
              <w:t>– Оценить состояние брюшной аорты (КТ- ангиография аорты и ее ветвей), исключить аневризму и поражение сосудов</w:t>
            </w:r>
          </w:p>
          <w:p w14:paraId="5F8BC5F9" w14:textId="77777777" w:rsidR="00830E15" w:rsidRPr="00830E15" w:rsidRDefault="00830E15" w:rsidP="00830E15">
            <w:pPr>
              <w:spacing w:after="0"/>
              <w:jc w:val="both"/>
              <w:rPr>
                <w:rFonts w:eastAsia="Times New Roman" w:cs="Times New Roman"/>
                <w:sz w:val="24"/>
                <w:szCs w:val="24"/>
              </w:rPr>
            </w:pPr>
            <w:r w:rsidRPr="00830E15">
              <w:rPr>
                <w:rFonts w:eastAsia="Times New Roman" w:cs="Times New Roman"/>
                <w:sz w:val="24"/>
                <w:szCs w:val="24"/>
              </w:rPr>
              <w:t>– Обследовать надпочечники для исключения аденомы или феохромоцитомы (для тщательного обследования предпочтительно выполнить КТ или МРТ);</w:t>
            </w:r>
          </w:p>
          <w:p w14:paraId="1036C51D" w14:textId="77777777" w:rsidR="00830E15" w:rsidRDefault="00830E15" w:rsidP="00830E15">
            <w:pPr>
              <w:spacing w:after="0"/>
              <w:jc w:val="both"/>
              <w:rPr>
                <w:rFonts w:eastAsia="Times New Roman" w:cs="Times New Roman"/>
                <w:sz w:val="24"/>
                <w:szCs w:val="24"/>
              </w:rPr>
            </w:pPr>
            <w:r w:rsidRPr="00830E15">
              <w:rPr>
                <w:rFonts w:eastAsia="Times New Roman" w:cs="Times New Roman"/>
                <w:sz w:val="24"/>
                <w:szCs w:val="24"/>
              </w:rPr>
              <w:t>– Допплеровское исследование почечных артерий с оценкой индекса резистивности почечных артерий для исключения реноваскулярных заболеваний, особенно при выявлении асимметрии размеров почек</w:t>
            </w:r>
          </w:p>
          <w:p w14:paraId="2034B357" w14:textId="77777777" w:rsidR="005741AA" w:rsidRPr="00830E15" w:rsidRDefault="005741AA" w:rsidP="00830E15">
            <w:pPr>
              <w:spacing w:after="0"/>
              <w:jc w:val="both"/>
              <w:rPr>
                <w:rFonts w:eastAsia="Times New Roman" w:cs="Times New Roman"/>
                <w:sz w:val="24"/>
                <w:szCs w:val="24"/>
              </w:rPr>
            </w:pPr>
          </w:p>
        </w:tc>
      </w:tr>
      <w:tr w:rsidR="00830E15" w:rsidRPr="00830E15" w14:paraId="378F671C" w14:textId="77777777" w:rsidTr="0073199D">
        <w:trPr>
          <w:trHeight w:val="278"/>
        </w:trPr>
        <w:tc>
          <w:tcPr>
            <w:tcW w:w="4670" w:type="dxa"/>
            <w:gridSpan w:val="3"/>
            <w:tcBorders>
              <w:top w:val="single" w:sz="4" w:space="0" w:color="auto"/>
              <w:left w:val="single" w:sz="4" w:space="0" w:color="auto"/>
              <w:bottom w:val="nil"/>
              <w:right w:val="nil"/>
            </w:tcBorders>
            <w:vAlign w:val="bottom"/>
          </w:tcPr>
          <w:p w14:paraId="09434EA7" w14:textId="77777777" w:rsidR="00830E15" w:rsidRPr="00830E15" w:rsidRDefault="00830E15" w:rsidP="00830E15">
            <w:pPr>
              <w:spacing w:after="0"/>
              <w:jc w:val="both"/>
              <w:rPr>
                <w:rFonts w:eastAsia="Times New Roman" w:cs="Times New Roman"/>
                <w:sz w:val="24"/>
                <w:szCs w:val="24"/>
              </w:rPr>
            </w:pPr>
            <w:r w:rsidRPr="00830E15">
              <w:rPr>
                <w:rFonts w:eastAsia="Times New Roman" w:cs="Times New Roman"/>
                <w:sz w:val="24"/>
                <w:szCs w:val="24"/>
              </w:rPr>
              <w:t>СПВ</w:t>
            </w:r>
          </w:p>
        </w:tc>
        <w:tc>
          <w:tcPr>
            <w:tcW w:w="4690" w:type="dxa"/>
            <w:gridSpan w:val="3"/>
            <w:tcBorders>
              <w:top w:val="single" w:sz="4" w:space="0" w:color="auto"/>
              <w:left w:val="single" w:sz="4" w:space="0" w:color="auto"/>
              <w:bottom w:val="nil"/>
              <w:right w:val="single" w:sz="4" w:space="0" w:color="auto"/>
            </w:tcBorders>
            <w:vAlign w:val="bottom"/>
          </w:tcPr>
          <w:p w14:paraId="762D0115" w14:textId="77777777" w:rsidR="00830E15" w:rsidRPr="00830E15" w:rsidRDefault="00830E15" w:rsidP="00830E15">
            <w:pPr>
              <w:spacing w:after="0"/>
              <w:jc w:val="both"/>
              <w:rPr>
                <w:rFonts w:eastAsia="Times New Roman" w:cs="Times New Roman"/>
                <w:sz w:val="24"/>
                <w:szCs w:val="24"/>
              </w:rPr>
            </w:pPr>
            <w:r w:rsidRPr="00830E15">
              <w:rPr>
                <w:rFonts w:eastAsia="Times New Roman" w:cs="Times New Roman"/>
                <w:sz w:val="24"/>
                <w:szCs w:val="24"/>
              </w:rPr>
              <w:t>Для оценки аортальной жесткости</w:t>
            </w:r>
          </w:p>
        </w:tc>
      </w:tr>
      <w:tr w:rsidR="00830E15" w:rsidRPr="00830E15" w14:paraId="05BAB0A2" w14:textId="77777777" w:rsidTr="0073199D">
        <w:trPr>
          <w:trHeight w:val="566"/>
        </w:trPr>
        <w:tc>
          <w:tcPr>
            <w:tcW w:w="4670" w:type="dxa"/>
            <w:gridSpan w:val="3"/>
            <w:tcBorders>
              <w:top w:val="single" w:sz="4" w:space="0" w:color="auto"/>
              <w:left w:val="single" w:sz="4" w:space="0" w:color="auto"/>
              <w:bottom w:val="nil"/>
              <w:right w:val="nil"/>
            </w:tcBorders>
          </w:tcPr>
          <w:p w14:paraId="137366FB" w14:textId="77777777" w:rsidR="00830E15" w:rsidRPr="00830E15" w:rsidRDefault="00830E15" w:rsidP="00830E15">
            <w:pPr>
              <w:spacing w:after="0"/>
              <w:jc w:val="both"/>
              <w:rPr>
                <w:rFonts w:eastAsia="Times New Roman" w:cs="Times New Roman"/>
                <w:sz w:val="24"/>
                <w:szCs w:val="24"/>
              </w:rPr>
            </w:pPr>
            <w:r w:rsidRPr="00830E15">
              <w:rPr>
                <w:rFonts w:eastAsia="Times New Roman" w:cs="Times New Roman"/>
                <w:sz w:val="24"/>
                <w:szCs w:val="24"/>
              </w:rPr>
              <w:t>ЛПИ</w:t>
            </w:r>
          </w:p>
        </w:tc>
        <w:tc>
          <w:tcPr>
            <w:tcW w:w="4690" w:type="dxa"/>
            <w:gridSpan w:val="3"/>
            <w:tcBorders>
              <w:top w:val="single" w:sz="4" w:space="0" w:color="auto"/>
              <w:left w:val="single" w:sz="4" w:space="0" w:color="auto"/>
              <w:bottom w:val="nil"/>
              <w:right w:val="single" w:sz="4" w:space="0" w:color="auto"/>
            </w:tcBorders>
            <w:vAlign w:val="bottom"/>
          </w:tcPr>
          <w:p w14:paraId="4D425B70" w14:textId="77777777" w:rsidR="00830E15" w:rsidRPr="00830E15" w:rsidRDefault="00830E15" w:rsidP="00830E15">
            <w:pPr>
              <w:spacing w:after="0"/>
              <w:jc w:val="both"/>
              <w:rPr>
                <w:rFonts w:eastAsia="Times New Roman" w:cs="Times New Roman"/>
                <w:sz w:val="24"/>
                <w:szCs w:val="24"/>
              </w:rPr>
            </w:pPr>
            <w:r w:rsidRPr="00830E15">
              <w:rPr>
                <w:rFonts w:eastAsia="Times New Roman" w:cs="Times New Roman"/>
                <w:sz w:val="24"/>
                <w:szCs w:val="24"/>
              </w:rPr>
              <w:t>Скрининг для выявления атеросклероза нижних конечностей</w:t>
            </w:r>
          </w:p>
        </w:tc>
      </w:tr>
      <w:tr w:rsidR="00830E15" w:rsidRPr="00830E15" w14:paraId="4C3568CE" w14:textId="77777777" w:rsidTr="0073199D">
        <w:trPr>
          <w:trHeight w:val="557"/>
        </w:trPr>
        <w:tc>
          <w:tcPr>
            <w:tcW w:w="4670" w:type="dxa"/>
            <w:gridSpan w:val="3"/>
            <w:tcBorders>
              <w:top w:val="single" w:sz="4" w:space="0" w:color="auto"/>
              <w:left w:val="single" w:sz="4" w:space="0" w:color="auto"/>
              <w:bottom w:val="nil"/>
              <w:right w:val="nil"/>
            </w:tcBorders>
          </w:tcPr>
          <w:p w14:paraId="6616DB44" w14:textId="77777777" w:rsidR="00830E15" w:rsidRPr="00830E15" w:rsidRDefault="00830E15" w:rsidP="00830E15">
            <w:pPr>
              <w:spacing w:after="0"/>
              <w:jc w:val="both"/>
              <w:rPr>
                <w:rFonts w:eastAsia="Times New Roman" w:cs="Times New Roman"/>
                <w:sz w:val="24"/>
                <w:szCs w:val="24"/>
              </w:rPr>
            </w:pPr>
            <w:r w:rsidRPr="00830E15">
              <w:rPr>
                <w:rFonts w:eastAsia="Times New Roman" w:cs="Times New Roman"/>
                <w:sz w:val="24"/>
                <w:szCs w:val="24"/>
              </w:rPr>
              <w:t>Оценка когнитивных функций</w:t>
            </w:r>
          </w:p>
        </w:tc>
        <w:tc>
          <w:tcPr>
            <w:tcW w:w="4690" w:type="dxa"/>
            <w:gridSpan w:val="3"/>
            <w:tcBorders>
              <w:top w:val="single" w:sz="4" w:space="0" w:color="auto"/>
              <w:left w:val="single" w:sz="4" w:space="0" w:color="auto"/>
              <w:bottom w:val="nil"/>
              <w:right w:val="single" w:sz="4" w:space="0" w:color="auto"/>
            </w:tcBorders>
            <w:vAlign w:val="bottom"/>
          </w:tcPr>
          <w:p w14:paraId="15E6A42F" w14:textId="77777777" w:rsidR="00830E15" w:rsidRPr="00830E15" w:rsidRDefault="00830E15" w:rsidP="00830E15">
            <w:pPr>
              <w:spacing w:after="0"/>
              <w:jc w:val="both"/>
              <w:rPr>
                <w:rFonts w:eastAsia="Times New Roman" w:cs="Times New Roman"/>
                <w:sz w:val="24"/>
                <w:szCs w:val="24"/>
              </w:rPr>
            </w:pPr>
            <w:r w:rsidRPr="00830E15">
              <w:rPr>
                <w:rFonts w:eastAsia="Times New Roman" w:cs="Times New Roman"/>
                <w:sz w:val="24"/>
                <w:szCs w:val="24"/>
              </w:rPr>
              <w:t>Для оценки когнитивных функций у больных с признаками их нарушений</w:t>
            </w:r>
          </w:p>
        </w:tc>
      </w:tr>
      <w:tr w:rsidR="00830E15" w:rsidRPr="00830E15" w14:paraId="75760C93" w14:textId="77777777" w:rsidTr="0073199D">
        <w:trPr>
          <w:trHeight w:val="1392"/>
        </w:trPr>
        <w:tc>
          <w:tcPr>
            <w:tcW w:w="4670" w:type="dxa"/>
            <w:gridSpan w:val="3"/>
            <w:tcBorders>
              <w:top w:val="single" w:sz="4" w:space="0" w:color="auto"/>
              <w:left w:val="single" w:sz="4" w:space="0" w:color="auto"/>
              <w:bottom w:val="nil"/>
              <w:right w:val="nil"/>
            </w:tcBorders>
          </w:tcPr>
          <w:p w14:paraId="3802767C" w14:textId="77777777" w:rsidR="00830E15" w:rsidRPr="00830E15" w:rsidRDefault="00830E15" w:rsidP="00830E15">
            <w:pPr>
              <w:spacing w:after="0"/>
              <w:jc w:val="both"/>
              <w:rPr>
                <w:rFonts w:eastAsia="Times New Roman" w:cs="Times New Roman"/>
                <w:sz w:val="24"/>
                <w:szCs w:val="24"/>
              </w:rPr>
            </w:pPr>
            <w:r w:rsidRPr="00830E15">
              <w:rPr>
                <w:rFonts w:eastAsia="Times New Roman" w:cs="Times New Roman"/>
                <w:sz w:val="24"/>
                <w:szCs w:val="24"/>
              </w:rPr>
              <w:t>Визуализация головного мозга</w:t>
            </w:r>
          </w:p>
        </w:tc>
        <w:tc>
          <w:tcPr>
            <w:tcW w:w="4690" w:type="dxa"/>
            <w:gridSpan w:val="3"/>
            <w:tcBorders>
              <w:top w:val="single" w:sz="4" w:space="0" w:color="auto"/>
              <w:left w:val="single" w:sz="4" w:space="0" w:color="auto"/>
              <w:bottom w:val="nil"/>
              <w:right w:val="single" w:sz="4" w:space="0" w:color="auto"/>
            </w:tcBorders>
            <w:vAlign w:val="bottom"/>
          </w:tcPr>
          <w:p w14:paraId="5188501B" w14:textId="77777777" w:rsidR="00830E15" w:rsidRPr="00830E15" w:rsidRDefault="00830E15" w:rsidP="00830E15">
            <w:pPr>
              <w:spacing w:after="0"/>
              <w:jc w:val="both"/>
              <w:rPr>
                <w:rFonts w:eastAsia="Times New Roman" w:cs="Times New Roman"/>
                <w:sz w:val="24"/>
                <w:szCs w:val="24"/>
              </w:rPr>
            </w:pPr>
            <w:r w:rsidRPr="00830E15">
              <w:rPr>
                <w:rFonts w:eastAsia="Times New Roman" w:cs="Times New Roman"/>
                <w:sz w:val="24"/>
                <w:szCs w:val="24"/>
              </w:rPr>
              <w:t>Для оценки наличия ишемического или геморрагического повреждения головного мозга, особенно у пациентов с ЦВБ в анамнезе или признаками ухудшения когнитивных функций</w:t>
            </w:r>
          </w:p>
        </w:tc>
      </w:tr>
      <w:tr w:rsidR="00830E15" w:rsidRPr="00830E15" w14:paraId="7AD28CC0" w14:textId="77777777" w:rsidTr="0073199D">
        <w:trPr>
          <w:trHeight w:val="298"/>
        </w:trPr>
        <w:tc>
          <w:tcPr>
            <w:tcW w:w="9360" w:type="dxa"/>
            <w:gridSpan w:val="6"/>
            <w:tcBorders>
              <w:top w:val="single" w:sz="4" w:space="0" w:color="auto"/>
              <w:left w:val="single" w:sz="4" w:space="0" w:color="auto"/>
              <w:bottom w:val="nil"/>
              <w:right w:val="single" w:sz="4" w:space="0" w:color="auto"/>
            </w:tcBorders>
            <w:vAlign w:val="bottom"/>
          </w:tcPr>
          <w:p w14:paraId="4CCD4B67" w14:textId="77777777" w:rsidR="00830E15" w:rsidRPr="00830E15" w:rsidRDefault="00830E15" w:rsidP="00830E15">
            <w:pPr>
              <w:spacing w:after="0"/>
              <w:jc w:val="both"/>
              <w:rPr>
                <w:rFonts w:eastAsia="Times New Roman" w:cs="Times New Roman"/>
                <w:sz w:val="24"/>
                <w:szCs w:val="24"/>
              </w:rPr>
            </w:pPr>
            <w:r w:rsidRPr="00830E15">
              <w:rPr>
                <w:rFonts w:eastAsia="Times New Roman" w:cs="Times New Roman"/>
                <w:b/>
                <w:bCs/>
                <w:sz w:val="24"/>
                <w:szCs w:val="24"/>
              </w:rPr>
              <w:t>Пороговые значения основных тестов для выявления ПОМ</w:t>
            </w:r>
          </w:p>
        </w:tc>
      </w:tr>
      <w:tr w:rsidR="00830E15" w:rsidRPr="00830E15" w14:paraId="5E8A4872" w14:textId="77777777" w:rsidTr="0073199D">
        <w:trPr>
          <w:trHeight w:val="283"/>
        </w:trPr>
        <w:tc>
          <w:tcPr>
            <w:tcW w:w="2400" w:type="dxa"/>
            <w:tcBorders>
              <w:top w:val="single" w:sz="4" w:space="0" w:color="auto"/>
              <w:left w:val="single" w:sz="4" w:space="0" w:color="auto"/>
              <w:bottom w:val="nil"/>
              <w:right w:val="nil"/>
            </w:tcBorders>
            <w:vAlign w:val="bottom"/>
          </w:tcPr>
          <w:p w14:paraId="7A6E95E3" w14:textId="77777777" w:rsidR="00830E15" w:rsidRPr="00830E15" w:rsidRDefault="00830E15" w:rsidP="00830E15">
            <w:pPr>
              <w:spacing w:after="0"/>
              <w:jc w:val="both"/>
              <w:rPr>
                <w:rFonts w:eastAsia="Times New Roman" w:cs="Times New Roman"/>
                <w:sz w:val="24"/>
                <w:szCs w:val="24"/>
              </w:rPr>
            </w:pPr>
            <w:r w:rsidRPr="00830E15">
              <w:rPr>
                <w:rFonts w:eastAsia="Times New Roman" w:cs="Times New Roman"/>
                <w:b/>
                <w:bCs/>
                <w:sz w:val="24"/>
                <w:szCs w:val="24"/>
              </w:rPr>
              <w:t>Индикатор</w:t>
            </w:r>
          </w:p>
        </w:tc>
        <w:tc>
          <w:tcPr>
            <w:tcW w:w="3384" w:type="dxa"/>
            <w:gridSpan w:val="3"/>
            <w:tcBorders>
              <w:top w:val="single" w:sz="4" w:space="0" w:color="auto"/>
              <w:left w:val="single" w:sz="4" w:space="0" w:color="auto"/>
              <w:bottom w:val="nil"/>
              <w:right w:val="nil"/>
            </w:tcBorders>
            <w:vAlign w:val="bottom"/>
          </w:tcPr>
          <w:p w14:paraId="7F791448" w14:textId="77777777" w:rsidR="00830E15" w:rsidRPr="00830E15" w:rsidRDefault="00830E15" w:rsidP="00830E15">
            <w:pPr>
              <w:spacing w:after="0"/>
              <w:jc w:val="both"/>
              <w:rPr>
                <w:rFonts w:eastAsia="Times New Roman" w:cs="Times New Roman"/>
                <w:sz w:val="24"/>
                <w:szCs w:val="24"/>
              </w:rPr>
            </w:pPr>
            <w:r w:rsidRPr="00830E15">
              <w:rPr>
                <w:rFonts w:eastAsia="Times New Roman" w:cs="Times New Roman"/>
                <w:b/>
                <w:bCs/>
                <w:sz w:val="24"/>
                <w:szCs w:val="24"/>
              </w:rPr>
              <w:t>Параметр</w:t>
            </w:r>
          </w:p>
        </w:tc>
        <w:tc>
          <w:tcPr>
            <w:tcW w:w="3576" w:type="dxa"/>
            <w:gridSpan w:val="2"/>
            <w:tcBorders>
              <w:top w:val="single" w:sz="4" w:space="0" w:color="auto"/>
              <w:left w:val="single" w:sz="4" w:space="0" w:color="auto"/>
              <w:bottom w:val="nil"/>
              <w:right w:val="single" w:sz="4" w:space="0" w:color="auto"/>
            </w:tcBorders>
            <w:vAlign w:val="bottom"/>
          </w:tcPr>
          <w:p w14:paraId="630C00DF" w14:textId="77777777" w:rsidR="00830E15" w:rsidRPr="00830E15" w:rsidRDefault="00830E15" w:rsidP="00830E15">
            <w:pPr>
              <w:spacing w:after="0"/>
              <w:jc w:val="both"/>
              <w:rPr>
                <w:rFonts w:eastAsia="Times New Roman" w:cs="Times New Roman"/>
                <w:sz w:val="24"/>
                <w:szCs w:val="24"/>
              </w:rPr>
            </w:pPr>
            <w:r w:rsidRPr="00830E15">
              <w:rPr>
                <w:rFonts w:eastAsia="Times New Roman" w:cs="Times New Roman"/>
                <w:b/>
                <w:bCs/>
                <w:sz w:val="24"/>
                <w:szCs w:val="24"/>
              </w:rPr>
              <w:t>Порог для постановки ПОМ</w:t>
            </w:r>
          </w:p>
        </w:tc>
      </w:tr>
      <w:tr w:rsidR="00830E15" w:rsidRPr="00830E15" w14:paraId="731368C9" w14:textId="77777777" w:rsidTr="0073199D">
        <w:trPr>
          <w:trHeight w:val="293"/>
        </w:trPr>
        <w:tc>
          <w:tcPr>
            <w:tcW w:w="9360" w:type="dxa"/>
            <w:gridSpan w:val="6"/>
            <w:tcBorders>
              <w:top w:val="single" w:sz="4" w:space="0" w:color="auto"/>
              <w:left w:val="single" w:sz="4" w:space="0" w:color="auto"/>
              <w:bottom w:val="nil"/>
              <w:right w:val="single" w:sz="4" w:space="0" w:color="auto"/>
            </w:tcBorders>
            <w:vAlign w:val="bottom"/>
          </w:tcPr>
          <w:p w14:paraId="7A0A2AA8" w14:textId="77777777" w:rsidR="00830E15" w:rsidRPr="00830E15" w:rsidRDefault="00830E15" w:rsidP="00830E15">
            <w:pPr>
              <w:spacing w:after="0"/>
              <w:jc w:val="both"/>
              <w:rPr>
                <w:rFonts w:eastAsia="Times New Roman" w:cs="Times New Roman"/>
                <w:sz w:val="24"/>
                <w:szCs w:val="24"/>
              </w:rPr>
            </w:pPr>
            <w:r w:rsidRPr="00830E15">
              <w:rPr>
                <w:rFonts w:eastAsia="Times New Roman" w:cs="Times New Roman"/>
                <w:b/>
                <w:bCs/>
                <w:sz w:val="24"/>
                <w:szCs w:val="24"/>
              </w:rPr>
              <w:t>ЭКГ</w:t>
            </w:r>
          </w:p>
        </w:tc>
      </w:tr>
      <w:tr w:rsidR="00830E15" w:rsidRPr="00830E15" w14:paraId="41FDA30B" w14:textId="77777777" w:rsidTr="0073199D">
        <w:trPr>
          <w:trHeight w:val="562"/>
        </w:trPr>
        <w:tc>
          <w:tcPr>
            <w:tcW w:w="2400" w:type="dxa"/>
            <w:tcBorders>
              <w:top w:val="single" w:sz="4" w:space="0" w:color="auto"/>
              <w:left w:val="single" w:sz="4" w:space="0" w:color="auto"/>
              <w:bottom w:val="nil"/>
              <w:right w:val="nil"/>
            </w:tcBorders>
          </w:tcPr>
          <w:p w14:paraId="4AA7EDAA" w14:textId="77777777" w:rsidR="00830E15" w:rsidRPr="00830E15" w:rsidRDefault="00830E15" w:rsidP="00830E15">
            <w:pPr>
              <w:spacing w:after="0"/>
              <w:jc w:val="both"/>
              <w:rPr>
                <w:rFonts w:eastAsia="Times New Roman" w:cs="Times New Roman"/>
                <w:sz w:val="24"/>
                <w:szCs w:val="24"/>
              </w:rPr>
            </w:pPr>
            <w:r w:rsidRPr="00830E15">
              <w:rPr>
                <w:rFonts w:eastAsia="Times New Roman" w:cs="Times New Roman"/>
                <w:sz w:val="24"/>
                <w:szCs w:val="24"/>
              </w:rPr>
              <w:t>ГЛЖ</w:t>
            </w:r>
          </w:p>
        </w:tc>
        <w:tc>
          <w:tcPr>
            <w:tcW w:w="3384" w:type="dxa"/>
            <w:gridSpan w:val="3"/>
            <w:tcBorders>
              <w:top w:val="single" w:sz="4" w:space="0" w:color="auto"/>
              <w:left w:val="single" w:sz="4" w:space="0" w:color="auto"/>
              <w:bottom w:val="nil"/>
              <w:right w:val="nil"/>
            </w:tcBorders>
            <w:vAlign w:val="bottom"/>
          </w:tcPr>
          <w:p w14:paraId="27557C55" w14:textId="77777777" w:rsidR="00830E15" w:rsidRPr="00830E15" w:rsidRDefault="00830E15" w:rsidP="00830E15">
            <w:pPr>
              <w:spacing w:after="0"/>
              <w:jc w:val="both"/>
              <w:rPr>
                <w:rFonts w:eastAsia="Times New Roman" w:cs="Times New Roman"/>
                <w:sz w:val="24"/>
                <w:szCs w:val="24"/>
              </w:rPr>
            </w:pPr>
            <w:r w:rsidRPr="00830E15">
              <w:rPr>
                <w:rFonts w:eastAsia="Times New Roman" w:cs="Times New Roman"/>
                <w:sz w:val="24"/>
                <w:szCs w:val="24"/>
                <w:lang w:val="en-US"/>
              </w:rPr>
              <w:t>SV</w:t>
            </w:r>
            <w:r w:rsidRPr="00830E15">
              <w:rPr>
                <w:rFonts w:eastAsia="Times New Roman" w:cs="Times New Roman"/>
                <w:sz w:val="24"/>
                <w:szCs w:val="24"/>
              </w:rPr>
              <w:t xml:space="preserve">1 + </w:t>
            </w:r>
            <w:r w:rsidRPr="00830E15">
              <w:rPr>
                <w:rFonts w:eastAsia="Times New Roman" w:cs="Times New Roman"/>
                <w:sz w:val="24"/>
                <w:szCs w:val="24"/>
                <w:lang w:val="en-US"/>
              </w:rPr>
              <w:t>RV</w:t>
            </w:r>
            <w:r w:rsidRPr="00830E15">
              <w:rPr>
                <w:rFonts w:eastAsia="Times New Roman" w:cs="Times New Roman"/>
                <w:sz w:val="24"/>
                <w:szCs w:val="24"/>
              </w:rPr>
              <w:t>5-6 (индекс Соколова– Лайона)</w:t>
            </w:r>
          </w:p>
        </w:tc>
        <w:tc>
          <w:tcPr>
            <w:tcW w:w="3576" w:type="dxa"/>
            <w:gridSpan w:val="2"/>
            <w:tcBorders>
              <w:top w:val="single" w:sz="4" w:space="0" w:color="auto"/>
              <w:left w:val="single" w:sz="4" w:space="0" w:color="auto"/>
              <w:bottom w:val="nil"/>
              <w:right w:val="single" w:sz="4" w:space="0" w:color="auto"/>
            </w:tcBorders>
          </w:tcPr>
          <w:p w14:paraId="158FA019" w14:textId="77777777" w:rsidR="00830E15" w:rsidRPr="00830E15" w:rsidRDefault="005741AA" w:rsidP="00830E15">
            <w:pPr>
              <w:spacing w:after="0"/>
              <w:jc w:val="both"/>
              <w:rPr>
                <w:rFonts w:eastAsia="Times New Roman" w:cs="Times New Roman"/>
                <w:sz w:val="24"/>
                <w:szCs w:val="24"/>
              </w:rPr>
            </w:pPr>
            <w:r>
              <w:rPr>
                <w:rFonts w:eastAsia="Times New Roman" w:cs="Times New Roman"/>
                <w:sz w:val="24"/>
                <w:szCs w:val="24"/>
              </w:rPr>
              <w:t xml:space="preserve"> </w:t>
            </w:r>
            <w:r w:rsidR="00830E15" w:rsidRPr="00830E15">
              <w:rPr>
                <w:rFonts w:eastAsia="Times New Roman" w:cs="Times New Roman"/>
                <w:sz w:val="24"/>
                <w:szCs w:val="24"/>
              </w:rPr>
              <w:t>&gt;35 мм</w:t>
            </w:r>
          </w:p>
        </w:tc>
      </w:tr>
      <w:tr w:rsidR="00830E15" w:rsidRPr="00830E15" w14:paraId="50D126CF" w14:textId="77777777" w:rsidTr="0073199D">
        <w:trPr>
          <w:trHeight w:val="562"/>
        </w:trPr>
        <w:tc>
          <w:tcPr>
            <w:tcW w:w="2400" w:type="dxa"/>
            <w:tcBorders>
              <w:top w:val="single" w:sz="4" w:space="0" w:color="auto"/>
              <w:left w:val="single" w:sz="4" w:space="0" w:color="auto"/>
              <w:bottom w:val="nil"/>
              <w:right w:val="nil"/>
            </w:tcBorders>
          </w:tcPr>
          <w:p w14:paraId="3A64AD2C" w14:textId="77777777" w:rsidR="00830E15" w:rsidRPr="00830E15" w:rsidRDefault="00830E15" w:rsidP="00830E15">
            <w:pPr>
              <w:spacing w:after="0"/>
              <w:jc w:val="both"/>
              <w:rPr>
                <w:rFonts w:eastAsia="Times New Roman" w:cs="Times New Roman"/>
                <w:sz w:val="24"/>
                <w:szCs w:val="24"/>
              </w:rPr>
            </w:pPr>
          </w:p>
        </w:tc>
        <w:tc>
          <w:tcPr>
            <w:tcW w:w="3384" w:type="dxa"/>
            <w:gridSpan w:val="3"/>
            <w:tcBorders>
              <w:top w:val="single" w:sz="4" w:space="0" w:color="auto"/>
              <w:left w:val="single" w:sz="4" w:space="0" w:color="auto"/>
              <w:bottom w:val="nil"/>
              <w:right w:val="nil"/>
            </w:tcBorders>
            <w:vAlign w:val="bottom"/>
          </w:tcPr>
          <w:p w14:paraId="43543219" w14:textId="77777777" w:rsidR="00830E15" w:rsidRPr="00830E15" w:rsidRDefault="00830E15" w:rsidP="00830E15">
            <w:pPr>
              <w:spacing w:after="0"/>
              <w:jc w:val="both"/>
              <w:rPr>
                <w:rFonts w:eastAsia="Times New Roman" w:cs="Times New Roman"/>
                <w:sz w:val="24"/>
                <w:szCs w:val="24"/>
              </w:rPr>
            </w:pPr>
            <w:r w:rsidRPr="00830E15">
              <w:rPr>
                <w:rFonts w:eastAsia="Times New Roman" w:cs="Times New Roman"/>
                <w:sz w:val="24"/>
                <w:szCs w:val="24"/>
              </w:rPr>
              <w:t>амплитуда</w:t>
            </w:r>
            <w:r w:rsidRPr="00830E15">
              <w:rPr>
                <w:rFonts w:eastAsia="Times New Roman" w:cs="Times New Roman"/>
                <w:sz w:val="24"/>
                <w:szCs w:val="24"/>
              </w:rPr>
              <w:tab/>
              <w:t>зубца</w:t>
            </w:r>
            <w:r w:rsidRPr="00830E15">
              <w:rPr>
                <w:rFonts w:eastAsia="Times New Roman" w:cs="Times New Roman"/>
                <w:sz w:val="24"/>
                <w:szCs w:val="24"/>
              </w:rPr>
              <w:tab/>
            </w:r>
            <w:r w:rsidRPr="00830E15">
              <w:rPr>
                <w:rFonts w:eastAsia="Times New Roman" w:cs="Times New Roman"/>
                <w:sz w:val="24"/>
                <w:szCs w:val="24"/>
                <w:lang w:val="en-US"/>
              </w:rPr>
              <w:t>R</w:t>
            </w:r>
            <w:r w:rsidRPr="00830E15">
              <w:rPr>
                <w:rFonts w:eastAsia="Times New Roman" w:cs="Times New Roman"/>
                <w:sz w:val="24"/>
                <w:szCs w:val="24"/>
              </w:rPr>
              <w:tab/>
              <w:t>в</w:t>
            </w:r>
          </w:p>
          <w:p w14:paraId="1012BD01" w14:textId="77777777" w:rsidR="00830E15" w:rsidRPr="00830E15" w:rsidRDefault="00830E15" w:rsidP="00830E15">
            <w:pPr>
              <w:spacing w:after="0"/>
              <w:jc w:val="both"/>
              <w:rPr>
                <w:rFonts w:eastAsia="Times New Roman" w:cs="Times New Roman"/>
                <w:sz w:val="24"/>
                <w:szCs w:val="24"/>
              </w:rPr>
            </w:pPr>
            <w:r w:rsidRPr="00830E15">
              <w:rPr>
                <w:rFonts w:eastAsia="Times New Roman" w:cs="Times New Roman"/>
                <w:sz w:val="24"/>
                <w:szCs w:val="24"/>
              </w:rPr>
              <w:t xml:space="preserve">отведении </w:t>
            </w:r>
            <w:r w:rsidRPr="00830E15">
              <w:rPr>
                <w:rFonts w:eastAsia="Times New Roman" w:cs="Times New Roman"/>
                <w:sz w:val="24"/>
                <w:szCs w:val="24"/>
                <w:lang w:val="en-US"/>
              </w:rPr>
              <w:t>aVL</w:t>
            </w:r>
          </w:p>
        </w:tc>
        <w:tc>
          <w:tcPr>
            <w:tcW w:w="3576" w:type="dxa"/>
            <w:gridSpan w:val="2"/>
            <w:tcBorders>
              <w:top w:val="single" w:sz="4" w:space="0" w:color="auto"/>
              <w:left w:val="single" w:sz="4" w:space="0" w:color="auto"/>
              <w:bottom w:val="nil"/>
              <w:right w:val="single" w:sz="4" w:space="0" w:color="auto"/>
            </w:tcBorders>
          </w:tcPr>
          <w:p w14:paraId="39E993A0" w14:textId="77777777" w:rsidR="00830E15" w:rsidRPr="00830E15" w:rsidRDefault="005741AA" w:rsidP="00830E15">
            <w:pPr>
              <w:spacing w:after="0"/>
              <w:jc w:val="both"/>
              <w:rPr>
                <w:rFonts w:eastAsia="Times New Roman" w:cs="Times New Roman"/>
                <w:sz w:val="24"/>
                <w:szCs w:val="24"/>
              </w:rPr>
            </w:pPr>
            <w:r>
              <w:rPr>
                <w:rFonts w:eastAsia="Times New Roman" w:cs="Times New Roman"/>
                <w:sz w:val="24"/>
                <w:szCs w:val="24"/>
              </w:rPr>
              <w:t xml:space="preserve"> </w:t>
            </w:r>
            <w:r w:rsidR="00830E15" w:rsidRPr="00830E15">
              <w:rPr>
                <w:rFonts w:eastAsia="Times New Roman" w:cs="Times New Roman"/>
                <w:sz w:val="24"/>
                <w:szCs w:val="24"/>
              </w:rPr>
              <w:t>≥11 мм</w:t>
            </w:r>
          </w:p>
        </w:tc>
      </w:tr>
      <w:tr w:rsidR="00830E15" w:rsidRPr="00830E15" w14:paraId="113D1A24" w14:textId="77777777" w:rsidTr="0073199D">
        <w:trPr>
          <w:trHeight w:val="562"/>
        </w:trPr>
        <w:tc>
          <w:tcPr>
            <w:tcW w:w="2400" w:type="dxa"/>
            <w:tcBorders>
              <w:top w:val="single" w:sz="4" w:space="0" w:color="auto"/>
              <w:left w:val="single" w:sz="4" w:space="0" w:color="auto"/>
              <w:bottom w:val="nil"/>
              <w:right w:val="nil"/>
            </w:tcBorders>
          </w:tcPr>
          <w:p w14:paraId="02CAAA32" w14:textId="77777777" w:rsidR="00830E15" w:rsidRPr="00830E15" w:rsidRDefault="00830E15" w:rsidP="00830E15">
            <w:pPr>
              <w:spacing w:after="0"/>
              <w:jc w:val="both"/>
              <w:rPr>
                <w:rFonts w:eastAsia="Times New Roman" w:cs="Times New Roman"/>
                <w:sz w:val="24"/>
                <w:szCs w:val="24"/>
              </w:rPr>
            </w:pPr>
          </w:p>
        </w:tc>
        <w:tc>
          <w:tcPr>
            <w:tcW w:w="3384" w:type="dxa"/>
            <w:gridSpan w:val="3"/>
            <w:tcBorders>
              <w:top w:val="single" w:sz="4" w:space="0" w:color="auto"/>
              <w:left w:val="single" w:sz="4" w:space="0" w:color="auto"/>
              <w:bottom w:val="nil"/>
              <w:right w:val="nil"/>
            </w:tcBorders>
            <w:vAlign w:val="bottom"/>
          </w:tcPr>
          <w:p w14:paraId="33EFEF38" w14:textId="77777777" w:rsidR="00830E15" w:rsidRPr="00830E15" w:rsidRDefault="00830E15" w:rsidP="00830E15">
            <w:pPr>
              <w:spacing w:after="0"/>
              <w:jc w:val="both"/>
              <w:rPr>
                <w:rFonts w:eastAsia="Times New Roman" w:cs="Times New Roman"/>
                <w:sz w:val="24"/>
                <w:szCs w:val="24"/>
              </w:rPr>
            </w:pPr>
            <w:r w:rsidRPr="00830E15">
              <w:rPr>
                <w:rFonts w:eastAsia="Times New Roman" w:cs="Times New Roman"/>
                <w:sz w:val="24"/>
                <w:szCs w:val="24"/>
                <w:lang w:val="en-US"/>
              </w:rPr>
              <w:t>SV</w:t>
            </w:r>
            <w:r w:rsidRPr="00830E15">
              <w:rPr>
                <w:rFonts w:eastAsia="Times New Roman" w:cs="Times New Roman"/>
                <w:sz w:val="24"/>
                <w:szCs w:val="24"/>
              </w:rPr>
              <w:t>3 +</w:t>
            </w:r>
            <w:r w:rsidRPr="00830E15">
              <w:rPr>
                <w:rFonts w:eastAsia="Times New Roman" w:cs="Times New Roman"/>
                <w:sz w:val="24"/>
                <w:szCs w:val="24"/>
              </w:rPr>
              <w:tab/>
            </w:r>
            <w:r w:rsidRPr="00830E15">
              <w:rPr>
                <w:rFonts w:eastAsia="Times New Roman" w:cs="Times New Roman"/>
                <w:sz w:val="24"/>
                <w:szCs w:val="24"/>
                <w:lang w:val="en-US"/>
              </w:rPr>
              <w:t>RaVL</w:t>
            </w:r>
            <w:r w:rsidRPr="00830E15">
              <w:rPr>
                <w:rFonts w:eastAsia="Times New Roman" w:cs="Times New Roman"/>
                <w:sz w:val="24"/>
                <w:szCs w:val="24"/>
              </w:rPr>
              <w:t xml:space="preserve"> (корнельский</w:t>
            </w:r>
          </w:p>
          <w:p w14:paraId="16B913E3" w14:textId="77777777" w:rsidR="00830E15" w:rsidRPr="00830E15" w:rsidRDefault="00830E15" w:rsidP="00830E15">
            <w:pPr>
              <w:spacing w:after="0"/>
              <w:jc w:val="both"/>
              <w:rPr>
                <w:rFonts w:eastAsia="Times New Roman" w:cs="Times New Roman"/>
                <w:sz w:val="24"/>
                <w:szCs w:val="24"/>
              </w:rPr>
            </w:pPr>
            <w:r w:rsidRPr="00830E15">
              <w:rPr>
                <w:rFonts w:eastAsia="Times New Roman" w:cs="Times New Roman"/>
                <w:sz w:val="24"/>
                <w:szCs w:val="24"/>
              </w:rPr>
              <w:t>вольтажный индекс)</w:t>
            </w:r>
          </w:p>
        </w:tc>
        <w:tc>
          <w:tcPr>
            <w:tcW w:w="3576" w:type="dxa"/>
            <w:gridSpan w:val="2"/>
            <w:tcBorders>
              <w:top w:val="single" w:sz="4" w:space="0" w:color="auto"/>
              <w:left w:val="single" w:sz="4" w:space="0" w:color="auto"/>
              <w:bottom w:val="nil"/>
              <w:right w:val="single" w:sz="4" w:space="0" w:color="auto"/>
            </w:tcBorders>
          </w:tcPr>
          <w:p w14:paraId="553C9C18" w14:textId="77777777" w:rsidR="00830E15" w:rsidRPr="00830E15" w:rsidRDefault="005741AA" w:rsidP="00830E15">
            <w:pPr>
              <w:spacing w:after="0"/>
              <w:jc w:val="both"/>
              <w:rPr>
                <w:rFonts w:eastAsia="Times New Roman" w:cs="Times New Roman"/>
                <w:sz w:val="24"/>
                <w:szCs w:val="24"/>
              </w:rPr>
            </w:pPr>
            <w:r>
              <w:rPr>
                <w:rFonts w:eastAsia="Times New Roman" w:cs="Times New Roman"/>
                <w:sz w:val="24"/>
                <w:szCs w:val="24"/>
              </w:rPr>
              <w:t xml:space="preserve"> </w:t>
            </w:r>
            <w:r w:rsidR="00830E15" w:rsidRPr="00830E15">
              <w:rPr>
                <w:rFonts w:eastAsia="Times New Roman" w:cs="Times New Roman"/>
                <w:sz w:val="24"/>
                <w:szCs w:val="24"/>
              </w:rPr>
              <w:t>&gt;28 мм (муж), &gt;20 мм (жен)</w:t>
            </w:r>
          </w:p>
        </w:tc>
      </w:tr>
      <w:tr w:rsidR="00830E15" w:rsidRPr="00830E15" w14:paraId="44D9E76A" w14:textId="77777777" w:rsidTr="0073199D">
        <w:trPr>
          <w:trHeight w:val="1392"/>
        </w:trPr>
        <w:tc>
          <w:tcPr>
            <w:tcW w:w="2400" w:type="dxa"/>
            <w:tcBorders>
              <w:top w:val="single" w:sz="4" w:space="0" w:color="auto"/>
              <w:left w:val="single" w:sz="4" w:space="0" w:color="auto"/>
              <w:bottom w:val="nil"/>
              <w:right w:val="nil"/>
            </w:tcBorders>
          </w:tcPr>
          <w:p w14:paraId="70208D40" w14:textId="77777777" w:rsidR="00830E15" w:rsidRPr="00830E15" w:rsidRDefault="00830E15" w:rsidP="00830E15">
            <w:pPr>
              <w:spacing w:after="0"/>
              <w:jc w:val="both"/>
              <w:rPr>
                <w:rFonts w:eastAsia="Times New Roman" w:cs="Times New Roman"/>
                <w:sz w:val="24"/>
                <w:szCs w:val="24"/>
              </w:rPr>
            </w:pPr>
          </w:p>
        </w:tc>
        <w:tc>
          <w:tcPr>
            <w:tcW w:w="3384" w:type="dxa"/>
            <w:gridSpan w:val="3"/>
            <w:tcBorders>
              <w:top w:val="single" w:sz="4" w:space="0" w:color="auto"/>
              <w:left w:val="single" w:sz="4" w:space="0" w:color="auto"/>
              <w:bottom w:val="nil"/>
              <w:right w:val="nil"/>
            </w:tcBorders>
            <w:vAlign w:val="bottom"/>
          </w:tcPr>
          <w:p w14:paraId="2BD7B69B" w14:textId="77777777" w:rsidR="00830E15" w:rsidRPr="00830E15" w:rsidRDefault="00830E15" w:rsidP="00830E15">
            <w:pPr>
              <w:spacing w:after="0"/>
              <w:jc w:val="both"/>
              <w:rPr>
                <w:rFonts w:eastAsia="Times New Roman" w:cs="Times New Roman"/>
                <w:sz w:val="24"/>
                <w:szCs w:val="24"/>
              </w:rPr>
            </w:pPr>
            <w:r w:rsidRPr="00830E15">
              <w:rPr>
                <w:rFonts w:eastAsia="Times New Roman" w:cs="Times New Roman"/>
                <w:sz w:val="24"/>
                <w:szCs w:val="24"/>
              </w:rPr>
              <w:t xml:space="preserve">корнельское произведение: корнельский вольтажный индекс (+6 мм у женщин) × продолжительность комплекса </w:t>
            </w:r>
            <w:r w:rsidRPr="00830E15">
              <w:rPr>
                <w:rFonts w:eastAsia="Times New Roman" w:cs="Times New Roman"/>
                <w:sz w:val="24"/>
                <w:szCs w:val="24"/>
                <w:lang w:val="en-US"/>
              </w:rPr>
              <w:t>QRS</w:t>
            </w:r>
          </w:p>
        </w:tc>
        <w:tc>
          <w:tcPr>
            <w:tcW w:w="3576" w:type="dxa"/>
            <w:gridSpan w:val="2"/>
            <w:tcBorders>
              <w:top w:val="single" w:sz="4" w:space="0" w:color="auto"/>
              <w:left w:val="single" w:sz="4" w:space="0" w:color="auto"/>
              <w:bottom w:val="nil"/>
              <w:right w:val="single" w:sz="4" w:space="0" w:color="auto"/>
            </w:tcBorders>
          </w:tcPr>
          <w:p w14:paraId="0D851095" w14:textId="77777777" w:rsidR="00830E15" w:rsidRPr="00830E15" w:rsidRDefault="005741AA" w:rsidP="00830E15">
            <w:pPr>
              <w:spacing w:after="0"/>
              <w:jc w:val="both"/>
              <w:rPr>
                <w:rFonts w:eastAsia="Times New Roman" w:cs="Times New Roman"/>
                <w:sz w:val="24"/>
                <w:szCs w:val="24"/>
              </w:rPr>
            </w:pPr>
            <w:r>
              <w:rPr>
                <w:rFonts w:eastAsia="Times New Roman" w:cs="Times New Roman"/>
                <w:sz w:val="24"/>
                <w:szCs w:val="24"/>
              </w:rPr>
              <w:t xml:space="preserve"> </w:t>
            </w:r>
            <w:r w:rsidR="00830E15" w:rsidRPr="00830E15">
              <w:rPr>
                <w:rFonts w:eastAsia="Times New Roman" w:cs="Times New Roman"/>
                <w:sz w:val="24"/>
                <w:szCs w:val="24"/>
              </w:rPr>
              <w:t>&gt;2440 мм/мс</w:t>
            </w:r>
          </w:p>
        </w:tc>
      </w:tr>
      <w:tr w:rsidR="00830E15" w:rsidRPr="00830E15" w14:paraId="00BA8B82" w14:textId="77777777" w:rsidTr="0073199D">
        <w:trPr>
          <w:trHeight w:val="283"/>
        </w:trPr>
        <w:tc>
          <w:tcPr>
            <w:tcW w:w="9360" w:type="dxa"/>
            <w:gridSpan w:val="6"/>
            <w:tcBorders>
              <w:top w:val="single" w:sz="4" w:space="0" w:color="auto"/>
              <w:left w:val="single" w:sz="4" w:space="0" w:color="auto"/>
              <w:bottom w:val="nil"/>
              <w:right w:val="single" w:sz="4" w:space="0" w:color="auto"/>
            </w:tcBorders>
            <w:vAlign w:val="bottom"/>
          </w:tcPr>
          <w:p w14:paraId="768FABB1" w14:textId="77777777" w:rsidR="00830E15" w:rsidRPr="00830E15" w:rsidRDefault="00830E15" w:rsidP="00830E15">
            <w:pPr>
              <w:spacing w:after="0"/>
              <w:jc w:val="both"/>
              <w:rPr>
                <w:rFonts w:eastAsia="Times New Roman" w:cs="Times New Roman"/>
                <w:sz w:val="24"/>
                <w:szCs w:val="24"/>
              </w:rPr>
            </w:pPr>
            <w:r w:rsidRPr="00830E15">
              <w:rPr>
                <w:rFonts w:eastAsia="Times New Roman" w:cs="Times New Roman"/>
                <w:b/>
                <w:bCs/>
                <w:sz w:val="24"/>
                <w:szCs w:val="24"/>
              </w:rPr>
              <w:t>ЭХО-КГ</w:t>
            </w:r>
          </w:p>
        </w:tc>
      </w:tr>
      <w:tr w:rsidR="00830E15" w:rsidRPr="00830E15" w14:paraId="56FD270C" w14:textId="77777777" w:rsidTr="0073199D">
        <w:trPr>
          <w:trHeight w:val="562"/>
        </w:trPr>
        <w:tc>
          <w:tcPr>
            <w:tcW w:w="2400" w:type="dxa"/>
            <w:tcBorders>
              <w:top w:val="single" w:sz="4" w:space="0" w:color="auto"/>
              <w:left w:val="single" w:sz="4" w:space="0" w:color="auto"/>
              <w:bottom w:val="nil"/>
              <w:right w:val="nil"/>
            </w:tcBorders>
          </w:tcPr>
          <w:p w14:paraId="0F86A46A" w14:textId="77777777" w:rsidR="00830E15" w:rsidRPr="00830E15" w:rsidRDefault="00830E15" w:rsidP="00830E15">
            <w:pPr>
              <w:spacing w:after="0"/>
              <w:jc w:val="both"/>
              <w:rPr>
                <w:rFonts w:eastAsia="Times New Roman" w:cs="Times New Roman"/>
                <w:sz w:val="24"/>
                <w:szCs w:val="24"/>
              </w:rPr>
            </w:pPr>
            <w:r w:rsidRPr="00830E15">
              <w:rPr>
                <w:rFonts w:eastAsia="Times New Roman" w:cs="Times New Roman"/>
                <w:sz w:val="24"/>
                <w:szCs w:val="24"/>
              </w:rPr>
              <w:t>ГЛЖ</w:t>
            </w:r>
          </w:p>
        </w:tc>
        <w:tc>
          <w:tcPr>
            <w:tcW w:w="3384" w:type="dxa"/>
            <w:gridSpan w:val="3"/>
            <w:tcBorders>
              <w:top w:val="single" w:sz="4" w:space="0" w:color="auto"/>
              <w:left w:val="single" w:sz="4" w:space="0" w:color="auto"/>
              <w:bottom w:val="nil"/>
              <w:right w:val="nil"/>
            </w:tcBorders>
          </w:tcPr>
          <w:p w14:paraId="3B5E341A" w14:textId="77777777" w:rsidR="00830E15" w:rsidRPr="00830E15" w:rsidRDefault="00830E15" w:rsidP="00830E15">
            <w:pPr>
              <w:spacing w:after="0"/>
              <w:jc w:val="both"/>
              <w:rPr>
                <w:rFonts w:eastAsia="Times New Roman" w:cs="Times New Roman"/>
                <w:sz w:val="24"/>
                <w:szCs w:val="24"/>
              </w:rPr>
            </w:pPr>
            <w:r w:rsidRPr="00830E15">
              <w:rPr>
                <w:rFonts w:eastAsia="Times New Roman" w:cs="Times New Roman"/>
                <w:sz w:val="24"/>
                <w:szCs w:val="24"/>
              </w:rPr>
              <w:t>ММЛЖ/ППТ (г/м</w:t>
            </w:r>
            <w:r w:rsidRPr="00830E15">
              <w:rPr>
                <w:rFonts w:eastAsia="Times New Roman" w:cs="Times New Roman"/>
                <w:sz w:val="24"/>
                <w:szCs w:val="24"/>
                <w:vertAlign w:val="superscript"/>
              </w:rPr>
              <w:t>2</w:t>
            </w:r>
            <w:r w:rsidRPr="00830E15">
              <w:rPr>
                <w:rFonts w:eastAsia="Times New Roman" w:cs="Times New Roman"/>
                <w:sz w:val="24"/>
                <w:szCs w:val="24"/>
              </w:rPr>
              <w:t>)</w:t>
            </w:r>
          </w:p>
        </w:tc>
        <w:tc>
          <w:tcPr>
            <w:tcW w:w="3576" w:type="dxa"/>
            <w:gridSpan w:val="2"/>
            <w:tcBorders>
              <w:top w:val="single" w:sz="4" w:space="0" w:color="auto"/>
              <w:left w:val="single" w:sz="4" w:space="0" w:color="auto"/>
              <w:bottom w:val="nil"/>
              <w:right w:val="single" w:sz="4" w:space="0" w:color="auto"/>
            </w:tcBorders>
            <w:vAlign w:val="bottom"/>
          </w:tcPr>
          <w:p w14:paraId="28019443" w14:textId="77777777" w:rsidR="00830E15" w:rsidRPr="00830E15" w:rsidRDefault="005741AA" w:rsidP="00830E15">
            <w:pPr>
              <w:spacing w:after="0"/>
              <w:jc w:val="both"/>
              <w:rPr>
                <w:rFonts w:eastAsia="Times New Roman" w:cs="Times New Roman"/>
                <w:sz w:val="24"/>
                <w:szCs w:val="24"/>
              </w:rPr>
            </w:pPr>
            <w:r>
              <w:rPr>
                <w:rFonts w:eastAsia="Times New Roman" w:cs="Times New Roman"/>
                <w:sz w:val="24"/>
                <w:szCs w:val="24"/>
              </w:rPr>
              <w:t xml:space="preserve"> </w:t>
            </w:r>
            <w:proofErr w:type="gramStart"/>
            <w:r w:rsidR="00830E15" w:rsidRPr="00830E15">
              <w:rPr>
                <w:rFonts w:eastAsia="Times New Roman" w:cs="Times New Roman"/>
                <w:sz w:val="24"/>
                <w:szCs w:val="24"/>
              </w:rPr>
              <w:t>&gt;</w:t>
            </w:r>
            <w:r w:rsidR="00830E15" w:rsidRPr="00830E15">
              <w:rPr>
                <w:rFonts w:eastAsia="Times New Roman" w:cs="Times New Roman"/>
                <w:sz w:val="24"/>
                <w:szCs w:val="24"/>
              </w:rPr>
              <w:tab/>
            </w:r>
            <w:proofErr w:type="gramEnd"/>
            <w:r w:rsidR="00830E15" w:rsidRPr="00830E15">
              <w:rPr>
                <w:rFonts w:eastAsia="Times New Roman" w:cs="Times New Roman"/>
                <w:sz w:val="24"/>
                <w:szCs w:val="24"/>
              </w:rPr>
              <w:t>115 (мужчины) и &gt;</w:t>
            </w:r>
            <w:r w:rsidR="00830E15" w:rsidRPr="00830E15">
              <w:rPr>
                <w:rFonts w:eastAsia="Times New Roman" w:cs="Times New Roman"/>
                <w:sz w:val="24"/>
                <w:szCs w:val="24"/>
              </w:rPr>
              <w:tab/>
              <w:t>95</w:t>
            </w:r>
          </w:p>
          <w:p w14:paraId="5FA1A328" w14:textId="77777777" w:rsidR="00830E15" w:rsidRPr="00830E15" w:rsidRDefault="00830E15" w:rsidP="00830E15">
            <w:pPr>
              <w:spacing w:after="0"/>
              <w:jc w:val="both"/>
              <w:rPr>
                <w:rFonts w:eastAsia="Times New Roman" w:cs="Times New Roman"/>
                <w:sz w:val="24"/>
                <w:szCs w:val="24"/>
              </w:rPr>
            </w:pPr>
            <w:r w:rsidRPr="00830E15">
              <w:rPr>
                <w:rFonts w:eastAsia="Times New Roman" w:cs="Times New Roman"/>
                <w:sz w:val="24"/>
                <w:szCs w:val="24"/>
              </w:rPr>
              <w:t>(женщины)</w:t>
            </w:r>
          </w:p>
        </w:tc>
      </w:tr>
      <w:tr w:rsidR="00830E15" w:rsidRPr="00830E15" w14:paraId="2806ECDC" w14:textId="77777777" w:rsidTr="0073199D">
        <w:trPr>
          <w:trHeight w:val="845"/>
        </w:trPr>
        <w:tc>
          <w:tcPr>
            <w:tcW w:w="2400" w:type="dxa"/>
            <w:tcBorders>
              <w:top w:val="single" w:sz="4" w:space="0" w:color="auto"/>
              <w:left w:val="single" w:sz="4" w:space="0" w:color="auto"/>
              <w:bottom w:val="single" w:sz="4" w:space="0" w:color="auto"/>
              <w:right w:val="nil"/>
            </w:tcBorders>
          </w:tcPr>
          <w:p w14:paraId="48CFD851" w14:textId="77777777" w:rsidR="00830E15" w:rsidRPr="00830E15" w:rsidRDefault="00830E15" w:rsidP="00830E15">
            <w:pPr>
              <w:spacing w:after="0"/>
              <w:jc w:val="both"/>
              <w:rPr>
                <w:rFonts w:eastAsia="Times New Roman" w:cs="Times New Roman"/>
                <w:sz w:val="24"/>
                <w:szCs w:val="24"/>
              </w:rPr>
            </w:pPr>
          </w:p>
        </w:tc>
        <w:tc>
          <w:tcPr>
            <w:tcW w:w="3384" w:type="dxa"/>
            <w:gridSpan w:val="3"/>
            <w:tcBorders>
              <w:top w:val="single" w:sz="4" w:space="0" w:color="auto"/>
              <w:left w:val="single" w:sz="4" w:space="0" w:color="auto"/>
              <w:bottom w:val="single" w:sz="4" w:space="0" w:color="auto"/>
              <w:right w:val="nil"/>
            </w:tcBorders>
          </w:tcPr>
          <w:p w14:paraId="68AA76E9" w14:textId="77777777" w:rsidR="00830E15" w:rsidRPr="00830E15" w:rsidRDefault="00830E15" w:rsidP="00830E15">
            <w:pPr>
              <w:spacing w:after="0"/>
              <w:jc w:val="both"/>
              <w:rPr>
                <w:rFonts w:eastAsia="Times New Roman" w:cs="Times New Roman"/>
                <w:sz w:val="24"/>
                <w:szCs w:val="24"/>
              </w:rPr>
            </w:pPr>
            <w:r w:rsidRPr="00830E15">
              <w:rPr>
                <w:rFonts w:eastAsia="Times New Roman" w:cs="Times New Roman"/>
                <w:sz w:val="24"/>
                <w:szCs w:val="24"/>
              </w:rPr>
              <w:t>ММЛЖ/рост (г/м</w:t>
            </w:r>
            <w:r w:rsidRPr="00830E15">
              <w:rPr>
                <w:rFonts w:eastAsia="Times New Roman" w:cs="Times New Roman"/>
                <w:sz w:val="24"/>
                <w:szCs w:val="24"/>
                <w:vertAlign w:val="superscript"/>
              </w:rPr>
              <w:t>2,7</w:t>
            </w:r>
            <w:r w:rsidRPr="00830E15">
              <w:rPr>
                <w:rFonts w:eastAsia="Times New Roman" w:cs="Times New Roman"/>
                <w:sz w:val="24"/>
                <w:szCs w:val="24"/>
              </w:rPr>
              <w:t>)</w:t>
            </w:r>
          </w:p>
        </w:tc>
        <w:tc>
          <w:tcPr>
            <w:tcW w:w="3576" w:type="dxa"/>
            <w:gridSpan w:val="2"/>
            <w:tcBorders>
              <w:top w:val="single" w:sz="4" w:space="0" w:color="auto"/>
              <w:left w:val="single" w:sz="4" w:space="0" w:color="auto"/>
              <w:bottom w:val="single" w:sz="4" w:space="0" w:color="auto"/>
              <w:right w:val="single" w:sz="4" w:space="0" w:color="auto"/>
            </w:tcBorders>
            <w:vAlign w:val="bottom"/>
          </w:tcPr>
          <w:p w14:paraId="6EA0C087" w14:textId="77777777" w:rsidR="00830E15" w:rsidRPr="00830E15" w:rsidRDefault="00830E15" w:rsidP="00830E15">
            <w:pPr>
              <w:spacing w:after="0"/>
              <w:jc w:val="both"/>
              <w:rPr>
                <w:rFonts w:eastAsia="Times New Roman" w:cs="Times New Roman"/>
                <w:sz w:val="24"/>
                <w:szCs w:val="24"/>
              </w:rPr>
            </w:pPr>
            <w:r w:rsidRPr="00830E15">
              <w:rPr>
                <w:rFonts w:eastAsia="Times New Roman" w:cs="Times New Roman"/>
                <w:sz w:val="24"/>
                <w:szCs w:val="24"/>
              </w:rPr>
              <w:t>для мужчин &gt;50 г/м</w:t>
            </w:r>
            <w:r w:rsidRPr="00830E15">
              <w:rPr>
                <w:rFonts w:eastAsia="Times New Roman" w:cs="Times New Roman"/>
                <w:sz w:val="24"/>
                <w:szCs w:val="24"/>
                <w:vertAlign w:val="superscript"/>
              </w:rPr>
              <w:t>2,7</w:t>
            </w:r>
            <w:r w:rsidRPr="00830E15">
              <w:rPr>
                <w:rFonts w:eastAsia="Times New Roman" w:cs="Times New Roman"/>
                <w:sz w:val="24"/>
                <w:szCs w:val="24"/>
              </w:rPr>
              <w:t xml:space="preserve">, для женщин </w:t>
            </w:r>
            <w:r w:rsidR="005741AA">
              <w:rPr>
                <w:rFonts w:eastAsia="Times New Roman" w:cs="Times New Roman"/>
                <w:sz w:val="24"/>
                <w:szCs w:val="24"/>
              </w:rPr>
              <w:t xml:space="preserve">     </w:t>
            </w:r>
            <w:r w:rsidRPr="00830E15">
              <w:rPr>
                <w:rFonts w:eastAsia="Times New Roman" w:cs="Times New Roman"/>
                <w:sz w:val="24"/>
                <w:szCs w:val="24"/>
              </w:rPr>
              <w:t>&gt;47 г/м</w:t>
            </w:r>
            <w:r w:rsidRPr="00830E15">
              <w:rPr>
                <w:rFonts w:eastAsia="Times New Roman" w:cs="Times New Roman"/>
                <w:sz w:val="24"/>
                <w:szCs w:val="24"/>
                <w:vertAlign w:val="superscript"/>
              </w:rPr>
              <w:t>2,7</w:t>
            </w:r>
            <w:r w:rsidRPr="00830E15">
              <w:rPr>
                <w:rFonts w:eastAsia="Times New Roman" w:cs="Times New Roman"/>
                <w:sz w:val="24"/>
                <w:szCs w:val="24"/>
              </w:rPr>
              <w:t>(рост в метрах</w:t>
            </w:r>
            <w:r w:rsidRPr="00830E15">
              <w:rPr>
                <w:rFonts w:eastAsia="Times New Roman" w:cs="Times New Roman"/>
                <w:sz w:val="24"/>
                <w:szCs w:val="24"/>
                <w:vertAlign w:val="superscript"/>
              </w:rPr>
              <w:t>2,7)</w:t>
            </w:r>
          </w:p>
        </w:tc>
      </w:tr>
      <w:tr w:rsidR="005B766F" w:rsidRPr="005B766F" w14:paraId="7535E6A5" w14:textId="77777777" w:rsidTr="0073199D">
        <w:trPr>
          <w:trHeight w:val="845"/>
        </w:trPr>
        <w:tc>
          <w:tcPr>
            <w:tcW w:w="2400" w:type="dxa"/>
            <w:tcBorders>
              <w:top w:val="single" w:sz="4" w:space="0" w:color="auto"/>
              <w:left w:val="single" w:sz="4" w:space="0" w:color="auto"/>
              <w:bottom w:val="single" w:sz="4" w:space="0" w:color="auto"/>
              <w:right w:val="nil"/>
            </w:tcBorders>
          </w:tcPr>
          <w:p w14:paraId="2CB98A77" w14:textId="77777777" w:rsidR="005B766F" w:rsidRPr="005B766F" w:rsidRDefault="005B766F" w:rsidP="005B766F">
            <w:pPr>
              <w:spacing w:after="0"/>
              <w:jc w:val="both"/>
              <w:rPr>
                <w:rFonts w:eastAsia="Times New Roman" w:cs="Times New Roman"/>
                <w:sz w:val="24"/>
                <w:szCs w:val="24"/>
              </w:rPr>
            </w:pPr>
          </w:p>
        </w:tc>
        <w:tc>
          <w:tcPr>
            <w:tcW w:w="3384" w:type="dxa"/>
            <w:gridSpan w:val="3"/>
            <w:tcBorders>
              <w:top w:val="single" w:sz="4" w:space="0" w:color="auto"/>
              <w:left w:val="single" w:sz="4" w:space="0" w:color="auto"/>
              <w:bottom w:val="single" w:sz="4" w:space="0" w:color="auto"/>
              <w:right w:val="nil"/>
            </w:tcBorders>
          </w:tcPr>
          <w:p w14:paraId="6501C933" w14:textId="77777777" w:rsidR="005B766F" w:rsidRPr="005B766F" w:rsidRDefault="005B766F" w:rsidP="005B766F">
            <w:pPr>
              <w:spacing w:after="0"/>
              <w:jc w:val="both"/>
              <w:rPr>
                <w:rFonts w:eastAsia="Times New Roman" w:cs="Times New Roman"/>
                <w:sz w:val="24"/>
                <w:szCs w:val="24"/>
              </w:rPr>
            </w:pPr>
            <w:r w:rsidRPr="005B766F">
              <w:rPr>
                <w:rFonts w:eastAsia="Times New Roman" w:cs="Times New Roman"/>
                <w:sz w:val="24"/>
                <w:szCs w:val="24"/>
              </w:rPr>
              <w:t>Относительная</w:t>
            </w:r>
            <w:r w:rsidRPr="005B766F">
              <w:rPr>
                <w:rFonts w:eastAsia="Times New Roman" w:cs="Times New Roman"/>
                <w:sz w:val="24"/>
                <w:szCs w:val="24"/>
              </w:rPr>
              <w:tab/>
              <w:t>толщина</w:t>
            </w:r>
          </w:p>
          <w:p w14:paraId="10909ECB" w14:textId="77777777" w:rsidR="005B766F" w:rsidRPr="005B766F" w:rsidRDefault="005B766F" w:rsidP="005B766F">
            <w:pPr>
              <w:spacing w:after="0"/>
              <w:jc w:val="both"/>
              <w:rPr>
                <w:rFonts w:eastAsia="Times New Roman" w:cs="Times New Roman"/>
                <w:sz w:val="24"/>
                <w:szCs w:val="24"/>
              </w:rPr>
            </w:pPr>
            <w:r w:rsidRPr="005B766F">
              <w:rPr>
                <w:rFonts w:eastAsia="Times New Roman" w:cs="Times New Roman"/>
                <w:sz w:val="24"/>
                <w:szCs w:val="24"/>
              </w:rPr>
              <w:t>стенки</w:t>
            </w:r>
            <w:r w:rsidRPr="005B766F">
              <w:rPr>
                <w:rFonts w:eastAsia="Times New Roman" w:cs="Times New Roman"/>
                <w:sz w:val="24"/>
                <w:szCs w:val="24"/>
              </w:rPr>
              <w:tab/>
              <w:t>желудочка</w:t>
            </w:r>
            <w:r w:rsidRPr="005B766F">
              <w:rPr>
                <w:rFonts w:eastAsia="Times New Roman" w:cs="Times New Roman"/>
                <w:sz w:val="24"/>
                <w:szCs w:val="24"/>
              </w:rPr>
              <w:tab/>
              <w:t>-</w:t>
            </w:r>
          </w:p>
          <w:p w14:paraId="17288F7D" w14:textId="77777777" w:rsidR="005B766F" w:rsidRPr="005B766F" w:rsidRDefault="005B766F" w:rsidP="005B766F">
            <w:pPr>
              <w:spacing w:after="0"/>
              <w:jc w:val="both"/>
              <w:rPr>
                <w:rFonts w:eastAsia="Times New Roman" w:cs="Times New Roman"/>
                <w:sz w:val="24"/>
                <w:szCs w:val="24"/>
              </w:rPr>
            </w:pPr>
            <w:r w:rsidRPr="005B766F">
              <w:rPr>
                <w:rFonts w:eastAsia="Times New Roman" w:cs="Times New Roman"/>
                <w:sz w:val="24"/>
                <w:szCs w:val="24"/>
              </w:rPr>
              <w:t>концентрическое ремоделирование стенки ЛЖ</w:t>
            </w:r>
          </w:p>
        </w:tc>
        <w:tc>
          <w:tcPr>
            <w:tcW w:w="3576" w:type="dxa"/>
            <w:gridSpan w:val="2"/>
            <w:tcBorders>
              <w:top w:val="single" w:sz="4" w:space="0" w:color="auto"/>
              <w:left w:val="single" w:sz="4" w:space="0" w:color="auto"/>
              <w:bottom w:val="single" w:sz="4" w:space="0" w:color="auto"/>
              <w:right w:val="single" w:sz="4" w:space="0" w:color="auto"/>
            </w:tcBorders>
            <w:vAlign w:val="bottom"/>
          </w:tcPr>
          <w:p w14:paraId="0A157BAA" w14:textId="77777777" w:rsidR="005B766F" w:rsidRPr="005B766F" w:rsidRDefault="005741AA" w:rsidP="005B766F">
            <w:pPr>
              <w:spacing w:after="0"/>
              <w:jc w:val="both"/>
              <w:rPr>
                <w:rFonts w:eastAsia="Times New Roman" w:cs="Times New Roman"/>
                <w:sz w:val="24"/>
                <w:szCs w:val="24"/>
              </w:rPr>
            </w:pPr>
            <w:r>
              <w:rPr>
                <w:rFonts w:eastAsia="Times New Roman" w:cs="Times New Roman"/>
                <w:sz w:val="24"/>
                <w:szCs w:val="24"/>
              </w:rPr>
              <w:t xml:space="preserve"> </w:t>
            </w:r>
            <w:r w:rsidR="005B766F" w:rsidRPr="005B766F">
              <w:rPr>
                <w:rFonts w:eastAsia="Times New Roman" w:cs="Times New Roman"/>
                <w:sz w:val="24"/>
                <w:szCs w:val="24"/>
              </w:rPr>
              <w:t>≥0.43</w:t>
            </w:r>
          </w:p>
        </w:tc>
      </w:tr>
      <w:tr w:rsidR="005B766F" w:rsidRPr="005B766F" w14:paraId="2D8F8CC0" w14:textId="77777777" w:rsidTr="0073199D">
        <w:trPr>
          <w:trHeight w:val="845"/>
        </w:trPr>
        <w:tc>
          <w:tcPr>
            <w:tcW w:w="2400" w:type="dxa"/>
            <w:tcBorders>
              <w:top w:val="single" w:sz="4" w:space="0" w:color="auto"/>
              <w:left w:val="single" w:sz="4" w:space="0" w:color="auto"/>
              <w:bottom w:val="single" w:sz="4" w:space="0" w:color="auto"/>
              <w:right w:val="nil"/>
            </w:tcBorders>
          </w:tcPr>
          <w:p w14:paraId="2FDE497E" w14:textId="77777777" w:rsidR="005B766F" w:rsidRPr="005B766F" w:rsidRDefault="005B766F" w:rsidP="005B766F">
            <w:pPr>
              <w:spacing w:after="0"/>
              <w:jc w:val="both"/>
              <w:rPr>
                <w:rFonts w:eastAsia="Times New Roman" w:cs="Times New Roman"/>
                <w:sz w:val="24"/>
                <w:szCs w:val="24"/>
              </w:rPr>
            </w:pPr>
            <w:r w:rsidRPr="005B766F">
              <w:rPr>
                <w:rFonts w:eastAsia="Times New Roman" w:cs="Times New Roman"/>
                <w:sz w:val="24"/>
                <w:szCs w:val="24"/>
              </w:rPr>
              <w:t>Размер/объем ЛЖ</w:t>
            </w:r>
          </w:p>
        </w:tc>
        <w:tc>
          <w:tcPr>
            <w:tcW w:w="3384" w:type="dxa"/>
            <w:gridSpan w:val="3"/>
            <w:tcBorders>
              <w:top w:val="single" w:sz="4" w:space="0" w:color="auto"/>
              <w:left w:val="single" w:sz="4" w:space="0" w:color="auto"/>
              <w:bottom w:val="single" w:sz="4" w:space="0" w:color="auto"/>
              <w:right w:val="nil"/>
            </w:tcBorders>
          </w:tcPr>
          <w:p w14:paraId="7DB642DB" w14:textId="77777777" w:rsidR="005B766F" w:rsidRPr="005B766F" w:rsidRDefault="005B766F" w:rsidP="005B766F">
            <w:pPr>
              <w:spacing w:after="0"/>
              <w:jc w:val="both"/>
              <w:rPr>
                <w:rFonts w:eastAsia="Times New Roman" w:cs="Times New Roman"/>
                <w:sz w:val="24"/>
                <w:szCs w:val="24"/>
              </w:rPr>
            </w:pPr>
            <w:r w:rsidRPr="005B766F">
              <w:rPr>
                <w:rFonts w:eastAsia="Times New Roman" w:cs="Times New Roman"/>
                <w:sz w:val="24"/>
                <w:szCs w:val="24"/>
              </w:rPr>
              <w:t>Конечный</w:t>
            </w:r>
            <w:r w:rsidRPr="005B766F">
              <w:rPr>
                <w:rFonts w:eastAsia="Times New Roman" w:cs="Times New Roman"/>
                <w:sz w:val="24"/>
                <w:szCs w:val="24"/>
              </w:rPr>
              <w:tab/>
              <w:t>диастолический</w:t>
            </w:r>
          </w:p>
          <w:p w14:paraId="542FD4D4" w14:textId="77777777" w:rsidR="005B766F" w:rsidRPr="005B766F" w:rsidRDefault="005B766F" w:rsidP="005B766F">
            <w:pPr>
              <w:spacing w:after="0"/>
              <w:jc w:val="both"/>
              <w:rPr>
                <w:rFonts w:eastAsia="Times New Roman" w:cs="Times New Roman"/>
                <w:sz w:val="24"/>
                <w:szCs w:val="24"/>
              </w:rPr>
            </w:pPr>
            <w:r w:rsidRPr="005B766F">
              <w:rPr>
                <w:rFonts w:eastAsia="Times New Roman" w:cs="Times New Roman"/>
                <w:sz w:val="24"/>
                <w:szCs w:val="24"/>
              </w:rPr>
              <w:t>размер ЛЖ/рост</w:t>
            </w:r>
          </w:p>
        </w:tc>
        <w:tc>
          <w:tcPr>
            <w:tcW w:w="3576" w:type="dxa"/>
            <w:gridSpan w:val="2"/>
            <w:tcBorders>
              <w:top w:val="single" w:sz="4" w:space="0" w:color="auto"/>
              <w:left w:val="single" w:sz="4" w:space="0" w:color="auto"/>
              <w:bottom w:val="single" w:sz="4" w:space="0" w:color="auto"/>
              <w:right w:val="single" w:sz="4" w:space="0" w:color="auto"/>
            </w:tcBorders>
            <w:vAlign w:val="bottom"/>
          </w:tcPr>
          <w:p w14:paraId="4A0499DD" w14:textId="77777777" w:rsidR="005B766F" w:rsidRPr="005B766F" w:rsidRDefault="005741AA" w:rsidP="005B766F">
            <w:pPr>
              <w:spacing w:after="0"/>
              <w:jc w:val="both"/>
              <w:rPr>
                <w:rFonts w:eastAsia="Times New Roman" w:cs="Times New Roman"/>
                <w:sz w:val="24"/>
                <w:szCs w:val="24"/>
              </w:rPr>
            </w:pPr>
            <w:r>
              <w:rPr>
                <w:rFonts w:eastAsia="Times New Roman" w:cs="Times New Roman"/>
                <w:sz w:val="24"/>
                <w:szCs w:val="24"/>
              </w:rPr>
              <w:t xml:space="preserve"> </w:t>
            </w:r>
            <w:r w:rsidR="005B766F" w:rsidRPr="005B766F">
              <w:rPr>
                <w:rFonts w:eastAsia="Times New Roman" w:cs="Times New Roman"/>
                <w:sz w:val="24"/>
                <w:szCs w:val="24"/>
              </w:rPr>
              <w:t>&gt;3.4 (муж), &gt;3.3 (жен) см/м</w:t>
            </w:r>
          </w:p>
        </w:tc>
      </w:tr>
      <w:tr w:rsidR="005B766F" w:rsidRPr="005B766F" w14:paraId="272A30FB" w14:textId="77777777" w:rsidTr="0073199D">
        <w:trPr>
          <w:trHeight w:val="845"/>
        </w:trPr>
        <w:tc>
          <w:tcPr>
            <w:tcW w:w="2400" w:type="dxa"/>
            <w:tcBorders>
              <w:top w:val="single" w:sz="4" w:space="0" w:color="auto"/>
              <w:left w:val="single" w:sz="4" w:space="0" w:color="auto"/>
              <w:bottom w:val="single" w:sz="4" w:space="0" w:color="auto"/>
              <w:right w:val="nil"/>
            </w:tcBorders>
          </w:tcPr>
          <w:p w14:paraId="771776F1" w14:textId="77777777" w:rsidR="005B766F" w:rsidRPr="005B766F" w:rsidRDefault="005B766F" w:rsidP="005B766F">
            <w:pPr>
              <w:spacing w:after="0"/>
              <w:jc w:val="both"/>
              <w:rPr>
                <w:rFonts w:eastAsia="Times New Roman" w:cs="Times New Roman"/>
                <w:sz w:val="24"/>
                <w:szCs w:val="24"/>
              </w:rPr>
            </w:pPr>
            <w:r w:rsidRPr="005B766F">
              <w:rPr>
                <w:rFonts w:eastAsia="Times New Roman" w:cs="Times New Roman"/>
                <w:sz w:val="24"/>
                <w:szCs w:val="24"/>
              </w:rPr>
              <w:t>Диастолическая дисфункция ЛЖ</w:t>
            </w:r>
          </w:p>
        </w:tc>
        <w:tc>
          <w:tcPr>
            <w:tcW w:w="3384" w:type="dxa"/>
            <w:gridSpan w:val="3"/>
            <w:tcBorders>
              <w:top w:val="single" w:sz="4" w:space="0" w:color="auto"/>
              <w:left w:val="single" w:sz="4" w:space="0" w:color="auto"/>
              <w:bottom w:val="single" w:sz="4" w:space="0" w:color="auto"/>
              <w:right w:val="nil"/>
            </w:tcBorders>
          </w:tcPr>
          <w:p w14:paraId="5A3AE98B" w14:textId="77777777" w:rsidR="005B766F" w:rsidRPr="005B766F" w:rsidRDefault="005B766F" w:rsidP="005B766F">
            <w:pPr>
              <w:spacing w:after="0"/>
              <w:jc w:val="both"/>
              <w:rPr>
                <w:rFonts w:eastAsia="Times New Roman" w:cs="Times New Roman"/>
                <w:sz w:val="24"/>
                <w:szCs w:val="24"/>
              </w:rPr>
            </w:pPr>
            <w:r w:rsidRPr="005741AA">
              <w:rPr>
                <w:rFonts w:eastAsia="Times New Roman" w:cs="Times New Roman"/>
                <w:i/>
                <w:iCs/>
                <w:sz w:val="24"/>
                <w:szCs w:val="24"/>
              </w:rPr>
              <w:t>e</w:t>
            </w:r>
            <w:r w:rsidRPr="005B766F">
              <w:rPr>
                <w:rFonts w:eastAsia="Times New Roman" w:cs="Times New Roman"/>
                <w:sz w:val="24"/>
                <w:szCs w:val="24"/>
              </w:rPr>
              <w:t>′ септальная</w:t>
            </w:r>
          </w:p>
        </w:tc>
        <w:tc>
          <w:tcPr>
            <w:tcW w:w="3576" w:type="dxa"/>
            <w:gridSpan w:val="2"/>
            <w:tcBorders>
              <w:top w:val="single" w:sz="4" w:space="0" w:color="auto"/>
              <w:left w:val="single" w:sz="4" w:space="0" w:color="auto"/>
              <w:bottom w:val="single" w:sz="4" w:space="0" w:color="auto"/>
              <w:right w:val="single" w:sz="4" w:space="0" w:color="auto"/>
            </w:tcBorders>
            <w:vAlign w:val="bottom"/>
          </w:tcPr>
          <w:p w14:paraId="211E6C37" w14:textId="77777777" w:rsidR="005B766F" w:rsidRPr="005B766F" w:rsidRDefault="005B766F" w:rsidP="005B766F">
            <w:pPr>
              <w:spacing w:after="0"/>
              <w:jc w:val="both"/>
              <w:rPr>
                <w:rFonts w:eastAsia="Times New Roman" w:cs="Times New Roman"/>
                <w:sz w:val="24"/>
                <w:szCs w:val="24"/>
              </w:rPr>
            </w:pPr>
            <w:r w:rsidRPr="005B766F">
              <w:rPr>
                <w:rFonts w:eastAsia="Times New Roman" w:cs="Times New Roman"/>
                <w:sz w:val="24"/>
                <w:szCs w:val="24"/>
              </w:rPr>
              <w:t>&lt;7 см/сек</w:t>
            </w:r>
          </w:p>
        </w:tc>
      </w:tr>
      <w:tr w:rsidR="005B766F" w:rsidRPr="005B766F" w14:paraId="2AB50890" w14:textId="77777777" w:rsidTr="0073199D">
        <w:trPr>
          <w:trHeight w:val="845"/>
        </w:trPr>
        <w:tc>
          <w:tcPr>
            <w:tcW w:w="2400" w:type="dxa"/>
            <w:tcBorders>
              <w:top w:val="single" w:sz="4" w:space="0" w:color="auto"/>
              <w:left w:val="single" w:sz="4" w:space="0" w:color="auto"/>
              <w:bottom w:val="single" w:sz="4" w:space="0" w:color="auto"/>
              <w:right w:val="nil"/>
            </w:tcBorders>
          </w:tcPr>
          <w:p w14:paraId="18A5CD1A" w14:textId="77777777" w:rsidR="005B766F" w:rsidRPr="005B766F" w:rsidRDefault="005B766F" w:rsidP="005B766F">
            <w:pPr>
              <w:spacing w:after="0"/>
              <w:jc w:val="both"/>
              <w:rPr>
                <w:rFonts w:eastAsia="Times New Roman" w:cs="Times New Roman"/>
                <w:sz w:val="24"/>
                <w:szCs w:val="24"/>
              </w:rPr>
            </w:pPr>
          </w:p>
        </w:tc>
        <w:tc>
          <w:tcPr>
            <w:tcW w:w="3384" w:type="dxa"/>
            <w:gridSpan w:val="3"/>
            <w:tcBorders>
              <w:top w:val="single" w:sz="4" w:space="0" w:color="auto"/>
              <w:left w:val="single" w:sz="4" w:space="0" w:color="auto"/>
              <w:bottom w:val="single" w:sz="4" w:space="0" w:color="auto"/>
              <w:right w:val="nil"/>
            </w:tcBorders>
          </w:tcPr>
          <w:p w14:paraId="2BBA0F9A" w14:textId="77777777" w:rsidR="005B766F" w:rsidRPr="005B766F" w:rsidRDefault="005B766F" w:rsidP="005B766F">
            <w:pPr>
              <w:spacing w:after="0"/>
              <w:jc w:val="both"/>
              <w:rPr>
                <w:rFonts w:eastAsia="Times New Roman" w:cs="Times New Roman"/>
                <w:sz w:val="24"/>
                <w:szCs w:val="24"/>
              </w:rPr>
            </w:pPr>
            <w:r w:rsidRPr="005741AA">
              <w:rPr>
                <w:rFonts w:eastAsia="Times New Roman" w:cs="Times New Roman"/>
                <w:i/>
                <w:iCs/>
                <w:sz w:val="24"/>
                <w:szCs w:val="24"/>
              </w:rPr>
              <w:t>e</w:t>
            </w:r>
            <w:r w:rsidRPr="005B766F">
              <w:rPr>
                <w:rFonts w:eastAsia="Times New Roman" w:cs="Times New Roman"/>
                <w:sz w:val="24"/>
                <w:szCs w:val="24"/>
              </w:rPr>
              <w:t>′ латеральная</w:t>
            </w:r>
          </w:p>
        </w:tc>
        <w:tc>
          <w:tcPr>
            <w:tcW w:w="3576" w:type="dxa"/>
            <w:gridSpan w:val="2"/>
            <w:tcBorders>
              <w:top w:val="single" w:sz="4" w:space="0" w:color="auto"/>
              <w:left w:val="single" w:sz="4" w:space="0" w:color="auto"/>
              <w:bottom w:val="single" w:sz="4" w:space="0" w:color="auto"/>
              <w:right w:val="single" w:sz="4" w:space="0" w:color="auto"/>
            </w:tcBorders>
            <w:vAlign w:val="bottom"/>
          </w:tcPr>
          <w:p w14:paraId="1BF5406B" w14:textId="77777777" w:rsidR="005B766F" w:rsidRPr="005B766F" w:rsidRDefault="005B766F" w:rsidP="005B766F">
            <w:pPr>
              <w:spacing w:after="0"/>
              <w:jc w:val="both"/>
              <w:rPr>
                <w:rFonts w:eastAsia="Times New Roman" w:cs="Times New Roman"/>
                <w:sz w:val="24"/>
                <w:szCs w:val="24"/>
              </w:rPr>
            </w:pPr>
            <w:r w:rsidRPr="005B766F">
              <w:rPr>
                <w:rFonts w:eastAsia="Times New Roman" w:cs="Times New Roman"/>
                <w:sz w:val="24"/>
                <w:szCs w:val="24"/>
              </w:rPr>
              <w:t>&lt;10 см/сек</w:t>
            </w:r>
          </w:p>
        </w:tc>
      </w:tr>
      <w:tr w:rsidR="005B766F" w:rsidRPr="005B766F" w14:paraId="17A74382" w14:textId="77777777" w:rsidTr="0073199D">
        <w:trPr>
          <w:trHeight w:val="553"/>
        </w:trPr>
        <w:tc>
          <w:tcPr>
            <w:tcW w:w="2400" w:type="dxa"/>
            <w:tcBorders>
              <w:top w:val="single" w:sz="4" w:space="0" w:color="auto"/>
              <w:left w:val="single" w:sz="4" w:space="0" w:color="auto"/>
              <w:bottom w:val="single" w:sz="4" w:space="0" w:color="auto"/>
              <w:right w:val="nil"/>
            </w:tcBorders>
          </w:tcPr>
          <w:p w14:paraId="7E163EEC" w14:textId="77777777" w:rsidR="005B766F" w:rsidRPr="005B766F" w:rsidRDefault="005B766F" w:rsidP="005B766F">
            <w:pPr>
              <w:spacing w:after="0"/>
              <w:jc w:val="both"/>
              <w:rPr>
                <w:rFonts w:eastAsia="Times New Roman" w:cs="Times New Roman"/>
                <w:sz w:val="24"/>
                <w:szCs w:val="24"/>
              </w:rPr>
            </w:pPr>
            <w:r w:rsidRPr="005B766F">
              <w:rPr>
                <w:rFonts w:eastAsia="Times New Roman" w:cs="Times New Roman"/>
                <w:sz w:val="24"/>
                <w:szCs w:val="24"/>
              </w:rPr>
              <w:t>Давление наполнения ЛЖ</w:t>
            </w:r>
          </w:p>
        </w:tc>
        <w:tc>
          <w:tcPr>
            <w:tcW w:w="3384" w:type="dxa"/>
            <w:gridSpan w:val="3"/>
            <w:tcBorders>
              <w:top w:val="single" w:sz="4" w:space="0" w:color="auto"/>
              <w:left w:val="single" w:sz="4" w:space="0" w:color="auto"/>
              <w:bottom w:val="single" w:sz="4" w:space="0" w:color="auto"/>
              <w:right w:val="nil"/>
            </w:tcBorders>
          </w:tcPr>
          <w:p w14:paraId="3678CFEF" w14:textId="77777777" w:rsidR="005B766F" w:rsidRPr="005B766F" w:rsidRDefault="005B766F" w:rsidP="005B766F">
            <w:pPr>
              <w:spacing w:after="0"/>
              <w:jc w:val="both"/>
              <w:rPr>
                <w:rFonts w:eastAsia="Times New Roman" w:cs="Times New Roman"/>
                <w:sz w:val="24"/>
                <w:szCs w:val="24"/>
              </w:rPr>
            </w:pPr>
            <w:r w:rsidRPr="005741AA">
              <w:rPr>
                <w:rFonts w:eastAsia="Times New Roman" w:cs="Times New Roman"/>
                <w:i/>
                <w:iCs/>
                <w:sz w:val="24"/>
                <w:szCs w:val="24"/>
              </w:rPr>
              <w:t>E/e</w:t>
            </w:r>
            <w:r w:rsidRPr="005B766F">
              <w:rPr>
                <w:rFonts w:eastAsia="Times New Roman" w:cs="Times New Roman"/>
                <w:sz w:val="24"/>
                <w:szCs w:val="24"/>
              </w:rPr>
              <w:t>′ среднее</w:t>
            </w:r>
          </w:p>
        </w:tc>
        <w:tc>
          <w:tcPr>
            <w:tcW w:w="3576" w:type="dxa"/>
            <w:gridSpan w:val="2"/>
            <w:tcBorders>
              <w:top w:val="single" w:sz="4" w:space="0" w:color="auto"/>
              <w:left w:val="single" w:sz="4" w:space="0" w:color="auto"/>
              <w:bottom w:val="single" w:sz="4" w:space="0" w:color="auto"/>
              <w:right w:val="single" w:sz="4" w:space="0" w:color="auto"/>
            </w:tcBorders>
            <w:vAlign w:val="bottom"/>
          </w:tcPr>
          <w:p w14:paraId="53CDC263" w14:textId="77777777" w:rsidR="005B766F" w:rsidRPr="005B766F" w:rsidRDefault="005B766F" w:rsidP="005B766F">
            <w:pPr>
              <w:spacing w:after="0"/>
              <w:jc w:val="both"/>
              <w:rPr>
                <w:rFonts w:eastAsia="Times New Roman" w:cs="Times New Roman"/>
                <w:sz w:val="24"/>
                <w:szCs w:val="24"/>
              </w:rPr>
            </w:pPr>
            <w:r w:rsidRPr="005B766F">
              <w:rPr>
                <w:rFonts w:eastAsia="Times New Roman" w:cs="Times New Roman"/>
                <w:sz w:val="24"/>
                <w:szCs w:val="24"/>
              </w:rPr>
              <w:t>&gt;14</w:t>
            </w:r>
          </w:p>
        </w:tc>
      </w:tr>
      <w:tr w:rsidR="005B766F" w:rsidRPr="005B766F" w14:paraId="15F6B216" w14:textId="77777777" w:rsidTr="0073199D">
        <w:trPr>
          <w:trHeight w:val="845"/>
        </w:trPr>
        <w:tc>
          <w:tcPr>
            <w:tcW w:w="2400" w:type="dxa"/>
            <w:tcBorders>
              <w:top w:val="single" w:sz="4" w:space="0" w:color="auto"/>
              <w:left w:val="single" w:sz="4" w:space="0" w:color="auto"/>
              <w:bottom w:val="single" w:sz="4" w:space="0" w:color="auto"/>
              <w:right w:val="nil"/>
            </w:tcBorders>
          </w:tcPr>
          <w:p w14:paraId="06D58927" w14:textId="77777777" w:rsidR="005B766F" w:rsidRPr="005B766F" w:rsidRDefault="005B766F" w:rsidP="005B766F">
            <w:pPr>
              <w:spacing w:after="0"/>
              <w:jc w:val="both"/>
              <w:rPr>
                <w:rFonts w:eastAsia="Times New Roman" w:cs="Times New Roman"/>
                <w:sz w:val="24"/>
                <w:szCs w:val="24"/>
              </w:rPr>
            </w:pPr>
            <w:r w:rsidRPr="005B766F">
              <w:rPr>
                <w:rFonts w:eastAsia="Times New Roman" w:cs="Times New Roman"/>
                <w:sz w:val="24"/>
                <w:szCs w:val="24"/>
              </w:rPr>
              <w:t>Индекс</w:t>
            </w:r>
            <w:r w:rsidRPr="005B766F">
              <w:rPr>
                <w:rFonts w:eastAsia="Times New Roman" w:cs="Times New Roman"/>
                <w:sz w:val="24"/>
                <w:szCs w:val="24"/>
              </w:rPr>
              <w:tab/>
              <w:t>объема</w:t>
            </w:r>
          </w:p>
          <w:p w14:paraId="48FB561D" w14:textId="77777777" w:rsidR="005B766F" w:rsidRPr="005B766F" w:rsidRDefault="005B766F" w:rsidP="005B766F">
            <w:pPr>
              <w:spacing w:after="0"/>
              <w:jc w:val="both"/>
              <w:rPr>
                <w:rFonts w:eastAsia="Times New Roman" w:cs="Times New Roman"/>
                <w:sz w:val="24"/>
                <w:szCs w:val="24"/>
              </w:rPr>
            </w:pPr>
            <w:r w:rsidRPr="005B766F">
              <w:rPr>
                <w:rFonts w:eastAsia="Times New Roman" w:cs="Times New Roman"/>
                <w:sz w:val="24"/>
                <w:szCs w:val="24"/>
              </w:rPr>
              <w:t>левого предсердия</w:t>
            </w:r>
          </w:p>
        </w:tc>
        <w:tc>
          <w:tcPr>
            <w:tcW w:w="3384" w:type="dxa"/>
            <w:gridSpan w:val="3"/>
            <w:tcBorders>
              <w:top w:val="single" w:sz="4" w:space="0" w:color="auto"/>
              <w:left w:val="single" w:sz="4" w:space="0" w:color="auto"/>
              <w:bottom w:val="single" w:sz="4" w:space="0" w:color="auto"/>
              <w:right w:val="nil"/>
            </w:tcBorders>
          </w:tcPr>
          <w:p w14:paraId="6D23722C" w14:textId="77777777" w:rsidR="005B766F" w:rsidRPr="005B766F" w:rsidRDefault="005B766F" w:rsidP="005B766F">
            <w:pPr>
              <w:spacing w:after="0"/>
              <w:jc w:val="both"/>
              <w:rPr>
                <w:rFonts w:eastAsia="Times New Roman" w:cs="Times New Roman"/>
                <w:sz w:val="24"/>
                <w:szCs w:val="24"/>
              </w:rPr>
            </w:pPr>
            <w:r w:rsidRPr="005B766F">
              <w:rPr>
                <w:rFonts w:eastAsia="Times New Roman" w:cs="Times New Roman"/>
                <w:sz w:val="24"/>
                <w:szCs w:val="24"/>
              </w:rPr>
              <w:t>Объем</w:t>
            </w:r>
            <w:r w:rsidRPr="005B766F">
              <w:rPr>
                <w:rFonts w:eastAsia="Times New Roman" w:cs="Times New Roman"/>
                <w:sz w:val="24"/>
                <w:szCs w:val="24"/>
              </w:rPr>
              <w:tab/>
              <w:t>левого</w:t>
            </w:r>
            <w:r w:rsidRPr="005B766F">
              <w:rPr>
                <w:rFonts w:eastAsia="Times New Roman" w:cs="Times New Roman"/>
                <w:sz w:val="24"/>
                <w:szCs w:val="24"/>
              </w:rPr>
              <w:tab/>
              <w:t>предсердия/</w:t>
            </w:r>
          </w:p>
          <w:p w14:paraId="03DFE172" w14:textId="77777777" w:rsidR="005B766F" w:rsidRPr="005B766F" w:rsidRDefault="005B766F" w:rsidP="005B766F">
            <w:pPr>
              <w:spacing w:after="0"/>
              <w:jc w:val="both"/>
              <w:rPr>
                <w:rFonts w:eastAsia="Times New Roman" w:cs="Times New Roman"/>
                <w:sz w:val="24"/>
                <w:szCs w:val="24"/>
              </w:rPr>
            </w:pPr>
            <w:r w:rsidRPr="005B766F">
              <w:rPr>
                <w:rFonts w:eastAsia="Times New Roman" w:cs="Times New Roman"/>
                <w:sz w:val="24"/>
                <w:szCs w:val="24"/>
              </w:rPr>
              <w:t>ППТ</w:t>
            </w:r>
          </w:p>
        </w:tc>
        <w:tc>
          <w:tcPr>
            <w:tcW w:w="3576" w:type="dxa"/>
            <w:gridSpan w:val="2"/>
            <w:tcBorders>
              <w:top w:val="single" w:sz="4" w:space="0" w:color="auto"/>
              <w:left w:val="single" w:sz="4" w:space="0" w:color="auto"/>
              <w:bottom w:val="single" w:sz="4" w:space="0" w:color="auto"/>
              <w:right w:val="single" w:sz="4" w:space="0" w:color="auto"/>
            </w:tcBorders>
            <w:vAlign w:val="bottom"/>
          </w:tcPr>
          <w:p w14:paraId="3ED895C6" w14:textId="77777777" w:rsidR="005B766F" w:rsidRPr="005B766F" w:rsidRDefault="005B766F" w:rsidP="005B766F">
            <w:pPr>
              <w:spacing w:after="0"/>
              <w:jc w:val="both"/>
              <w:rPr>
                <w:rFonts w:eastAsia="Times New Roman" w:cs="Times New Roman"/>
                <w:sz w:val="24"/>
                <w:szCs w:val="24"/>
              </w:rPr>
            </w:pPr>
            <w:r w:rsidRPr="005B766F">
              <w:rPr>
                <w:rFonts w:eastAsia="Times New Roman" w:cs="Times New Roman"/>
                <w:sz w:val="24"/>
                <w:szCs w:val="24"/>
              </w:rPr>
              <w:t>&gt;34 мл/м2</w:t>
            </w:r>
          </w:p>
        </w:tc>
      </w:tr>
      <w:tr w:rsidR="005B766F" w:rsidRPr="005B766F" w14:paraId="67CAC152" w14:textId="77777777" w:rsidTr="0073199D">
        <w:trPr>
          <w:trHeight w:val="845"/>
        </w:trPr>
        <w:tc>
          <w:tcPr>
            <w:tcW w:w="2400" w:type="dxa"/>
            <w:tcBorders>
              <w:top w:val="single" w:sz="4" w:space="0" w:color="auto"/>
              <w:left w:val="single" w:sz="4" w:space="0" w:color="auto"/>
              <w:bottom w:val="single" w:sz="4" w:space="0" w:color="auto"/>
              <w:right w:val="nil"/>
            </w:tcBorders>
          </w:tcPr>
          <w:p w14:paraId="341AB1B6" w14:textId="77777777" w:rsidR="005B766F" w:rsidRPr="005B766F" w:rsidRDefault="005B766F" w:rsidP="005B766F">
            <w:pPr>
              <w:spacing w:after="0"/>
              <w:jc w:val="both"/>
              <w:rPr>
                <w:rFonts w:eastAsia="Times New Roman" w:cs="Times New Roman"/>
                <w:sz w:val="24"/>
                <w:szCs w:val="24"/>
              </w:rPr>
            </w:pPr>
          </w:p>
        </w:tc>
        <w:tc>
          <w:tcPr>
            <w:tcW w:w="3384" w:type="dxa"/>
            <w:gridSpan w:val="3"/>
            <w:tcBorders>
              <w:top w:val="single" w:sz="4" w:space="0" w:color="auto"/>
              <w:left w:val="single" w:sz="4" w:space="0" w:color="auto"/>
              <w:bottom w:val="single" w:sz="4" w:space="0" w:color="auto"/>
              <w:right w:val="nil"/>
            </w:tcBorders>
          </w:tcPr>
          <w:p w14:paraId="7F206409" w14:textId="77777777" w:rsidR="005B766F" w:rsidRPr="005B766F" w:rsidRDefault="005B766F" w:rsidP="005B766F">
            <w:pPr>
              <w:spacing w:after="0"/>
              <w:jc w:val="both"/>
              <w:rPr>
                <w:rFonts w:eastAsia="Times New Roman" w:cs="Times New Roman"/>
                <w:sz w:val="24"/>
                <w:szCs w:val="24"/>
              </w:rPr>
            </w:pPr>
            <w:r w:rsidRPr="005B766F">
              <w:rPr>
                <w:rFonts w:eastAsia="Times New Roman" w:cs="Times New Roman"/>
                <w:sz w:val="24"/>
                <w:szCs w:val="24"/>
              </w:rPr>
              <w:t>Объем левого предсердия / рост</w:t>
            </w:r>
            <w:r w:rsidR="00917CE9">
              <w:rPr>
                <w:rFonts w:eastAsia="Times New Roman" w:cs="Times New Roman"/>
                <w:sz w:val="24"/>
                <w:szCs w:val="24"/>
                <w:vertAlign w:val="superscript"/>
              </w:rPr>
              <w:t>2</w:t>
            </w:r>
            <w:r w:rsidRPr="005B766F">
              <w:rPr>
                <w:rFonts w:eastAsia="Times New Roman" w:cs="Times New Roman"/>
                <w:sz w:val="24"/>
                <w:szCs w:val="24"/>
              </w:rPr>
              <w:t xml:space="preserve"> </w:t>
            </w:r>
          </w:p>
        </w:tc>
        <w:tc>
          <w:tcPr>
            <w:tcW w:w="3576" w:type="dxa"/>
            <w:gridSpan w:val="2"/>
            <w:tcBorders>
              <w:top w:val="single" w:sz="4" w:space="0" w:color="auto"/>
              <w:left w:val="single" w:sz="4" w:space="0" w:color="auto"/>
              <w:bottom w:val="single" w:sz="4" w:space="0" w:color="auto"/>
              <w:right w:val="single" w:sz="4" w:space="0" w:color="auto"/>
            </w:tcBorders>
            <w:vAlign w:val="bottom"/>
          </w:tcPr>
          <w:p w14:paraId="18AAB411" w14:textId="77777777" w:rsidR="005B766F" w:rsidRPr="005B766F" w:rsidRDefault="005B766F" w:rsidP="005B766F">
            <w:pPr>
              <w:spacing w:after="0"/>
              <w:jc w:val="both"/>
              <w:rPr>
                <w:rFonts w:eastAsia="Times New Roman" w:cs="Times New Roman"/>
                <w:sz w:val="24"/>
                <w:szCs w:val="24"/>
              </w:rPr>
            </w:pPr>
            <w:r w:rsidRPr="005B766F">
              <w:rPr>
                <w:rFonts w:eastAsia="Times New Roman" w:cs="Times New Roman"/>
                <w:sz w:val="24"/>
                <w:szCs w:val="24"/>
              </w:rPr>
              <w:t>&gt;18.5 (муж) or &gt;16.5 (жен) мл/м2</w:t>
            </w:r>
          </w:p>
        </w:tc>
      </w:tr>
      <w:tr w:rsidR="005B766F" w:rsidRPr="005B766F" w14:paraId="15C9412A" w14:textId="77777777" w:rsidTr="0073199D">
        <w:trPr>
          <w:trHeight w:val="845"/>
        </w:trPr>
        <w:tc>
          <w:tcPr>
            <w:tcW w:w="2400" w:type="dxa"/>
            <w:tcBorders>
              <w:top w:val="single" w:sz="4" w:space="0" w:color="auto"/>
              <w:left w:val="single" w:sz="4" w:space="0" w:color="auto"/>
              <w:bottom w:val="single" w:sz="4" w:space="0" w:color="auto"/>
              <w:right w:val="nil"/>
            </w:tcBorders>
          </w:tcPr>
          <w:p w14:paraId="68675C20" w14:textId="77777777" w:rsidR="005B766F" w:rsidRPr="005B766F" w:rsidRDefault="005B766F" w:rsidP="005B766F">
            <w:pPr>
              <w:spacing w:after="0"/>
              <w:jc w:val="both"/>
              <w:rPr>
                <w:rFonts w:eastAsia="Times New Roman" w:cs="Times New Roman"/>
                <w:sz w:val="24"/>
                <w:szCs w:val="24"/>
              </w:rPr>
            </w:pPr>
            <w:r w:rsidRPr="005B766F">
              <w:rPr>
                <w:rFonts w:eastAsia="Times New Roman" w:cs="Times New Roman"/>
                <w:sz w:val="24"/>
                <w:szCs w:val="24"/>
              </w:rPr>
              <w:t>Систолическая дисфункция ЛЖ</w:t>
            </w:r>
          </w:p>
        </w:tc>
        <w:tc>
          <w:tcPr>
            <w:tcW w:w="3384" w:type="dxa"/>
            <w:gridSpan w:val="3"/>
            <w:tcBorders>
              <w:top w:val="single" w:sz="4" w:space="0" w:color="auto"/>
              <w:left w:val="single" w:sz="4" w:space="0" w:color="auto"/>
              <w:bottom w:val="single" w:sz="4" w:space="0" w:color="auto"/>
              <w:right w:val="nil"/>
            </w:tcBorders>
          </w:tcPr>
          <w:p w14:paraId="604622B2" w14:textId="77777777" w:rsidR="005B766F" w:rsidRPr="005B766F" w:rsidRDefault="005B766F" w:rsidP="005B766F">
            <w:pPr>
              <w:spacing w:after="0"/>
              <w:jc w:val="both"/>
              <w:rPr>
                <w:rFonts w:eastAsia="Times New Roman" w:cs="Times New Roman"/>
                <w:sz w:val="24"/>
                <w:szCs w:val="24"/>
              </w:rPr>
            </w:pPr>
            <w:r w:rsidRPr="005B766F">
              <w:rPr>
                <w:rFonts w:eastAsia="Times New Roman" w:cs="Times New Roman"/>
                <w:sz w:val="24"/>
                <w:szCs w:val="24"/>
              </w:rPr>
              <w:t>Продольная деформация ЛЖ</w:t>
            </w:r>
          </w:p>
        </w:tc>
        <w:tc>
          <w:tcPr>
            <w:tcW w:w="3576" w:type="dxa"/>
            <w:gridSpan w:val="2"/>
            <w:tcBorders>
              <w:top w:val="single" w:sz="4" w:space="0" w:color="auto"/>
              <w:left w:val="single" w:sz="4" w:space="0" w:color="auto"/>
              <w:bottom w:val="single" w:sz="4" w:space="0" w:color="auto"/>
              <w:right w:val="single" w:sz="4" w:space="0" w:color="auto"/>
            </w:tcBorders>
            <w:vAlign w:val="bottom"/>
          </w:tcPr>
          <w:p w14:paraId="7DADF627" w14:textId="77777777" w:rsidR="005B766F" w:rsidRPr="005B766F" w:rsidRDefault="005B766F" w:rsidP="005B766F">
            <w:pPr>
              <w:spacing w:after="0"/>
              <w:jc w:val="both"/>
              <w:rPr>
                <w:rFonts w:eastAsia="Times New Roman" w:cs="Times New Roman"/>
                <w:sz w:val="24"/>
                <w:szCs w:val="24"/>
              </w:rPr>
            </w:pPr>
            <w:r w:rsidRPr="005B766F">
              <w:rPr>
                <w:rFonts w:eastAsia="Times New Roman" w:cs="Times New Roman"/>
                <w:sz w:val="24"/>
                <w:szCs w:val="24"/>
              </w:rPr>
              <w:t>&lt;20%</w:t>
            </w:r>
          </w:p>
        </w:tc>
      </w:tr>
      <w:tr w:rsidR="005B766F" w:rsidRPr="005B766F" w14:paraId="7173D096" w14:textId="77777777" w:rsidTr="0073199D">
        <w:trPr>
          <w:trHeight w:val="278"/>
        </w:trPr>
        <w:tc>
          <w:tcPr>
            <w:tcW w:w="9360" w:type="dxa"/>
            <w:gridSpan w:val="6"/>
            <w:tcBorders>
              <w:top w:val="single" w:sz="4" w:space="0" w:color="auto"/>
              <w:left w:val="single" w:sz="4" w:space="0" w:color="auto"/>
              <w:bottom w:val="nil"/>
              <w:right w:val="single" w:sz="4" w:space="0" w:color="auto"/>
            </w:tcBorders>
            <w:vAlign w:val="bottom"/>
          </w:tcPr>
          <w:p w14:paraId="64D599A2" w14:textId="77777777" w:rsidR="005B766F" w:rsidRPr="005B766F" w:rsidRDefault="005B766F" w:rsidP="005B766F">
            <w:pPr>
              <w:spacing w:after="0"/>
              <w:rPr>
                <w:rFonts w:ascii="Courier New" w:eastAsia="Times New Roman" w:hAnsi="Courier New" w:cs="Courier New"/>
                <w:kern w:val="0"/>
                <w:sz w:val="24"/>
                <w:szCs w:val="24"/>
                <w:lang w:eastAsia="ru-RU"/>
              </w:rPr>
            </w:pPr>
            <w:r w:rsidRPr="005B766F">
              <w:rPr>
                <w:rFonts w:eastAsia="Times New Roman" w:cs="Times New Roman"/>
                <w:b/>
                <w:bCs/>
                <w:color w:val="000000"/>
                <w:kern w:val="0"/>
                <w:sz w:val="24"/>
                <w:szCs w:val="24"/>
                <w:lang w:eastAsia="ru-RU"/>
              </w:rPr>
              <w:t>Поражение почек</w:t>
            </w:r>
          </w:p>
        </w:tc>
      </w:tr>
      <w:tr w:rsidR="005B766F" w:rsidRPr="005B766F" w14:paraId="2E5A61A4" w14:textId="77777777" w:rsidTr="0073199D">
        <w:trPr>
          <w:trHeight w:val="288"/>
        </w:trPr>
        <w:tc>
          <w:tcPr>
            <w:tcW w:w="2400" w:type="dxa"/>
            <w:tcBorders>
              <w:top w:val="single" w:sz="4" w:space="0" w:color="auto"/>
              <w:left w:val="single" w:sz="4" w:space="0" w:color="auto"/>
              <w:bottom w:val="nil"/>
              <w:right w:val="nil"/>
            </w:tcBorders>
            <w:vAlign w:val="bottom"/>
          </w:tcPr>
          <w:p w14:paraId="03160A8C" w14:textId="77777777" w:rsidR="005B766F" w:rsidRPr="005B766F" w:rsidRDefault="005B766F" w:rsidP="005B766F">
            <w:pPr>
              <w:spacing w:after="0"/>
              <w:rPr>
                <w:rFonts w:ascii="Courier New" w:eastAsia="Times New Roman" w:hAnsi="Courier New" w:cs="Courier New"/>
                <w:kern w:val="0"/>
                <w:sz w:val="24"/>
                <w:szCs w:val="24"/>
                <w:lang w:eastAsia="ru-RU"/>
              </w:rPr>
            </w:pPr>
            <w:r w:rsidRPr="005B766F">
              <w:rPr>
                <w:rFonts w:eastAsia="Times New Roman" w:cs="Times New Roman"/>
                <w:color w:val="000000"/>
                <w:kern w:val="0"/>
                <w:sz w:val="24"/>
                <w:szCs w:val="24"/>
                <w:lang w:eastAsia="ru-RU"/>
              </w:rPr>
              <w:t>Функция почек</w:t>
            </w:r>
          </w:p>
        </w:tc>
        <w:tc>
          <w:tcPr>
            <w:tcW w:w="3384" w:type="dxa"/>
            <w:gridSpan w:val="3"/>
            <w:tcBorders>
              <w:top w:val="single" w:sz="4" w:space="0" w:color="auto"/>
              <w:left w:val="single" w:sz="4" w:space="0" w:color="auto"/>
              <w:bottom w:val="nil"/>
              <w:right w:val="nil"/>
            </w:tcBorders>
            <w:vAlign w:val="bottom"/>
          </w:tcPr>
          <w:p w14:paraId="7F9F60AA" w14:textId="77777777" w:rsidR="005B766F" w:rsidRPr="005B766F" w:rsidRDefault="005B766F" w:rsidP="005B766F">
            <w:pPr>
              <w:spacing w:after="0"/>
              <w:rPr>
                <w:rFonts w:ascii="Courier New" w:eastAsia="Times New Roman" w:hAnsi="Courier New" w:cs="Courier New"/>
                <w:kern w:val="0"/>
                <w:sz w:val="24"/>
                <w:szCs w:val="24"/>
                <w:lang w:eastAsia="ru-RU"/>
              </w:rPr>
            </w:pPr>
            <w:r w:rsidRPr="005B766F">
              <w:rPr>
                <w:rFonts w:eastAsia="Times New Roman" w:cs="Times New Roman"/>
                <w:color w:val="000000"/>
                <w:kern w:val="0"/>
                <w:sz w:val="24"/>
                <w:szCs w:val="24"/>
                <w:lang w:eastAsia="ru-RU"/>
              </w:rPr>
              <w:t>рСКФ</w:t>
            </w:r>
          </w:p>
        </w:tc>
        <w:tc>
          <w:tcPr>
            <w:tcW w:w="3576" w:type="dxa"/>
            <w:gridSpan w:val="2"/>
            <w:tcBorders>
              <w:top w:val="single" w:sz="4" w:space="0" w:color="auto"/>
              <w:left w:val="single" w:sz="4" w:space="0" w:color="auto"/>
              <w:bottom w:val="nil"/>
              <w:right w:val="single" w:sz="4" w:space="0" w:color="auto"/>
            </w:tcBorders>
            <w:vAlign w:val="bottom"/>
          </w:tcPr>
          <w:p w14:paraId="204C68BA" w14:textId="77777777" w:rsidR="005B766F" w:rsidRPr="005B766F" w:rsidRDefault="005B766F" w:rsidP="005B766F">
            <w:pPr>
              <w:spacing w:after="0"/>
              <w:rPr>
                <w:rFonts w:ascii="Courier New" w:eastAsia="Times New Roman" w:hAnsi="Courier New" w:cs="Courier New"/>
                <w:kern w:val="0"/>
                <w:sz w:val="24"/>
                <w:szCs w:val="24"/>
                <w:lang w:eastAsia="ru-RU"/>
              </w:rPr>
            </w:pPr>
            <w:r w:rsidRPr="005B766F">
              <w:rPr>
                <w:rFonts w:eastAsia="Times New Roman" w:cs="Times New Roman"/>
                <w:color w:val="000000"/>
                <w:kern w:val="0"/>
                <w:sz w:val="24"/>
                <w:szCs w:val="24"/>
                <w:lang w:eastAsia="ru-RU"/>
              </w:rPr>
              <w:t>&lt;60 мл/мин/1,73 м</w:t>
            </w:r>
            <w:r w:rsidRPr="005B766F">
              <w:rPr>
                <w:rFonts w:eastAsia="Times New Roman" w:cs="Times New Roman"/>
                <w:color w:val="000000"/>
                <w:kern w:val="0"/>
                <w:sz w:val="24"/>
                <w:szCs w:val="24"/>
                <w:vertAlign w:val="superscript"/>
                <w:lang w:eastAsia="ru-RU"/>
              </w:rPr>
              <w:t>2</w:t>
            </w:r>
          </w:p>
        </w:tc>
      </w:tr>
      <w:tr w:rsidR="005B766F" w:rsidRPr="005B766F" w14:paraId="21847FF9" w14:textId="77777777" w:rsidTr="0073199D">
        <w:trPr>
          <w:trHeight w:val="566"/>
        </w:trPr>
        <w:tc>
          <w:tcPr>
            <w:tcW w:w="2400" w:type="dxa"/>
            <w:tcBorders>
              <w:top w:val="single" w:sz="4" w:space="0" w:color="auto"/>
              <w:left w:val="single" w:sz="4" w:space="0" w:color="auto"/>
              <w:bottom w:val="nil"/>
              <w:right w:val="nil"/>
            </w:tcBorders>
          </w:tcPr>
          <w:p w14:paraId="5C60A1A6" w14:textId="77777777" w:rsidR="005B766F" w:rsidRPr="005B766F" w:rsidRDefault="005B766F" w:rsidP="005B766F">
            <w:pPr>
              <w:spacing w:after="0"/>
              <w:rPr>
                <w:rFonts w:ascii="Courier New" w:eastAsia="Times New Roman" w:hAnsi="Courier New" w:cs="Courier New"/>
                <w:kern w:val="0"/>
                <w:sz w:val="24"/>
                <w:szCs w:val="24"/>
                <w:lang w:eastAsia="ru-RU"/>
              </w:rPr>
            </w:pPr>
            <w:r w:rsidRPr="005B766F">
              <w:rPr>
                <w:rFonts w:eastAsia="Times New Roman" w:cs="Times New Roman"/>
                <w:color w:val="000000"/>
                <w:kern w:val="0"/>
                <w:sz w:val="24"/>
                <w:szCs w:val="24"/>
                <w:lang w:eastAsia="ru-RU"/>
              </w:rPr>
              <w:t>Альбуминурия</w:t>
            </w:r>
          </w:p>
        </w:tc>
        <w:tc>
          <w:tcPr>
            <w:tcW w:w="3384" w:type="dxa"/>
            <w:gridSpan w:val="3"/>
            <w:tcBorders>
              <w:top w:val="single" w:sz="4" w:space="0" w:color="auto"/>
              <w:left w:val="single" w:sz="4" w:space="0" w:color="auto"/>
              <w:bottom w:val="nil"/>
              <w:right w:val="nil"/>
            </w:tcBorders>
            <w:vAlign w:val="bottom"/>
          </w:tcPr>
          <w:p w14:paraId="02264BAE" w14:textId="77777777" w:rsidR="005B766F" w:rsidRPr="005B766F" w:rsidRDefault="005B766F" w:rsidP="005B766F">
            <w:pPr>
              <w:spacing w:after="0"/>
              <w:rPr>
                <w:rFonts w:ascii="Courier New" w:eastAsia="Times New Roman" w:hAnsi="Courier New" w:cs="Courier New"/>
                <w:kern w:val="0"/>
                <w:sz w:val="24"/>
                <w:szCs w:val="24"/>
                <w:lang w:eastAsia="ru-RU"/>
              </w:rPr>
            </w:pPr>
            <w:r w:rsidRPr="005B766F">
              <w:rPr>
                <w:rFonts w:eastAsia="Times New Roman" w:cs="Times New Roman"/>
                <w:color w:val="000000"/>
                <w:kern w:val="0"/>
                <w:sz w:val="24"/>
                <w:szCs w:val="24"/>
                <w:lang w:eastAsia="ru-RU"/>
              </w:rPr>
              <w:t>Альбумин-креатининовое соотношение</w:t>
            </w:r>
          </w:p>
        </w:tc>
        <w:tc>
          <w:tcPr>
            <w:tcW w:w="3576" w:type="dxa"/>
            <w:gridSpan w:val="2"/>
            <w:tcBorders>
              <w:top w:val="single" w:sz="4" w:space="0" w:color="auto"/>
              <w:left w:val="single" w:sz="4" w:space="0" w:color="auto"/>
              <w:bottom w:val="nil"/>
              <w:right w:val="single" w:sz="4" w:space="0" w:color="auto"/>
            </w:tcBorders>
          </w:tcPr>
          <w:p w14:paraId="1231F4AE" w14:textId="77777777" w:rsidR="005B766F" w:rsidRPr="005B766F" w:rsidRDefault="005B766F" w:rsidP="005B766F">
            <w:pPr>
              <w:spacing w:after="0"/>
              <w:rPr>
                <w:rFonts w:ascii="Courier New" w:eastAsia="Times New Roman" w:hAnsi="Courier New" w:cs="Courier New"/>
                <w:kern w:val="0"/>
                <w:sz w:val="24"/>
                <w:szCs w:val="24"/>
                <w:lang w:eastAsia="ru-RU"/>
              </w:rPr>
            </w:pPr>
            <w:r w:rsidRPr="005B766F">
              <w:rPr>
                <w:rFonts w:eastAsia="Times New Roman" w:cs="Times New Roman"/>
                <w:color w:val="000000"/>
                <w:kern w:val="0"/>
                <w:sz w:val="24"/>
                <w:szCs w:val="24"/>
                <w:lang w:eastAsia="ru-RU"/>
              </w:rPr>
              <w:t>&gt;30 мг/г</w:t>
            </w:r>
          </w:p>
        </w:tc>
      </w:tr>
      <w:tr w:rsidR="005B766F" w:rsidRPr="005B766F" w14:paraId="414F536E" w14:textId="77777777" w:rsidTr="0073199D">
        <w:trPr>
          <w:trHeight w:val="840"/>
        </w:trPr>
        <w:tc>
          <w:tcPr>
            <w:tcW w:w="2400" w:type="dxa"/>
            <w:tcBorders>
              <w:top w:val="single" w:sz="4" w:space="0" w:color="auto"/>
              <w:left w:val="single" w:sz="4" w:space="0" w:color="auto"/>
              <w:bottom w:val="nil"/>
              <w:right w:val="nil"/>
            </w:tcBorders>
            <w:vAlign w:val="bottom"/>
          </w:tcPr>
          <w:p w14:paraId="732E25E2" w14:textId="77777777" w:rsidR="005B766F" w:rsidRPr="005B766F" w:rsidRDefault="005B766F" w:rsidP="005B766F">
            <w:pPr>
              <w:spacing w:after="0"/>
              <w:rPr>
                <w:rFonts w:ascii="Courier New" w:eastAsia="Times New Roman" w:hAnsi="Courier New" w:cs="Courier New"/>
                <w:kern w:val="0"/>
                <w:sz w:val="24"/>
                <w:szCs w:val="24"/>
                <w:lang w:eastAsia="ru-RU"/>
              </w:rPr>
            </w:pPr>
            <w:r w:rsidRPr="005B766F">
              <w:rPr>
                <w:rFonts w:eastAsia="Times New Roman" w:cs="Times New Roman"/>
                <w:color w:val="000000"/>
                <w:kern w:val="0"/>
                <w:sz w:val="24"/>
                <w:szCs w:val="24"/>
                <w:lang w:eastAsia="ru-RU"/>
              </w:rPr>
              <w:t>Индекс резистентности почек</w:t>
            </w:r>
          </w:p>
        </w:tc>
        <w:tc>
          <w:tcPr>
            <w:tcW w:w="3384" w:type="dxa"/>
            <w:gridSpan w:val="3"/>
            <w:tcBorders>
              <w:top w:val="single" w:sz="4" w:space="0" w:color="auto"/>
              <w:left w:val="single" w:sz="4" w:space="0" w:color="auto"/>
              <w:bottom w:val="nil"/>
              <w:right w:val="nil"/>
            </w:tcBorders>
          </w:tcPr>
          <w:p w14:paraId="4C70324E" w14:textId="77777777" w:rsidR="005B766F" w:rsidRPr="005B766F" w:rsidRDefault="005B766F" w:rsidP="005B766F">
            <w:pPr>
              <w:spacing w:after="0"/>
              <w:rPr>
                <w:rFonts w:ascii="Courier New" w:eastAsia="Times New Roman" w:hAnsi="Courier New" w:cs="Courier New"/>
                <w:kern w:val="0"/>
                <w:sz w:val="24"/>
                <w:szCs w:val="24"/>
                <w:lang w:eastAsia="ru-RU"/>
              </w:rPr>
            </w:pPr>
            <w:r w:rsidRPr="005B766F">
              <w:rPr>
                <w:rFonts w:eastAsia="Times New Roman" w:cs="Times New Roman"/>
                <w:color w:val="000000"/>
                <w:kern w:val="0"/>
                <w:sz w:val="24"/>
                <w:szCs w:val="24"/>
                <w:lang w:val="en-US"/>
              </w:rPr>
              <w:t>RRI</w:t>
            </w:r>
          </w:p>
        </w:tc>
        <w:tc>
          <w:tcPr>
            <w:tcW w:w="3576" w:type="dxa"/>
            <w:gridSpan w:val="2"/>
            <w:tcBorders>
              <w:top w:val="single" w:sz="4" w:space="0" w:color="auto"/>
              <w:left w:val="single" w:sz="4" w:space="0" w:color="auto"/>
              <w:bottom w:val="nil"/>
              <w:right w:val="single" w:sz="4" w:space="0" w:color="auto"/>
            </w:tcBorders>
          </w:tcPr>
          <w:p w14:paraId="0746C710" w14:textId="77777777" w:rsidR="005B766F" w:rsidRPr="005B766F" w:rsidRDefault="005B766F" w:rsidP="005B766F">
            <w:pPr>
              <w:spacing w:after="0"/>
              <w:rPr>
                <w:rFonts w:ascii="Courier New" w:eastAsia="Times New Roman" w:hAnsi="Courier New" w:cs="Courier New"/>
                <w:kern w:val="0"/>
                <w:sz w:val="24"/>
                <w:szCs w:val="24"/>
                <w:lang w:eastAsia="ru-RU"/>
              </w:rPr>
            </w:pPr>
            <w:r w:rsidRPr="005B766F">
              <w:rPr>
                <w:rFonts w:eastAsia="Times New Roman" w:cs="Times New Roman"/>
                <w:color w:val="000000"/>
                <w:kern w:val="0"/>
                <w:sz w:val="24"/>
                <w:szCs w:val="24"/>
                <w:lang w:eastAsia="ru-RU"/>
              </w:rPr>
              <w:t>&lt;0.07</w:t>
            </w:r>
          </w:p>
        </w:tc>
      </w:tr>
      <w:tr w:rsidR="005B766F" w:rsidRPr="005B766F" w14:paraId="1387DB94" w14:textId="77777777" w:rsidTr="0073199D">
        <w:trPr>
          <w:trHeight w:val="278"/>
        </w:trPr>
        <w:tc>
          <w:tcPr>
            <w:tcW w:w="9360" w:type="dxa"/>
            <w:gridSpan w:val="6"/>
            <w:tcBorders>
              <w:top w:val="single" w:sz="4" w:space="0" w:color="auto"/>
              <w:left w:val="single" w:sz="4" w:space="0" w:color="auto"/>
              <w:bottom w:val="nil"/>
              <w:right w:val="single" w:sz="4" w:space="0" w:color="auto"/>
            </w:tcBorders>
            <w:vAlign w:val="bottom"/>
          </w:tcPr>
          <w:p w14:paraId="1B4079A8" w14:textId="77777777" w:rsidR="005B766F" w:rsidRPr="005B766F" w:rsidRDefault="005B766F" w:rsidP="005B766F">
            <w:pPr>
              <w:spacing w:after="0"/>
              <w:ind w:firstLine="360"/>
              <w:rPr>
                <w:rFonts w:ascii="Courier New" w:eastAsia="Times New Roman" w:hAnsi="Courier New" w:cs="Courier New"/>
                <w:kern w:val="0"/>
                <w:sz w:val="24"/>
                <w:szCs w:val="24"/>
                <w:lang w:eastAsia="ru-RU"/>
              </w:rPr>
            </w:pPr>
            <w:r w:rsidRPr="005B766F">
              <w:rPr>
                <w:rFonts w:eastAsia="Times New Roman" w:cs="Times New Roman"/>
                <w:b/>
                <w:bCs/>
                <w:color w:val="000000"/>
                <w:kern w:val="0"/>
                <w:sz w:val="24"/>
                <w:szCs w:val="24"/>
                <w:lang w:eastAsia="ru-RU"/>
              </w:rPr>
              <w:t>Повышение жесткости крупных артерий</w:t>
            </w:r>
          </w:p>
        </w:tc>
      </w:tr>
      <w:tr w:rsidR="005B766F" w:rsidRPr="005B766F" w14:paraId="734510B7" w14:textId="77777777" w:rsidTr="0073199D">
        <w:trPr>
          <w:trHeight w:val="293"/>
        </w:trPr>
        <w:tc>
          <w:tcPr>
            <w:tcW w:w="2400" w:type="dxa"/>
            <w:tcBorders>
              <w:top w:val="single" w:sz="4" w:space="0" w:color="auto"/>
              <w:left w:val="single" w:sz="4" w:space="0" w:color="auto"/>
              <w:bottom w:val="nil"/>
              <w:right w:val="nil"/>
            </w:tcBorders>
            <w:vAlign w:val="bottom"/>
          </w:tcPr>
          <w:p w14:paraId="5DFF836C" w14:textId="77777777" w:rsidR="005B766F" w:rsidRPr="005B766F" w:rsidRDefault="005B766F" w:rsidP="005B766F">
            <w:pPr>
              <w:spacing w:after="0"/>
              <w:rPr>
                <w:rFonts w:ascii="Courier New" w:eastAsia="Times New Roman" w:hAnsi="Courier New" w:cs="Courier New"/>
                <w:kern w:val="0"/>
                <w:sz w:val="24"/>
                <w:szCs w:val="24"/>
                <w:lang w:eastAsia="ru-RU"/>
              </w:rPr>
            </w:pPr>
            <w:r w:rsidRPr="005B766F">
              <w:rPr>
                <w:rFonts w:eastAsia="Times New Roman" w:cs="Times New Roman"/>
                <w:color w:val="000000"/>
                <w:kern w:val="0"/>
                <w:sz w:val="24"/>
                <w:szCs w:val="24"/>
                <w:lang w:eastAsia="ru-RU"/>
              </w:rPr>
              <w:t>Пульсовое давление</w:t>
            </w:r>
          </w:p>
        </w:tc>
        <w:tc>
          <w:tcPr>
            <w:tcW w:w="3384" w:type="dxa"/>
            <w:gridSpan w:val="3"/>
            <w:tcBorders>
              <w:top w:val="single" w:sz="4" w:space="0" w:color="auto"/>
              <w:left w:val="single" w:sz="4" w:space="0" w:color="auto"/>
              <w:bottom w:val="nil"/>
              <w:right w:val="nil"/>
            </w:tcBorders>
            <w:vAlign w:val="bottom"/>
          </w:tcPr>
          <w:p w14:paraId="2E61AB17" w14:textId="77777777" w:rsidR="005B766F" w:rsidRPr="005B766F" w:rsidRDefault="005B766F" w:rsidP="005B766F">
            <w:pPr>
              <w:spacing w:after="0"/>
              <w:rPr>
                <w:rFonts w:ascii="Courier New" w:eastAsia="Times New Roman" w:hAnsi="Courier New" w:cs="Courier New"/>
                <w:kern w:val="0"/>
                <w:sz w:val="24"/>
                <w:szCs w:val="24"/>
                <w:lang w:eastAsia="ru-RU"/>
              </w:rPr>
            </w:pPr>
            <w:r w:rsidRPr="005B766F">
              <w:rPr>
                <w:rFonts w:eastAsia="Times New Roman" w:cs="Times New Roman"/>
                <w:color w:val="000000"/>
                <w:kern w:val="0"/>
                <w:sz w:val="24"/>
                <w:szCs w:val="24"/>
                <w:lang w:eastAsia="ru-RU"/>
              </w:rPr>
              <w:t>ПД (&gt;60 лет)</w:t>
            </w:r>
          </w:p>
        </w:tc>
        <w:tc>
          <w:tcPr>
            <w:tcW w:w="3576" w:type="dxa"/>
            <w:gridSpan w:val="2"/>
            <w:tcBorders>
              <w:top w:val="single" w:sz="4" w:space="0" w:color="auto"/>
              <w:left w:val="single" w:sz="4" w:space="0" w:color="auto"/>
              <w:bottom w:val="nil"/>
              <w:right w:val="single" w:sz="4" w:space="0" w:color="auto"/>
            </w:tcBorders>
            <w:vAlign w:val="bottom"/>
          </w:tcPr>
          <w:p w14:paraId="73ED578F" w14:textId="77777777" w:rsidR="005B766F" w:rsidRPr="005B766F" w:rsidRDefault="005B766F" w:rsidP="005B766F">
            <w:pPr>
              <w:spacing w:after="0"/>
              <w:rPr>
                <w:rFonts w:ascii="Courier New" w:eastAsia="Times New Roman" w:hAnsi="Courier New" w:cs="Courier New"/>
                <w:kern w:val="0"/>
                <w:sz w:val="24"/>
                <w:szCs w:val="24"/>
                <w:lang w:eastAsia="ru-RU"/>
              </w:rPr>
            </w:pPr>
            <w:r w:rsidRPr="005B766F">
              <w:rPr>
                <w:rFonts w:eastAsia="Times New Roman" w:cs="Times New Roman"/>
                <w:color w:val="000000"/>
                <w:kern w:val="0"/>
                <w:sz w:val="24"/>
                <w:szCs w:val="24"/>
                <w:lang w:eastAsia="ru-RU"/>
              </w:rPr>
              <w:t>≥60 мм рт.ст.</w:t>
            </w:r>
          </w:p>
        </w:tc>
      </w:tr>
      <w:tr w:rsidR="005B766F" w:rsidRPr="005B766F" w14:paraId="6E7ADAB2" w14:textId="77777777" w:rsidTr="0073199D">
        <w:trPr>
          <w:trHeight w:val="830"/>
        </w:trPr>
        <w:tc>
          <w:tcPr>
            <w:tcW w:w="2400" w:type="dxa"/>
            <w:tcBorders>
              <w:top w:val="single" w:sz="4" w:space="0" w:color="auto"/>
              <w:left w:val="single" w:sz="4" w:space="0" w:color="auto"/>
              <w:bottom w:val="nil"/>
              <w:right w:val="nil"/>
            </w:tcBorders>
          </w:tcPr>
          <w:p w14:paraId="3B9F41C7" w14:textId="77777777" w:rsidR="005B766F" w:rsidRPr="005B766F" w:rsidRDefault="005B766F" w:rsidP="005B766F">
            <w:pPr>
              <w:spacing w:after="0"/>
              <w:rPr>
                <w:rFonts w:ascii="Courier New" w:eastAsia="Times New Roman" w:hAnsi="Courier New" w:cs="Courier New"/>
                <w:kern w:val="0"/>
                <w:sz w:val="24"/>
                <w:szCs w:val="24"/>
                <w:lang w:eastAsia="ru-RU"/>
              </w:rPr>
            </w:pPr>
            <w:r w:rsidRPr="005B766F">
              <w:rPr>
                <w:rFonts w:eastAsia="Times New Roman" w:cs="Times New Roman"/>
                <w:color w:val="000000"/>
                <w:kern w:val="0"/>
                <w:sz w:val="24"/>
                <w:szCs w:val="24"/>
                <w:lang w:eastAsia="ru-RU"/>
              </w:rPr>
              <w:t>СПВ</w:t>
            </w:r>
          </w:p>
        </w:tc>
        <w:tc>
          <w:tcPr>
            <w:tcW w:w="3384" w:type="dxa"/>
            <w:gridSpan w:val="3"/>
            <w:tcBorders>
              <w:top w:val="single" w:sz="4" w:space="0" w:color="auto"/>
              <w:left w:val="single" w:sz="4" w:space="0" w:color="auto"/>
              <w:bottom w:val="nil"/>
              <w:right w:val="nil"/>
            </w:tcBorders>
          </w:tcPr>
          <w:p w14:paraId="67AB4E86" w14:textId="77777777" w:rsidR="005B766F" w:rsidRPr="005B766F" w:rsidRDefault="005B766F" w:rsidP="005B766F">
            <w:pPr>
              <w:spacing w:after="0"/>
              <w:rPr>
                <w:rFonts w:ascii="Courier New" w:eastAsia="Times New Roman" w:hAnsi="Courier New" w:cs="Courier New"/>
                <w:kern w:val="0"/>
                <w:sz w:val="24"/>
                <w:szCs w:val="24"/>
                <w:lang w:eastAsia="ru-RU"/>
              </w:rPr>
            </w:pPr>
            <w:r w:rsidRPr="005B766F">
              <w:rPr>
                <w:rFonts w:eastAsia="Times New Roman" w:cs="Times New Roman"/>
                <w:color w:val="000000"/>
                <w:kern w:val="0"/>
                <w:sz w:val="24"/>
                <w:szCs w:val="24"/>
                <w:lang w:eastAsia="ru-RU"/>
              </w:rPr>
              <w:t>кфСПВ, плСПВ</w:t>
            </w:r>
          </w:p>
        </w:tc>
        <w:tc>
          <w:tcPr>
            <w:tcW w:w="3576" w:type="dxa"/>
            <w:gridSpan w:val="2"/>
            <w:tcBorders>
              <w:top w:val="single" w:sz="4" w:space="0" w:color="auto"/>
              <w:left w:val="single" w:sz="4" w:space="0" w:color="auto"/>
              <w:bottom w:val="nil"/>
              <w:right w:val="single" w:sz="4" w:space="0" w:color="auto"/>
            </w:tcBorders>
            <w:vAlign w:val="bottom"/>
          </w:tcPr>
          <w:p w14:paraId="31F065B7" w14:textId="77777777" w:rsidR="005B766F" w:rsidRPr="005B766F" w:rsidRDefault="005B766F" w:rsidP="005B766F">
            <w:pPr>
              <w:spacing w:after="0"/>
              <w:rPr>
                <w:rFonts w:ascii="Courier New" w:eastAsia="Times New Roman" w:hAnsi="Courier New" w:cs="Courier New"/>
                <w:kern w:val="0"/>
                <w:sz w:val="24"/>
                <w:szCs w:val="24"/>
                <w:lang w:eastAsia="ru-RU"/>
              </w:rPr>
            </w:pPr>
            <w:r w:rsidRPr="005B766F">
              <w:rPr>
                <w:rFonts w:eastAsia="Times New Roman" w:cs="Times New Roman"/>
                <w:color w:val="000000"/>
                <w:kern w:val="0"/>
                <w:sz w:val="24"/>
                <w:szCs w:val="24"/>
                <w:lang w:eastAsia="ru-RU"/>
              </w:rPr>
              <w:t>Зависит от выбора участка сосудистого русла и используемого оборудования</w:t>
            </w:r>
          </w:p>
        </w:tc>
      </w:tr>
      <w:tr w:rsidR="005B766F" w:rsidRPr="005B766F" w14:paraId="70144405" w14:textId="77777777" w:rsidTr="0073199D">
        <w:trPr>
          <w:trHeight w:val="293"/>
        </w:trPr>
        <w:tc>
          <w:tcPr>
            <w:tcW w:w="9360" w:type="dxa"/>
            <w:gridSpan w:val="6"/>
            <w:tcBorders>
              <w:top w:val="single" w:sz="4" w:space="0" w:color="auto"/>
              <w:left w:val="single" w:sz="4" w:space="0" w:color="auto"/>
              <w:bottom w:val="nil"/>
              <w:right w:val="single" w:sz="4" w:space="0" w:color="auto"/>
            </w:tcBorders>
            <w:vAlign w:val="bottom"/>
          </w:tcPr>
          <w:p w14:paraId="7A24C7DC" w14:textId="77777777" w:rsidR="005B766F" w:rsidRPr="005B766F" w:rsidRDefault="005B766F" w:rsidP="005B766F">
            <w:pPr>
              <w:spacing w:after="0"/>
              <w:rPr>
                <w:rFonts w:ascii="Courier New" w:eastAsia="Times New Roman" w:hAnsi="Courier New" w:cs="Courier New"/>
                <w:kern w:val="0"/>
                <w:sz w:val="24"/>
                <w:szCs w:val="24"/>
                <w:lang w:eastAsia="ru-RU"/>
              </w:rPr>
            </w:pPr>
            <w:r w:rsidRPr="005B766F">
              <w:rPr>
                <w:rFonts w:eastAsia="Times New Roman" w:cs="Times New Roman"/>
                <w:b/>
                <w:bCs/>
                <w:color w:val="000000"/>
                <w:kern w:val="0"/>
                <w:sz w:val="24"/>
                <w:szCs w:val="24"/>
                <w:lang w:eastAsia="ru-RU"/>
              </w:rPr>
              <w:t>Атеросклероз каротидных артерий</w:t>
            </w:r>
          </w:p>
        </w:tc>
      </w:tr>
      <w:tr w:rsidR="005B766F" w:rsidRPr="005B766F" w14:paraId="7CFDCE57" w14:textId="77777777" w:rsidTr="0073199D">
        <w:trPr>
          <w:trHeight w:val="840"/>
        </w:trPr>
        <w:tc>
          <w:tcPr>
            <w:tcW w:w="2400" w:type="dxa"/>
            <w:tcBorders>
              <w:top w:val="single" w:sz="4" w:space="0" w:color="auto"/>
              <w:left w:val="single" w:sz="4" w:space="0" w:color="auto"/>
              <w:bottom w:val="nil"/>
              <w:right w:val="nil"/>
            </w:tcBorders>
          </w:tcPr>
          <w:p w14:paraId="548272D2" w14:textId="77777777" w:rsidR="005B766F" w:rsidRPr="005B766F" w:rsidRDefault="005B766F" w:rsidP="005B766F">
            <w:pPr>
              <w:spacing w:after="0"/>
              <w:rPr>
                <w:rFonts w:ascii="Courier New" w:eastAsia="Times New Roman" w:hAnsi="Courier New" w:cs="Courier New"/>
                <w:kern w:val="0"/>
                <w:sz w:val="24"/>
                <w:szCs w:val="24"/>
                <w:lang w:eastAsia="ru-RU"/>
              </w:rPr>
            </w:pPr>
          </w:p>
        </w:tc>
        <w:tc>
          <w:tcPr>
            <w:tcW w:w="3384" w:type="dxa"/>
            <w:gridSpan w:val="3"/>
            <w:tcBorders>
              <w:top w:val="single" w:sz="4" w:space="0" w:color="auto"/>
              <w:left w:val="single" w:sz="4" w:space="0" w:color="auto"/>
              <w:bottom w:val="nil"/>
              <w:right w:val="nil"/>
            </w:tcBorders>
          </w:tcPr>
          <w:p w14:paraId="2B7BB7A2" w14:textId="77777777" w:rsidR="005B766F" w:rsidRPr="005B766F" w:rsidRDefault="005B766F" w:rsidP="005B766F">
            <w:pPr>
              <w:spacing w:after="0"/>
              <w:rPr>
                <w:rFonts w:ascii="Courier New" w:eastAsia="Times New Roman" w:hAnsi="Courier New" w:cs="Courier New"/>
                <w:kern w:val="0"/>
                <w:sz w:val="24"/>
                <w:szCs w:val="24"/>
                <w:lang w:eastAsia="ru-RU"/>
              </w:rPr>
            </w:pPr>
            <w:r w:rsidRPr="005B766F">
              <w:rPr>
                <w:rFonts w:eastAsia="Times New Roman" w:cs="Times New Roman"/>
                <w:color w:val="000000"/>
                <w:kern w:val="0"/>
                <w:sz w:val="24"/>
                <w:szCs w:val="24"/>
                <w:lang w:eastAsia="ru-RU"/>
              </w:rPr>
              <w:t>Бляшка</w:t>
            </w:r>
          </w:p>
        </w:tc>
        <w:tc>
          <w:tcPr>
            <w:tcW w:w="3576" w:type="dxa"/>
            <w:gridSpan w:val="2"/>
            <w:tcBorders>
              <w:top w:val="single" w:sz="4" w:space="0" w:color="auto"/>
              <w:left w:val="single" w:sz="4" w:space="0" w:color="auto"/>
              <w:bottom w:val="nil"/>
              <w:right w:val="single" w:sz="4" w:space="0" w:color="auto"/>
            </w:tcBorders>
            <w:vAlign w:val="bottom"/>
          </w:tcPr>
          <w:p w14:paraId="4440976B" w14:textId="77777777" w:rsidR="005B766F" w:rsidRPr="005B766F" w:rsidRDefault="005B766F" w:rsidP="005B766F">
            <w:pPr>
              <w:spacing w:after="0"/>
              <w:rPr>
                <w:rFonts w:ascii="Courier New" w:eastAsia="Times New Roman" w:hAnsi="Courier New" w:cs="Courier New"/>
                <w:kern w:val="0"/>
                <w:sz w:val="24"/>
                <w:szCs w:val="24"/>
                <w:lang w:eastAsia="ru-RU"/>
              </w:rPr>
            </w:pPr>
            <w:r w:rsidRPr="005B766F">
              <w:rPr>
                <w:rFonts w:eastAsia="Times New Roman" w:cs="Times New Roman"/>
                <w:color w:val="000000"/>
                <w:kern w:val="0"/>
                <w:sz w:val="24"/>
                <w:szCs w:val="24"/>
                <w:lang w:eastAsia="ru-RU"/>
              </w:rPr>
              <w:t>ТИМ ≥1.5 мм, или очаговое увеличение толщины ≥0,5 мм или 50% окружающей ТИМ</w:t>
            </w:r>
          </w:p>
        </w:tc>
      </w:tr>
      <w:tr w:rsidR="005B766F" w:rsidRPr="005B766F" w14:paraId="240B2E34" w14:textId="77777777" w:rsidTr="0073199D">
        <w:trPr>
          <w:trHeight w:val="283"/>
        </w:trPr>
        <w:tc>
          <w:tcPr>
            <w:tcW w:w="2400" w:type="dxa"/>
            <w:tcBorders>
              <w:top w:val="single" w:sz="4" w:space="0" w:color="auto"/>
              <w:left w:val="single" w:sz="4" w:space="0" w:color="auto"/>
              <w:bottom w:val="nil"/>
              <w:right w:val="nil"/>
            </w:tcBorders>
          </w:tcPr>
          <w:p w14:paraId="2FE1E414" w14:textId="77777777" w:rsidR="005B766F" w:rsidRPr="005B766F" w:rsidRDefault="005B766F" w:rsidP="005B766F">
            <w:pPr>
              <w:spacing w:after="0"/>
              <w:rPr>
                <w:rFonts w:ascii="Courier New" w:eastAsia="Times New Roman" w:hAnsi="Courier New" w:cs="Courier New"/>
                <w:kern w:val="0"/>
                <w:sz w:val="24"/>
                <w:szCs w:val="24"/>
                <w:lang w:eastAsia="ru-RU"/>
              </w:rPr>
            </w:pPr>
          </w:p>
        </w:tc>
        <w:tc>
          <w:tcPr>
            <w:tcW w:w="3384" w:type="dxa"/>
            <w:gridSpan w:val="3"/>
            <w:tcBorders>
              <w:top w:val="single" w:sz="4" w:space="0" w:color="auto"/>
              <w:left w:val="single" w:sz="4" w:space="0" w:color="auto"/>
              <w:bottom w:val="nil"/>
              <w:right w:val="nil"/>
            </w:tcBorders>
            <w:vAlign w:val="bottom"/>
          </w:tcPr>
          <w:p w14:paraId="07F7B281" w14:textId="77777777" w:rsidR="005B766F" w:rsidRPr="005B766F" w:rsidRDefault="005B766F" w:rsidP="005B766F">
            <w:pPr>
              <w:spacing w:after="0"/>
              <w:rPr>
                <w:rFonts w:ascii="Courier New" w:eastAsia="Times New Roman" w:hAnsi="Courier New" w:cs="Courier New"/>
                <w:kern w:val="0"/>
                <w:sz w:val="24"/>
                <w:szCs w:val="24"/>
                <w:lang w:eastAsia="ru-RU"/>
              </w:rPr>
            </w:pPr>
            <w:r w:rsidRPr="005B766F">
              <w:rPr>
                <w:rFonts w:eastAsia="Times New Roman" w:cs="Times New Roman"/>
                <w:color w:val="000000"/>
                <w:kern w:val="0"/>
                <w:sz w:val="24"/>
                <w:szCs w:val="24"/>
                <w:lang w:eastAsia="ru-RU"/>
              </w:rPr>
              <w:t>ТИМ</w:t>
            </w:r>
          </w:p>
        </w:tc>
        <w:tc>
          <w:tcPr>
            <w:tcW w:w="3576" w:type="dxa"/>
            <w:gridSpan w:val="2"/>
            <w:tcBorders>
              <w:top w:val="single" w:sz="4" w:space="0" w:color="auto"/>
              <w:left w:val="single" w:sz="4" w:space="0" w:color="auto"/>
              <w:bottom w:val="nil"/>
              <w:right w:val="single" w:sz="4" w:space="0" w:color="auto"/>
            </w:tcBorders>
            <w:vAlign w:val="bottom"/>
          </w:tcPr>
          <w:p w14:paraId="4487AD2B" w14:textId="77777777" w:rsidR="005B766F" w:rsidRPr="005B766F" w:rsidRDefault="005B766F" w:rsidP="005B766F">
            <w:pPr>
              <w:spacing w:after="0"/>
              <w:rPr>
                <w:rFonts w:ascii="Courier New" w:eastAsia="Times New Roman" w:hAnsi="Courier New" w:cs="Courier New"/>
                <w:kern w:val="0"/>
                <w:sz w:val="24"/>
                <w:szCs w:val="24"/>
                <w:lang w:eastAsia="ru-RU"/>
              </w:rPr>
            </w:pPr>
            <w:r w:rsidRPr="005B766F">
              <w:rPr>
                <w:rFonts w:eastAsia="Times New Roman" w:cs="Times New Roman"/>
                <w:color w:val="000000"/>
                <w:kern w:val="0"/>
                <w:sz w:val="24"/>
                <w:szCs w:val="24"/>
                <w:lang w:eastAsia="ru-RU"/>
              </w:rPr>
              <w:t>&gt;0.9 мм</w:t>
            </w:r>
          </w:p>
        </w:tc>
      </w:tr>
      <w:tr w:rsidR="005B766F" w:rsidRPr="005B766F" w14:paraId="5E4B114F" w14:textId="77777777" w:rsidTr="0073199D">
        <w:trPr>
          <w:trHeight w:val="288"/>
        </w:trPr>
        <w:tc>
          <w:tcPr>
            <w:tcW w:w="9360" w:type="dxa"/>
            <w:gridSpan w:val="6"/>
            <w:tcBorders>
              <w:top w:val="single" w:sz="4" w:space="0" w:color="auto"/>
              <w:left w:val="single" w:sz="4" w:space="0" w:color="auto"/>
              <w:bottom w:val="nil"/>
              <w:right w:val="single" w:sz="4" w:space="0" w:color="auto"/>
            </w:tcBorders>
            <w:vAlign w:val="bottom"/>
          </w:tcPr>
          <w:p w14:paraId="5BF843BA" w14:textId="77777777" w:rsidR="005B766F" w:rsidRPr="005B766F" w:rsidRDefault="005B766F" w:rsidP="005B766F">
            <w:pPr>
              <w:spacing w:after="0"/>
              <w:rPr>
                <w:rFonts w:ascii="Courier New" w:eastAsia="Times New Roman" w:hAnsi="Courier New" w:cs="Courier New"/>
                <w:kern w:val="0"/>
                <w:sz w:val="24"/>
                <w:szCs w:val="24"/>
                <w:lang w:eastAsia="ru-RU"/>
              </w:rPr>
            </w:pPr>
            <w:r w:rsidRPr="005B766F">
              <w:rPr>
                <w:rFonts w:eastAsia="Times New Roman" w:cs="Times New Roman"/>
                <w:b/>
                <w:bCs/>
                <w:color w:val="000000"/>
                <w:kern w:val="0"/>
                <w:sz w:val="24"/>
                <w:szCs w:val="24"/>
                <w:lang w:eastAsia="ru-RU"/>
              </w:rPr>
              <w:t>Коронарный атеросклероз</w:t>
            </w:r>
          </w:p>
        </w:tc>
      </w:tr>
      <w:tr w:rsidR="005B766F" w:rsidRPr="005B766F" w14:paraId="7FC8314C" w14:textId="77777777" w:rsidTr="0073199D">
        <w:trPr>
          <w:trHeight w:val="562"/>
        </w:trPr>
        <w:tc>
          <w:tcPr>
            <w:tcW w:w="2400" w:type="dxa"/>
            <w:tcBorders>
              <w:top w:val="single" w:sz="4" w:space="0" w:color="auto"/>
              <w:left w:val="single" w:sz="4" w:space="0" w:color="auto"/>
              <w:bottom w:val="nil"/>
              <w:right w:val="nil"/>
            </w:tcBorders>
          </w:tcPr>
          <w:p w14:paraId="00E3DC45" w14:textId="77777777" w:rsidR="005B766F" w:rsidRPr="005B766F" w:rsidRDefault="005B766F" w:rsidP="005B766F">
            <w:pPr>
              <w:spacing w:after="0"/>
              <w:rPr>
                <w:rFonts w:ascii="Courier New" w:eastAsia="Times New Roman" w:hAnsi="Courier New" w:cs="Courier New"/>
                <w:kern w:val="0"/>
                <w:sz w:val="24"/>
                <w:szCs w:val="24"/>
                <w:lang w:eastAsia="ru-RU"/>
              </w:rPr>
            </w:pPr>
          </w:p>
        </w:tc>
        <w:tc>
          <w:tcPr>
            <w:tcW w:w="3384" w:type="dxa"/>
            <w:gridSpan w:val="3"/>
            <w:tcBorders>
              <w:top w:val="single" w:sz="4" w:space="0" w:color="auto"/>
              <w:left w:val="single" w:sz="4" w:space="0" w:color="auto"/>
              <w:bottom w:val="nil"/>
              <w:right w:val="nil"/>
            </w:tcBorders>
            <w:vAlign w:val="bottom"/>
          </w:tcPr>
          <w:p w14:paraId="4085EB01" w14:textId="77777777" w:rsidR="005B766F" w:rsidRPr="005B766F" w:rsidRDefault="005B766F" w:rsidP="005B766F">
            <w:pPr>
              <w:tabs>
                <w:tab w:val="left" w:pos="1944"/>
              </w:tabs>
              <w:spacing w:after="0"/>
              <w:rPr>
                <w:rFonts w:ascii="Courier New" w:eastAsia="Times New Roman" w:hAnsi="Courier New" w:cs="Courier New"/>
                <w:kern w:val="0"/>
                <w:sz w:val="24"/>
                <w:szCs w:val="24"/>
                <w:lang w:eastAsia="ru-RU"/>
              </w:rPr>
            </w:pPr>
            <w:r w:rsidRPr="005B766F">
              <w:rPr>
                <w:rFonts w:eastAsia="Times New Roman" w:cs="Times New Roman"/>
                <w:color w:val="000000"/>
                <w:kern w:val="0"/>
                <w:sz w:val="24"/>
                <w:szCs w:val="24"/>
                <w:lang w:eastAsia="ru-RU"/>
              </w:rPr>
              <w:t>Коронарный</w:t>
            </w:r>
            <w:r w:rsidRPr="005B766F">
              <w:rPr>
                <w:rFonts w:eastAsia="Times New Roman" w:cs="Times New Roman"/>
                <w:color w:val="000000"/>
                <w:kern w:val="0"/>
                <w:sz w:val="24"/>
                <w:szCs w:val="24"/>
                <w:lang w:eastAsia="ru-RU"/>
              </w:rPr>
              <w:tab/>
              <w:t>кальциевый</w:t>
            </w:r>
          </w:p>
          <w:p w14:paraId="6C955815" w14:textId="77777777" w:rsidR="005B766F" w:rsidRPr="005B766F" w:rsidRDefault="005B766F" w:rsidP="005B766F">
            <w:pPr>
              <w:spacing w:after="0"/>
              <w:rPr>
                <w:rFonts w:ascii="Courier New" w:eastAsia="Times New Roman" w:hAnsi="Courier New" w:cs="Courier New"/>
                <w:kern w:val="0"/>
                <w:sz w:val="24"/>
                <w:szCs w:val="24"/>
                <w:lang w:eastAsia="ru-RU"/>
              </w:rPr>
            </w:pPr>
            <w:r w:rsidRPr="005B766F">
              <w:rPr>
                <w:rFonts w:eastAsia="Times New Roman" w:cs="Times New Roman"/>
                <w:color w:val="000000"/>
                <w:kern w:val="0"/>
                <w:sz w:val="24"/>
                <w:szCs w:val="24"/>
                <w:lang w:eastAsia="ru-RU"/>
              </w:rPr>
              <w:t>кс</w:t>
            </w:r>
          </w:p>
        </w:tc>
        <w:tc>
          <w:tcPr>
            <w:tcW w:w="3576" w:type="dxa"/>
            <w:gridSpan w:val="2"/>
            <w:tcBorders>
              <w:top w:val="single" w:sz="4" w:space="0" w:color="auto"/>
              <w:left w:val="single" w:sz="4" w:space="0" w:color="auto"/>
              <w:bottom w:val="nil"/>
              <w:right w:val="single" w:sz="4" w:space="0" w:color="auto"/>
            </w:tcBorders>
            <w:vAlign w:val="bottom"/>
          </w:tcPr>
          <w:p w14:paraId="38611750" w14:textId="77777777" w:rsidR="005B766F" w:rsidRPr="005B766F" w:rsidRDefault="005B766F" w:rsidP="005B766F">
            <w:pPr>
              <w:spacing w:after="0"/>
              <w:rPr>
                <w:rFonts w:ascii="Courier New" w:eastAsia="Times New Roman" w:hAnsi="Courier New" w:cs="Courier New"/>
                <w:kern w:val="0"/>
                <w:sz w:val="24"/>
                <w:szCs w:val="24"/>
                <w:lang w:eastAsia="ru-RU"/>
              </w:rPr>
            </w:pPr>
            <w:r w:rsidRPr="005B766F">
              <w:rPr>
                <w:rFonts w:eastAsia="Times New Roman" w:cs="Times New Roman"/>
                <w:color w:val="000000"/>
                <w:kern w:val="0"/>
                <w:sz w:val="24"/>
                <w:szCs w:val="24"/>
                <w:lang w:eastAsia="ru-RU"/>
              </w:rPr>
              <w:t>Поло-и возраст специфические референсные значения</w:t>
            </w:r>
          </w:p>
        </w:tc>
      </w:tr>
      <w:tr w:rsidR="005B766F" w:rsidRPr="005B766F" w14:paraId="4300F745" w14:textId="77777777" w:rsidTr="0073199D">
        <w:trPr>
          <w:trHeight w:val="283"/>
        </w:trPr>
        <w:tc>
          <w:tcPr>
            <w:tcW w:w="9360" w:type="dxa"/>
            <w:gridSpan w:val="6"/>
            <w:tcBorders>
              <w:top w:val="single" w:sz="4" w:space="0" w:color="auto"/>
              <w:left w:val="single" w:sz="4" w:space="0" w:color="auto"/>
              <w:bottom w:val="nil"/>
              <w:right w:val="single" w:sz="4" w:space="0" w:color="auto"/>
            </w:tcBorders>
            <w:vAlign w:val="bottom"/>
          </w:tcPr>
          <w:p w14:paraId="3E183DA0" w14:textId="77777777" w:rsidR="005B766F" w:rsidRPr="005B766F" w:rsidRDefault="005B766F" w:rsidP="005B766F">
            <w:pPr>
              <w:spacing w:after="0"/>
              <w:rPr>
                <w:rFonts w:ascii="Courier New" w:eastAsia="Times New Roman" w:hAnsi="Courier New" w:cs="Courier New"/>
                <w:kern w:val="0"/>
                <w:sz w:val="24"/>
                <w:szCs w:val="24"/>
                <w:lang w:eastAsia="ru-RU"/>
              </w:rPr>
            </w:pPr>
            <w:r w:rsidRPr="005B766F">
              <w:rPr>
                <w:rFonts w:eastAsia="Times New Roman" w:cs="Times New Roman"/>
                <w:b/>
                <w:bCs/>
                <w:color w:val="000000"/>
                <w:kern w:val="0"/>
                <w:sz w:val="24"/>
                <w:szCs w:val="24"/>
                <w:lang w:eastAsia="ru-RU"/>
              </w:rPr>
              <w:t>Атеросклероз периферических артерий</w:t>
            </w:r>
          </w:p>
        </w:tc>
      </w:tr>
      <w:tr w:rsidR="005B766F" w:rsidRPr="005B766F" w14:paraId="048A454F" w14:textId="77777777" w:rsidTr="0073199D">
        <w:trPr>
          <w:trHeight w:val="288"/>
        </w:trPr>
        <w:tc>
          <w:tcPr>
            <w:tcW w:w="2400" w:type="dxa"/>
            <w:tcBorders>
              <w:top w:val="single" w:sz="4" w:space="0" w:color="auto"/>
              <w:left w:val="single" w:sz="4" w:space="0" w:color="auto"/>
              <w:bottom w:val="nil"/>
              <w:right w:val="nil"/>
            </w:tcBorders>
          </w:tcPr>
          <w:p w14:paraId="171AEB3C" w14:textId="77777777" w:rsidR="005B766F" w:rsidRPr="005B766F" w:rsidRDefault="005B766F" w:rsidP="005B766F">
            <w:pPr>
              <w:spacing w:after="0"/>
              <w:rPr>
                <w:rFonts w:ascii="Courier New" w:eastAsia="Times New Roman" w:hAnsi="Courier New" w:cs="Courier New"/>
                <w:kern w:val="0"/>
                <w:sz w:val="24"/>
                <w:szCs w:val="24"/>
                <w:lang w:eastAsia="ru-RU"/>
              </w:rPr>
            </w:pPr>
          </w:p>
        </w:tc>
        <w:tc>
          <w:tcPr>
            <w:tcW w:w="3384" w:type="dxa"/>
            <w:gridSpan w:val="3"/>
            <w:tcBorders>
              <w:top w:val="single" w:sz="4" w:space="0" w:color="auto"/>
              <w:left w:val="single" w:sz="4" w:space="0" w:color="auto"/>
              <w:bottom w:val="nil"/>
              <w:right w:val="nil"/>
            </w:tcBorders>
            <w:vAlign w:val="bottom"/>
          </w:tcPr>
          <w:p w14:paraId="7EBF161D" w14:textId="77777777" w:rsidR="005B766F" w:rsidRPr="005B766F" w:rsidRDefault="005B766F" w:rsidP="005B766F">
            <w:pPr>
              <w:spacing w:after="0"/>
              <w:rPr>
                <w:rFonts w:ascii="Courier New" w:eastAsia="Times New Roman" w:hAnsi="Courier New" w:cs="Courier New"/>
                <w:kern w:val="0"/>
                <w:sz w:val="24"/>
                <w:szCs w:val="24"/>
                <w:lang w:eastAsia="ru-RU"/>
              </w:rPr>
            </w:pPr>
            <w:r w:rsidRPr="005B766F">
              <w:rPr>
                <w:rFonts w:eastAsia="Times New Roman" w:cs="Times New Roman"/>
                <w:color w:val="000000"/>
                <w:kern w:val="0"/>
                <w:sz w:val="24"/>
                <w:szCs w:val="24"/>
                <w:lang w:eastAsia="ru-RU"/>
              </w:rPr>
              <w:t>ЛПИ</w:t>
            </w:r>
          </w:p>
        </w:tc>
        <w:tc>
          <w:tcPr>
            <w:tcW w:w="3576" w:type="dxa"/>
            <w:gridSpan w:val="2"/>
            <w:tcBorders>
              <w:top w:val="single" w:sz="4" w:space="0" w:color="auto"/>
              <w:left w:val="single" w:sz="4" w:space="0" w:color="auto"/>
              <w:bottom w:val="nil"/>
              <w:right w:val="single" w:sz="4" w:space="0" w:color="auto"/>
            </w:tcBorders>
            <w:vAlign w:val="bottom"/>
          </w:tcPr>
          <w:p w14:paraId="03C05505" w14:textId="77777777" w:rsidR="005B766F" w:rsidRPr="005B766F" w:rsidRDefault="005B766F" w:rsidP="005B766F">
            <w:pPr>
              <w:spacing w:after="0"/>
              <w:rPr>
                <w:rFonts w:ascii="Courier New" w:eastAsia="Times New Roman" w:hAnsi="Courier New" w:cs="Courier New"/>
                <w:kern w:val="0"/>
                <w:sz w:val="24"/>
                <w:szCs w:val="24"/>
                <w:lang w:eastAsia="ru-RU"/>
              </w:rPr>
            </w:pPr>
            <w:r w:rsidRPr="005B766F">
              <w:rPr>
                <w:rFonts w:eastAsia="Times New Roman" w:cs="Times New Roman"/>
                <w:color w:val="000000"/>
                <w:kern w:val="0"/>
                <w:sz w:val="24"/>
                <w:szCs w:val="24"/>
                <w:lang w:eastAsia="ru-RU"/>
              </w:rPr>
              <w:t>&lt;0.9</w:t>
            </w:r>
          </w:p>
        </w:tc>
      </w:tr>
      <w:tr w:rsidR="005B766F" w:rsidRPr="005B766F" w14:paraId="3A9E60A1" w14:textId="77777777" w:rsidTr="0073199D">
        <w:trPr>
          <w:trHeight w:val="283"/>
        </w:trPr>
        <w:tc>
          <w:tcPr>
            <w:tcW w:w="9360" w:type="dxa"/>
            <w:gridSpan w:val="6"/>
            <w:tcBorders>
              <w:top w:val="single" w:sz="4" w:space="0" w:color="auto"/>
              <w:left w:val="single" w:sz="4" w:space="0" w:color="auto"/>
              <w:bottom w:val="nil"/>
              <w:right w:val="single" w:sz="4" w:space="0" w:color="auto"/>
            </w:tcBorders>
            <w:vAlign w:val="bottom"/>
          </w:tcPr>
          <w:p w14:paraId="4791ACC8" w14:textId="77777777" w:rsidR="005B766F" w:rsidRPr="005B766F" w:rsidRDefault="005B766F" w:rsidP="005B766F">
            <w:pPr>
              <w:spacing w:after="0"/>
              <w:rPr>
                <w:rFonts w:ascii="Courier New" w:eastAsia="Times New Roman" w:hAnsi="Courier New" w:cs="Courier New"/>
                <w:kern w:val="0"/>
                <w:sz w:val="24"/>
                <w:szCs w:val="24"/>
                <w:lang w:eastAsia="ru-RU"/>
              </w:rPr>
            </w:pPr>
            <w:r w:rsidRPr="005B766F">
              <w:rPr>
                <w:rFonts w:eastAsia="Times New Roman" w:cs="Times New Roman"/>
                <w:b/>
                <w:bCs/>
                <w:color w:val="000000"/>
                <w:kern w:val="0"/>
                <w:sz w:val="24"/>
                <w:szCs w:val="24"/>
                <w:lang w:eastAsia="ru-RU"/>
              </w:rPr>
              <w:t>Поражение глаз</w:t>
            </w:r>
          </w:p>
        </w:tc>
      </w:tr>
      <w:tr w:rsidR="005B766F" w:rsidRPr="005B766F" w14:paraId="689314AD" w14:textId="77777777" w:rsidTr="0073199D">
        <w:trPr>
          <w:trHeight w:val="1666"/>
        </w:trPr>
        <w:tc>
          <w:tcPr>
            <w:tcW w:w="2400" w:type="dxa"/>
            <w:tcBorders>
              <w:top w:val="single" w:sz="4" w:space="0" w:color="auto"/>
              <w:left w:val="single" w:sz="4" w:space="0" w:color="auto"/>
              <w:bottom w:val="nil"/>
              <w:right w:val="nil"/>
            </w:tcBorders>
          </w:tcPr>
          <w:p w14:paraId="68EDD082" w14:textId="77777777" w:rsidR="005B766F" w:rsidRPr="005B766F" w:rsidRDefault="005B766F" w:rsidP="005B766F">
            <w:pPr>
              <w:spacing w:after="0"/>
              <w:rPr>
                <w:rFonts w:ascii="Courier New" w:eastAsia="Times New Roman" w:hAnsi="Courier New" w:cs="Courier New"/>
                <w:kern w:val="0"/>
                <w:sz w:val="24"/>
                <w:szCs w:val="24"/>
                <w:lang w:eastAsia="ru-RU"/>
              </w:rPr>
            </w:pPr>
            <w:r w:rsidRPr="005B766F">
              <w:rPr>
                <w:rFonts w:eastAsia="Times New Roman" w:cs="Times New Roman"/>
                <w:color w:val="000000"/>
                <w:kern w:val="0"/>
                <w:sz w:val="24"/>
                <w:szCs w:val="24"/>
                <w:lang w:eastAsia="ru-RU"/>
              </w:rPr>
              <w:t>Ретинопатия</w:t>
            </w:r>
          </w:p>
        </w:tc>
        <w:tc>
          <w:tcPr>
            <w:tcW w:w="3384" w:type="dxa"/>
            <w:gridSpan w:val="3"/>
            <w:tcBorders>
              <w:top w:val="single" w:sz="4" w:space="0" w:color="auto"/>
              <w:left w:val="single" w:sz="4" w:space="0" w:color="auto"/>
              <w:bottom w:val="nil"/>
              <w:right w:val="nil"/>
            </w:tcBorders>
          </w:tcPr>
          <w:p w14:paraId="06650B22" w14:textId="77777777" w:rsidR="005B766F" w:rsidRPr="005B766F" w:rsidRDefault="005B766F" w:rsidP="005B766F">
            <w:pPr>
              <w:tabs>
                <w:tab w:val="left" w:pos="1027"/>
                <w:tab w:val="left" w:pos="1584"/>
              </w:tabs>
              <w:spacing w:after="0"/>
              <w:rPr>
                <w:rFonts w:ascii="Courier New" w:eastAsia="Times New Roman" w:hAnsi="Courier New" w:cs="Courier New"/>
                <w:kern w:val="0"/>
                <w:sz w:val="24"/>
                <w:szCs w:val="24"/>
                <w:lang w:eastAsia="ru-RU"/>
              </w:rPr>
            </w:pPr>
            <w:r w:rsidRPr="005B766F">
              <w:rPr>
                <w:rFonts w:eastAsia="Times New Roman" w:cs="Times New Roman"/>
                <w:color w:val="000000"/>
                <w:kern w:val="0"/>
                <w:sz w:val="24"/>
                <w:szCs w:val="24"/>
                <w:lang w:eastAsia="ru-RU"/>
              </w:rPr>
              <w:t>Стадия</w:t>
            </w:r>
            <w:r w:rsidRPr="005B766F">
              <w:rPr>
                <w:rFonts w:eastAsia="Times New Roman" w:cs="Times New Roman"/>
                <w:color w:val="000000"/>
                <w:kern w:val="0"/>
                <w:sz w:val="24"/>
                <w:szCs w:val="24"/>
                <w:lang w:eastAsia="ru-RU"/>
              </w:rPr>
              <w:tab/>
              <w:t>по</w:t>
            </w:r>
            <w:r w:rsidRPr="005B766F">
              <w:rPr>
                <w:rFonts w:eastAsia="Times New Roman" w:cs="Times New Roman"/>
                <w:color w:val="000000"/>
                <w:kern w:val="0"/>
                <w:sz w:val="24"/>
                <w:szCs w:val="24"/>
                <w:lang w:eastAsia="ru-RU"/>
              </w:rPr>
              <w:tab/>
              <w:t>классификации</w:t>
            </w:r>
          </w:p>
        </w:tc>
        <w:tc>
          <w:tcPr>
            <w:tcW w:w="3576" w:type="dxa"/>
            <w:gridSpan w:val="2"/>
            <w:tcBorders>
              <w:top w:val="single" w:sz="4" w:space="0" w:color="auto"/>
              <w:left w:val="single" w:sz="4" w:space="0" w:color="auto"/>
              <w:bottom w:val="nil"/>
              <w:right w:val="single" w:sz="4" w:space="0" w:color="auto"/>
            </w:tcBorders>
            <w:vAlign w:val="bottom"/>
          </w:tcPr>
          <w:p w14:paraId="6D68CD26" w14:textId="77777777" w:rsidR="005B766F" w:rsidRPr="005B766F" w:rsidRDefault="005B766F" w:rsidP="005B766F">
            <w:pPr>
              <w:spacing w:after="0"/>
              <w:rPr>
                <w:rFonts w:ascii="Courier New" w:eastAsia="Times New Roman" w:hAnsi="Courier New" w:cs="Courier New"/>
                <w:kern w:val="0"/>
                <w:sz w:val="24"/>
                <w:szCs w:val="24"/>
                <w:lang w:eastAsia="ru-RU"/>
              </w:rPr>
            </w:pPr>
            <w:r w:rsidRPr="005B766F">
              <w:rPr>
                <w:rFonts w:eastAsia="Times New Roman" w:cs="Times New Roman"/>
                <w:color w:val="000000"/>
                <w:kern w:val="0"/>
                <w:sz w:val="24"/>
                <w:szCs w:val="24"/>
                <w:lang w:val="en-US"/>
              </w:rPr>
              <w:t>III</w:t>
            </w:r>
            <w:r w:rsidRPr="005B766F">
              <w:rPr>
                <w:rFonts w:eastAsia="Times New Roman" w:cs="Times New Roman"/>
                <w:color w:val="000000"/>
                <w:kern w:val="0"/>
                <w:sz w:val="24"/>
                <w:szCs w:val="24"/>
              </w:rPr>
              <w:t xml:space="preserve"> </w:t>
            </w:r>
            <w:r w:rsidRPr="005B766F">
              <w:rPr>
                <w:rFonts w:eastAsia="Times New Roman" w:cs="Times New Roman"/>
                <w:color w:val="000000"/>
                <w:kern w:val="0"/>
                <w:sz w:val="24"/>
                <w:szCs w:val="24"/>
                <w:lang w:eastAsia="ru-RU"/>
              </w:rPr>
              <w:t xml:space="preserve">степень (кровоизлияния, микроаневризмы, твердый экссудат и «ватные» экссудаты) и </w:t>
            </w:r>
            <w:r w:rsidRPr="005B766F">
              <w:rPr>
                <w:rFonts w:eastAsia="Times New Roman" w:cs="Times New Roman"/>
                <w:color w:val="000000"/>
                <w:kern w:val="0"/>
                <w:sz w:val="24"/>
                <w:szCs w:val="24"/>
                <w:lang w:val="en-US"/>
              </w:rPr>
              <w:t>IV</w:t>
            </w:r>
            <w:r w:rsidRPr="005B766F">
              <w:rPr>
                <w:rFonts w:eastAsia="Times New Roman" w:cs="Times New Roman"/>
                <w:color w:val="000000"/>
                <w:kern w:val="0"/>
                <w:sz w:val="24"/>
                <w:szCs w:val="24"/>
              </w:rPr>
              <w:t xml:space="preserve"> </w:t>
            </w:r>
            <w:r w:rsidRPr="005B766F">
              <w:rPr>
                <w:rFonts w:eastAsia="Times New Roman" w:cs="Times New Roman"/>
                <w:color w:val="000000"/>
                <w:kern w:val="0"/>
                <w:sz w:val="24"/>
                <w:szCs w:val="24"/>
                <w:lang w:eastAsia="ru-RU"/>
              </w:rPr>
              <w:t>степень (отек диска зрительного нерва и/или отек макулы)</w:t>
            </w:r>
          </w:p>
        </w:tc>
      </w:tr>
      <w:tr w:rsidR="005B766F" w:rsidRPr="005B766F" w14:paraId="1419D593" w14:textId="77777777" w:rsidTr="0073199D">
        <w:trPr>
          <w:trHeight w:val="571"/>
        </w:trPr>
        <w:tc>
          <w:tcPr>
            <w:tcW w:w="2400" w:type="dxa"/>
            <w:tcBorders>
              <w:top w:val="single" w:sz="4" w:space="0" w:color="auto"/>
              <w:left w:val="single" w:sz="4" w:space="0" w:color="auto"/>
              <w:bottom w:val="single" w:sz="4" w:space="0" w:color="auto"/>
              <w:right w:val="nil"/>
            </w:tcBorders>
            <w:vAlign w:val="bottom"/>
          </w:tcPr>
          <w:p w14:paraId="6D8D2403" w14:textId="77777777" w:rsidR="005B766F" w:rsidRPr="005B766F" w:rsidRDefault="005B766F" w:rsidP="005B766F">
            <w:pPr>
              <w:spacing w:after="0"/>
              <w:rPr>
                <w:rFonts w:ascii="Courier New" w:eastAsia="Times New Roman" w:hAnsi="Courier New" w:cs="Courier New"/>
                <w:kern w:val="0"/>
                <w:sz w:val="24"/>
                <w:szCs w:val="24"/>
                <w:lang w:eastAsia="ru-RU"/>
              </w:rPr>
            </w:pPr>
            <w:r w:rsidRPr="005B766F">
              <w:rPr>
                <w:rFonts w:eastAsia="Times New Roman" w:cs="Times New Roman"/>
                <w:color w:val="000000"/>
                <w:kern w:val="0"/>
                <w:sz w:val="24"/>
                <w:szCs w:val="24"/>
                <w:lang w:eastAsia="ru-RU"/>
              </w:rPr>
              <w:t>Микроваскулярные поражения</w:t>
            </w:r>
          </w:p>
        </w:tc>
        <w:tc>
          <w:tcPr>
            <w:tcW w:w="3384" w:type="dxa"/>
            <w:gridSpan w:val="3"/>
            <w:tcBorders>
              <w:top w:val="single" w:sz="4" w:space="0" w:color="auto"/>
              <w:left w:val="single" w:sz="4" w:space="0" w:color="auto"/>
              <w:bottom w:val="single" w:sz="4" w:space="0" w:color="auto"/>
              <w:right w:val="nil"/>
            </w:tcBorders>
          </w:tcPr>
          <w:p w14:paraId="5AAB67E5" w14:textId="77777777" w:rsidR="005B766F" w:rsidRPr="005B766F" w:rsidRDefault="005B766F" w:rsidP="005B766F">
            <w:pPr>
              <w:spacing w:after="0"/>
              <w:rPr>
                <w:rFonts w:ascii="Courier New" w:eastAsia="Times New Roman" w:hAnsi="Courier New" w:cs="Courier New"/>
                <w:kern w:val="0"/>
                <w:sz w:val="24"/>
                <w:szCs w:val="24"/>
                <w:lang w:eastAsia="ru-RU"/>
              </w:rPr>
            </w:pPr>
            <w:r w:rsidRPr="005B766F">
              <w:rPr>
                <w:rFonts w:eastAsia="Times New Roman" w:cs="Times New Roman"/>
                <w:color w:val="000000"/>
                <w:kern w:val="0"/>
                <w:sz w:val="24"/>
                <w:szCs w:val="24"/>
                <w:lang w:eastAsia="ru-RU"/>
              </w:rPr>
              <w:t>Отношение стенки к просвету</w:t>
            </w:r>
          </w:p>
        </w:tc>
        <w:tc>
          <w:tcPr>
            <w:tcW w:w="3576" w:type="dxa"/>
            <w:gridSpan w:val="2"/>
            <w:tcBorders>
              <w:top w:val="single" w:sz="4" w:space="0" w:color="auto"/>
              <w:left w:val="single" w:sz="4" w:space="0" w:color="auto"/>
              <w:bottom w:val="single" w:sz="4" w:space="0" w:color="auto"/>
              <w:right w:val="single" w:sz="4" w:space="0" w:color="auto"/>
            </w:tcBorders>
          </w:tcPr>
          <w:p w14:paraId="7CBDB01A" w14:textId="77777777" w:rsidR="005B766F" w:rsidRPr="005B766F" w:rsidRDefault="005B766F" w:rsidP="005B766F">
            <w:pPr>
              <w:spacing w:after="0"/>
              <w:rPr>
                <w:rFonts w:ascii="Courier New" w:eastAsia="Times New Roman" w:hAnsi="Courier New" w:cs="Courier New"/>
                <w:kern w:val="0"/>
                <w:sz w:val="24"/>
                <w:szCs w:val="24"/>
                <w:lang w:eastAsia="ru-RU"/>
              </w:rPr>
            </w:pPr>
            <w:r w:rsidRPr="005B766F">
              <w:rPr>
                <w:rFonts w:eastAsia="Times New Roman" w:cs="Times New Roman"/>
                <w:color w:val="000000"/>
                <w:kern w:val="0"/>
                <w:sz w:val="24"/>
                <w:szCs w:val="24"/>
                <w:lang w:eastAsia="ru-RU"/>
              </w:rPr>
              <w:t>Нет референсных значений</w:t>
            </w:r>
          </w:p>
        </w:tc>
      </w:tr>
    </w:tbl>
    <w:p w14:paraId="3E233342" w14:textId="77777777" w:rsidR="00AB5297" w:rsidRDefault="00AB5297" w:rsidP="00830E15">
      <w:pPr>
        <w:spacing w:after="0"/>
        <w:jc w:val="both"/>
        <w:rPr>
          <w:rFonts w:eastAsia="Times New Roman" w:cs="Times New Roman"/>
          <w:sz w:val="24"/>
          <w:szCs w:val="24"/>
        </w:rPr>
      </w:pPr>
    </w:p>
    <w:p w14:paraId="713A9901" w14:textId="77777777" w:rsidR="002E0EFB" w:rsidRDefault="0048105C" w:rsidP="002E0EFB">
      <w:pPr>
        <w:spacing w:after="0" w:line="360" w:lineRule="auto"/>
        <w:jc w:val="right"/>
        <w:rPr>
          <w:rFonts w:eastAsia="Times New Roman" w:cs="Times New Roman"/>
          <w:b/>
          <w:bCs/>
          <w:sz w:val="24"/>
          <w:szCs w:val="24"/>
        </w:rPr>
      </w:pPr>
      <w:r w:rsidRPr="0048105C">
        <w:rPr>
          <w:rFonts w:eastAsia="Times New Roman" w:cs="Times New Roman"/>
          <w:b/>
          <w:bCs/>
          <w:sz w:val="24"/>
          <w:szCs w:val="24"/>
        </w:rPr>
        <w:t>Таблица П9/</w:t>
      </w:r>
      <w:r w:rsidR="00FB33EA">
        <w:rPr>
          <w:rFonts w:eastAsia="Times New Roman" w:cs="Times New Roman"/>
          <w:b/>
          <w:bCs/>
          <w:sz w:val="24"/>
          <w:szCs w:val="24"/>
        </w:rPr>
        <w:t>А2</w:t>
      </w:r>
      <w:r w:rsidRPr="0048105C">
        <w:rPr>
          <w:rFonts w:eastAsia="Times New Roman" w:cs="Times New Roman"/>
          <w:b/>
          <w:bCs/>
          <w:sz w:val="24"/>
          <w:szCs w:val="24"/>
        </w:rPr>
        <w:t xml:space="preserve">. </w:t>
      </w:r>
    </w:p>
    <w:p w14:paraId="6772300F" w14:textId="24913212" w:rsidR="0048105C" w:rsidRPr="0048105C" w:rsidRDefault="0048105C" w:rsidP="0048105C">
      <w:pPr>
        <w:spacing w:after="0" w:line="360" w:lineRule="auto"/>
        <w:jc w:val="both"/>
        <w:rPr>
          <w:rFonts w:eastAsia="Times New Roman" w:cs="Times New Roman"/>
          <w:b/>
          <w:bCs/>
          <w:sz w:val="24"/>
          <w:szCs w:val="24"/>
        </w:rPr>
      </w:pPr>
      <w:r w:rsidRPr="0048105C">
        <w:rPr>
          <w:rFonts w:eastAsia="Times New Roman" w:cs="Times New Roman"/>
          <w:b/>
          <w:bCs/>
          <w:sz w:val="24"/>
          <w:szCs w:val="24"/>
        </w:rPr>
        <w:t xml:space="preserve">Эхокардиографические критерии гипертрофии левого желудочка, концентрического ремоделирования, размеров полости левого желудочка </w:t>
      </w:r>
    </w:p>
    <w:tbl>
      <w:tblPr>
        <w:tblW w:w="0" w:type="auto"/>
        <w:tblInd w:w="-5" w:type="dxa"/>
        <w:tblLayout w:type="fixed"/>
        <w:tblCellMar>
          <w:left w:w="0" w:type="dxa"/>
          <w:right w:w="0" w:type="dxa"/>
        </w:tblCellMar>
        <w:tblLook w:val="0000" w:firstRow="0" w:lastRow="0" w:firstColumn="0" w:lastColumn="0" w:noHBand="0" w:noVBand="0"/>
      </w:tblPr>
      <w:tblGrid>
        <w:gridCol w:w="3197"/>
        <w:gridCol w:w="3192"/>
        <w:gridCol w:w="2525"/>
      </w:tblGrid>
      <w:tr w:rsidR="0048105C" w:rsidRPr="0048105C" w14:paraId="7CE58B1D" w14:textId="77777777">
        <w:trPr>
          <w:trHeight w:val="293"/>
        </w:trPr>
        <w:tc>
          <w:tcPr>
            <w:tcW w:w="3197" w:type="dxa"/>
            <w:tcBorders>
              <w:top w:val="single" w:sz="4" w:space="0" w:color="auto"/>
              <w:left w:val="single" w:sz="4" w:space="0" w:color="auto"/>
              <w:bottom w:val="nil"/>
              <w:right w:val="nil"/>
            </w:tcBorders>
            <w:vAlign w:val="bottom"/>
          </w:tcPr>
          <w:p w14:paraId="22AA9B6C" w14:textId="77777777" w:rsidR="0048105C" w:rsidRPr="0048105C" w:rsidRDefault="0048105C" w:rsidP="0048105C">
            <w:pPr>
              <w:spacing w:after="0"/>
              <w:jc w:val="both"/>
              <w:rPr>
                <w:rFonts w:eastAsia="Times New Roman" w:cs="Times New Roman"/>
                <w:sz w:val="24"/>
                <w:szCs w:val="24"/>
              </w:rPr>
            </w:pPr>
            <w:r w:rsidRPr="0048105C">
              <w:rPr>
                <w:rFonts w:eastAsia="Times New Roman" w:cs="Times New Roman"/>
                <w:sz w:val="24"/>
                <w:szCs w:val="24"/>
              </w:rPr>
              <w:t>Параметр</w:t>
            </w:r>
          </w:p>
        </w:tc>
        <w:tc>
          <w:tcPr>
            <w:tcW w:w="3192" w:type="dxa"/>
            <w:tcBorders>
              <w:top w:val="single" w:sz="4" w:space="0" w:color="auto"/>
              <w:left w:val="single" w:sz="4" w:space="0" w:color="auto"/>
              <w:bottom w:val="nil"/>
              <w:right w:val="nil"/>
            </w:tcBorders>
            <w:vAlign w:val="bottom"/>
          </w:tcPr>
          <w:p w14:paraId="06194E43" w14:textId="77777777" w:rsidR="0048105C" w:rsidRPr="0048105C" w:rsidRDefault="0048105C" w:rsidP="0048105C">
            <w:pPr>
              <w:spacing w:after="0"/>
              <w:jc w:val="both"/>
              <w:rPr>
                <w:rFonts w:eastAsia="Times New Roman" w:cs="Times New Roman"/>
                <w:sz w:val="24"/>
                <w:szCs w:val="24"/>
              </w:rPr>
            </w:pPr>
            <w:r w:rsidRPr="0048105C">
              <w:rPr>
                <w:rFonts w:eastAsia="Times New Roman" w:cs="Times New Roman"/>
                <w:sz w:val="24"/>
                <w:szCs w:val="24"/>
              </w:rPr>
              <w:t>Расчет</w:t>
            </w:r>
          </w:p>
        </w:tc>
        <w:tc>
          <w:tcPr>
            <w:tcW w:w="2525" w:type="dxa"/>
            <w:tcBorders>
              <w:top w:val="single" w:sz="4" w:space="0" w:color="auto"/>
              <w:left w:val="single" w:sz="4" w:space="0" w:color="auto"/>
              <w:bottom w:val="nil"/>
              <w:right w:val="single" w:sz="4" w:space="0" w:color="auto"/>
            </w:tcBorders>
            <w:vAlign w:val="bottom"/>
          </w:tcPr>
          <w:p w14:paraId="13DC1385" w14:textId="77777777" w:rsidR="0048105C" w:rsidRPr="0048105C" w:rsidRDefault="0048105C" w:rsidP="0048105C">
            <w:pPr>
              <w:spacing w:after="0"/>
              <w:jc w:val="both"/>
              <w:rPr>
                <w:rFonts w:eastAsia="Times New Roman" w:cs="Times New Roman"/>
                <w:sz w:val="24"/>
                <w:szCs w:val="24"/>
              </w:rPr>
            </w:pPr>
            <w:r w:rsidRPr="0048105C">
              <w:rPr>
                <w:rFonts w:eastAsia="Times New Roman" w:cs="Times New Roman"/>
                <w:sz w:val="24"/>
                <w:szCs w:val="24"/>
              </w:rPr>
              <w:t>Пороговое значение</w:t>
            </w:r>
          </w:p>
        </w:tc>
      </w:tr>
      <w:tr w:rsidR="0048105C" w:rsidRPr="0048105C" w14:paraId="5AF9173D" w14:textId="77777777">
        <w:trPr>
          <w:trHeight w:val="562"/>
        </w:trPr>
        <w:tc>
          <w:tcPr>
            <w:tcW w:w="3197" w:type="dxa"/>
            <w:tcBorders>
              <w:top w:val="single" w:sz="4" w:space="0" w:color="auto"/>
              <w:left w:val="single" w:sz="4" w:space="0" w:color="auto"/>
              <w:bottom w:val="nil"/>
              <w:right w:val="nil"/>
            </w:tcBorders>
          </w:tcPr>
          <w:p w14:paraId="0D16C16A" w14:textId="77777777" w:rsidR="0048105C" w:rsidRPr="0048105C" w:rsidRDefault="0048105C" w:rsidP="0048105C">
            <w:pPr>
              <w:spacing w:after="0"/>
              <w:jc w:val="both"/>
              <w:rPr>
                <w:rFonts w:eastAsia="Times New Roman" w:cs="Times New Roman"/>
                <w:sz w:val="24"/>
                <w:szCs w:val="24"/>
              </w:rPr>
            </w:pPr>
            <w:r w:rsidRPr="0048105C">
              <w:rPr>
                <w:rFonts w:eastAsia="Times New Roman" w:cs="Times New Roman"/>
                <w:sz w:val="24"/>
                <w:szCs w:val="24"/>
              </w:rPr>
              <w:t>ГЛЖ</w:t>
            </w:r>
          </w:p>
        </w:tc>
        <w:tc>
          <w:tcPr>
            <w:tcW w:w="3192" w:type="dxa"/>
            <w:tcBorders>
              <w:top w:val="single" w:sz="4" w:space="0" w:color="auto"/>
              <w:left w:val="single" w:sz="4" w:space="0" w:color="auto"/>
              <w:bottom w:val="nil"/>
              <w:right w:val="nil"/>
            </w:tcBorders>
          </w:tcPr>
          <w:p w14:paraId="3D06A5F2" w14:textId="77777777" w:rsidR="0048105C" w:rsidRPr="0048105C" w:rsidRDefault="0048105C" w:rsidP="0048105C">
            <w:pPr>
              <w:spacing w:after="0"/>
              <w:jc w:val="both"/>
              <w:rPr>
                <w:rFonts w:eastAsia="Times New Roman" w:cs="Times New Roman"/>
                <w:sz w:val="24"/>
                <w:szCs w:val="24"/>
              </w:rPr>
            </w:pPr>
            <w:r w:rsidRPr="0048105C">
              <w:rPr>
                <w:rFonts w:eastAsia="Times New Roman" w:cs="Times New Roman"/>
                <w:sz w:val="24"/>
                <w:szCs w:val="24"/>
              </w:rPr>
              <w:t>Масса ЛЖ/рост</w:t>
            </w:r>
            <w:r w:rsidRPr="0048105C">
              <w:rPr>
                <w:rFonts w:eastAsia="Times New Roman" w:cs="Times New Roman"/>
                <w:sz w:val="24"/>
                <w:szCs w:val="24"/>
                <w:vertAlign w:val="superscript"/>
              </w:rPr>
              <w:t>2,7</w:t>
            </w:r>
            <w:r w:rsidRPr="0048105C">
              <w:rPr>
                <w:rFonts w:eastAsia="Times New Roman" w:cs="Times New Roman"/>
                <w:sz w:val="24"/>
                <w:szCs w:val="24"/>
              </w:rPr>
              <w:t xml:space="preserve"> (г/м</w:t>
            </w:r>
            <w:r w:rsidRPr="0048105C">
              <w:rPr>
                <w:rFonts w:eastAsia="Times New Roman" w:cs="Times New Roman"/>
                <w:sz w:val="24"/>
                <w:szCs w:val="24"/>
                <w:vertAlign w:val="superscript"/>
              </w:rPr>
              <w:t>2,7</w:t>
            </w:r>
            <w:r w:rsidRPr="0048105C">
              <w:rPr>
                <w:rFonts w:eastAsia="Times New Roman" w:cs="Times New Roman"/>
                <w:sz w:val="24"/>
                <w:szCs w:val="24"/>
              </w:rPr>
              <w:t>)</w:t>
            </w:r>
          </w:p>
        </w:tc>
        <w:tc>
          <w:tcPr>
            <w:tcW w:w="2525" w:type="dxa"/>
            <w:tcBorders>
              <w:top w:val="single" w:sz="4" w:space="0" w:color="auto"/>
              <w:left w:val="single" w:sz="4" w:space="0" w:color="auto"/>
              <w:bottom w:val="nil"/>
              <w:right w:val="single" w:sz="4" w:space="0" w:color="auto"/>
            </w:tcBorders>
            <w:vAlign w:val="bottom"/>
          </w:tcPr>
          <w:p w14:paraId="431915B9" w14:textId="77777777" w:rsidR="0048105C" w:rsidRPr="0048105C" w:rsidRDefault="0048105C" w:rsidP="0048105C">
            <w:pPr>
              <w:spacing w:after="0"/>
              <w:jc w:val="both"/>
              <w:rPr>
                <w:rFonts w:eastAsia="Times New Roman" w:cs="Times New Roman"/>
                <w:sz w:val="24"/>
                <w:szCs w:val="24"/>
              </w:rPr>
            </w:pPr>
            <w:r w:rsidRPr="0048105C">
              <w:rPr>
                <w:rFonts w:eastAsia="Times New Roman" w:cs="Times New Roman"/>
                <w:sz w:val="24"/>
                <w:szCs w:val="24"/>
              </w:rPr>
              <w:t>&gt;50 (мужчины)</w:t>
            </w:r>
          </w:p>
          <w:p w14:paraId="346327C2" w14:textId="77777777" w:rsidR="0048105C" w:rsidRPr="0048105C" w:rsidRDefault="0048105C" w:rsidP="0048105C">
            <w:pPr>
              <w:spacing w:after="0"/>
              <w:jc w:val="both"/>
              <w:rPr>
                <w:rFonts w:eastAsia="Times New Roman" w:cs="Times New Roman"/>
                <w:sz w:val="24"/>
                <w:szCs w:val="24"/>
              </w:rPr>
            </w:pPr>
            <w:r w:rsidRPr="0048105C">
              <w:rPr>
                <w:rFonts w:eastAsia="Times New Roman" w:cs="Times New Roman"/>
                <w:sz w:val="24"/>
                <w:szCs w:val="24"/>
              </w:rPr>
              <w:t>&gt;47 (женщины)</w:t>
            </w:r>
          </w:p>
        </w:tc>
      </w:tr>
      <w:tr w:rsidR="0048105C" w:rsidRPr="0048105C" w14:paraId="24BDC417" w14:textId="77777777">
        <w:trPr>
          <w:trHeight w:val="562"/>
        </w:trPr>
        <w:tc>
          <w:tcPr>
            <w:tcW w:w="3197" w:type="dxa"/>
            <w:tcBorders>
              <w:top w:val="single" w:sz="4" w:space="0" w:color="auto"/>
              <w:left w:val="single" w:sz="4" w:space="0" w:color="auto"/>
              <w:bottom w:val="nil"/>
              <w:right w:val="nil"/>
            </w:tcBorders>
          </w:tcPr>
          <w:p w14:paraId="20FD703B" w14:textId="77777777" w:rsidR="0048105C" w:rsidRPr="0048105C" w:rsidRDefault="0048105C" w:rsidP="0048105C">
            <w:pPr>
              <w:spacing w:after="0"/>
              <w:jc w:val="both"/>
              <w:rPr>
                <w:rFonts w:eastAsia="Times New Roman" w:cs="Times New Roman"/>
                <w:sz w:val="24"/>
                <w:szCs w:val="24"/>
              </w:rPr>
            </w:pPr>
            <w:r w:rsidRPr="0048105C">
              <w:rPr>
                <w:rFonts w:eastAsia="Times New Roman" w:cs="Times New Roman"/>
                <w:sz w:val="24"/>
                <w:szCs w:val="24"/>
              </w:rPr>
              <w:t>ГЛЖ</w:t>
            </w:r>
          </w:p>
        </w:tc>
        <w:tc>
          <w:tcPr>
            <w:tcW w:w="3192" w:type="dxa"/>
            <w:tcBorders>
              <w:top w:val="single" w:sz="4" w:space="0" w:color="auto"/>
              <w:left w:val="single" w:sz="4" w:space="0" w:color="auto"/>
              <w:bottom w:val="nil"/>
              <w:right w:val="nil"/>
            </w:tcBorders>
          </w:tcPr>
          <w:p w14:paraId="35C73E95" w14:textId="77777777" w:rsidR="0048105C" w:rsidRPr="0048105C" w:rsidRDefault="0048105C" w:rsidP="0048105C">
            <w:pPr>
              <w:spacing w:after="0"/>
              <w:jc w:val="both"/>
              <w:rPr>
                <w:rFonts w:eastAsia="Times New Roman" w:cs="Times New Roman"/>
                <w:sz w:val="24"/>
                <w:szCs w:val="24"/>
              </w:rPr>
            </w:pPr>
            <w:r w:rsidRPr="0048105C">
              <w:rPr>
                <w:rFonts w:eastAsia="Times New Roman" w:cs="Times New Roman"/>
                <w:sz w:val="24"/>
                <w:szCs w:val="24"/>
              </w:rPr>
              <w:t>Масса ЛЖ/ППТ (г/м</w:t>
            </w:r>
            <w:r w:rsidRPr="0048105C">
              <w:rPr>
                <w:rFonts w:eastAsia="Times New Roman" w:cs="Times New Roman"/>
                <w:sz w:val="24"/>
                <w:szCs w:val="24"/>
                <w:vertAlign w:val="superscript"/>
              </w:rPr>
              <w:t>2</w:t>
            </w:r>
            <w:r w:rsidRPr="0048105C">
              <w:rPr>
                <w:rFonts w:eastAsia="Times New Roman" w:cs="Times New Roman"/>
                <w:sz w:val="24"/>
                <w:szCs w:val="24"/>
              </w:rPr>
              <w:t>)</w:t>
            </w:r>
          </w:p>
        </w:tc>
        <w:tc>
          <w:tcPr>
            <w:tcW w:w="2525" w:type="dxa"/>
            <w:tcBorders>
              <w:top w:val="single" w:sz="4" w:space="0" w:color="auto"/>
              <w:left w:val="single" w:sz="4" w:space="0" w:color="auto"/>
              <w:bottom w:val="nil"/>
              <w:right w:val="single" w:sz="4" w:space="0" w:color="auto"/>
            </w:tcBorders>
            <w:vAlign w:val="bottom"/>
          </w:tcPr>
          <w:p w14:paraId="37B8A7FB" w14:textId="77777777" w:rsidR="0048105C" w:rsidRPr="0048105C" w:rsidRDefault="0048105C" w:rsidP="0048105C">
            <w:pPr>
              <w:spacing w:after="0"/>
              <w:jc w:val="both"/>
              <w:rPr>
                <w:rFonts w:eastAsia="Times New Roman" w:cs="Times New Roman"/>
                <w:sz w:val="24"/>
                <w:szCs w:val="24"/>
              </w:rPr>
            </w:pPr>
            <w:r w:rsidRPr="0048105C">
              <w:rPr>
                <w:rFonts w:eastAsia="Times New Roman" w:cs="Times New Roman"/>
                <w:sz w:val="24"/>
                <w:szCs w:val="24"/>
              </w:rPr>
              <w:t>&gt;115 (мужчины)</w:t>
            </w:r>
          </w:p>
          <w:p w14:paraId="42111775" w14:textId="77777777" w:rsidR="0048105C" w:rsidRPr="0048105C" w:rsidRDefault="0048105C" w:rsidP="0048105C">
            <w:pPr>
              <w:spacing w:after="0"/>
              <w:jc w:val="both"/>
              <w:rPr>
                <w:rFonts w:eastAsia="Times New Roman" w:cs="Times New Roman"/>
                <w:sz w:val="24"/>
                <w:szCs w:val="24"/>
              </w:rPr>
            </w:pPr>
            <w:r w:rsidRPr="0048105C">
              <w:rPr>
                <w:rFonts w:eastAsia="Times New Roman" w:cs="Times New Roman"/>
                <w:sz w:val="24"/>
                <w:szCs w:val="24"/>
              </w:rPr>
              <w:t>&gt;95 (женщины)</w:t>
            </w:r>
          </w:p>
        </w:tc>
      </w:tr>
      <w:tr w:rsidR="0048105C" w:rsidRPr="0048105C" w14:paraId="1271A8B5" w14:textId="77777777">
        <w:trPr>
          <w:trHeight w:val="835"/>
        </w:trPr>
        <w:tc>
          <w:tcPr>
            <w:tcW w:w="3197" w:type="dxa"/>
            <w:tcBorders>
              <w:top w:val="single" w:sz="4" w:space="0" w:color="auto"/>
              <w:left w:val="single" w:sz="4" w:space="0" w:color="auto"/>
              <w:bottom w:val="nil"/>
              <w:right w:val="nil"/>
            </w:tcBorders>
          </w:tcPr>
          <w:p w14:paraId="1F185F01" w14:textId="77777777" w:rsidR="0048105C" w:rsidRPr="0048105C" w:rsidRDefault="0048105C" w:rsidP="0048105C">
            <w:pPr>
              <w:spacing w:after="0"/>
              <w:jc w:val="both"/>
              <w:rPr>
                <w:rFonts w:eastAsia="Times New Roman" w:cs="Times New Roman"/>
                <w:sz w:val="24"/>
                <w:szCs w:val="24"/>
              </w:rPr>
            </w:pPr>
            <w:r w:rsidRPr="0048105C">
              <w:rPr>
                <w:rFonts w:eastAsia="Times New Roman" w:cs="Times New Roman"/>
                <w:sz w:val="24"/>
                <w:szCs w:val="24"/>
              </w:rPr>
              <w:t>Концентрическое</w:t>
            </w:r>
          </w:p>
          <w:p w14:paraId="05016922" w14:textId="77777777" w:rsidR="0048105C" w:rsidRPr="0048105C" w:rsidRDefault="0048105C" w:rsidP="0048105C">
            <w:pPr>
              <w:spacing w:after="0"/>
              <w:jc w:val="both"/>
              <w:rPr>
                <w:rFonts w:eastAsia="Times New Roman" w:cs="Times New Roman"/>
                <w:sz w:val="24"/>
                <w:szCs w:val="24"/>
              </w:rPr>
            </w:pPr>
            <w:r w:rsidRPr="0048105C">
              <w:rPr>
                <w:rFonts w:eastAsia="Times New Roman" w:cs="Times New Roman"/>
                <w:sz w:val="24"/>
                <w:szCs w:val="24"/>
              </w:rPr>
              <w:t>ремоделирование ЛЖ</w:t>
            </w:r>
          </w:p>
        </w:tc>
        <w:tc>
          <w:tcPr>
            <w:tcW w:w="3192" w:type="dxa"/>
            <w:tcBorders>
              <w:top w:val="single" w:sz="4" w:space="0" w:color="auto"/>
              <w:left w:val="single" w:sz="4" w:space="0" w:color="auto"/>
              <w:bottom w:val="nil"/>
              <w:right w:val="nil"/>
            </w:tcBorders>
          </w:tcPr>
          <w:p w14:paraId="222AE092" w14:textId="77777777" w:rsidR="0048105C" w:rsidRPr="0048105C" w:rsidRDefault="0048105C" w:rsidP="0048105C">
            <w:pPr>
              <w:spacing w:after="0"/>
              <w:jc w:val="both"/>
              <w:rPr>
                <w:rFonts w:eastAsia="Times New Roman" w:cs="Times New Roman"/>
                <w:sz w:val="24"/>
                <w:szCs w:val="24"/>
              </w:rPr>
            </w:pPr>
            <w:r w:rsidRPr="0048105C">
              <w:rPr>
                <w:rFonts w:eastAsia="Times New Roman" w:cs="Times New Roman"/>
                <w:sz w:val="24"/>
                <w:szCs w:val="24"/>
              </w:rPr>
              <w:t>ОТС</w:t>
            </w:r>
          </w:p>
        </w:tc>
        <w:tc>
          <w:tcPr>
            <w:tcW w:w="2525" w:type="dxa"/>
            <w:tcBorders>
              <w:top w:val="single" w:sz="4" w:space="0" w:color="auto"/>
              <w:left w:val="single" w:sz="4" w:space="0" w:color="auto"/>
              <w:bottom w:val="nil"/>
              <w:right w:val="single" w:sz="4" w:space="0" w:color="auto"/>
            </w:tcBorders>
            <w:vAlign w:val="bottom"/>
          </w:tcPr>
          <w:p w14:paraId="61F602C0" w14:textId="77777777" w:rsidR="0048105C" w:rsidRPr="0048105C" w:rsidRDefault="0048105C" w:rsidP="0048105C">
            <w:pPr>
              <w:spacing w:after="0"/>
              <w:jc w:val="both"/>
              <w:rPr>
                <w:rFonts w:eastAsia="Times New Roman" w:cs="Times New Roman"/>
                <w:sz w:val="24"/>
                <w:szCs w:val="24"/>
              </w:rPr>
            </w:pPr>
            <w:r w:rsidRPr="0048105C">
              <w:rPr>
                <w:rFonts w:eastAsia="Times New Roman" w:cs="Times New Roman"/>
                <w:sz w:val="24"/>
                <w:szCs w:val="24"/>
              </w:rPr>
              <w:t>≥0,43</w:t>
            </w:r>
            <w:r w:rsidRPr="0048105C">
              <w:rPr>
                <w:rFonts w:eastAsia="Times New Roman" w:cs="Times New Roman"/>
                <w:sz w:val="24"/>
                <w:szCs w:val="24"/>
              </w:rPr>
              <w:tab/>
              <w:t>(при</w:t>
            </w:r>
          </w:p>
          <w:p w14:paraId="35D4650E" w14:textId="77777777" w:rsidR="0048105C" w:rsidRPr="0048105C" w:rsidRDefault="0048105C" w:rsidP="0048105C">
            <w:pPr>
              <w:spacing w:after="0"/>
              <w:jc w:val="both"/>
              <w:rPr>
                <w:rFonts w:eastAsia="Times New Roman" w:cs="Times New Roman"/>
                <w:sz w:val="24"/>
                <w:szCs w:val="24"/>
              </w:rPr>
            </w:pPr>
            <w:r w:rsidRPr="0048105C">
              <w:rPr>
                <w:rFonts w:eastAsia="Times New Roman" w:cs="Times New Roman"/>
                <w:sz w:val="24"/>
                <w:szCs w:val="24"/>
              </w:rPr>
              <w:t>нормальной</w:t>
            </w:r>
            <w:r w:rsidRPr="0048105C">
              <w:rPr>
                <w:rFonts w:eastAsia="Times New Roman" w:cs="Times New Roman"/>
                <w:sz w:val="24"/>
                <w:szCs w:val="24"/>
              </w:rPr>
              <w:tab/>
              <w:t>массе</w:t>
            </w:r>
          </w:p>
          <w:p w14:paraId="303593BE" w14:textId="77777777" w:rsidR="0048105C" w:rsidRPr="0048105C" w:rsidRDefault="0048105C" w:rsidP="0048105C">
            <w:pPr>
              <w:spacing w:after="0"/>
              <w:jc w:val="both"/>
              <w:rPr>
                <w:rFonts w:eastAsia="Times New Roman" w:cs="Times New Roman"/>
                <w:sz w:val="24"/>
                <w:szCs w:val="24"/>
              </w:rPr>
            </w:pPr>
            <w:r w:rsidRPr="0048105C">
              <w:rPr>
                <w:rFonts w:eastAsia="Times New Roman" w:cs="Times New Roman"/>
                <w:sz w:val="24"/>
                <w:szCs w:val="24"/>
              </w:rPr>
              <w:t>миокарда ЛЖ)</w:t>
            </w:r>
          </w:p>
        </w:tc>
      </w:tr>
      <w:tr w:rsidR="0048105C" w:rsidRPr="0048105C" w14:paraId="22DF7908" w14:textId="77777777">
        <w:trPr>
          <w:trHeight w:val="566"/>
        </w:trPr>
        <w:tc>
          <w:tcPr>
            <w:tcW w:w="3197" w:type="dxa"/>
            <w:tcBorders>
              <w:top w:val="single" w:sz="4" w:space="0" w:color="auto"/>
              <w:left w:val="single" w:sz="4" w:space="0" w:color="auto"/>
              <w:bottom w:val="single" w:sz="4" w:space="0" w:color="auto"/>
              <w:right w:val="nil"/>
            </w:tcBorders>
          </w:tcPr>
          <w:p w14:paraId="2D61E293" w14:textId="77777777" w:rsidR="0048105C" w:rsidRPr="0048105C" w:rsidRDefault="0048105C" w:rsidP="0048105C">
            <w:pPr>
              <w:spacing w:after="0"/>
              <w:jc w:val="both"/>
              <w:rPr>
                <w:rFonts w:eastAsia="Times New Roman" w:cs="Times New Roman"/>
                <w:sz w:val="24"/>
                <w:szCs w:val="24"/>
              </w:rPr>
            </w:pPr>
            <w:r w:rsidRPr="0048105C">
              <w:rPr>
                <w:rFonts w:eastAsia="Times New Roman" w:cs="Times New Roman"/>
                <w:sz w:val="24"/>
                <w:szCs w:val="24"/>
              </w:rPr>
              <w:t>Увеличение размеров ЛЖ</w:t>
            </w:r>
          </w:p>
        </w:tc>
        <w:tc>
          <w:tcPr>
            <w:tcW w:w="3192" w:type="dxa"/>
            <w:tcBorders>
              <w:top w:val="single" w:sz="4" w:space="0" w:color="auto"/>
              <w:left w:val="single" w:sz="4" w:space="0" w:color="auto"/>
              <w:bottom w:val="single" w:sz="4" w:space="0" w:color="auto"/>
              <w:right w:val="nil"/>
            </w:tcBorders>
          </w:tcPr>
          <w:p w14:paraId="1F3DEB6F" w14:textId="77777777" w:rsidR="0048105C" w:rsidRPr="0048105C" w:rsidRDefault="0048105C" w:rsidP="0048105C">
            <w:pPr>
              <w:spacing w:after="0"/>
              <w:jc w:val="both"/>
              <w:rPr>
                <w:rFonts w:eastAsia="Times New Roman" w:cs="Times New Roman"/>
                <w:sz w:val="24"/>
                <w:szCs w:val="24"/>
              </w:rPr>
            </w:pPr>
            <w:r w:rsidRPr="0048105C">
              <w:rPr>
                <w:rFonts w:eastAsia="Times New Roman" w:cs="Times New Roman"/>
                <w:sz w:val="24"/>
                <w:szCs w:val="24"/>
              </w:rPr>
              <w:t>КДД ЛЖ/рост (см/м)</w:t>
            </w:r>
          </w:p>
        </w:tc>
        <w:tc>
          <w:tcPr>
            <w:tcW w:w="2525" w:type="dxa"/>
            <w:tcBorders>
              <w:top w:val="single" w:sz="4" w:space="0" w:color="auto"/>
              <w:left w:val="single" w:sz="4" w:space="0" w:color="auto"/>
              <w:bottom w:val="single" w:sz="4" w:space="0" w:color="auto"/>
              <w:right w:val="single" w:sz="4" w:space="0" w:color="auto"/>
            </w:tcBorders>
            <w:vAlign w:val="bottom"/>
          </w:tcPr>
          <w:p w14:paraId="257DC67C" w14:textId="77777777" w:rsidR="0048105C" w:rsidRPr="0048105C" w:rsidRDefault="0048105C" w:rsidP="0048105C">
            <w:pPr>
              <w:spacing w:after="0"/>
              <w:jc w:val="both"/>
              <w:rPr>
                <w:rFonts w:eastAsia="Times New Roman" w:cs="Times New Roman"/>
                <w:sz w:val="24"/>
                <w:szCs w:val="24"/>
              </w:rPr>
            </w:pPr>
            <w:r w:rsidRPr="0048105C">
              <w:rPr>
                <w:rFonts w:eastAsia="Times New Roman" w:cs="Times New Roman"/>
                <w:sz w:val="24"/>
                <w:szCs w:val="24"/>
              </w:rPr>
              <w:t>&gt;3,4 (мужчины)</w:t>
            </w:r>
          </w:p>
          <w:p w14:paraId="65344F9F" w14:textId="77777777" w:rsidR="0048105C" w:rsidRPr="0048105C" w:rsidRDefault="0048105C" w:rsidP="0048105C">
            <w:pPr>
              <w:spacing w:after="0"/>
              <w:jc w:val="both"/>
              <w:rPr>
                <w:rFonts w:eastAsia="Times New Roman" w:cs="Times New Roman"/>
                <w:sz w:val="24"/>
                <w:szCs w:val="24"/>
              </w:rPr>
            </w:pPr>
            <w:r w:rsidRPr="0048105C">
              <w:rPr>
                <w:rFonts w:eastAsia="Times New Roman" w:cs="Times New Roman"/>
                <w:sz w:val="24"/>
                <w:szCs w:val="24"/>
              </w:rPr>
              <w:t>&gt;3,3 (женщины)</w:t>
            </w:r>
          </w:p>
        </w:tc>
      </w:tr>
    </w:tbl>
    <w:p w14:paraId="7232DB74" w14:textId="77777777" w:rsidR="00AB5297" w:rsidRDefault="00AB5297" w:rsidP="0048105C">
      <w:pPr>
        <w:spacing w:after="0"/>
        <w:jc w:val="both"/>
        <w:rPr>
          <w:rFonts w:eastAsia="Times New Roman" w:cs="Times New Roman"/>
          <w:sz w:val="24"/>
          <w:szCs w:val="24"/>
        </w:rPr>
      </w:pPr>
    </w:p>
    <w:p w14:paraId="3120370C" w14:textId="77777777" w:rsidR="002E0EFB" w:rsidRDefault="0048105C" w:rsidP="002E0EFB">
      <w:pPr>
        <w:spacing w:after="0" w:line="360" w:lineRule="auto"/>
        <w:jc w:val="right"/>
        <w:rPr>
          <w:rFonts w:eastAsia="Times New Roman" w:cs="Times New Roman"/>
          <w:b/>
          <w:bCs/>
          <w:sz w:val="24"/>
          <w:szCs w:val="24"/>
        </w:rPr>
      </w:pPr>
      <w:r w:rsidRPr="0048105C">
        <w:rPr>
          <w:rFonts w:eastAsia="Times New Roman" w:cs="Times New Roman"/>
          <w:b/>
          <w:bCs/>
          <w:sz w:val="24"/>
          <w:szCs w:val="24"/>
        </w:rPr>
        <w:t>Таблица П10/</w:t>
      </w:r>
      <w:r w:rsidR="00FB33EA">
        <w:rPr>
          <w:rFonts w:eastAsia="Times New Roman" w:cs="Times New Roman"/>
          <w:b/>
          <w:bCs/>
          <w:sz w:val="24"/>
          <w:szCs w:val="24"/>
        </w:rPr>
        <w:t>А2</w:t>
      </w:r>
      <w:r w:rsidRPr="0048105C">
        <w:rPr>
          <w:rFonts w:eastAsia="Times New Roman" w:cs="Times New Roman"/>
          <w:b/>
          <w:bCs/>
          <w:sz w:val="24"/>
          <w:szCs w:val="24"/>
        </w:rPr>
        <w:t xml:space="preserve">. </w:t>
      </w:r>
    </w:p>
    <w:p w14:paraId="2419F025" w14:textId="700CAB9A" w:rsidR="0048105C" w:rsidRPr="0048105C" w:rsidRDefault="0048105C" w:rsidP="0048105C">
      <w:pPr>
        <w:spacing w:after="0" w:line="360" w:lineRule="auto"/>
        <w:jc w:val="both"/>
        <w:rPr>
          <w:rFonts w:eastAsia="Times New Roman" w:cs="Times New Roman"/>
          <w:b/>
          <w:bCs/>
          <w:sz w:val="24"/>
          <w:szCs w:val="24"/>
        </w:rPr>
      </w:pPr>
      <w:r w:rsidRPr="0048105C">
        <w:rPr>
          <w:rFonts w:eastAsia="Times New Roman" w:cs="Times New Roman"/>
          <w:b/>
          <w:bCs/>
          <w:sz w:val="24"/>
          <w:szCs w:val="24"/>
        </w:rPr>
        <w:t xml:space="preserve">Клинические показания для домашнего (ДМАД)* и суточного мониторирования АД (СМАД) </w:t>
      </w:r>
    </w:p>
    <w:tbl>
      <w:tblPr>
        <w:tblW w:w="0" w:type="auto"/>
        <w:tblInd w:w="-5" w:type="dxa"/>
        <w:tblLayout w:type="fixed"/>
        <w:tblCellMar>
          <w:left w:w="0" w:type="dxa"/>
          <w:right w:w="0" w:type="dxa"/>
        </w:tblCellMar>
        <w:tblLook w:val="0000" w:firstRow="0" w:lastRow="0" w:firstColumn="0" w:lastColumn="0" w:noHBand="0" w:noVBand="0"/>
      </w:tblPr>
      <w:tblGrid>
        <w:gridCol w:w="8947"/>
      </w:tblGrid>
      <w:tr w:rsidR="0048105C" w:rsidRPr="00FE247E" w14:paraId="60455A46" w14:textId="77777777">
        <w:trPr>
          <w:trHeight w:val="1670"/>
        </w:trPr>
        <w:tc>
          <w:tcPr>
            <w:tcW w:w="8947" w:type="dxa"/>
            <w:tcBorders>
              <w:top w:val="single" w:sz="4" w:space="0" w:color="auto"/>
              <w:left w:val="single" w:sz="4" w:space="0" w:color="auto"/>
              <w:bottom w:val="nil"/>
              <w:right w:val="single" w:sz="4" w:space="0" w:color="auto"/>
            </w:tcBorders>
            <w:vAlign w:val="bottom"/>
          </w:tcPr>
          <w:p w14:paraId="121E90CA" w14:textId="77777777" w:rsidR="0048105C" w:rsidRPr="00FE247E" w:rsidRDefault="0048105C" w:rsidP="0048105C">
            <w:pPr>
              <w:spacing w:after="0"/>
              <w:jc w:val="both"/>
              <w:rPr>
                <w:rFonts w:eastAsia="Times New Roman" w:cs="Times New Roman"/>
                <w:sz w:val="24"/>
                <w:szCs w:val="24"/>
              </w:rPr>
            </w:pPr>
            <w:r w:rsidRPr="00FE247E">
              <w:rPr>
                <w:rFonts w:eastAsia="Times New Roman" w:cs="Times New Roman"/>
                <w:sz w:val="24"/>
                <w:szCs w:val="24"/>
              </w:rPr>
              <w:t>Состояния, при которых наиболее часто встречается изолированная офисная АГ, в том числе:</w:t>
            </w:r>
          </w:p>
          <w:p w14:paraId="39A54497" w14:textId="77777777" w:rsidR="0048105C" w:rsidRPr="00FE247E" w:rsidRDefault="0048105C" w:rsidP="00424F51">
            <w:pPr>
              <w:numPr>
                <w:ilvl w:val="0"/>
                <w:numId w:val="49"/>
              </w:numPr>
              <w:spacing w:after="0"/>
              <w:jc w:val="both"/>
              <w:rPr>
                <w:rFonts w:eastAsia="Times New Roman" w:cs="Times New Roman"/>
                <w:sz w:val="24"/>
                <w:szCs w:val="24"/>
              </w:rPr>
            </w:pPr>
            <w:r w:rsidRPr="00FE247E">
              <w:rPr>
                <w:rFonts w:eastAsia="Times New Roman" w:cs="Times New Roman"/>
                <w:sz w:val="24"/>
                <w:szCs w:val="24"/>
              </w:rPr>
              <w:t>Артериальная гипертензия 1-й степени по данным АД, измеренного в</w:t>
            </w:r>
          </w:p>
          <w:p w14:paraId="144518F8" w14:textId="77777777" w:rsidR="0048105C" w:rsidRPr="00FE247E" w:rsidRDefault="0048105C" w:rsidP="0048105C">
            <w:pPr>
              <w:spacing w:after="0"/>
              <w:jc w:val="both"/>
              <w:rPr>
                <w:rFonts w:eastAsia="Times New Roman" w:cs="Times New Roman"/>
                <w:sz w:val="24"/>
                <w:szCs w:val="24"/>
              </w:rPr>
            </w:pPr>
            <w:r w:rsidRPr="00FE247E">
              <w:rPr>
                <w:rFonts w:eastAsia="Times New Roman" w:cs="Times New Roman"/>
                <w:sz w:val="24"/>
                <w:szCs w:val="24"/>
              </w:rPr>
              <w:t>медицинском учреждении</w:t>
            </w:r>
          </w:p>
          <w:p w14:paraId="39DB99D7" w14:textId="77777777" w:rsidR="0048105C" w:rsidRPr="00FE247E" w:rsidRDefault="0048105C" w:rsidP="00424F51">
            <w:pPr>
              <w:numPr>
                <w:ilvl w:val="0"/>
                <w:numId w:val="49"/>
              </w:numPr>
              <w:spacing w:after="0"/>
              <w:jc w:val="both"/>
              <w:rPr>
                <w:rFonts w:eastAsia="Times New Roman" w:cs="Times New Roman"/>
                <w:sz w:val="24"/>
                <w:szCs w:val="24"/>
              </w:rPr>
            </w:pPr>
            <w:r w:rsidRPr="00FE247E">
              <w:rPr>
                <w:rFonts w:eastAsia="Times New Roman" w:cs="Times New Roman"/>
                <w:sz w:val="24"/>
                <w:szCs w:val="24"/>
              </w:rPr>
              <w:t>Выраженное повышение АД, измеренного в медицинском учреждении, без</w:t>
            </w:r>
          </w:p>
          <w:p w14:paraId="38A9AC57" w14:textId="77777777" w:rsidR="0048105C" w:rsidRPr="00FE247E" w:rsidRDefault="0048105C" w:rsidP="0048105C">
            <w:pPr>
              <w:spacing w:after="0"/>
              <w:jc w:val="both"/>
              <w:rPr>
                <w:rFonts w:eastAsia="Times New Roman" w:cs="Times New Roman"/>
                <w:sz w:val="24"/>
                <w:szCs w:val="24"/>
              </w:rPr>
            </w:pPr>
            <w:r w:rsidRPr="00FE247E">
              <w:rPr>
                <w:rFonts w:eastAsia="Times New Roman" w:cs="Times New Roman"/>
                <w:sz w:val="24"/>
                <w:szCs w:val="24"/>
              </w:rPr>
              <w:t>признаков ПОМ</w:t>
            </w:r>
          </w:p>
        </w:tc>
      </w:tr>
      <w:tr w:rsidR="0048105C" w:rsidRPr="00FE247E" w14:paraId="30440C4F" w14:textId="77777777">
        <w:trPr>
          <w:trHeight w:val="1416"/>
        </w:trPr>
        <w:tc>
          <w:tcPr>
            <w:tcW w:w="8947" w:type="dxa"/>
            <w:tcBorders>
              <w:top w:val="single" w:sz="4" w:space="0" w:color="auto"/>
              <w:left w:val="single" w:sz="4" w:space="0" w:color="auto"/>
              <w:bottom w:val="nil"/>
              <w:right w:val="single" w:sz="4" w:space="0" w:color="auto"/>
            </w:tcBorders>
            <w:vAlign w:val="bottom"/>
          </w:tcPr>
          <w:p w14:paraId="5FA51302" w14:textId="77777777" w:rsidR="0048105C" w:rsidRPr="00FE247E" w:rsidRDefault="0048105C" w:rsidP="0048105C">
            <w:pPr>
              <w:spacing w:after="0"/>
              <w:jc w:val="both"/>
              <w:rPr>
                <w:rFonts w:eastAsia="Times New Roman" w:cs="Times New Roman"/>
                <w:sz w:val="24"/>
                <w:szCs w:val="24"/>
              </w:rPr>
            </w:pPr>
            <w:r w:rsidRPr="00FE247E">
              <w:rPr>
                <w:rFonts w:eastAsia="Times New Roman" w:cs="Times New Roman"/>
                <w:sz w:val="24"/>
                <w:szCs w:val="24"/>
              </w:rPr>
              <w:t>Состояния, при которых наиболее часто встречается изолированная амбулаторная АГ, в том числе:</w:t>
            </w:r>
          </w:p>
          <w:p w14:paraId="5AD71CED" w14:textId="77777777" w:rsidR="0048105C" w:rsidRPr="00FE247E" w:rsidRDefault="0048105C" w:rsidP="00424F51">
            <w:pPr>
              <w:numPr>
                <w:ilvl w:val="0"/>
                <w:numId w:val="50"/>
              </w:numPr>
              <w:spacing w:after="0"/>
              <w:jc w:val="both"/>
              <w:rPr>
                <w:rFonts w:eastAsia="Times New Roman" w:cs="Times New Roman"/>
                <w:sz w:val="24"/>
                <w:szCs w:val="24"/>
              </w:rPr>
            </w:pPr>
            <w:r w:rsidRPr="00FE247E">
              <w:rPr>
                <w:rFonts w:eastAsia="Times New Roman" w:cs="Times New Roman"/>
                <w:sz w:val="24"/>
                <w:szCs w:val="24"/>
              </w:rPr>
              <w:t>Высокое нормальное АД, измеренное в медицинском учреждении</w:t>
            </w:r>
          </w:p>
          <w:p w14:paraId="097D8AD7" w14:textId="77777777" w:rsidR="0048105C" w:rsidRPr="00FE247E" w:rsidRDefault="0048105C" w:rsidP="00424F51">
            <w:pPr>
              <w:numPr>
                <w:ilvl w:val="0"/>
                <w:numId w:val="50"/>
              </w:numPr>
              <w:spacing w:after="0"/>
              <w:jc w:val="both"/>
              <w:rPr>
                <w:rFonts w:eastAsia="Times New Roman" w:cs="Times New Roman"/>
                <w:sz w:val="24"/>
                <w:szCs w:val="24"/>
              </w:rPr>
            </w:pPr>
            <w:r w:rsidRPr="00FE247E">
              <w:rPr>
                <w:rFonts w:eastAsia="Times New Roman" w:cs="Times New Roman"/>
                <w:sz w:val="24"/>
                <w:szCs w:val="24"/>
              </w:rPr>
              <w:t>Нормальное АД, измеренное в медицинском учреждении, у пациентов с ПОМ и высоким общим сердечно-сосудистым риском</w:t>
            </w:r>
          </w:p>
        </w:tc>
      </w:tr>
      <w:tr w:rsidR="0048105C" w:rsidRPr="00FE247E" w14:paraId="31C82FB9" w14:textId="77777777">
        <w:trPr>
          <w:trHeight w:val="288"/>
        </w:trPr>
        <w:tc>
          <w:tcPr>
            <w:tcW w:w="8947" w:type="dxa"/>
            <w:tcBorders>
              <w:top w:val="single" w:sz="4" w:space="0" w:color="auto"/>
              <w:left w:val="single" w:sz="4" w:space="0" w:color="auto"/>
              <w:bottom w:val="nil"/>
              <w:right w:val="single" w:sz="4" w:space="0" w:color="auto"/>
            </w:tcBorders>
            <w:vAlign w:val="bottom"/>
          </w:tcPr>
          <w:p w14:paraId="3D990100" w14:textId="77777777" w:rsidR="0048105C" w:rsidRPr="00FE247E" w:rsidRDefault="0048105C" w:rsidP="0048105C">
            <w:pPr>
              <w:spacing w:after="0"/>
              <w:jc w:val="both"/>
              <w:rPr>
                <w:rFonts w:eastAsia="Times New Roman" w:cs="Times New Roman"/>
                <w:sz w:val="24"/>
                <w:szCs w:val="24"/>
              </w:rPr>
            </w:pPr>
            <w:r w:rsidRPr="00FE247E">
              <w:rPr>
                <w:rFonts w:eastAsia="Times New Roman" w:cs="Times New Roman"/>
                <w:sz w:val="24"/>
                <w:szCs w:val="24"/>
              </w:rPr>
              <w:lastRenderedPageBreak/>
              <w:t>Постуральная и постпрандиальная гипотензия</w:t>
            </w:r>
          </w:p>
        </w:tc>
      </w:tr>
      <w:tr w:rsidR="0048105C" w:rsidRPr="00FE247E" w14:paraId="47D18289" w14:textId="77777777">
        <w:trPr>
          <w:trHeight w:val="840"/>
        </w:trPr>
        <w:tc>
          <w:tcPr>
            <w:tcW w:w="8947" w:type="dxa"/>
            <w:tcBorders>
              <w:top w:val="single" w:sz="4" w:space="0" w:color="auto"/>
              <w:left w:val="single" w:sz="4" w:space="0" w:color="auto"/>
              <w:bottom w:val="nil"/>
              <w:right w:val="single" w:sz="4" w:space="0" w:color="auto"/>
            </w:tcBorders>
            <w:vAlign w:val="bottom"/>
          </w:tcPr>
          <w:p w14:paraId="67DB9410" w14:textId="77777777" w:rsidR="0048105C" w:rsidRPr="00FE247E" w:rsidRDefault="0048105C" w:rsidP="0048105C">
            <w:pPr>
              <w:spacing w:after="0"/>
              <w:jc w:val="both"/>
              <w:rPr>
                <w:rFonts w:eastAsia="Times New Roman" w:cs="Times New Roman"/>
                <w:sz w:val="24"/>
                <w:szCs w:val="24"/>
              </w:rPr>
            </w:pPr>
            <w:r w:rsidRPr="00FE247E">
              <w:rPr>
                <w:rFonts w:eastAsia="Times New Roman" w:cs="Times New Roman"/>
                <w:sz w:val="24"/>
                <w:szCs w:val="24"/>
              </w:rPr>
              <w:t>Обследование по поводу резистентной АГ</w:t>
            </w:r>
          </w:p>
          <w:p w14:paraId="6DCC0B11" w14:textId="77777777" w:rsidR="0048105C" w:rsidRPr="00FE247E" w:rsidRDefault="0048105C" w:rsidP="0048105C">
            <w:pPr>
              <w:spacing w:after="0"/>
              <w:jc w:val="both"/>
              <w:rPr>
                <w:rFonts w:eastAsia="Times New Roman" w:cs="Times New Roman"/>
                <w:sz w:val="24"/>
                <w:szCs w:val="24"/>
              </w:rPr>
            </w:pPr>
            <w:r w:rsidRPr="00FE247E">
              <w:rPr>
                <w:rFonts w:eastAsia="Times New Roman" w:cs="Times New Roman"/>
                <w:sz w:val="24"/>
                <w:szCs w:val="24"/>
              </w:rPr>
              <w:t>Оценка контроля АД, особенно при лечении пациентов высокого риска Чрезмерное повышение АД при физической нагрузке</w:t>
            </w:r>
          </w:p>
        </w:tc>
      </w:tr>
      <w:tr w:rsidR="0048105C" w:rsidRPr="00FE247E" w14:paraId="7B2EA9CE" w14:textId="77777777">
        <w:trPr>
          <w:trHeight w:val="288"/>
        </w:trPr>
        <w:tc>
          <w:tcPr>
            <w:tcW w:w="8947" w:type="dxa"/>
            <w:tcBorders>
              <w:top w:val="single" w:sz="4" w:space="0" w:color="auto"/>
              <w:left w:val="single" w:sz="4" w:space="0" w:color="auto"/>
              <w:bottom w:val="nil"/>
              <w:right w:val="single" w:sz="4" w:space="0" w:color="auto"/>
            </w:tcBorders>
            <w:vAlign w:val="bottom"/>
          </w:tcPr>
          <w:p w14:paraId="4B89A93F" w14:textId="77777777" w:rsidR="0048105C" w:rsidRPr="00FE247E" w:rsidRDefault="0048105C" w:rsidP="0048105C">
            <w:pPr>
              <w:spacing w:after="0"/>
              <w:jc w:val="both"/>
              <w:rPr>
                <w:rFonts w:eastAsia="Times New Roman" w:cs="Times New Roman"/>
                <w:sz w:val="24"/>
                <w:szCs w:val="24"/>
              </w:rPr>
            </w:pPr>
            <w:r w:rsidRPr="00FE247E">
              <w:rPr>
                <w:rFonts w:eastAsia="Times New Roman" w:cs="Times New Roman"/>
                <w:sz w:val="24"/>
                <w:szCs w:val="24"/>
              </w:rPr>
              <w:t>При наличии значимой вариабельности АД, измеренного в медицинском учреждении</w:t>
            </w:r>
          </w:p>
        </w:tc>
      </w:tr>
      <w:tr w:rsidR="0048105C" w:rsidRPr="00FE247E" w14:paraId="3B442AA0" w14:textId="77777777">
        <w:trPr>
          <w:trHeight w:val="293"/>
        </w:trPr>
        <w:tc>
          <w:tcPr>
            <w:tcW w:w="8947" w:type="dxa"/>
            <w:tcBorders>
              <w:top w:val="single" w:sz="4" w:space="0" w:color="auto"/>
              <w:left w:val="single" w:sz="4" w:space="0" w:color="auto"/>
              <w:bottom w:val="single" w:sz="4" w:space="0" w:color="auto"/>
              <w:right w:val="single" w:sz="4" w:space="0" w:color="auto"/>
            </w:tcBorders>
            <w:vAlign w:val="bottom"/>
          </w:tcPr>
          <w:p w14:paraId="48352E75" w14:textId="77777777" w:rsidR="0048105C" w:rsidRPr="00FE247E" w:rsidRDefault="0048105C" w:rsidP="0048105C">
            <w:pPr>
              <w:spacing w:after="0"/>
              <w:jc w:val="both"/>
              <w:rPr>
                <w:rFonts w:eastAsia="Times New Roman" w:cs="Times New Roman"/>
                <w:sz w:val="24"/>
                <w:szCs w:val="24"/>
              </w:rPr>
            </w:pPr>
            <w:r w:rsidRPr="00FE247E">
              <w:rPr>
                <w:rFonts w:eastAsia="Times New Roman" w:cs="Times New Roman"/>
                <w:sz w:val="24"/>
                <w:szCs w:val="24"/>
              </w:rPr>
              <w:t>Для оценки симптомов возможной гипотензии на фоне лечения</w:t>
            </w:r>
          </w:p>
        </w:tc>
      </w:tr>
    </w:tbl>
    <w:p w14:paraId="41241A16" w14:textId="77777777" w:rsidR="0048105C" w:rsidRPr="00FE247E" w:rsidRDefault="0048105C" w:rsidP="0048105C">
      <w:pPr>
        <w:spacing w:after="0" w:line="360" w:lineRule="auto"/>
        <w:jc w:val="both"/>
        <w:rPr>
          <w:rFonts w:eastAsia="Times New Roman" w:cs="Times New Roman"/>
          <w:sz w:val="24"/>
          <w:szCs w:val="24"/>
        </w:rPr>
      </w:pPr>
    </w:p>
    <w:p w14:paraId="21098F4B" w14:textId="77777777" w:rsidR="00AB5297" w:rsidRPr="00FE247E" w:rsidRDefault="00AB5297" w:rsidP="00AB5297">
      <w:pPr>
        <w:spacing w:after="0" w:line="360" w:lineRule="auto"/>
        <w:jc w:val="both"/>
        <w:rPr>
          <w:rFonts w:eastAsia="Times New Roman" w:cs="Times New Roman"/>
          <w:sz w:val="24"/>
          <w:szCs w:val="24"/>
        </w:rPr>
      </w:pPr>
    </w:p>
    <w:p w14:paraId="06CAE6CC" w14:textId="77777777" w:rsidR="00AB5297" w:rsidRPr="00FE247E" w:rsidRDefault="00AB5297" w:rsidP="00AB5297">
      <w:pPr>
        <w:spacing w:after="0" w:line="360" w:lineRule="auto"/>
        <w:jc w:val="both"/>
        <w:rPr>
          <w:rFonts w:eastAsia="Times New Roman" w:cs="Times New Roman"/>
          <w:sz w:val="24"/>
          <w:szCs w:val="24"/>
        </w:rPr>
      </w:pPr>
    </w:p>
    <w:p w14:paraId="3104DC94" w14:textId="77777777" w:rsidR="00AB5297" w:rsidRDefault="00AB5297" w:rsidP="00AB5297">
      <w:pPr>
        <w:spacing w:after="0" w:line="360" w:lineRule="auto"/>
        <w:jc w:val="both"/>
        <w:rPr>
          <w:rFonts w:eastAsia="Times New Roman" w:cs="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8947"/>
      </w:tblGrid>
      <w:tr w:rsidR="0048105C" w:rsidRPr="0048105C" w14:paraId="08FA25DE" w14:textId="77777777">
        <w:trPr>
          <w:trHeight w:val="1670"/>
        </w:trPr>
        <w:tc>
          <w:tcPr>
            <w:tcW w:w="8947" w:type="dxa"/>
            <w:tcBorders>
              <w:top w:val="single" w:sz="4" w:space="0" w:color="auto"/>
              <w:left w:val="single" w:sz="4" w:space="0" w:color="auto"/>
              <w:bottom w:val="nil"/>
              <w:right w:val="single" w:sz="4" w:space="0" w:color="auto"/>
            </w:tcBorders>
            <w:vAlign w:val="bottom"/>
          </w:tcPr>
          <w:p w14:paraId="228EE3A6" w14:textId="77777777" w:rsidR="0048105C" w:rsidRPr="0048105C" w:rsidRDefault="0048105C" w:rsidP="0048105C">
            <w:pPr>
              <w:spacing w:after="0"/>
              <w:jc w:val="both"/>
              <w:rPr>
                <w:rFonts w:eastAsia="Times New Roman" w:cs="Times New Roman"/>
                <w:sz w:val="24"/>
                <w:szCs w:val="24"/>
              </w:rPr>
            </w:pPr>
            <w:r w:rsidRPr="0048105C">
              <w:rPr>
                <w:rFonts w:eastAsia="Times New Roman" w:cs="Times New Roman"/>
                <w:sz w:val="24"/>
                <w:szCs w:val="24"/>
              </w:rPr>
              <w:t>Специфические показания для СМАД:</w:t>
            </w:r>
          </w:p>
          <w:p w14:paraId="5EC00E86" w14:textId="77777777" w:rsidR="0048105C" w:rsidRPr="0048105C" w:rsidRDefault="0048105C" w:rsidP="0048105C">
            <w:pPr>
              <w:spacing w:after="0"/>
              <w:jc w:val="both"/>
              <w:rPr>
                <w:rFonts w:eastAsia="Times New Roman" w:cs="Times New Roman"/>
                <w:sz w:val="24"/>
                <w:szCs w:val="24"/>
              </w:rPr>
            </w:pPr>
            <w:r w:rsidRPr="0048105C">
              <w:rPr>
                <w:rFonts w:eastAsia="Times New Roman" w:cs="Times New Roman"/>
                <w:sz w:val="24"/>
                <w:szCs w:val="24"/>
              </w:rPr>
              <w:t>оценка ночного АД и суточного индекса (например, при подозрении на ночную гипертензию, в том числе, при синдроме ночного апноэ, ХБП, гипертензии эндокринной этиологии или автономной дисфункции), беременность, невозможность или нежелание пациента выполнять ДМАД надежным методом или тревога при самостоятельном измерении</w:t>
            </w:r>
          </w:p>
        </w:tc>
      </w:tr>
      <w:tr w:rsidR="0048105C" w:rsidRPr="0048105C" w14:paraId="07DDA495" w14:textId="77777777">
        <w:trPr>
          <w:trHeight w:val="840"/>
        </w:trPr>
        <w:tc>
          <w:tcPr>
            <w:tcW w:w="8947" w:type="dxa"/>
            <w:tcBorders>
              <w:top w:val="single" w:sz="4" w:space="0" w:color="auto"/>
              <w:left w:val="single" w:sz="4" w:space="0" w:color="auto"/>
              <w:bottom w:val="single" w:sz="4" w:space="0" w:color="auto"/>
              <w:right w:val="single" w:sz="4" w:space="0" w:color="auto"/>
            </w:tcBorders>
            <w:vAlign w:val="bottom"/>
          </w:tcPr>
          <w:p w14:paraId="7F8B5A6F" w14:textId="77777777" w:rsidR="0048105C" w:rsidRPr="0048105C" w:rsidRDefault="0048105C" w:rsidP="0048105C">
            <w:pPr>
              <w:spacing w:after="0"/>
              <w:jc w:val="both"/>
              <w:rPr>
                <w:rFonts w:eastAsia="Times New Roman" w:cs="Times New Roman"/>
                <w:sz w:val="24"/>
                <w:szCs w:val="24"/>
              </w:rPr>
            </w:pPr>
            <w:r w:rsidRPr="0048105C">
              <w:rPr>
                <w:rFonts w:eastAsia="Times New Roman" w:cs="Times New Roman"/>
                <w:sz w:val="24"/>
                <w:szCs w:val="24"/>
              </w:rPr>
              <w:t>Специфические показания для ДМАД:</w:t>
            </w:r>
          </w:p>
          <w:p w14:paraId="20195BA6" w14:textId="77777777" w:rsidR="0048105C" w:rsidRPr="0048105C" w:rsidRDefault="0048105C" w:rsidP="0048105C">
            <w:pPr>
              <w:spacing w:after="0"/>
              <w:jc w:val="both"/>
              <w:rPr>
                <w:rFonts w:eastAsia="Times New Roman" w:cs="Times New Roman"/>
                <w:sz w:val="24"/>
                <w:szCs w:val="24"/>
              </w:rPr>
            </w:pPr>
            <w:r w:rsidRPr="0048105C">
              <w:rPr>
                <w:rFonts w:eastAsia="Times New Roman" w:cs="Times New Roman"/>
                <w:sz w:val="24"/>
                <w:szCs w:val="24"/>
              </w:rPr>
              <w:t>Длительное наблюдение пациентов на лечении для улучшения приверженности и контроля АД, нежелание пациента или выраженный дискомфорт во процессе СМАД</w:t>
            </w:r>
          </w:p>
        </w:tc>
      </w:tr>
    </w:tbl>
    <w:p w14:paraId="5CFFA139" w14:textId="77777777" w:rsidR="00AB5297" w:rsidRDefault="00AB5297" w:rsidP="00AB5297">
      <w:pPr>
        <w:spacing w:after="0" w:line="360" w:lineRule="auto"/>
        <w:jc w:val="both"/>
        <w:rPr>
          <w:rFonts w:eastAsia="Times New Roman" w:cs="Times New Roman"/>
          <w:sz w:val="24"/>
          <w:szCs w:val="24"/>
        </w:rPr>
      </w:pPr>
    </w:p>
    <w:p w14:paraId="7B8A25E4" w14:textId="77777777" w:rsidR="002E0EFB" w:rsidRDefault="0048105C" w:rsidP="002E0EFB">
      <w:pPr>
        <w:spacing w:after="0" w:line="360" w:lineRule="auto"/>
        <w:jc w:val="right"/>
        <w:rPr>
          <w:rFonts w:eastAsia="Times New Roman" w:cs="Times New Roman"/>
          <w:b/>
          <w:bCs/>
          <w:sz w:val="24"/>
          <w:szCs w:val="24"/>
        </w:rPr>
      </w:pPr>
      <w:r w:rsidRPr="0048105C">
        <w:rPr>
          <w:rFonts w:eastAsia="Times New Roman" w:cs="Times New Roman"/>
          <w:b/>
          <w:bCs/>
          <w:sz w:val="24"/>
          <w:szCs w:val="24"/>
        </w:rPr>
        <w:t>Таблица П11/</w:t>
      </w:r>
      <w:r w:rsidR="00FB33EA">
        <w:rPr>
          <w:rFonts w:eastAsia="Times New Roman" w:cs="Times New Roman"/>
          <w:b/>
          <w:bCs/>
          <w:sz w:val="24"/>
          <w:szCs w:val="24"/>
        </w:rPr>
        <w:t>А2</w:t>
      </w:r>
      <w:r w:rsidRPr="0048105C">
        <w:rPr>
          <w:rFonts w:eastAsia="Times New Roman" w:cs="Times New Roman"/>
          <w:b/>
          <w:bCs/>
          <w:sz w:val="24"/>
          <w:szCs w:val="24"/>
        </w:rPr>
        <w:t xml:space="preserve">. </w:t>
      </w:r>
    </w:p>
    <w:p w14:paraId="55D8F148" w14:textId="3BEC83D4" w:rsidR="0048105C" w:rsidRPr="0048105C" w:rsidRDefault="0048105C" w:rsidP="0048105C">
      <w:pPr>
        <w:spacing w:after="0" w:line="360" w:lineRule="auto"/>
        <w:jc w:val="both"/>
        <w:rPr>
          <w:rFonts w:eastAsia="Times New Roman" w:cs="Times New Roman"/>
          <w:b/>
          <w:bCs/>
          <w:sz w:val="24"/>
          <w:szCs w:val="24"/>
        </w:rPr>
      </w:pPr>
      <w:r w:rsidRPr="0048105C">
        <w:rPr>
          <w:rFonts w:eastAsia="Times New Roman" w:cs="Times New Roman"/>
          <w:b/>
          <w:bCs/>
          <w:sz w:val="24"/>
          <w:szCs w:val="24"/>
        </w:rPr>
        <w:t xml:space="preserve">Сравнение методов суточного и домашнего мониторирования артериального давления </w:t>
      </w:r>
    </w:p>
    <w:tbl>
      <w:tblPr>
        <w:tblW w:w="0" w:type="auto"/>
        <w:tblInd w:w="-5" w:type="dxa"/>
        <w:tblLayout w:type="fixed"/>
        <w:tblCellMar>
          <w:left w:w="0" w:type="dxa"/>
          <w:right w:w="0" w:type="dxa"/>
        </w:tblCellMar>
        <w:tblLook w:val="0000" w:firstRow="0" w:lastRow="0" w:firstColumn="0" w:lastColumn="0" w:noHBand="0" w:noVBand="0"/>
      </w:tblPr>
      <w:tblGrid>
        <w:gridCol w:w="4464"/>
        <w:gridCol w:w="4483"/>
      </w:tblGrid>
      <w:tr w:rsidR="0048105C" w:rsidRPr="0048105C" w14:paraId="1E9CCDFE" w14:textId="77777777">
        <w:trPr>
          <w:trHeight w:val="293"/>
        </w:trPr>
        <w:tc>
          <w:tcPr>
            <w:tcW w:w="4464" w:type="dxa"/>
            <w:tcBorders>
              <w:top w:val="single" w:sz="4" w:space="0" w:color="auto"/>
              <w:left w:val="single" w:sz="4" w:space="0" w:color="auto"/>
              <w:bottom w:val="nil"/>
              <w:right w:val="nil"/>
            </w:tcBorders>
            <w:vAlign w:val="bottom"/>
          </w:tcPr>
          <w:p w14:paraId="7EAD2E5F" w14:textId="77777777" w:rsidR="0048105C" w:rsidRPr="0048105C" w:rsidRDefault="0048105C" w:rsidP="0048105C">
            <w:pPr>
              <w:spacing w:after="0"/>
              <w:jc w:val="both"/>
              <w:rPr>
                <w:rFonts w:eastAsia="Times New Roman" w:cs="Times New Roman"/>
                <w:sz w:val="24"/>
                <w:szCs w:val="24"/>
              </w:rPr>
            </w:pPr>
            <w:r w:rsidRPr="0048105C">
              <w:rPr>
                <w:rFonts w:eastAsia="Times New Roman" w:cs="Times New Roman"/>
                <w:sz w:val="24"/>
                <w:szCs w:val="24"/>
              </w:rPr>
              <w:t>СМАД</w:t>
            </w:r>
          </w:p>
        </w:tc>
        <w:tc>
          <w:tcPr>
            <w:tcW w:w="4483" w:type="dxa"/>
            <w:tcBorders>
              <w:top w:val="single" w:sz="4" w:space="0" w:color="auto"/>
              <w:left w:val="single" w:sz="4" w:space="0" w:color="auto"/>
              <w:bottom w:val="nil"/>
              <w:right w:val="single" w:sz="4" w:space="0" w:color="auto"/>
            </w:tcBorders>
            <w:vAlign w:val="bottom"/>
          </w:tcPr>
          <w:p w14:paraId="54D8DCD6" w14:textId="77777777" w:rsidR="0048105C" w:rsidRPr="0048105C" w:rsidRDefault="0048105C" w:rsidP="0048105C">
            <w:pPr>
              <w:spacing w:after="0"/>
              <w:jc w:val="both"/>
              <w:rPr>
                <w:rFonts w:eastAsia="Times New Roman" w:cs="Times New Roman"/>
                <w:sz w:val="24"/>
                <w:szCs w:val="24"/>
              </w:rPr>
            </w:pPr>
            <w:r w:rsidRPr="0048105C">
              <w:rPr>
                <w:rFonts w:eastAsia="Times New Roman" w:cs="Times New Roman"/>
                <w:sz w:val="24"/>
                <w:szCs w:val="24"/>
              </w:rPr>
              <w:t>ДМАД*</w:t>
            </w:r>
          </w:p>
        </w:tc>
      </w:tr>
      <w:tr w:rsidR="0048105C" w:rsidRPr="0048105C" w14:paraId="724EB264" w14:textId="77777777">
        <w:trPr>
          <w:trHeight w:val="4253"/>
        </w:trPr>
        <w:tc>
          <w:tcPr>
            <w:tcW w:w="4464" w:type="dxa"/>
            <w:tcBorders>
              <w:top w:val="single" w:sz="4" w:space="0" w:color="auto"/>
              <w:left w:val="single" w:sz="4" w:space="0" w:color="auto"/>
              <w:bottom w:val="nil"/>
              <w:right w:val="nil"/>
            </w:tcBorders>
            <w:vAlign w:val="bottom"/>
          </w:tcPr>
          <w:p w14:paraId="0097515C" w14:textId="77777777" w:rsidR="0048105C" w:rsidRPr="0048105C" w:rsidRDefault="0048105C" w:rsidP="0048105C">
            <w:pPr>
              <w:spacing w:after="0"/>
              <w:jc w:val="both"/>
              <w:rPr>
                <w:rFonts w:eastAsia="Times New Roman" w:cs="Times New Roman"/>
                <w:sz w:val="24"/>
                <w:szCs w:val="24"/>
              </w:rPr>
            </w:pPr>
            <w:r w:rsidRPr="0048105C">
              <w:rPr>
                <w:rFonts w:eastAsia="Times New Roman" w:cs="Times New Roman"/>
                <w:sz w:val="24"/>
                <w:szCs w:val="24"/>
              </w:rPr>
              <w:t>Преимущества:</w:t>
            </w:r>
          </w:p>
          <w:p w14:paraId="4818DFDB" w14:textId="77777777" w:rsidR="0048105C" w:rsidRPr="0048105C" w:rsidRDefault="0048105C" w:rsidP="00424F51">
            <w:pPr>
              <w:numPr>
                <w:ilvl w:val="0"/>
                <w:numId w:val="49"/>
              </w:numPr>
              <w:spacing w:after="0"/>
              <w:jc w:val="both"/>
              <w:rPr>
                <w:rFonts w:eastAsia="Times New Roman" w:cs="Times New Roman"/>
                <w:sz w:val="24"/>
                <w:szCs w:val="24"/>
              </w:rPr>
            </w:pPr>
            <w:r w:rsidRPr="0048105C">
              <w:rPr>
                <w:rFonts w:eastAsia="Times New Roman" w:cs="Times New Roman"/>
                <w:sz w:val="24"/>
                <w:szCs w:val="24"/>
              </w:rPr>
              <w:t>Позволяет</w:t>
            </w:r>
            <w:r w:rsidRPr="0048105C">
              <w:rPr>
                <w:rFonts w:eastAsia="Times New Roman" w:cs="Times New Roman"/>
                <w:sz w:val="24"/>
                <w:szCs w:val="24"/>
              </w:rPr>
              <w:tab/>
              <w:t>идентифицировать</w:t>
            </w:r>
          </w:p>
          <w:p w14:paraId="7D50BF8E" w14:textId="77777777" w:rsidR="0048105C" w:rsidRPr="0048105C" w:rsidRDefault="0048105C" w:rsidP="0048105C">
            <w:pPr>
              <w:spacing w:after="0"/>
              <w:jc w:val="both"/>
              <w:rPr>
                <w:rFonts w:eastAsia="Times New Roman" w:cs="Times New Roman"/>
                <w:sz w:val="24"/>
                <w:szCs w:val="24"/>
              </w:rPr>
            </w:pPr>
            <w:r w:rsidRPr="0048105C">
              <w:rPr>
                <w:rFonts w:eastAsia="Times New Roman" w:cs="Times New Roman"/>
                <w:sz w:val="24"/>
                <w:szCs w:val="24"/>
              </w:rPr>
              <w:t>изолированную</w:t>
            </w:r>
            <w:r w:rsidRPr="0048105C">
              <w:rPr>
                <w:rFonts w:eastAsia="Times New Roman" w:cs="Times New Roman"/>
                <w:sz w:val="24"/>
                <w:szCs w:val="24"/>
              </w:rPr>
              <w:tab/>
              <w:t>офисную</w:t>
            </w:r>
            <w:r w:rsidRPr="0048105C">
              <w:rPr>
                <w:rFonts w:eastAsia="Times New Roman" w:cs="Times New Roman"/>
                <w:sz w:val="24"/>
                <w:szCs w:val="24"/>
              </w:rPr>
              <w:tab/>
              <w:t>АГ</w:t>
            </w:r>
            <w:r w:rsidRPr="0048105C">
              <w:rPr>
                <w:rFonts w:eastAsia="Times New Roman" w:cs="Times New Roman"/>
                <w:sz w:val="24"/>
                <w:szCs w:val="24"/>
              </w:rPr>
              <w:tab/>
              <w:t>и</w:t>
            </w:r>
          </w:p>
          <w:p w14:paraId="1DD19E94" w14:textId="77777777" w:rsidR="0048105C" w:rsidRPr="0048105C" w:rsidRDefault="0048105C" w:rsidP="0048105C">
            <w:pPr>
              <w:spacing w:after="0"/>
              <w:jc w:val="both"/>
              <w:rPr>
                <w:rFonts w:eastAsia="Times New Roman" w:cs="Times New Roman"/>
                <w:sz w:val="24"/>
                <w:szCs w:val="24"/>
              </w:rPr>
            </w:pPr>
            <w:r w:rsidRPr="0048105C">
              <w:rPr>
                <w:rFonts w:eastAsia="Times New Roman" w:cs="Times New Roman"/>
                <w:sz w:val="24"/>
                <w:szCs w:val="24"/>
              </w:rPr>
              <w:t>изолированную амбулаторную АГ</w:t>
            </w:r>
          </w:p>
          <w:p w14:paraId="0DBD4E23" w14:textId="77777777" w:rsidR="0048105C" w:rsidRPr="0048105C" w:rsidRDefault="0048105C" w:rsidP="00424F51">
            <w:pPr>
              <w:numPr>
                <w:ilvl w:val="0"/>
                <w:numId w:val="49"/>
              </w:numPr>
              <w:spacing w:after="0"/>
              <w:jc w:val="both"/>
              <w:rPr>
                <w:rFonts w:eastAsia="Times New Roman" w:cs="Times New Roman"/>
                <w:sz w:val="24"/>
                <w:szCs w:val="24"/>
              </w:rPr>
            </w:pPr>
            <w:r w:rsidRPr="0048105C">
              <w:rPr>
                <w:rFonts w:eastAsia="Times New Roman" w:cs="Times New Roman"/>
                <w:sz w:val="24"/>
                <w:szCs w:val="24"/>
              </w:rPr>
              <w:t>Более</w:t>
            </w:r>
            <w:r w:rsidRPr="0048105C">
              <w:rPr>
                <w:rFonts w:eastAsia="Times New Roman" w:cs="Times New Roman"/>
                <w:sz w:val="24"/>
                <w:szCs w:val="24"/>
              </w:rPr>
              <w:tab/>
              <w:t>существенная</w:t>
            </w:r>
          </w:p>
          <w:p w14:paraId="326B5B4C" w14:textId="77777777" w:rsidR="0048105C" w:rsidRPr="0048105C" w:rsidRDefault="0048105C" w:rsidP="0048105C">
            <w:pPr>
              <w:spacing w:after="0"/>
              <w:jc w:val="both"/>
              <w:rPr>
                <w:rFonts w:eastAsia="Times New Roman" w:cs="Times New Roman"/>
                <w:sz w:val="24"/>
                <w:szCs w:val="24"/>
              </w:rPr>
            </w:pPr>
            <w:r w:rsidRPr="0048105C">
              <w:rPr>
                <w:rFonts w:eastAsia="Times New Roman" w:cs="Times New Roman"/>
                <w:sz w:val="24"/>
                <w:szCs w:val="24"/>
              </w:rPr>
              <w:t>прогностическая значимость</w:t>
            </w:r>
          </w:p>
          <w:p w14:paraId="5B9A507E" w14:textId="77777777" w:rsidR="0048105C" w:rsidRPr="0048105C" w:rsidRDefault="0048105C" w:rsidP="00424F51">
            <w:pPr>
              <w:numPr>
                <w:ilvl w:val="0"/>
                <w:numId w:val="49"/>
              </w:numPr>
              <w:spacing w:after="0"/>
              <w:jc w:val="both"/>
              <w:rPr>
                <w:rFonts w:eastAsia="Times New Roman" w:cs="Times New Roman"/>
                <w:sz w:val="24"/>
                <w:szCs w:val="24"/>
              </w:rPr>
            </w:pPr>
            <w:r w:rsidRPr="0048105C">
              <w:rPr>
                <w:rFonts w:eastAsia="Times New Roman" w:cs="Times New Roman"/>
                <w:sz w:val="24"/>
                <w:szCs w:val="24"/>
              </w:rPr>
              <w:t>Ночные измерения</w:t>
            </w:r>
          </w:p>
          <w:p w14:paraId="4A0EE277" w14:textId="77777777" w:rsidR="0048105C" w:rsidRPr="0048105C" w:rsidRDefault="0048105C" w:rsidP="00424F51">
            <w:pPr>
              <w:numPr>
                <w:ilvl w:val="0"/>
                <w:numId w:val="49"/>
              </w:numPr>
              <w:spacing w:after="0"/>
              <w:jc w:val="both"/>
              <w:rPr>
                <w:rFonts w:eastAsia="Times New Roman" w:cs="Times New Roman"/>
                <w:sz w:val="24"/>
                <w:szCs w:val="24"/>
              </w:rPr>
            </w:pPr>
            <w:r w:rsidRPr="0048105C">
              <w:rPr>
                <w:rFonts w:eastAsia="Times New Roman" w:cs="Times New Roman"/>
                <w:sz w:val="24"/>
                <w:szCs w:val="24"/>
              </w:rPr>
              <w:t>Измерения проводятся в условиях</w:t>
            </w:r>
          </w:p>
          <w:p w14:paraId="3812D043" w14:textId="77777777" w:rsidR="0048105C" w:rsidRPr="0048105C" w:rsidRDefault="0048105C" w:rsidP="0048105C">
            <w:pPr>
              <w:spacing w:after="0"/>
              <w:jc w:val="both"/>
              <w:rPr>
                <w:rFonts w:eastAsia="Times New Roman" w:cs="Times New Roman"/>
                <w:sz w:val="24"/>
                <w:szCs w:val="24"/>
              </w:rPr>
            </w:pPr>
            <w:r w:rsidRPr="0048105C">
              <w:rPr>
                <w:rFonts w:eastAsia="Times New Roman" w:cs="Times New Roman"/>
                <w:sz w:val="24"/>
                <w:szCs w:val="24"/>
              </w:rPr>
              <w:t>реальной жизни</w:t>
            </w:r>
          </w:p>
          <w:p w14:paraId="44CC7CCC" w14:textId="77777777" w:rsidR="0048105C" w:rsidRPr="0048105C" w:rsidRDefault="0048105C" w:rsidP="00424F51">
            <w:pPr>
              <w:numPr>
                <w:ilvl w:val="0"/>
                <w:numId w:val="49"/>
              </w:numPr>
              <w:spacing w:after="0"/>
              <w:jc w:val="both"/>
              <w:rPr>
                <w:rFonts w:eastAsia="Times New Roman" w:cs="Times New Roman"/>
                <w:sz w:val="24"/>
                <w:szCs w:val="24"/>
              </w:rPr>
            </w:pPr>
            <w:r w:rsidRPr="0048105C">
              <w:rPr>
                <w:rFonts w:eastAsia="Times New Roman" w:cs="Times New Roman"/>
                <w:sz w:val="24"/>
                <w:szCs w:val="24"/>
              </w:rPr>
              <w:t>Дополнительное прогностическое</w:t>
            </w:r>
          </w:p>
          <w:p w14:paraId="73DC6B82" w14:textId="77777777" w:rsidR="0048105C" w:rsidRPr="0048105C" w:rsidRDefault="0048105C" w:rsidP="0048105C">
            <w:pPr>
              <w:spacing w:after="0"/>
              <w:jc w:val="both"/>
              <w:rPr>
                <w:rFonts w:eastAsia="Times New Roman" w:cs="Times New Roman"/>
                <w:sz w:val="24"/>
                <w:szCs w:val="24"/>
              </w:rPr>
            </w:pPr>
            <w:r w:rsidRPr="0048105C">
              <w:rPr>
                <w:rFonts w:eastAsia="Times New Roman" w:cs="Times New Roman"/>
                <w:sz w:val="24"/>
                <w:szCs w:val="24"/>
              </w:rPr>
              <w:t>значение разных фенотипов АД</w:t>
            </w:r>
          </w:p>
          <w:p w14:paraId="6A154C6A" w14:textId="77777777" w:rsidR="0048105C" w:rsidRPr="0048105C" w:rsidRDefault="0048105C" w:rsidP="00424F51">
            <w:pPr>
              <w:numPr>
                <w:ilvl w:val="0"/>
                <w:numId w:val="49"/>
              </w:numPr>
              <w:spacing w:after="0"/>
              <w:jc w:val="both"/>
              <w:rPr>
                <w:rFonts w:eastAsia="Times New Roman" w:cs="Times New Roman"/>
                <w:sz w:val="24"/>
                <w:szCs w:val="24"/>
              </w:rPr>
            </w:pPr>
            <w:r w:rsidRPr="0048105C">
              <w:rPr>
                <w:rFonts w:eastAsia="Times New Roman" w:cs="Times New Roman"/>
                <w:sz w:val="24"/>
                <w:szCs w:val="24"/>
              </w:rPr>
              <w:t>Большой объем информации на</w:t>
            </w:r>
          </w:p>
          <w:p w14:paraId="4E2177D1" w14:textId="77777777" w:rsidR="0048105C" w:rsidRPr="0048105C" w:rsidRDefault="0048105C" w:rsidP="0048105C">
            <w:pPr>
              <w:spacing w:after="0"/>
              <w:jc w:val="both"/>
              <w:rPr>
                <w:rFonts w:eastAsia="Times New Roman" w:cs="Times New Roman"/>
                <w:sz w:val="24"/>
                <w:szCs w:val="24"/>
              </w:rPr>
            </w:pPr>
            <w:r w:rsidRPr="0048105C">
              <w:rPr>
                <w:rFonts w:eastAsia="Times New Roman" w:cs="Times New Roman"/>
                <w:sz w:val="24"/>
                <w:szCs w:val="24"/>
              </w:rPr>
              <w:t>основании</w:t>
            </w:r>
            <w:r w:rsidRPr="0048105C">
              <w:rPr>
                <w:rFonts w:eastAsia="Times New Roman" w:cs="Times New Roman"/>
                <w:sz w:val="24"/>
                <w:szCs w:val="24"/>
              </w:rPr>
              <w:tab/>
              <w:t>одного</w:t>
            </w:r>
            <w:r w:rsidRPr="0048105C">
              <w:rPr>
                <w:rFonts w:eastAsia="Times New Roman" w:cs="Times New Roman"/>
                <w:sz w:val="24"/>
                <w:szCs w:val="24"/>
              </w:rPr>
              <w:tab/>
              <w:t>исследования,</w:t>
            </w:r>
          </w:p>
          <w:p w14:paraId="74FE69AF" w14:textId="77777777" w:rsidR="0048105C" w:rsidRPr="0048105C" w:rsidRDefault="0048105C" w:rsidP="0048105C">
            <w:pPr>
              <w:spacing w:after="0"/>
              <w:jc w:val="both"/>
              <w:rPr>
                <w:rFonts w:eastAsia="Times New Roman" w:cs="Times New Roman"/>
                <w:sz w:val="24"/>
                <w:szCs w:val="24"/>
              </w:rPr>
            </w:pPr>
            <w:r w:rsidRPr="0048105C">
              <w:rPr>
                <w:rFonts w:eastAsia="Times New Roman" w:cs="Times New Roman"/>
                <w:sz w:val="24"/>
                <w:szCs w:val="24"/>
              </w:rPr>
              <w:t>включая краткосрочную вариабельность АД</w:t>
            </w:r>
          </w:p>
        </w:tc>
        <w:tc>
          <w:tcPr>
            <w:tcW w:w="4483" w:type="dxa"/>
            <w:tcBorders>
              <w:top w:val="single" w:sz="4" w:space="0" w:color="auto"/>
              <w:left w:val="single" w:sz="4" w:space="0" w:color="auto"/>
              <w:bottom w:val="nil"/>
              <w:right w:val="single" w:sz="4" w:space="0" w:color="auto"/>
            </w:tcBorders>
            <w:vAlign w:val="bottom"/>
          </w:tcPr>
          <w:p w14:paraId="5F2959D4" w14:textId="77777777" w:rsidR="0048105C" w:rsidRPr="0048105C" w:rsidRDefault="0048105C" w:rsidP="0048105C">
            <w:pPr>
              <w:spacing w:after="0"/>
              <w:jc w:val="both"/>
              <w:rPr>
                <w:rFonts w:eastAsia="Times New Roman" w:cs="Times New Roman"/>
                <w:sz w:val="24"/>
                <w:szCs w:val="24"/>
              </w:rPr>
            </w:pPr>
            <w:r w:rsidRPr="0048105C">
              <w:rPr>
                <w:rFonts w:eastAsia="Times New Roman" w:cs="Times New Roman"/>
                <w:sz w:val="24"/>
                <w:szCs w:val="24"/>
              </w:rPr>
              <w:t>Преимущества:</w:t>
            </w:r>
          </w:p>
          <w:p w14:paraId="50681293" w14:textId="77777777" w:rsidR="0048105C" w:rsidRPr="0048105C" w:rsidRDefault="0048105C" w:rsidP="00424F51">
            <w:pPr>
              <w:numPr>
                <w:ilvl w:val="0"/>
                <w:numId w:val="50"/>
              </w:numPr>
              <w:spacing w:after="0"/>
              <w:jc w:val="both"/>
              <w:rPr>
                <w:rFonts w:eastAsia="Times New Roman" w:cs="Times New Roman"/>
                <w:sz w:val="24"/>
                <w:szCs w:val="24"/>
              </w:rPr>
            </w:pPr>
            <w:r w:rsidRPr="0048105C">
              <w:rPr>
                <w:rFonts w:eastAsia="Times New Roman" w:cs="Times New Roman"/>
                <w:sz w:val="24"/>
                <w:szCs w:val="24"/>
              </w:rPr>
              <w:t>Позволяет идентифицировать изолированную офисную АГ и изолированную амбулаторную АГ</w:t>
            </w:r>
          </w:p>
          <w:p w14:paraId="439D7535" w14:textId="77777777" w:rsidR="0048105C" w:rsidRPr="0048105C" w:rsidRDefault="0048105C" w:rsidP="00424F51">
            <w:pPr>
              <w:numPr>
                <w:ilvl w:val="0"/>
                <w:numId w:val="50"/>
              </w:numPr>
              <w:spacing w:after="0"/>
              <w:jc w:val="both"/>
              <w:rPr>
                <w:rFonts w:eastAsia="Times New Roman" w:cs="Times New Roman"/>
                <w:sz w:val="24"/>
                <w:szCs w:val="24"/>
              </w:rPr>
            </w:pPr>
            <w:r w:rsidRPr="0048105C">
              <w:rPr>
                <w:rFonts w:eastAsia="Times New Roman" w:cs="Times New Roman"/>
                <w:sz w:val="24"/>
                <w:szCs w:val="24"/>
              </w:rPr>
              <w:t>Дешевизна и широкая доступность</w:t>
            </w:r>
          </w:p>
          <w:p w14:paraId="0AA64A00" w14:textId="77777777" w:rsidR="0048105C" w:rsidRPr="0048105C" w:rsidRDefault="0048105C" w:rsidP="00424F51">
            <w:pPr>
              <w:numPr>
                <w:ilvl w:val="0"/>
                <w:numId w:val="50"/>
              </w:numPr>
              <w:spacing w:after="0"/>
              <w:jc w:val="both"/>
              <w:rPr>
                <w:rFonts w:eastAsia="Times New Roman" w:cs="Times New Roman"/>
                <w:sz w:val="24"/>
                <w:szCs w:val="24"/>
              </w:rPr>
            </w:pPr>
            <w:r w:rsidRPr="0048105C">
              <w:rPr>
                <w:rFonts w:eastAsia="Times New Roman" w:cs="Times New Roman"/>
                <w:sz w:val="24"/>
                <w:szCs w:val="24"/>
              </w:rPr>
              <w:t>Измерения в домашних условиях, которые предоставляют больший комфорт, чем кабинет врача</w:t>
            </w:r>
          </w:p>
          <w:p w14:paraId="28718A03" w14:textId="77777777" w:rsidR="0048105C" w:rsidRPr="0048105C" w:rsidRDefault="0048105C" w:rsidP="00424F51">
            <w:pPr>
              <w:numPr>
                <w:ilvl w:val="0"/>
                <w:numId w:val="50"/>
              </w:numPr>
              <w:spacing w:after="0"/>
              <w:jc w:val="both"/>
              <w:rPr>
                <w:rFonts w:eastAsia="Times New Roman" w:cs="Times New Roman"/>
                <w:sz w:val="24"/>
                <w:szCs w:val="24"/>
              </w:rPr>
            </w:pPr>
            <w:r w:rsidRPr="0048105C">
              <w:rPr>
                <w:rFonts w:eastAsia="Times New Roman" w:cs="Times New Roman"/>
                <w:sz w:val="24"/>
                <w:szCs w:val="24"/>
              </w:rPr>
              <w:t>Вовлечение пациента в процесс измерения АД</w:t>
            </w:r>
          </w:p>
          <w:p w14:paraId="26C86EC8" w14:textId="77777777" w:rsidR="0048105C" w:rsidRPr="0048105C" w:rsidRDefault="0048105C" w:rsidP="00424F51">
            <w:pPr>
              <w:numPr>
                <w:ilvl w:val="0"/>
                <w:numId w:val="50"/>
              </w:numPr>
              <w:spacing w:after="0"/>
              <w:jc w:val="both"/>
              <w:rPr>
                <w:rFonts w:eastAsia="Times New Roman" w:cs="Times New Roman"/>
                <w:sz w:val="24"/>
                <w:szCs w:val="24"/>
              </w:rPr>
            </w:pPr>
            <w:r w:rsidRPr="0048105C">
              <w:rPr>
                <w:rFonts w:eastAsia="Times New Roman" w:cs="Times New Roman"/>
                <w:sz w:val="24"/>
                <w:szCs w:val="24"/>
              </w:rPr>
              <w:t>Легко выполнимо, может быть использовано в течение длительного периода времени для оценки вариабельности АД от дня ко дню</w:t>
            </w:r>
          </w:p>
        </w:tc>
      </w:tr>
      <w:tr w:rsidR="0048105C" w:rsidRPr="0048105C" w14:paraId="140EA298" w14:textId="77777777">
        <w:trPr>
          <w:trHeight w:val="1723"/>
        </w:trPr>
        <w:tc>
          <w:tcPr>
            <w:tcW w:w="4464" w:type="dxa"/>
            <w:tcBorders>
              <w:top w:val="single" w:sz="4" w:space="0" w:color="auto"/>
              <w:left w:val="single" w:sz="4" w:space="0" w:color="auto"/>
              <w:bottom w:val="single" w:sz="4" w:space="0" w:color="auto"/>
              <w:right w:val="nil"/>
            </w:tcBorders>
          </w:tcPr>
          <w:p w14:paraId="501E87F6" w14:textId="77777777" w:rsidR="0048105C" w:rsidRPr="0048105C" w:rsidRDefault="0048105C" w:rsidP="0048105C">
            <w:pPr>
              <w:spacing w:after="0"/>
              <w:jc w:val="both"/>
              <w:rPr>
                <w:rFonts w:eastAsia="Times New Roman" w:cs="Times New Roman"/>
                <w:sz w:val="24"/>
                <w:szCs w:val="24"/>
              </w:rPr>
            </w:pPr>
            <w:r w:rsidRPr="0048105C">
              <w:rPr>
                <w:rFonts w:eastAsia="Times New Roman" w:cs="Times New Roman"/>
                <w:sz w:val="24"/>
                <w:szCs w:val="24"/>
              </w:rPr>
              <w:t>Недостатки:</w:t>
            </w:r>
          </w:p>
          <w:p w14:paraId="3E52B5EB" w14:textId="77777777" w:rsidR="0048105C" w:rsidRPr="0048105C" w:rsidRDefault="0048105C" w:rsidP="00424F51">
            <w:pPr>
              <w:numPr>
                <w:ilvl w:val="0"/>
                <w:numId w:val="51"/>
              </w:numPr>
              <w:spacing w:after="0"/>
              <w:jc w:val="both"/>
              <w:rPr>
                <w:rFonts w:eastAsia="Times New Roman" w:cs="Times New Roman"/>
                <w:sz w:val="24"/>
                <w:szCs w:val="24"/>
              </w:rPr>
            </w:pPr>
            <w:r w:rsidRPr="0048105C">
              <w:rPr>
                <w:rFonts w:eastAsia="Times New Roman" w:cs="Times New Roman"/>
                <w:sz w:val="24"/>
                <w:szCs w:val="24"/>
              </w:rPr>
              <w:t>Дороговизна</w:t>
            </w:r>
            <w:r w:rsidRPr="0048105C">
              <w:rPr>
                <w:rFonts w:eastAsia="Times New Roman" w:cs="Times New Roman"/>
                <w:sz w:val="24"/>
                <w:szCs w:val="24"/>
              </w:rPr>
              <w:tab/>
              <w:t>и</w:t>
            </w:r>
            <w:r w:rsidRPr="0048105C">
              <w:rPr>
                <w:rFonts w:eastAsia="Times New Roman" w:cs="Times New Roman"/>
                <w:sz w:val="24"/>
                <w:szCs w:val="24"/>
              </w:rPr>
              <w:tab/>
              <w:t>иногда</w:t>
            </w:r>
          </w:p>
          <w:p w14:paraId="0619D224" w14:textId="77777777" w:rsidR="0048105C" w:rsidRPr="0048105C" w:rsidRDefault="0048105C" w:rsidP="0048105C">
            <w:pPr>
              <w:spacing w:after="0"/>
              <w:jc w:val="both"/>
              <w:rPr>
                <w:rFonts w:eastAsia="Times New Roman" w:cs="Times New Roman"/>
                <w:sz w:val="24"/>
                <w:szCs w:val="24"/>
              </w:rPr>
            </w:pPr>
            <w:r w:rsidRPr="0048105C">
              <w:rPr>
                <w:rFonts w:eastAsia="Times New Roman" w:cs="Times New Roman"/>
                <w:sz w:val="24"/>
                <w:szCs w:val="24"/>
              </w:rPr>
              <w:t>ограниченная доступность</w:t>
            </w:r>
          </w:p>
          <w:p w14:paraId="279F536C" w14:textId="77777777" w:rsidR="0048105C" w:rsidRPr="0048105C" w:rsidRDefault="0048105C" w:rsidP="00424F51">
            <w:pPr>
              <w:numPr>
                <w:ilvl w:val="0"/>
                <w:numId w:val="51"/>
              </w:numPr>
              <w:spacing w:after="0"/>
              <w:jc w:val="both"/>
              <w:rPr>
                <w:rFonts w:eastAsia="Times New Roman" w:cs="Times New Roman"/>
                <w:sz w:val="24"/>
                <w:szCs w:val="24"/>
              </w:rPr>
            </w:pPr>
            <w:r w:rsidRPr="0048105C">
              <w:rPr>
                <w:rFonts w:eastAsia="Times New Roman" w:cs="Times New Roman"/>
                <w:sz w:val="24"/>
                <w:szCs w:val="24"/>
              </w:rPr>
              <w:t>Может доставлять дискомфорт</w:t>
            </w:r>
          </w:p>
        </w:tc>
        <w:tc>
          <w:tcPr>
            <w:tcW w:w="4483" w:type="dxa"/>
            <w:tcBorders>
              <w:top w:val="single" w:sz="4" w:space="0" w:color="auto"/>
              <w:left w:val="single" w:sz="4" w:space="0" w:color="auto"/>
              <w:bottom w:val="single" w:sz="4" w:space="0" w:color="auto"/>
              <w:right w:val="single" w:sz="4" w:space="0" w:color="auto"/>
            </w:tcBorders>
            <w:vAlign w:val="bottom"/>
          </w:tcPr>
          <w:p w14:paraId="26500D62" w14:textId="77777777" w:rsidR="0048105C" w:rsidRPr="0048105C" w:rsidRDefault="0048105C" w:rsidP="0048105C">
            <w:pPr>
              <w:spacing w:after="0"/>
              <w:jc w:val="both"/>
              <w:rPr>
                <w:rFonts w:eastAsia="Times New Roman" w:cs="Times New Roman"/>
                <w:sz w:val="24"/>
                <w:szCs w:val="24"/>
              </w:rPr>
            </w:pPr>
            <w:r w:rsidRPr="0048105C">
              <w:rPr>
                <w:rFonts w:eastAsia="Times New Roman" w:cs="Times New Roman"/>
                <w:sz w:val="24"/>
                <w:szCs w:val="24"/>
              </w:rPr>
              <w:t>Недостатки:</w:t>
            </w:r>
          </w:p>
          <w:p w14:paraId="681E3673" w14:textId="77777777" w:rsidR="0048105C" w:rsidRPr="0048105C" w:rsidRDefault="0048105C" w:rsidP="00424F51">
            <w:pPr>
              <w:numPr>
                <w:ilvl w:val="0"/>
                <w:numId w:val="52"/>
              </w:numPr>
              <w:spacing w:after="0"/>
              <w:jc w:val="both"/>
              <w:rPr>
                <w:rFonts w:eastAsia="Times New Roman" w:cs="Times New Roman"/>
                <w:sz w:val="24"/>
                <w:szCs w:val="24"/>
              </w:rPr>
            </w:pPr>
            <w:r w:rsidRPr="0048105C">
              <w:rPr>
                <w:rFonts w:eastAsia="Times New Roman" w:cs="Times New Roman"/>
                <w:sz w:val="24"/>
                <w:szCs w:val="24"/>
              </w:rPr>
              <w:t>Возможно</w:t>
            </w:r>
            <w:r w:rsidRPr="0048105C">
              <w:rPr>
                <w:rFonts w:eastAsia="Times New Roman" w:cs="Times New Roman"/>
                <w:sz w:val="24"/>
                <w:szCs w:val="24"/>
              </w:rPr>
              <w:tab/>
              <w:t>только</w:t>
            </w:r>
            <w:r w:rsidRPr="0048105C">
              <w:rPr>
                <w:rFonts w:eastAsia="Times New Roman" w:cs="Times New Roman"/>
                <w:sz w:val="24"/>
                <w:szCs w:val="24"/>
              </w:rPr>
              <w:tab/>
              <w:t>статичное</w:t>
            </w:r>
          </w:p>
          <w:p w14:paraId="6A1BCF6A" w14:textId="77777777" w:rsidR="0048105C" w:rsidRPr="0048105C" w:rsidRDefault="0048105C" w:rsidP="0048105C">
            <w:pPr>
              <w:spacing w:after="0"/>
              <w:jc w:val="both"/>
              <w:rPr>
                <w:rFonts w:eastAsia="Times New Roman" w:cs="Times New Roman"/>
                <w:sz w:val="24"/>
                <w:szCs w:val="24"/>
              </w:rPr>
            </w:pPr>
            <w:r w:rsidRPr="0048105C">
              <w:rPr>
                <w:rFonts w:eastAsia="Times New Roman" w:cs="Times New Roman"/>
                <w:sz w:val="24"/>
                <w:szCs w:val="24"/>
              </w:rPr>
              <w:t>измерение</w:t>
            </w:r>
            <w:r w:rsidRPr="0048105C">
              <w:rPr>
                <w:rFonts w:eastAsia="Times New Roman" w:cs="Times New Roman"/>
                <w:sz w:val="24"/>
                <w:szCs w:val="24"/>
              </w:rPr>
              <w:tab/>
              <w:t>АД</w:t>
            </w:r>
            <w:r w:rsidRPr="0048105C">
              <w:rPr>
                <w:rFonts w:eastAsia="Times New Roman" w:cs="Times New Roman"/>
                <w:sz w:val="24"/>
                <w:szCs w:val="24"/>
              </w:rPr>
              <w:tab/>
              <w:t>на</w:t>
            </w:r>
            <w:r w:rsidRPr="0048105C">
              <w:rPr>
                <w:rFonts w:eastAsia="Times New Roman" w:cs="Times New Roman"/>
                <w:sz w:val="24"/>
                <w:szCs w:val="24"/>
              </w:rPr>
              <w:tab/>
              <w:t>периферических</w:t>
            </w:r>
          </w:p>
          <w:p w14:paraId="47F0F617" w14:textId="77777777" w:rsidR="0048105C" w:rsidRPr="0048105C" w:rsidRDefault="0048105C" w:rsidP="0048105C">
            <w:pPr>
              <w:spacing w:after="0"/>
              <w:jc w:val="both"/>
              <w:rPr>
                <w:rFonts w:eastAsia="Times New Roman" w:cs="Times New Roman"/>
                <w:sz w:val="24"/>
                <w:szCs w:val="24"/>
              </w:rPr>
            </w:pPr>
            <w:r w:rsidRPr="0048105C">
              <w:rPr>
                <w:rFonts w:eastAsia="Times New Roman" w:cs="Times New Roman"/>
                <w:sz w:val="24"/>
                <w:szCs w:val="24"/>
              </w:rPr>
              <w:t>артериях</w:t>
            </w:r>
          </w:p>
          <w:p w14:paraId="021DAF5E" w14:textId="77777777" w:rsidR="0048105C" w:rsidRPr="0048105C" w:rsidRDefault="0048105C" w:rsidP="00424F51">
            <w:pPr>
              <w:numPr>
                <w:ilvl w:val="0"/>
                <w:numId w:val="52"/>
              </w:numPr>
              <w:spacing w:after="0"/>
              <w:jc w:val="both"/>
              <w:rPr>
                <w:rFonts w:eastAsia="Times New Roman" w:cs="Times New Roman"/>
                <w:sz w:val="24"/>
                <w:szCs w:val="24"/>
              </w:rPr>
            </w:pPr>
            <w:r w:rsidRPr="0048105C">
              <w:rPr>
                <w:rFonts w:eastAsia="Times New Roman" w:cs="Times New Roman"/>
                <w:sz w:val="24"/>
                <w:szCs w:val="24"/>
              </w:rPr>
              <w:t>Возможны ошибки измерений</w:t>
            </w:r>
          </w:p>
          <w:p w14:paraId="47DD68EA" w14:textId="77777777" w:rsidR="0048105C" w:rsidRPr="0048105C" w:rsidRDefault="0048105C" w:rsidP="00424F51">
            <w:pPr>
              <w:numPr>
                <w:ilvl w:val="0"/>
                <w:numId w:val="52"/>
              </w:numPr>
              <w:spacing w:after="0"/>
              <w:jc w:val="both"/>
              <w:rPr>
                <w:rFonts w:eastAsia="Times New Roman" w:cs="Times New Roman"/>
                <w:sz w:val="24"/>
                <w:szCs w:val="24"/>
              </w:rPr>
            </w:pPr>
            <w:r w:rsidRPr="0048105C">
              <w:rPr>
                <w:rFonts w:eastAsia="Times New Roman" w:cs="Times New Roman"/>
                <w:sz w:val="24"/>
                <w:szCs w:val="24"/>
              </w:rPr>
              <w:t>Отсутствие ночных измерений</w:t>
            </w:r>
          </w:p>
        </w:tc>
      </w:tr>
    </w:tbl>
    <w:p w14:paraId="10805393" w14:textId="77777777" w:rsidR="00FE247E" w:rsidRPr="00FE247E" w:rsidRDefault="00FE247E" w:rsidP="00FE247E">
      <w:pPr>
        <w:spacing w:after="0" w:line="360" w:lineRule="auto"/>
        <w:jc w:val="both"/>
        <w:rPr>
          <w:rFonts w:eastAsia="Times New Roman" w:cs="Times New Roman"/>
          <w:sz w:val="24"/>
          <w:szCs w:val="24"/>
        </w:rPr>
      </w:pPr>
      <w:r w:rsidRPr="00FE247E">
        <w:rPr>
          <w:rFonts w:eastAsia="Times New Roman" w:cs="Times New Roman"/>
          <w:sz w:val="24"/>
          <w:szCs w:val="24"/>
        </w:rPr>
        <w:lastRenderedPageBreak/>
        <w:t xml:space="preserve">Примечание: *в том числе активный мониторинг АД при помощи дистанционных технологий </w:t>
      </w:r>
    </w:p>
    <w:p w14:paraId="7B28517E" w14:textId="77777777" w:rsidR="00BB6816" w:rsidRDefault="00BB6816" w:rsidP="00AB5297">
      <w:pPr>
        <w:spacing w:after="0" w:line="360" w:lineRule="auto"/>
        <w:jc w:val="both"/>
        <w:rPr>
          <w:rFonts w:eastAsia="Times New Roman" w:cs="Times New Roman"/>
          <w:sz w:val="24"/>
          <w:szCs w:val="24"/>
        </w:rPr>
      </w:pPr>
    </w:p>
    <w:p w14:paraId="13EA6A31" w14:textId="77777777" w:rsidR="002E0EFB" w:rsidRDefault="0048105C" w:rsidP="002E0EFB">
      <w:pPr>
        <w:spacing w:after="0" w:line="360" w:lineRule="auto"/>
        <w:jc w:val="right"/>
        <w:rPr>
          <w:rFonts w:eastAsia="Times New Roman" w:cs="Times New Roman"/>
          <w:b/>
          <w:bCs/>
          <w:sz w:val="24"/>
          <w:szCs w:val="24"/>
        </w:rPr>
      </w:pPr>
      <w:r w:rsidRPr="0048105C">
        <w:rPr>
          <w:rFonts w:eastAsia="Times New Roman" w:cs="Times New Roman"/>
          <w:b/>
          <w:bCs/>
          <w:sz w:val="24"/>
          <w:szCs w:val="24"/>
        </w:rPr>
        <w:t>Таблица П12/</w:t>
      </w:r>
      <w:r w:rsidR="00FB33EA">
        <w:rPr>
          <w:rFonts w:eastAsia="Times New Roman" w:cs="Times New Roman"/>
          <w:b/>
          <w:bCs/>
          <w:sz w:val="24"/>
          <w:szCs w:val="24"/>
        </w:rPr>
        <w:t>А2</w:t>
      </w:r>
      <w:r w:rsidRPr="0048105C">
        <w:rPr>
          <w:rFonts w:eastAsia="Times New Roman" w:cs="Times New Roman"/>
          <w:b/>
          <w:bCs/>
          <w:sz w:val="24"/>
          <w:szCs w:val="24"/>
        </w:rPr>
        <w:t xml:space="preserve">. </w:t>
      </w:r>
    </w:p>
    <w:p w14:paraId="3DCC4246" w14:textId="7DDC9FC6" w:rsidR="0048105C" w:rsidRPr="0048105C" w:rsidRDefault="0048105C" w:rsidP="0048105C">
      <w:pPr>
        <w:spacing w:after="0" w:line="360" w:lineRule="auto"/>
        <w:jc w:val="both"/>
        <w:rPr>
          <w:rFonts w:eastAsia="Times New Roman" w:cs="Times New Roman"/>
          <w:b/>
          <w:bCs/>
          <w:sz w:val="24"/>
          <w:szCs w:val="24"/>
        </w:rPr>
      </w:pPr>
      <w:r w:rsidRPr="0048105C">
        <w:rPr>
          <w:rFonts w:eastAsia="Times New Roman" w:cs="Times New Roman"/>
          <w:b/>
          <w:bCs/>
          <w:sz w:val="24"/>
          <w:szCs w:val="24"/>
        </w:rPr>
        <w:t xml:space="preserve">Определение артериальной гипертензии в зависимости от метода измерения АД: измеренного в медицинском учреждении, СМАД или ДМАД* </w:t>
      </w:r>
      <w:r w:rsidRPr="0048105C">
        <w:rPr>
          <w:rFonts w:eastAsia="Times New Roman" w:cs="Times New Roman"/>
          <w:sz w:val="24"/>
          <w:szCs w:val="24"/>
        </w:rPr>
        <w:t>[136]</w:t>
      </w:r>
      <w:r w:rsidRPr="0048105C">
        <w:rPr>
          <w:rFonts w:eastAsia="Times New Roman" w:cs="Times New Roman"/>
          <w:b/>
          <w:bCs/>
          <w:sz w:val="24"/>
          <w:szCs w:val="24"/>
        </w:rPr>
        <w:t xml:space="preserve"> </w:t>
      </w:r>
    </w:p>
    <w:tbl>
      <w:tblPr>
        <w:tblW w:w="9547" w:type="dxa"/>
        <w:tblInd w:w="-5" w:type="dxa"/>
        <w:tblLayout w:type="fixed"/>
        <w:tblCellMar>
          <w:left w:w="0" w:type="dxa"/>
          <w:right w:w="0" w:type="dxa"/>
        </w:tblCellMar>
        <w:tblLook w:val="0000" w:firstRow="0" w:lastRow="0" w:firstColumn="0" w:lastColumn="0" w:noHBand="0" w:noVBand="0"/>
      </w:tblPr>
      <w:tblGrid>
        <w:gridCol w:w="1790"/>
        <w:gridCol w:w="1786"/>
        <w:gridCol w:w="466"/>
        <w:gridCol w:w="1325"/>
        <w:gridCol w:w="451"/>
        <w:gridCol w:w="1166"/>
        <w:gridCol w:w="168"/>
        <w:gridCol w:w="2395"/>
      </w:tblGrid>
      <w:tr w:rsidR="0006542A" w:rsidRPr="0006542A" w14:paraId="43B1CC08" w14:textId="77777777" w:rsidTr="00FE247E">
        <w:trPr>
          <w:trHeight w:val="566"/>
        </w:trPr>
        <w:tc>
          <w:tcPr>
            <w:tcW w:w="4042" w:type="dxa"/>
            <w:gridSpan w:val="3"/>
            <w:tcBorders>
              <w:top w:val="single" w:sz="4" w:space="0" w:color="auto"/>
              <w:left w:val="single" w:sz="4" w:space="0" w:color="auto"/>
              <w:bottom w:val="nil"/>
              <w:right w:val="nil"/>
            </w:tcBorders>
          </w:tcPr>
          <w:p w14:paraId="60174009" w14:textId="77777777" w:rsidR="0006542A" w:rsidRPr="0006542A" w:rsidRDefault="0006542A" w:rsidP="0006542A">
            <w:pPr>
              <w:spacing w:after="0" w:line="360" w:lineRule="auto"/>
              <w:jc w:val="both"/>
              <w:rPr>
                <w:rFonts w:eastAsia="Times New Roman" w:cs="Times New Roman"/>
                <w:sz w:val="24"/>
                <w:szCs w:val="24"/>
              </w:rPr>
            </w:pPr>
            <w:r w:rsidRPr="0006542A">
              <w:rPr>
                <w:rFonts w:eastAsia="Times New Roman" w:cs="Times New Roman"/>
                <w:b/>
                <w:bCs/>
                <w:sz w:val="24"/>
                <w:szCs w:val="24"/>
              </w:rPr>
              <w:t>Категория</w:t>
            </w:r>
          </w:p>
        </w:tc>
        <w:tc>
          <w:tcPr>
            <w:tcW w:w="1776" w:type="dxa"/>
            <w:gridSpan w:val="2"/>
            <w:tcBorders>
              <w:top w:val="single" w:sz="4" w:space="0" w:color="auto"/>
              <w:left w:val="single" w:sz="4" w:space="0" w:color="auto"/>
              <w:bottom w:val="nil"/>
              <w:right w:val="nil"/>
            </w:tcBorders>
          </w:tcPr>
          <w:p w14:paraId="7700737B" w14:textId="77777777" w:rsidR="0006542A" w:rsidRPr="0006542A" w:rsidRDefault="0006542A" w:rsidP="0006542A">
            <w:pPr>
              <w:spacing w:after="0" w:line="360" w:lineRule="auto"/>
              <w:jc w:val="both"/>
              <w:rPr>
                <w:rFonts w:eastAsia="Times New Roman" w:cs="Times New Roman"/>
                <w:sz w:val="24"/>
                <w:szCs w:val="24"/>
              </w:rPr>
            </w:pPr>
            <w:r w:rsidRPr="0006542A">
              <w:rPr>
                <w:rFonts w:eastAsia="Times New Roman" w:cs="Times New Roman"/>
                <w:b/>
                <w:bCs/>
                <w:sz w:val="24"/>
                <w:szCs w:val="24"/>
              </w:rPr>
              <w:t>САД (мм рт.</w:t>
            </w:r>
          </w:p>
        </w:tc>
        <w:tc>
          <w:tcPr>
            <w:tcW w:w="1166" w:type="dxa"/>
            <w:tcBorders>
              <w:top w:val="single" w:sz="4" w:space="0" w:color="auto"/>
              <w:left w:val="single" w:sz="4" w:space="0" w:color="auto"/>
              <w:bottom w:val="nil"/>
              <w:right w:val="nil"/>
            </w:tcBorders>
          </w:tcPr>
          <w:p w14:paraId="675B2A32" w14:textId="77777777" w:rsidR="0006542A" w:rsidRPr="0006542A" w:rsidRDefault="0006542A" w:rsidP="0006542A">
            <w:pPr>
              <w:spacing w:after="0" w:line="360" w:lineRule="auto"/>
              <w:jc w:val="both"/>
              <w:rPr>
                <w:rFonts w:eastAsia="Times New Roman" w:cs="Times New Roman"/>
                <w:sz w:val="24"/>
                <w:szCs w:val="24"/>
              </w:rPr>
            </w:pPr>
          </w:p>
        </w:tc>
        <w:tc>
          <w:tcPr>
            <w:tcW w:w="2563" w:type="dxa"/>
            <w:gridSpan w:val="2"/>
            <w:tcBorders>
              <w:top w:val="single" w:sz="4" w:space="0" w:color="auto"/>
              <w:left w:val="single" w:sz="4" w:space="0" w:color="auto"/>
              <w:bottom w:val="nil"/>
              <w:right w:val="single" w:sz="4" w:space="0" w:color="auto"/>
            </w:tcBorders>
          </w:tcPr>
          <w:p w14:paraId="2F6EAB63" w14:textId="77777777" w:rsidR="0006542A" w:rsidRPr="0006542A" w:rsidRDefault="0006542A" w:rsidP="0006542A">
            <w:pPr>
              <w:spacing w:after="0" w:line="360" w:lineRule="auto"/>
              <w:jc w:val="both"/>
              <w:rPr>
                <w:rFonts w:eastAsia="Times New Roman" w:cs="Times New Roman"/>
                <w:sz w:val="24"/>
                <w:szCs w:val="24"/>
              </w:rPr>
            </w:pPr>
            <w:r w:rsidRPr="0006542A">
              <w:rPr>
                <w:rFonts w:eastAsia="Times New Roman" w:cs="Times New Roman"/>
                <w:b/>
                <w:bCs/>
                <w:sz w:val="24"/>
                <w:szCs w:val="24"/>
              </w:rPr>
              <w:t>ДАД (мм рт. ст.)</w:t>
            </w:r>
          </w:p>
        </w:tc>
      </w:tr>
      <w:tr w:rsidR="0006542A" w:rsidRPr="0006542A" w14:paraId="0414062E" w14:textId="77777777" w:rsidTr="00FE247E">
        <w:trPr>
          <w:trHeight w:val="557"/>
        </w:trPr>
        <w:tc>
          <w:tcPr>
            <w:tcW w:w="4042" w:type="dxa"/>
            <w:gridSpan w:val="3"/>
            <w:tcBorders>
              <w:top w:val="single" w:sz="4" w:space="0" w:color="auto"/>
              <w:left w:val="single" w:sz="4" w:space="0" w:color="auto"/>
              <w:bottom w:val="nil"/>
              <w:right w:val="nil"/>
            </w:tcBorders>
            <w:vAlign w:val="bottom"/>
          </w:tcPr>
          <w:p w14:paraId="16ED2B4C"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 xml:space="preserve">АД, измеренное в медицинском </w:t>
            </w:r>
            <w:proofErr w:type="gramStart"/>
            <w:r w:rsidRPr="0006542A">
              <w:rPr>
                <w:rFonts w:eastAsia="Times New Roman" w:cs="Times New Roman"/>
                <w:sz w:val="24"/>
                <w:szCs w:val="24"/>
              </w:rPr>
              <w:t>учреждении</w:t>
            </w:r>
            <w:proofErr w:type="gramEnd"/>
            <w:r w:rsidRPr="0006542A">
              <w:rPr>
                <w:rFonts w:eastAsia="Times New Roman" w:cs="Times New Roman"/>
                <w:sz w:val="24"/>
                <w:szCs w:val="24"/>
              </w:rPr>
              <w:t xml:space="preserve"> </w:t>
            </w:r>
            <w:r w:rsidRPr="0006542A">
              <w:rPr>
                <w:rFonts w:eastAsia="Times New Roman" w:cs="Times New Roman"/>
                <w:sz w:val="24"/>
                <w:szCs w:val="24"/>
                <w:vertAlign w:val="superscript"/>
              </w:rPr>
              <w:t>а</w:t>
            </w:r>
          </w:p>
        </w:tc>
        <w:tc>
          <w:tcPr>
            <w:tcW w:w="1776" w:type="dxa"/>
            <w:gridSpan w:val="2"/>
            <w:tcBorders>
              <w:top w:val="single" w:sz="4" w:space="0" w:color="auto"/>
              <w:left w:val="single" w:sz="4" w:space="0" w:color="auto"/>
              <w:bottom w:val="nil"/>
              <w:right w:val="nil"/>
            </w:tcBorders>
          </w:tcPr>
          <w:p w14:paraId="23A2B4AA"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≥140</w:t>
            </w:r>
          </w:p>
        </w:tc>
        <w:tc>
          <w:tcPr>
            <w:tcW w:w="1166" w:type="dxa"/>
            <w:tcBorders>
              <w:top w:val="single" w:sz="4" w:space="0" w:color="auto"/>
              <w:left w:val="single" w:sz="4" w:space="0" w:color="auto"/>
              <w:bottom w:val="nil"/>
              <w:right w:val="nil"/>
            </w:tcBorders>
          </w:tcPr>
          <w:p w14:paraId="33F99E1F"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и/или</w:t>
            </w:r>
          </w:p>
        </w:tc>
        <w:tc>
          <w:tcPr>
            <w:tcW w:w="2563" w:type="dxa"/>
            <w:gridSpan w:val="2"/>
            <w:tcBorders>
              <w:top w:val="single" w:sz="4" w:space="0" w:color="auto"/>
              <w:left w:val="single" w:sz="4" w:space="0" w:color="auto"/>
              <w:bottom w:val="nil"/>
              <w:right w:val="single" w:sz="4" w:space="0" w:color="auto"/>
            </w:tcBorders>
          </w:tcPr>
          <w:p w14:paraId="0A33E63A"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≥90</w:t>
            </w:r>
          </w:p>
        </w:tc>
      </w:tr>
      <w:tr w:rsidR="0006542A" w:rsidRPr="0006542A" w14:paraId="49C2CA1A" w14:textId="77777777" w:rsidTr="00FE247E">
        <w:trPr>
          <w:trHeight w:val="293"/>
        </w:trPr>
        <w:tc>
          <w:tcPr>
            <w:tcW w:w="4042" w:type="dxa"/>
            <w:gridSpan w:val="3"/>
            <w:tcBorders>
              <w:top w:val="single" w:sz="4" w:space="0" w:color="auto"/>
              <w:left w:val="single" w:sz="4" w:space="0" w:color="auto"/>
              <w:bottom w:val="nil"/>
              <w:right w:val="nil"/>
            </w:tcBorders>
            <w:vAlign w:val="bottom"/>
          </w:tcPr>
          <w:p w14:paraId="0F3DD4A7"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Амбулаторное АД</w:t>
            </w:r>
          </w:p>
        </w:tc>
        <w:tc>
          <w:tcPr>
            <w:tcW w:w="1776" w:type="dxa"/>
            <w:gridSpan w:val="2"/>
            <w:tcBorders>
              <w:top w:val="single" w:sz="4" w:space="0" w:color="auto"/>
              <w:left w:val="single" w:sz="4" w:space="0" w:color="auto"/>
              <w:bottom w:val="nil"/>
              <w:right w:val="nil"/>
            </w:tcBorders>
          </w:tcPr>
          <w:p w14:paraId="5213B826" w14:textId="77777777" w:rsidR="0006542A" w:rsidRPr="0006542A" w:rsidRDefault="0006542A" w:rsidP="00FE247E">
            <w:pPr>
              <w:spacing w:after="0"/>
              <w:jc w:val="both"/>
              <w:rPr>
                <w:rFonts w:eastAsia="Times New Roman" w:cs="Times New Roman"/>
                <w:sz w:val="24"/>
                <w:szCs w:val="24"/>
              </w:rPr>
            </w:pPr>
          </w:p>
        </w:tc>
        <w:tc>
          <w:tcPr>
            <w:tcW w:w="1166" w:type="dxa"/>
            <w:tcBorders>
              <w:top w:val="single" w:sz="4" w:space="0" w:color="auto"/>
              <w:left w:val="single" w:sz="4" w:space="0" w:color="auto"/>
              <w:bottom w:val="nil"/>
              <w:right w:val="nil"/>
            </w:tcBorders>
          </w:tcPr>
          <w:p w14:paraId="598C6D75" w14:textId="77777777" w:rsidR="0006542A" w:rsidRPr="0006542A" w:rsidRDefault="0006542A" w:rsidP="00FE247E">
            <w:pPr>
              <w:spacing w:after="0"/>
              <w:jc w:val="both"/>
              <w:rPr>
                <w:rFonts w:eastAsia="Times New Roman" w:cs="Times New Roman"/>
                <w:sz w:val="24"/>
                <w:szCs w:val="24"/>
              </w:rPr>
            </w:pPr>
          </w:p>
        </w:tc>
        <w:tc>
          <w:tcPr>
            <w:tcW w:w="2563" w:type="dxa"/>
            <w:gridSpan w:val="2"/>
            <w:tcBorders>
              <w:top w:val="single" w:sz="4" w:space="0" w:color="auto"/>
              <w:left w:val="single" w:sz="4" w:space="0" w:color="auto"/>
              <w:bottom w:val="nil"/>
              <w:right w:val="single" w:sz="4" w:space="0" w:color="auto"/>
            </w:tcBorders>
          </w:tcPr>
          <w:p w14:paraId="7B5011AB" w14:textId="77777777" w:rsidR="0006542A" w:rsidRPr="0006542A" w:rsidRDefault="0006542A" w:rsidP="00FE247E">
            <w:pPr>
              <w:spacing w:after="0"/>
              <w:jc w:val="both"/>
              <w:rPr>
                <w:rFonts w:eastAsia="Times New Roman" w:cs="Times New Roman"/>
                <w:sz w:val="24"/>
                <w:szCs w:val="24"/>
              </w:rPr>
            </w:pPr>
          </w:p>
        </w:tc>
      </w:tr>
      <w:tr w:rsidR="0006542A" w:rsidRPr="0006542A" w14:paraId="4A4F3EB6" w14:textId="77777777" w:rsidTr="00FE247E">
        <w:trPr>
          <w:trHeight w:val="557"/>
        </w:trPr>
        <w:tc>
          <w:tcPr>
            <w:tcW w:w="4042" w:type="dxa"/>
            <w:gridSpan w:val="3"/>
            <w:tcBorders>
              <w:top w:val="single" w:sz="4" w:space="0" w:color="auto"/>
              <w:left w:val="single" w:sz="4" w:space="0" w:color="auto"/>
              <w:bottom w:val="nil"/>
              <w:right w:val="nil"/>
            </w:tcBorders>
            <w:vAlign w:val="bottom"/>
          </w:tcPr>
          <w:p w14:paraId="50D02062"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Дневное</w:t>
            </w:r>
            <w:r w:rsidRPr="0006542A">
              <w:rPr>
                <w:rFonts w:eastAsia="Times New Roman" w:cs="Times New Roman"/>
                <w:sz w:val="24"/>
                <w:szCs w:val="24"/>
              </w:rPr>
              <w:tab/>
              <w:t>(или</w:t>
            </w:r>
            <w:r w:rsidRPr="0006542A">
              <w:rPr>
                <w:rFonts w:eastAsia="Times New Roman" w:cs="Times New Roman"/>
                <w:sz w:val="24"/>
                <w:szCs w:val="24"/>
              </w:rPr>
              <w:tab/>
              <w:t>в</w:t>
            </w:r>
            <w:r w:rsidRPr="0006542A">
              <w:rPr>
                <w:rFonts w:eastAsia="Times New Roman" w:cs="Times New Roman"/>
                <w:sz w:val="24"/>
                <w:szCs w:val="24"/>
              </w:rPr>
              <w:tab/>
              <w:t>период</w:t>
            </w:r>
          </w:p>
          <w:p w14:paraId="5B7740BE"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бодрствования), среднее</w:t>
            </w:r>
          </w:p>
        </w:tc>
        <w:tc>
          <w:tcPr>
            <w:tcW w:w="1776" w:type="dxa"/>
            <w:gridSpan w:val="2"/>
            <w:tcBorders>
              <w:top w:val="single" w:sz="4" w:space="0" w:color="auto"/>
              <w:left w:val="single" w:sz="4" w:space="0" w:color="auto"/>
              <w:bottom w:val="nil"/>
              <w:right w:val="nil"/>
            </w:tcBorders>
          </w:tcPr>
          <w:p w14:paraId="08FB9D82"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≥135</w:t>
            </w:r>
          </w:p>
        </w:tc>
        <w:tc>
          <w:tcPr>
            <w:tcW w:w="1166" w:type="dxa"/>
            <w:tcBorders>
              <w:top w:val="single" w:sz="4" w:space="0" w:color="auto"/>
              <w:left w:val="single" w:sz="4" w:space="0" w:color="auto"/>
              <w:bottom w:val="nil"/>
              <w:right w:val="nil"/>
            </w:tcBorders>
          </w:tcPr>
          <w:p w14:paraId="37D62798"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и/или</w:t>
            </w:r>
          </w:p>
        </w:tc>
        <w:tc>
          <w:tcPr>
            <w:tcW w:w="2563" w:type="dxa"/>
            <w:gridSpan w:val="2"/>
            <w:tcBorders>
              <w:top w:val="single" w:sz="4" w:space="0" w:color="auto"/>
              <w:left w:val="single" w:sz="4" w:space="0" w:color="auto"/>
              <w:bottom w:val="nil"/>
              <w:right w:val="single" w:sz="4" w:space="0" w:color="auto"/>
            </w:tcBorders>
          </w:tcPr>
          <w:p w14:paraId="2DB9C1DE"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≥85</w:t>
            </w:r>
          </w:p>
        </w:tc>
      </w:tr>
      <w:tr w:rsidR="0006542A" w:rsidRPr="0006542A" w14:paraId="2D8910B5" w14:textId="77777777" w:rsidTr="00FE247E">
        <w:trPr>
          <w:trHeight w:val="293"/>
        </w:trPr>
        <w:tc>
          <w:tcPr>
            <w:tcW w:w="4042" w:type="dxa"/>
            <w:gridSpan w:val="3"/>
            <w:tcBorders>
              <w:top w:val="single" w:sz="4" w:space="0" w:color="auto"/>
              <w:left w:val="single" w:sz="4" w:space="0" w:color="auto"/>
              <w:bottom w:val="nil"/>
              <w:right w:val="nil"/>
            </w:tcBorders>
            <w:vAlign w:val="bottom"/>
          </w:tcPr>
          <w:p w14:paraId="5D259685"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Ночное (или во время сна), среднее</w:t>
            </w:r>
          </w:p>
        </w:tc>
        <w:tc>
          <w:tcPr>
            <w:tcW w:w="1776" w:type="dxa"/>
            <w:gridSpan w:val="2"/>
            <w:tcBorders>
              <w:top w:val="single" w:sz="4" w:space="0" w:color="auto"/>
              <w:left w:val="single" w:sz="4" w:space="0" w:color="auto"/>
              <w:bottom w:val="nil"/>
              <w:right w:val="nil"/>
            </w:tcBorders>
            <w:vAlign w:val="bottom"/>
          </w:tcPr>
          <w:p w14:paraId="060C5452"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≥120</w:t>
            </w:r>
          </w:p>
        </w:tc>
        <w:tc>
          <w:tcPr>
            <w:tcW w:w="1166" w:type="dxa"/>
            <w:tcBorders>
              <w:top w:val="single" w:sz="4" w:space="0" w:color="auto"/>
              <w:left w:val="single" w:sz="4" w:space="0" w:color="auto"/>
              <w:bottom w:val="nil"/>
              <w:right w:val="nil"/>
            </w:tcBorders>
            <w:vAlign w:val="bottom"/>
          </w:tcPr>
          <w:p w14:paraId="220B85C3"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и/или</w:t>
            </w:r>
          </w:p>
        </w:tc>
        <w:tc>
          <w:tcPr>
            <w:tcW w:w="2563" w:type="dxa"/>
            <w:gridSpan w:val="2"/>
            <w:tcBorders>
              <w:top w:val="single" w:sz="4" w:space="0" w:color="auto"/>
              <w:left w:val="single" w:sz="4" w:space="0" w:color="auto"/>
              <w:bottom w:val="nil"/>
              <w:right w:val="single" w:sz="4" w:space="0" w:color="auto"/>
            </w:tcBorders>
            <w:vAlign w:val="bottom"/>
          </w:tcPr>
          <w:p w14:paraId="2F17579E"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≥70</w:t>
            </w:r>
          </w:p>
        </w:tc>
      </w:tr>
      <w:tr w:rsidR="0006542A" w:rsidRPr="0006542A" w14:paraId="3DB8B569" w14:textId="77777777" w:rsidTr="00FE247E">
        <w:trPr>
          <w:trHeight w:val="278"/>
        </w:trPr>
        <w:tc>
          <w:tcPr>
            <w:tcW w:w="4042" w:type="dxa"/>
            <w:gridSpan w:val="3"/>
            <w:tcBorders>
              <w:top w:val="single" w:sz="4" w:space="0" w:color="auto"/>
              <w:left w:val="single" w:sz="4" w:space="0" w:color="auto"/>
              <w:bottom w:val="nil"/>
              <w:right w:val="nil"/>
            </w:tcBorders>
            <w:vAlign w:val="bottom"/>
          </w:tcPr>
          <w:p w14:paraId="7E52AE17"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Среднее за 24 часа</w:t>
            </w:r>
          </w:p>
        </w:tc>
        <w:tc>
          <w:tcPr>
            <w:tcW w:w="1776" w:type="dxa"/>
            <w:gridSpan w:val="2"/>
            <w:tcBorders>
              <w:top w:val="single" w:sz="4" w:space="0" w:color="auto"/>
              <w:left w:val="single" w:sz="4" w:space="0" w:color="auto"/>
              <w:bottom w:val="nil"/>
              <w:right w:val="nil"/>
            </w:tcBorders>
            <w:vAlign w:val="bottom"/>
          </w:tcPr>
          <w:p w14:paraId="44EDAD5A"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≥130</w:t>
            </w:r>
          </w:p>
        </w:tc>
        <w:tc>
          <w:tcPr>
            <w:tcW w:w="1166" w:type="dxa"/>
            <w:tcBorders>
              <w:top w:val="single" w:sz="4" w:space="0" w:color="auto"/>
              <w:left w:val="single" w:sz="4" w:space="0" w:color="auto"/>
              <w:bottom w:val="nil"/>
              <w:right w:val="nil"/>
            </w:tcBorders>
            <w:vAlign w:val="bottom"/>
          </w:tcPr>
          <w:p w14:paraId="6D203F6B"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и/или</w:t>
            </w:r>
          </w:p>
        </w:tc>
        <w:tc>
          <w:tcPr>
            <w:tcW w:w="2563" w:type="dxa"/>
            <w:gridSpan w:val="2"/>
            <w:tcBorders>
              <w:top w:val="single" w:sz="4" w:space="0" w:color="auto"/>
              <w:left w:val="single" w:sz="4" w:space="0" w:color="auto"/>
              <w:bottom w:val="nil"/>
              <w:right w:val="single" w:sz="4" w:space="0" w:color="auto"/>
            </w:tcBorders>
            <w:vAlign w:val="bottom"/>
          </w:tcPr>
          <w:p w14:paraId="092DD107"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≥80</w:t>
            </w:r>
          </w:p>
        </w:tc>
      </w:tr>
      <w:tr w:rsidR="0006542A" w:rsidRPr="0006542A" w14:paraId="19CD7E0C" w14:textId="77777777" w:rsidTr="00FE247E">
        <w:trPr>
          <w:trHeight w:val="293"/>
        </w:trPr>
        <w:tc>
          <w:tcPr>
            <w:tcW w:w="4042" w:type="dxa"/>
            <w:gridSpan w:val="3"/>
            <w:tcBorders>
              <w:top w:val="single" w:sz="4" w:space="0" w:color="auto"/>
              <w:left w:val="single" w:sz="4" w:space="0" w:color="auto"/>
              <w:bottom w:val="nil"/>
              <w:right w:val="nil"/>
            </w:tcBorders>
            <w:vAlign w:val="bottom"/>
          </w:tcPr>
          <w:p w14:paraId="72145C00"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Среднее при домашних измерениях</w:t>
            </w:r>
          </w:p>
        </w:tc>
        <w:tc>
          <w:tcPr>
            <w:tcW w:w="1776" w:type="dxa"/>
            <w:gridSpan w:val="2"/>
            <w:tcBorders>
              <w:top w:val="single" w:sz="4" w:space="0" w:color="auto"/>
              <w:left w:val="single" w:sz="4" w:space="0" w:color="auto"/>
              <w:bottom w:val="nil"/>
              <w:right w:val="nil"/>
            </w:tcBorders>
            <w:vAlign w:val="bottom"/>
          </w:tcPr>
          <w:p w14:paraId="121A6A8F"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≥135</w:t>
            </w:r>
          </w:p>
        </w:tc>
        <w:tc>
          <w:tcPr>
            <w:tcW w:w="1166" w:type="dxa"/>
            <w:tcBorders>
              <w:top w:val="single" w:sz="4" w:space="0" w:color="auto"/>
              <w:left w:val="single" w:sz="4" w:space="0" w:color="auto"/>
              <w:bottom w:val="nil"/>
              <w:right w:val="nil"/>
            </w:tcBorders>
            <w:vAlign w:val="bottom"/>
          </w:tcPr>
          <w:p w14:paraId="1A769B7C"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и/или</w:t>
            </w:r>
          </w:p>
        </w:tc>
        <w:tc>
          <w:tcPr>
            <w:tcW w:w="2563" w:type="dxa"/>
            <w:gridSpan w:val="2"/>
            <w:tcBorders>
              <w:top w:val="single" w:sz="4" w:space="0" w:color="auto"/>
              <w:left w:val="single" w:sz="4" w:space="0" w:color="auto"/>
              <w:bottom w:val="nil"/>
              <w:right w:val="single" w:sz="4" w:space="0" w:color="auto"/>
            </w:tcBorders>
            <w:vAlign w:val="bottom"/>
          </w:tcPr>
          <w:p w14:paraId="5337ABFA"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≥85</w:t>
            </w:r>
          </w:p>
        </w:tc>
      </w:tr>
      <w:tr w:rsidR="0006542A" w:rsidRPr="0006542A" w14:paraId="14776893" w14:textId="77777777" w:rsidTr="00FE247E">
        <w:trPr>
          <w:trHeight w:val="562"/>
        </w:trPr>
        <w:tc>
          <w:tcPr>
            <w:tcW w:w="9547" w:type="dxa"/>
            <w:gridSpan w:val="8"/>
            <w:tcBorders>
              <w:top w:val="single" w:sz="4" w:space="0" w:color="auto"/>
              <w:left w:val="single" w:sz="4" w:space="0" w:color="auto"/>
              <w:bottom w:val="nil"/>
              <w:right w:val="single" w:sz="4" w:space="0" w:color="auto"/>
            </w:tcBorders>
            <w:vAlign w:val="bottom"/>
          </w:tcPr>
          <w:p w14:paraId="7B695F3C"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b/>
                <w:bCs/>
                <w:sz w:val="24"/>
                <w:szCs w:val="24"/>
              </w:rPr>
              <w:t>Соответствующие значения САД/ДАД для клинического, ДАД, дневного, ночного и асового СМАД</w:t>
            </w:r>
          </w:p>
        </w:tc>
      </w:tr>
      <w:tr w:rsidR="0006542A" w:rsidRPr="0006542A" w14:paraId="466EC7A0" w14:textId="77777777" w:rsidTr="00FE247E">
        <w:trPr>
          <w:trHeight w:val="562"/>
        </w:trPr>
        <w:tc>
          <w:tcPr>
            <w:tcW w:w="1790" w:type="dxa"/>
            <w:tcBorders>
              <w:top w:val="single" w:sz="4" w:space="0" w:color="auto"/>
              <w:left w:val="single" w:sz="4" w:space="0" w:color="auto"/>
              <w:bottom w:val="nil"/>
              <w:right w:val="nil"/>
            </w:tcBorders>
          </w:tcPr>
          <w:p w14:paraId="43F398E8"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Клиническое</w:t>
            </w:r>
          </w:p>
        </w:tc>
        <w:tc>
          <w:tcPr>
            <w:tcW w:w="1786" w:type="dxa"/>
            <w:tcBorders>
              <w:top w:val="single" w:sz="4" w:space="0" w:color="auto"/>
              <w:left w:val="single" w:sz="4" w:space="0" w:color="auto"/>
              <w:bottom w:val="nil"/>
              <w:right w:val="nil"/>
            </w:tcBorders>
          </w:tcPr>
          <w:p w14:paraId="733DDD63"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ДМАД*</w:t>
            </w:r>
          </w:p>
        </w:tc>
        <w:tc>
          <w:tcPr>
            <w:tcW w:w="1791" w:type="dxa"/>
            <w:gridSpan w:val="2"/>
            <w:tcBorders>
              <w:top w:val="single" w:sz="4" w:space="0" w:color="auto"/>
              <w:left w:val="single" w:sz="4" w:space="0" w:color="auto"/>
              <w:bottom w:val="nil"/>
              <w:right w:val="nil"/>
            </w:tcBorders>
            <w:vAlign w:val="bottom"/>
          </w:tcPr>
          <w:p w14:paraId="27630864"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Среднедневное</w:t>
            </w:r>
          </w:p>
          <w:p w14:paraId="1D45ADAF"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СМАД)</w:t>
            </w:r>
          </w:p>
        </w:tc>
        <w:tc>
          <w:tcPr>
            <w:tcW w:w="1785" w:type="dxa"/>
            <w:gridSpan w:val="3"/>
            <w:tcBorders>
              <w:top w:val="single" w:sz="4" w:space="0" w:color="auto"/>
              <w:left w:val="single" w:sz="4" w:space="0" w:color="auto"/>
              <w:bottom w:val="nil"/>
              <w:right w:val="nil"/>
            </w:tcBorders>
            <w:vAlign w:val="bottom"/>
          </w:tcPr>
          <w:p w14:paraId="1524E5BF"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Средненочное</w:t>
            </w:r>
          </w:p>
          <w:p w14:paraId="438E9BB1"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СМАД)</w:t>
            </w:r>
          </w:p>
        </w:tc>
        <w:tc>
          <w:tcPr>
            <w:tcW w:w="2395" w:type="dxa"/>
            <w:tcBorders>
              <w:top w:val="single" w:sz="4" w:space="0" w:color="auto"/>
              <w:left w:val="single" w:sz="4" w:space="0" w:color="auto"/>
              <w:bottom w:val="nil"/>
              <w:right w:val="single" w:sz="4" w:space="0" w:color="auto"/>
            </w:tcBorders>
            <w:vAlign w:val="bottom"/>
          </w:tcPr>
          <w:p w14:paraId="50F79DD5"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Среднесуточное АД)</w:t>
            </w:r>
          </w:p>
        </w:tc>
      </w:tr>
      <w:tr w:rsidR="0006542A" w:rsidRPr="0006542A" w14:paraId="08289E20" w14:textId="77777777" w:rsidTr="00FE247E">
        <w:trPr>
          <w:trHeight w:val="288"/>
        </w:trPr>
        <w:tc>
          <w:tcPr>
            <w:tcW w:w="1790" w:type="dxa"/>
            <w:tcBorders>
              <w:top w:val="single" w:sz="4" w:space="0" w:color="auto"/>
              <w:left w:val="single" w:sz="4" w:space="0" w:color="auto"/>
              <w:bottom w:val="nil"/>
              <w:right w:val="nil"/>
            </w:tcBorders>
            <w:vAlign w:val="bottom"/>
          </w:tcPr>
          <w:p w14:paraId="22ED1766"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120/80</w:t>
            </w:r>
          </w:p>
        </w:tc>
        <w:tc>
          <w:tcPr>
            <w:tcW w:w="1786" w:type="dxa"/>
            <w:tcBorders>
              <w:top w:val="single" w:sz="4" w:space="0" w:color="auto"/>
              <w:left w:val="single" w:sz="4" w:space="0" w:color="auto"/>
              <w:bottom w:val="nil"/>
              <w:right w:val="nil"/>
            </w:tcBorders>
            <w:vAlign w:val="bottom"/>
          </w:tcPr>
          <w:p w14:paraId="7CA76876"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120/80</w:t>
            </w:r>
          </w:p>
        </w:tc>
        <w:tc>
          <w:tcPr>
            <w:tcW w:w="1791" w:type="dxa"/>
            <w:gridSpan w:val="2"/>
            <w:tcBorders>
              <w:top w:val="single" w:sz="4" w:space="0" w:color="auto"/>
              <w:left w:val="single" w:sz="4" w:space="0" w:color="auto"/>
              <w:bottom w:val="nil"/>
              <w:right w:val="nil"/>
            </w:tcBorders>
            <w:vAlign w:val="bottom"/>
          </w:tcPr>
          <w:p w14:paraId="3D5F70DA"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120/80</w:t>
            </w:r>
          </w:p>
        </w:tc>
        <w:tc>
          <w:tcPr>
            <w:tcW w:w="1785" w:type="dxa"/>
            <w:gridSpan w:val="3"/>
            <w:tcBorders>
              <w:top w:val="single" w:sz="4" w:space="0" w:color="auto"/>
              <w:left w:val="single" w:sz="4" w:space="0" w:color="auto"/>
              <w:bottom w:val="nil"/>
              <w:right w:val="nil"/>
            </w:tcBorders>
            <w:vAlign w:val="bottom"/>
          </w:tcPr>
          <w:p w14:paraId="117929F3"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100/65</w:t>
            </w:r>
          </w:p>
        </w:tc>
        <w:tc>
          <w:tcPr>
            <w:tcW w:w="2395" w:type="dxa"/>
            <w:tcBorders>
              <w:top w:val="single" w:sz="4" w:space="0" w:color="auto"/>
              <w:left w:val="single" w:sz="4" w:space="0" w:color="auto"/>
              <w:bottom w:val="nil"/>
              <w:right w:val="single" w:sz="4" w:space="0" w:color="auto"/>
            </w:tcBorders>
            <w:vAlign w:val="bottom"/>
          </w:tcPr>
          <w:p w14:paraId="704AFF14"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115/75</w:t>
            </w:r>
          </w:p>
        </w:tc>
      </w:tr>
      <w:tr w:rsidR="0006542A" w:rsidRPr="0006542A" w14:paraId="69DCDFBA" w14:textId="77777777" w:rsidTr="00FE247E">
        <w:trPr>
          <w:trHeight w:val="283"/>
        </w:trPr>
        <w:tc>
          <w:tcPr>
            <w:tcW w:w="1790" w:type="dxa"/>
            <w:tcBorders>
              <w:top w:val="single" w:sz="4" w:space="0" w:color="auto"/>
              <w:left w:val="single" w:sz="4" w:space="0" w:color="auto"/>
              <w:bottom w:val="nil"/>
              <w:right w:val="nil"/>
            </w:tcBorders>
            <w:vAlign w:val="bottom"/>
          </w:tcPr>
          <w:p w14:paraId="1946EED8"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130/80</w:t>
            </w:r>
          </w:p>
        </w:tc>
        <w:tc>
          <w:tcPr>
            <w:tcW w:w="1786" w:type="dxa"/>
            <w:tcBorders>
              <w:top w:val="single" w:sz="4" w:space="0" w:color="auto"/>
              <w:left w:val="single" w:sz="4" w:space="0" w:color="auto"/>
              <w:bottom w:val="nil"/>
              <w:right w:val="nil"/>
            </w:tcBorders>
            <w:vAlign w:val="bottom"/>
          </w:tcPr>
          <w:p w14:paraId="5145974E"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130/80</w:t>
            </w:r>
          </w:p>
        </w:tc>
        <w:tc>
          <w:tcPr>
            <w:tcW w:w="1791" w:type="dxa"/>
            <w:gridSpan w:val="2"/>
            <w:tcBorders>
              <w:top w:val="single" w:sz="4" w:space="0" w:color="auto"/>
              <w:left w:val="single" w:sz="4" w:space="0" w:color="auto"/>
              <w:bottom w:val="nil"/>
              <w:right w:val="nil"/>
            </w:tcBorders>
            <w:vAlign w:val="bottom"/>
          </w:tcPr>
          <w:p w14:paraId="75CA6612"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130/80</w:t>
            </w:r>
          </w:p>
        </w:tc>
        <w:tc>
          <w:tcPr>
            <w:tcW w:w="1785" w:type="dxa"/>
            <w:gridSpan w:val="3"/>
            <w:tcBorders>
              <w:top w:val="single" w:sz="4" w:space="0" w:color="auto"/>
              <w:left w:val="single" w:sz="4" w:space="0" w:color="auto"/>
              <w:bottom w:val="nil"/>
              <w:right w:val="nil"/>
            </w:tcBorders>
            <w:vAlign w:val="bottom"/>
          </w:tcPr>
          <w:p w14:paraId="70BABF77"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110/65</w:t>
            </w:r>
          </w:p>
        </w:tc>
        <w:tc>
          <w:tcPr>
            <w:tcW w:w="2395" w:type="dxa"/>
            <w:tcBorders>
              <w:top w:val="single" w:sz="4" w:space="0" w:color="auto"/>
              <w:left w:val="single" w:sz="4" w:space="0" w:color="auto"/>
              <w:bottom w:val="nil"/>
              <w:right w:val="single" w:sz="4" w:space="0" w:color="auto"/>
            </w:tcBorders>
            <w:vAlign w:val="bottom"/>
          </w:tcPr>
          <w:p w14:paraId="47502D0B"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125/75</w:t>
            </w:r>
          </w:p>
        </w:tc>
      </w:tr>
      <w:tr w:rsidR="0006542A" w:rsidRPr="0006542A" w14:paraId="5D35235A" w14:textId="77777777" w:rsidTr="00FE247E">
        <w:trPr>
          <w:trHeight w:val="288"/>
        </w:trPr>
        <w:tc>
          <w:tcPr>
            <w:tcW w:w="1790" w:type="dxa"/>
            <w:tcBorders>
              <w:top w:val="single" w:sz="4" w:space="0" w:color="auto"/>
              <w:left w:val="single" w:sz="4" w:space="0" w:color="auto"/>
              <w:bottom w:val="nil"/>
              <w:right w:val="nil"/>
            </w:tcBorders>
            <w:vAlign w:val="bottom"/>
          </w:tcPr>
          <w:p w14:paraId="597FCF84"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140/90</w:t>
            </w:r>
          </w:p>
        </w:tc>
        <w:tc>
          <w:tcPr>
            <w:tcW w:w="1786" w:type="dxa"/>
            <w:tcBorders>
              <w:top w:val="single" w:sz="4" w:space="0" w:color="auto"/>
              <w:left w:val="single" w:sz="4" w:space="0" w:color="auto"/>
              <w:bottom w:val="nil"/>
              <w:right w:val="nil"/>
            </w:tcBorders>
            <w:vAlign w:val="bottom"/>
          </w:tcPr>
          <w:p w14:paraId="1748D8D7"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135/85</w:t>
            </w:r>
          </w:p>
        </w:tc>
        <w:tc>
          <w:tcPr>
            <w:tcW w:w="1791" w:type="dxa"/>
            <w:gridSpan w:val="2"/>
            <w:tcBorders>
              <w:top w:val="single" w:sz="4" w:space="0" w:color="auto"/>
              <w:left w:val="single" w:sz="4" w:space="0" w:color="auto"/>
              <w:bottom w:val="nil"/>
              <w:right w:val="nil"/>
            </w:tcBorders>
            <w:vAlign w:val="bottom"/>
          </w:tcPr>
          <w:p w14:paraId="60B37A6F"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135/85</w:t>
            </w:r>
          </w:p>
        </w:tc>
        <w:tc>
          <w:tcPr>
            <w:tcW w:w="1785" w:type="dxa"/>
            <w:gridSpan w:val="3"/>
            <w:tcBorders>
              <w:top w:val="single" w:sz="4" w:space="0" w:color="auto"/>
              <w:left w:val="single" w:sz="4" w:space="0" w:color="auto"/>
              <w:bottom w:val="nil"/>
              <w:right w:val="nil"/>
            </w:tcBorders>
            <w:vAlign w:val="bottom"/>
          </w:tcPr>
          <w:p w14:paraId="606CD55B"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120/70</w:t>
            </w:r>
          </w:p>
        </w:tc>
        <w:tc>
          <w:tcPr>
            <w:tcW w:w="2395" w:type="dxa"/>
            <w:tcBorders>
              <w:top w:val="single" w:sz="4" w:space="0" w:color="auto"/>
              <w:left w:val="single" w:sz="4" w:space="0" w:color="auto"/>
              <w:bottom w:val="nil"/>
              <w:right w:val="single" w:sz="4" w:space="0" w:color="auto"/>
            </w:tcBorders>
            <w:vAlign w:val="bottom"/>
          </w:tcPr>
          <w:p w14:paraId="4A41E684"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130/80</w:t>
            </w:r>
          </w:p>
        </w:tc>
      </w:tr>
      <w:tr w:rsidR="0006542A" w:rsidRPr="0006542A" w14:paraId="45DEE94D" w14:textId="77777777" w:rsidTr="00FE247E">
        <w:trPr>
          <w:trHeight w:val="293"/>
        </w:trPr>
        <w:tc>
          <w:tcPr>
            <w:tcW w:w="1790" w:type="dxa"/>
            <w:tcBorders>
              <w:top w:val="single" w:sz="4" w:space="0" w:color="auto"/>
              <w:left w:val="single" w:sz="4" w:space="0" w:color="auto"/>
              <w:bottom w:val="single" w:sz="4" w:space="0" w:color="auto"/>
              <w:right w:val="nil"/>
            </w:tcBorders>
          </w:tcPr>
          <w:p w14:paraId="5A9A25E2"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160/100</w:t>
            </w:r>
          </w:p>
        </w:tc>
        <w:tc>
          <w:tcPr>
            <w:tcW w:w="1786" w:type="dxa"/>
            <w:tcBorders>
              <w:top w:val="single" w:sz="4" w:space="0" w:color="auto"/>
              <w:left w:val="single" w:sz="4" w:space="0" w:color="auto"/>
              <w:bottom w:val="single" w:sz="4" w:space="0" w:color="auto"/>
              <w:right w:val="nil"/>
            </w:tcBorders>
          </w:tcPr>
          <w:p w14:paraId="66AC4869"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145/90</w:t>
            </w:r>
          </w:p>
        </w:tc>
        <w:tc>
          <w:tcPr>
            <w:tcW w:w="1791" w:type="dxa"/>
            <w:gridSpan w:val="2"/>
            <w:tcBorders>
              <w:top w:val="single" w:sz="4" w:space="0" w:color="auto"/>
              <w:left w:val="single" w:sz="4" w:space="0" w:color="auto"/>
              <w:bottom w:val="single" w:sz="4" w:space="0" w:color="auto"/>
              <w:right w:val="nil"/>
            </w:tcBorders>
          </w:tcPr>
          <w:p w14:paraId="7A62C0E7"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145/90</w:t>
            </w:r>
          </w:p>
        </w:tc>
        <w:tc>
          <w:tcPr>
            <w:tcW w:w="1785" w:type="dxa"/>
            <w:gridSpan w:val="3"/>
            <w:tcBorders>
              <w:top w:val="single" w:sz="4" w:space="0" w:color="auto"/>
              <w:left w:val="single" w:sz="4" w:space="0" w:color="auto"/>
              <w:bottom w:val="single" w:sz="4" w:space="0" w:color="auto"/>
              <w:right w:val="nil"/>
            </w:tcBorders>
          </w:tcPr>
          <w:p w14:paraId="398F592D"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140/85</w:t>
            </w:r>
          </w:p>
        </w:tc>
        <w:tc>
          <w:tcPr>
            <w:tcW w:w="2395" w:type="dxa"/>
            <w:tcBorders>
              <w:top w:val="single" w:sz="4" w:space="0" w:color="auto"/>
              <w:left w:val="single" w:sz="4" w:space="0" w:color="auto"/>
              <w:bottom w:val="single" w:sz="4" w:space="0" w:color="auto"/>
              <w:right w:val="single" w:sz="4" w:space="0" w:color="auto"/>
            </w:tcBorders>
          </w:tcPr>
          <w:p w14:paraId="4B5CE58B" w14:textId="77777777" w:rsidR="0006542A" w:rsidRPr="0006542A" w:rsidRDefault="0006542A" w:rsidP="00FE247E">
            <w:pPr>
              <w:spacing w:after="0"/>
              <w:jc w:val="both"/>
              <w:rPr>
                <w:rFonts w:eastAsia="Times New Roman" w:cs="Times New Roman"/>
                <w:sz w:val="24"/>
                <w:szCs w:val="24"/>
              </w:rPr>
            </w:pPr>
            <w:r w:rsidRPr="0006542A">
              <w:rPr>
                <w:rFonts w:eastAsia="Times New Roman" w:cs="Times New Roman"/>
                <w:sz w:val="24"/>
                <w:szCs w:val="24"/>
              </w:rPr>
              <w:t>145/90</w:t>
            </w:r>
          </w:p>
        </w:tc>
      </w:tr>
    </w:tbl>
    <w:p w14:paraId="567368DB" w14:textId="79BA3B46" w:rsidR="00AB5297" w:rsidRDefault="00FE247E" w:rsidP="00AB5297">
      <w:pPr>
        <w:spacing w:after="0" w:line="360" w:lineRule="auto"/>
        <w:jc w:val="both"/>
        <w:rPr>
          <w:rFonts w:eastAsia="Times New Roman" w:cs="Times New Roman"/>
          <w:sz w:val="24"/>
          <w:szCs w:val="24"/>
        </w:rPr>
      </w:pPr>
      <w:r w:rsidRPr="00FE247E">
        <w:rPr>
          <w:rFonts w:eastAsia="Times New Roman" w:cs="Times New Roman"/>
          <w:sz w:val="24"/>
          <w:szCs w:val="24"/>
        </w:rPr>
        <w:t>Примечание: *в том числе активный мониторинг АД при помощи дистанционных технологий</w:t>
      </w:r>
      <w:r w:rsidR="002E0EFB">
        <w:rPr>
          <w:rFonts w:eastAsia="Times New Roman" w:cs="Times New Roman"/>
          <w:sz w:val="24"/>
          <w:szCs w:val="24"/>
        </w:rPr>
        <w:t>.</w:t>
      </w:r>
    </w:p>
    <w:p w14:paraId="332B7BA8" w14:textId="77777777" w:rsidR="002E0EFB" w:rsidRDefault="0006542A" w:rsidP="002E0EFB">
      <w:pPr>
        <w:spacing w:after="0" w:line="360" w:lineRule="auto"/>
        <w:jc w:val="right"/>
        <w:rPr>
          <w:rFonts w:eastAsia="Times New Roman" w:cs="Times New Roman"/>
          <w:b/>
          <w:bCs/>
          <w:sz w:val="24"/>
          <w:szCs w:val="24"/>
        </w:rPr>
      </w:pPr>
      <w:r w:rsidRPr="0006542A">
        <w:rPr>
          <w:rFonts w:eastAsia="Times New Roman" w:cs="Times New Roman"/>
          <w:b/>
          <w:bCs/>
          <w:sz w:val="24"/>
          <w:szCs w:val="24"/>
        </w:rPr>
        <w:t>Таблица П13/</w:t>
      </w:r>
      <w:r w:rsidR="00FB33EA">
        <w:rPr>
          <w:rFonts w:eastAsia="Times New Roman" w:cs="Times New Roman"/>
          <w:b/>
          <w:bCs/>
          <w:sz w:val="24"/>
          <w:szCs w:val="24"/>
        </w:rPr>
        <w:t>А2</w:t>
      </w:r>
      <w:r w:rsidRPr="0006542A">
        <w:rPr>
          <w:rFonts w:eastAsia="Times New Roman" w:cs="Times New Roman"/>
          <w:b/>
          <w:bCs/>
          <w:sz w:val="24"/>
          <w:szCs w:val="24"/>
        </w:rPr>
        <w:t xml:space="preserve">. </w:t>
      </w:r>
    </w:p>
    <w:p w14:paraId="6E7421FC" w14:textId="2633B3C6" w:rsidR="0006542A" w:rsidRDefault="0006542A" w:rsidP="00AB5297">
      <w:pPr>
        <w:spacing w:after="0" w:line="360" w:lineRule="auto"/>
        <w:jc w:val="both"/>
        <w:rPr>
          <w:rFonts w:eastAsia="Times New Roman" w:cs="Times New Roman"/>
          <w:sz w:val="24"/>
          <w:szCs w:val="24"/>
        </w:rPr>
      </w:pPr>
      <w:r w:rsidRPr="0006542A">
        <w:rPr>
          <w:rFonts w:eastAsia="Times New Roman" w:cs="Times New Roman"/>
          <w:b/>
          <w:bCs/>
          <w:sz w:val="24"/>
          <w:szCs w:val="24"/>
        </w:rPr>
        <w:t xml:space="preserve">Этапы оценки сердечно-сосудистого риска </w:t>
      </w:r>
    </w:p>
    <w:tbl>
      <w:tblPr>
        <w:tblW w:w="9360" w:type="dxa"/>
        <w:tblInd w:w="-5" w:type="dxa"/>
        <w:tblLayout w:type="fixed"/>
        <w:tblCellMar>
          <w:left w:w="0" w:type="dxa"/>
          <w:right w:w="0" w:type="dxa"/>
        </w:tblCellMar>
        <w:tblLook w:val="0000" w:firstRow="0" w:lastRow="0" w:firstColumn="0" w:lastColumn="0" w:noHBand="0" w:noVBand="0"/>
      </w:tblPr>
      <w:tblGrid>
        <w:gridCol w:w="2616"/>
        <w:gridCol w:w="6744"/>
      </w:tblGrid>
      <w:tr w:rsidR="0006542A" w:rsidRPr="0006542A" w14:paraId="4C4BC02E" w14:textId="77777777" w:rsidTr="00FE247E">
        <w:trPr>
          <w:trHeight w:val="283"/>
        </w:trPr>
        <w:tc>
          <w:tcPr>
            <w:tcW w:w="2616" w:type="dxa"/>
            <w:tcBorders>
              <w:top w:val="single" w:sz="4" w:space="0" w:color="auto"/>
              <w:left w:val="single" w:sz="4" w:space="0" w:color="auto"/>
              <w:bottom w:val="nil"/>
              <w:right w:val="nil"/>
            </w:tcBorders>
            <w:shd w:val="clear" w:color="auto" w:fill="E7E6E6" w:themeFill="background2"/>
            <w:vAlign w:val="bottom"/>
          </w:tcPr>
          <w:p w14:paraId="7848A22D" w14:textId="77777777" w:rsidR="0006542A" w:rsidRPr="0006542A" w:rsidRDefault="0006542A" w:rsidP="0006542A">
            <w:pPr>
              <w:spacing w:after="0"/>
              <w:jc w:val="both"/>
              <w:rPr>
                <w:rFonts w:eastAsia="Times New Roman" w:cs="Times New Roman"/>
                <w:sz w:val="24"/>
                <w:szCs w:val="24"/>
              </w:rPr>
            </w:pPr>
            <w:r w:rsidRPr="0006542A">
              <w:rPr>
                <w:rFonts w:eastAsia="Times New Roman" w:cs="Times New Roman"/>
                <w:sz w:val="24"/>
                <w:szCs w:val="24"/>
              </w:rPr>
              <w:t>Этапы обследования</w:t>
            </w:r>
          </w:p>
        </w:tc>
        <w:tc>
          <w:tcPr>
            <w:tcW w:w="6744" w:type="dxa"/>
            <w:tcBorders>
              <w:top w:val="single" w:sz="4" w:space="0" w:color="auto"/>
              <w:left w:val="single" w:sz="4" w:space="0" w:color="auto"/>
              <w:bottom w:val="nil"/>
              <w:right w:val="single" w:sz="4" w:space="0" w:color="auto"/>
            </w:tcBorders>
            <w:shd w:val="clear" w:color="auto" w:fill="E7E6E6" w:themeFill="background2"/>
            <w:vAlign w:val="bottom"/>
          </w:tcPr>
          <w:p w14:paraId="15828C44" w14:textId="77777777" w:rsidR="0006542A" w:rsidRPr="0006542A" w:rsidRDefault="0006542A" w:rsidP="0006542A">
            <w:pPr>
              <w:spacing w:after="0"/>
              <w:jc w:val="both"/>
              <w:rPr>
                <w:rFonts w:eastAsia="Times New Roman" w:cs="Times New Roman"/>
                <w:sz w:val="24"/>
                <w:szCs w:val="24"/>
              </w:rPr>
            </w:pPr>
            <w:r w:rsidRPr="0006542A">
              <w:rPr>
                <w:rFonts w:eastAsia="Times New Roman" w:cs="Times New Roman"/>
                <w:sz w:val="24"/>
                <w:szCs w:val="24"/>
              </w:rPr>
              <w:t>Необходимые процедуры</w:t>
            </w:r>
          </w:p>
        </w:tc>
      </w:tr>
      <w:tr w:rsidR="0006542A" w:rsidRPr="0006542A" w14:paraId="0FB5EC80" w14:textId="77777777" w:rsidTr="00BF19FB">
        <w:trPr>
          <w:trHeight w:val="1397"/>
        </w:trPr>
        <w:tc>
          <w:tcPr>
            <w:tcW w:w="2616" w:type="dxa"/>
            <w:tcBorders>
              <w:top w:val="single" w:sz="4" w:space="0" w:color="auto"/>
              <w:left w:val="single" w:sz="4" w:space="0" w:color="auto"/>
              <w:bottom w:val="nil"/>
              <w:right w:val="nil"/>
            </w:tcBorders>
          </w:tcPr>
          <w:p w14:paraId="11187663" w14:textId="77777777" w:rsidR="0006542A" w:rsidRPr="0006542A" w:rsidRDefault="0006542A" w:rsidP="0006542A">
            <w:pPr>
              <w:spacing w:after="0"/>
              <w:jc w:val="both"/>
              <w:rPr>
                <w:rFonts w:eastAsia="Times New Roman" w:cs="Times New Roman"/>
                <w:sz w:val="24"/>
                <w:szCs w:val="24"/>
              </w:rPr>
            </w:pPr>
            <w:r w:rsidRPr="0006542A">
              <w:rPr>
                <w:rFonts w:eastAsia="Times New Roman" w:cs="Times New Roman"/>
                <w:sz w:val="24"/>
                <w:szCs w:val="24"/>
              </w:rPr>
              <w:t>Клиническая оценка</w:t>
            </w:r>
          </w:p>
        </w:tc>
        <w:tc>
          <w:tcPr>
            <w:tcW w:w="6744" w:type="dxa"/>
            <w:tcBorders>
              <w:top w:val="single" w:sz="4" w:space="0" w:color="auto"/>
              <w:left w:val="single" w:sz="4" w:space="0" w:color="auto"/>
              <w:bottom w:val="nil"/>
              <w:right w:val="single" w:sz="4" w:space="0" w:color="auto"/>
            </w:tcBorders>
            <w:vAlign w:val="bottom"/>
          </w:tcPr>
          <w:p w14:paraId="728266FD" w14:textId="77777777" w:rsidR="0006542A" w:rsidRPr="0006542A" w:rsidRDefault="0006542A" w:rsidP="0006542A">
            <w:pPr>
              <w:spacing w:after="0"/>
              <w:jc w:val="both"/>
              <w:rPr>
                <w:rFonts w:eastAsia="Times New Roman" w:cs="Times New Roman"/>
                <w:sz w:val="24"/>
                <w:szCs w:val="24"/>
              </w:rPr>
            </w:pPr>
            <w:r w:rsidRPr="0006542A">
              <w:rPr>
                <w:rFonts w:eastAsia="Times New Roman" w:cs="Times New Roman"/>
                <w:sz w:val="24"/>
                <w:szCs w:val="24"/>
              </w:rPr>
              <w:t xml:space="preserve">Выявление пациентов высокого и очень высокого риска на основании документированных ССЗ, СД, ХБП 3–5-й стадий, чрезмерного повышения отдельных факторов риска, семейной гиперхолестеринемии или высокого риска по </w:t>
            </w:r>
            <w:r w:rsidRPr="0006542A">
              <w:rPr>
                <w:rFonts w:eastAsia="Times New Roman" w:cs="Times New Roman"/>
                <w:sz w:val="24"/>
                <w:szCs w:val="24"/>
                <w:lang w:val="en-US"/>
              </w:rPr>
              <w:t>SCORE</w:t>
            </w:r>
            <w:r w:rsidRPr="0006542A">
              <w:rPr>
                <w:rFonts w:eastAsia="Times New Roman" w:cs="Times New Roman"/>
                <w:sz w:val="24"/>
                <w:szCs w:val="24"/>
              </w:rPr>
              <w:t xml:space="preserve">-2 для лиц в возрасте 40-69 лет и </w:t>
            </w:r>
            <w:r w:rsidRPr="0006542A">
              <w:rPr>
                <w:rFonts w:eastAsia="Times New Roman" w:cs="Times New Roman"/>
                <w:sz w:val="24"/>
                <w:szCs w:val="24"/>
                <w:lang w:val="en-US"/>
              </w:rPr>
              <w:t>SCORE</w:t>
            </w:r>
            <w:r w:rsidRPr="0006542A">
              <w:rPr>
                <w:rFonts w:eastAsia="Times New Roman" w:cs="Times New Roman"/>
                <w:sz w:val="24"/>
                <w:szCs w:val="24"/>
              </w:rPr>
              <w:t>-2-</w:t>
            </w:r>
            <w:r w:rsidRPr="0006542A">
              <w:rPr>
                <w:rFonts w:eastAsia="Times New Roman" w:cs="Times New Roman"/>
                <w:sz w:val="24"/>
                <w:szCs w:val="24"/>
                <w:lang w:val="en-US"/>
              </w:rPr>
              <w:t>OP</w:t>
            </w:r>
            <w:r w:rsidRPr="0006542A">
              <w:rPr>
                <w:rFonts w:eastAsia="Times New Roman" w:cs="Times New Roman"/>
                <w:sz w:val="24"/>
                <w:szCs w:val="24"/>
              </w:rPr>
              <w:t xml:space="preserve"> для лиц в возрасте ≥ 70 лет</w:t>
            </w:r>
          </w:p>
        </w:tc>
      </w:tr>
      <w:tr w:rsidR="0006542A" w:rsidRPr="0006542A" w14:paraId="79F6E506" w14:textId="77777777" w:rsidTr="00BF19FB">
        <w:trPr>
          <w:trHeight w:val="1666"/>
        </w:trPr>
        <w:tc>
          <w:tcPr>
            <w:tcW w:w="2616" w:type="dxa"/>
            <w:tcBorders>
              <w:top w:val="single" w:sz="4" w:space="0" w:color="auto"/>
              <w:left w:val="single" w:sz="4" w:space="0" w:color="auto"/>
              <w:bottom w:val="nil"/>
              <w:right w:val="nil"/>
            </w:tcBorders>
            <w:vAlign w:val="bottom"/>
          </w:tcPr>
          <w:p w14:paraId="513EB640" w14:textId="77777777" w:rsidR="0006542A" w:rsidRPr="0006542A" w:rsidRDefault="0006542A" w:rsidP="0006542A">
            <w:pPr>
              <w:spacing w:after="0"/>
              <w:jc w:val="both"/>
              <w:rPr>
                <w:rFonts w:eastAsia="Times New Roman" w:cs="Times New Roman"/>
                <w:sz w:val="24"/>
                <w:szCs w:val="24"/>
              </w:rPr>
            </w:pPr>
            <w:r w:rsidRPr="0006542A">
              <w:rPr>
                <w:rFonts w:eastAsia="Times New Roman" w:cs="Times New Roman"/>
                <w:sz w:val="24"/>
                <w:szCs w:val="24"/>
              </w:rPr>
              <w:t>Оценка</w:t>
            </w:r>
            <w:r w:rsidRPr="0006542A">
              <w:rPr>
                <w:rFonts w:eastAsia="Times New Roman" w:cs="Times New Roman"/>
                <w:sz w:val="24"/>
                <w:szCs w:val="24"/>
              </w:rPr>
              <w:tab/>
              <w:t>10-летнего</w:t>
            </w:r>
          </w:p>
          <w:p w14:paraId="6DE2A797" w14:textId="77777777" w:rsidR="0006542A" w:rsidRPr="0006542A" w:rsidRDefault="0006542A" w:rsidP="0006542A">
            <w:pPr>
              <w:spacing w:after="0"/>
              <w:jc w:val="both"/>
              <w:rPr>
                <w:rFonts w:eastAsia="Times New Roman" w:cs="Times New Roman"/>
                <w:sz w:val="24"/>
                <w:szCs w:val="24"/>
              </w:rPr>
            </w:pPr>
            <w:r w:rsidRPr="0006542A">
              <w:rPr>
                <w:rFonts w:eastAsia="Times New Roman" w:cs="Times New Roman"/>
                <w:sz w:val="24"/>
                <w:szCs w:val="24"/>
              </w:rPr>
              <w:t>риска</w:t>
            </w:r>
            <w:r w:rsidRPr="0006542A">
              <w:rPr>
                <w:rFonts w:eastAsia="Times New Roman" w:cs="Times New Roman"/>
                <w:sz w:val="24"/>
                <w:szCs w:val="24"/>
              </w:rPr>
              <w:tab/>
              <w:t>по</w:t>
            </w:r>
            <w:r w:rsidRPr="0006542A">
              <w:rPr>
                <w:rFonts w:eastAsia="Times New Roman" w:cs="Times New Roman"/>
                <w:sz w:val="24"/>
                <w:szCs w:val="24"/>
              </w:rPr>
              <w:tab/>
              <w:t>шкале</w:t>
            </w:r>
          </w:p>
          <w:p w14:paraId="2B442CBD" w14:textId="77777777" w:rsidR="0006542A" w:rsidRPr="0006542A" w:rsidRDefault="0006542A" w:rsidP="0006542A">
            <w:pPr>
              <w:spacing w:after="0"/>
              <w:jc w:val="both"/>
              <w:rPr>
                <w:rFonts w:eastAsia="Times New Roman" w:cs="Times New Roman"/>
                <w:sz w:val="24"/>
                <w:szCs w:val="24"/>
              </w:rPr>
            </w:pPr>
            <w:r w:rsidRPr="0006542A">
              <w:rPr>
                <w:rFonts w:eastAsia="Times New Roman" w:cs="Times New Roman"/>
                <w:sz w:val="24"/>
                <w:szCs w:val="24"/>
                <w:lang w:val="en-US"/>
              </w:rPr>
              <w:t>SCORE</w:t>
            </w:r>
            <w:r w:rsidRPr="0006542A">
              <w:rPr>
                <w:rFonts w:eastAsia="Times New Roman" w:cs="Times New Roman"/>
                <w:sz w:val="24"/>
                <w:szCs w:val="24"/>
              </w:rPr>
              <w:t>-2 для лиц в возрасте 40-69 лет и</w:t>
            </w:r>
          </w:p>
          <w:p w14:paraId="71752340" w14:textId="77777777" w:rsidR="0006542A" w:rsidRPr="0006542A" w:rsidRDefault="0006542A" w:rsidP="0006542A">
            <w:pPr>
              <w:spacing w:after="0"/>
              <w:jc w:val="both"/>
              <w:rPr>
                <w:rFonts w:eastAsia="Times New Roman" w:cs="Times New Roman"/>
                <w:sz w:val="24"/>
                <w:szCs w:val="24"/>
              </w:rPr>
            </w:pPr>
            <w:r w:rsidRPr="0006542A">
              <w:rPr>
                <w:rFonts w:eastAsia="Times New Roman" w:cs="Times New Roman"/>
                <w:sz w:val="24"/>
                <w:szCs w:val="24"/>
                <w:lang w:val="en-US"/>
              </w:rPr>
              <w:t>SCORE</w:t>
            </w:r>
            <w:r w:rsidRPr="0006542A">
              <w:rPr>
                <w:rFonts w:eastAsia="Times New Roman" w:cs="Times New Roman"/>
                <w:sz w:val="24"/>
                <w:szCs w:val="24"/>
              </w:rPr>
              <w:t>-2-</w:t>
            </w:r>
            <w:r w:rsidRPr="0006542A">
              <w:rPr>
                <w:rFonts w:eastAsia="Times New Roman" w:cs="Times New Roman"/>
                <w:sz w:val="24"/>
                <w:szCs w:val="24"/>
                <w:lang w:val="en-US"/>
              </w:rPr>
              <w:t>OP</w:t>
            </w:r>
            <w:r w:rsidRPr="0006542A">
              <w:rPr>
                <w:rFonts w:eastAsia="Times New Roman" w:cs="Times New Roman"/>
                <w:sz w:val="24"/>
                <w:szCs w:val="24"/>
              </w:rPr>
              <w:t xml:space="preserve"> для лиц в возрасте ≥ 70 лет</w:t>
            </w:r>
          </w:p>
        </w:tc>
        <w:tc>
          <w:tcPr>
            <w:tcW w:w="6744" w:type="dxa"/>
            <w:tcBorders>
              <w:top w:val="single" w:sz="4" w:space="0" w:color="auto"/>
              <w:left w:val="single" w:sz="4" w:space="0" w:color="auto"/>
              <w:bottom w:val="nil"/>
              <w:right w:val="single" w:sz="4" w:space="0" w:color="auto"/>
            </w:tcBorders>
          </w:tcPr>
          <w:p w14:paraId="35D6513A" w14:textId="77777777" w:rsidR="0006542A" w:rsidRPr="0006542A" w:rsidRDefault="0006542A" w:rsidP="0006542A">
            <w:pPr>
              <w:spacing w:after="0"/>
              <w:jc w:val="both"/>
              <w:rPr>
                <w:rFonts w:eastAsia="Times New Roman" w:cs="Times New Roman"/>
                <w:sz w:val="24"/>
                <w:szCs w:val="24"/>
              </w:rPr>
            </w:pPr>
            <w:r w:rsidRPr="0006542A">
              <w:rPr>
                <w:rFonts w:eastAsia="Times New Roman" w:cs="Times New Roman"/>
                <w:sz w:val="24"/>
                <w:szCs w:val="24"/>
              </w:rPr>
              <w:t xml:space="preserve">Проводить оценку риска по </w:t>
            </w:r>
            <w:r w:rsidRPr="0006542A">
              <w:rPr>
                <w:rFonts w:eastAsia="Times New Roman" w:cs="Times New Roman"/>
                <w:sz w:val="24"/>
                <w:szCs w:val="24"/>
                <w:lang w:val="en-US"/>
              </w:rPr>
              <w:t>SCORE</w:t>
            </w:r>
            <w:r w:rsidRPr="0006542A">
              <w:rPr>
                <w:rFonts w:eastAsia="Times New Roman" w:cs="Times New Roman"/>
                <w:sz w:val="24"/>
                <w:szCs w:val="24"/>
              </w:rPr>
              <w:t xml:space="preserve">-2 для лиц в возрасте 40-69 лет и </w:t>
            </w:r>
            <w:r w:rsidRPr="0006542A">
              <w:rPr>
                <w:rFonts w:eastAsia="Times New Roman" w:cs="Times New Roman"/>
                <w:sz w:val="24"/>
                <w:szCs w:val="24"/>
                <w:lang w:val="en-US"/>
              </w:rPr>
              <w:t>SCORE</w:t>
            </w:r>
            <w:r w:rsidRPr="0006542A">
              <w:rPr>
                <w:rFonts w:eastAsia="Times New Roman" w:cs="Times New Roman"/>
                <w:sz w:val="24"/>
                <w:szCs w:val="24"/>
              </w:rPr>
              <w:t>-2-</w:t>
            </w:r>
            <w:r w:rsidRPr="0006542A">
              <w:rPr>
                <w:rFonts w:eastAsia="Times New Roman" w:cs="Times New Roman"/>
                <w:sz w:val="24"/>
                <w:szCs w:val="24"/>
                <w:lang w:val="en-US"/>
              </w:rPr>
              <w:t>OP</w:t>
            </w:r>
            <w:r w:rsidRPr="0006542A">
              <w:rPr>
                <w:rFonts w:eastAsia="Times New Roman" w:cs="Times New Roman"/>
                <w:sz w:val="24"/>
                <w:szCs w:val="24"/>
              </w:rPr>
              <w:t xml:space="preserve"> для лиц в возрасте ≥ 70 лет рекомендовано у бессимптомных лиц без анамнеза ССЗ, СД, ХБП, семейной гиперхолестеринемии или повышения ХС-ЛНП &gt;4,9 ммоль/л (&gt;190 мг/дл)</w:t>
            </w:r>
          </w:p>
        </w:tc>
      </w:tr>
      <w:tr w:rsidR="0006542A" w:rsidRPr="0006542A" w14:paraId="308C45B7" w14:textId="77777777" w:rsidTr="00BF19FB">
        <w:trPr>
          <w:trHeight w:val="1944"/>
        </w:trPr>
        <w:tc>
          <w:tcPr>
            <w:tcW w:w="2616" w:type="dxa"/>
            <w:tcBorders>
              <w:top w:val="single" w:sz="4" w:space="0" w:color="auto"/>
              <w:left w:val="single" w:sz="4" w:space="0" w:color="auto"/>
              <w:bottom w:val="single" w:sz="4" w:space="0" w:color="auto"/>
              <w:right w:val="nil"/>
            </w:tcBorders>
          </w:tcPr>
          <w:p w14:paraId="0FBD17E9" w14:textId="77777777" w:rsidR="0006542A" w:rsidRPr="0006542A" w:rsidRDefault="0006542A" w:rsidP="0006542A">
            <w:pPr>
              <w:spacing w:after="0"/>
              <w:jc w:val="both"/>
              <w:rPr>
                <w:rFonts w:eastAsia="Times New Roman" w:cs="Times New Roman"/>
                <w:sz w:val="24"/>
                <w:szCs w:val="24"/>
              </w:rPr>
            </w:pPr>
            <w:r w:rsidRPr="0006542A">
              <w:rPr>
                <w:rFonts w:eastAsia="Times New Roman" w:cs="Times New Roman"/>
                <w:sz w:val="24"/>
                <w:szCs w:val="24"/>
              </w:rPr>
              <w:lastRenderedPageBreak/>
              <w:t>Оценка</w:t>
            </w:r>
            <w:r w:rsidRPr="0006542A">
              <w:rPr>
                <w:rFonts w:eastAsia="Times New Roman" w:cs="Times New Roman"/>
                <w:sz w:val="24"/>
                <w:szCs w:val="24"/>
              </w:rPr>
              <w:tab/>
              <w:t>факторов,</w:t>
            </w:r>
          </w:p>
          <w:p w14:paraId="644AFB84" w14:textId="77777777" w:rsidR="0006542A" w:rsidRPr="0006542A" w:rsidRDefault="0006542A" w:rsidP="0006542A">
            <w:pPr>
              <w:spacing w:after="0"/>
              <w:jc w:val="both"/>
              <w:rPr>
                <w:rFonts w:eastAsia="Times New Roman" w:cs="Times New Roman"/>
                <w:sz w:val="24"/>
                <w:szCs w:val="24"/>
              </w:rPr>
            </w:pPr>
            <w:r w:rsidRPr="0006542A">
              <w:rPr>
                <w:rFonts w:eastAsia="Times New Roman" w:cs="Times New Roman"/>
                <w:sz w:val="24"/>
                <w:szCs w:val="24"/>
              </w:rPr>
              <w:t>изменяющих риск</w:t>
            </w:r>
          </w:p>
        </w:tc>
        <w:tc>
          <w:tcPr>
            <w:tcW w:w="6744" w:type="dxa"/>
            <w:tcBorders>
              <w:top w:val="single" w:sz="4" w:space="0" w:color="auto"/>
              <w:left w:val="single" w:sz="4" w:space="0" w:color="auto"/>
              <w:bottom w:val="single" w:sz="4" w:space="0" w:color="auto"/>
              <w:right w:val="single" w:sz="4" w:space="0" w:color="auto"/>
            </w:tcBorders>
            <w:vAlign w:val="bottom"/>
          </w:tcPr>
          <w:p w14:paraId="2B9FE7CC" w14:textId="77777777" w:rsidR="0006542A" w:rsidRPr="0006542A" w:rsidRDefault="0006542A" w:rsidP="0006542A">
            <w:pPr>
              <w:spacing w:after="0"/>
              <w:jc w:val="both"/>
              <w:rPr>
                <w:rFonts w:eastAsia="Times New Roman" w:cs="Times New Roman"/>
                <w:sz w:val="24"/>
                <w:szCs w:val="24"/>
              </w:rPr>
            </w:pPr>
            <w:r w:rsidRPr="0006542A">
              <w:rPr>
                <w:rFonts w:eastAsia="Times New Roman" w:cs="Times New Roman"/>
                <w:sz w:val="24"/>
                <w:szCs w:val="24"/>
              </w:rPr>
              <w:t>У отдельных пациентов низкого или умеренного риска целесообразно оценивать дополнительные факторы, которые могут повлиять на стратификацию по риску и выбор тактики лечения: повышение аполипопротеида В, липопротеида (а) или С-реактивного белка, семейный анамнез ранних атеросклеротических ССЗ, выявление атеросклеротической бляшки</w:t>
            </w:r>
          </w:p>
        </w:tc>
      </w:tr>
      <w:tr w:rsidR="00BF19FB" w:rsidRPr="00BF19FB" w14:paraId="18B2F007" w14:textId="77777777" w:rsidTr="00BF19FB">
        <w:trPr>
          <w:trHeight w:val="661"/>
        </w:trPr>
        <w:tc>
          <w:tcPr>
            <w:tcW w:w="2616" w:type="dxa"/>
            <w:tcBorders>
              <w:top w:val="single" w:sz="4" w:space="0" w:color="auto"/>
              <w:left w:val="single" w:sz="4" w:space="0" w:color="auto"/>
              <w:bottom w:val="single" w:sz="4" w:space="0" w:color="auto"/>
              <w:right w:val="nil"/>
            </w:tcBorders>
          </w:tcPr>
          <w:p w14:paraId="105B57B3" w14:textId="77777777" w:rsidR="00BF19FB" w:rsidRPr="00BF19FB" w:rsidRDefault="00BF19FB" w:rsidP="00BF19FB">
            <w:pPr>
              <w:spacing w:after="0"/>
              <w:jc w:val="both"/>
              <w:rPr>
                <w:rFonts w:eastAsia="Times New Roman" w:cs="Times New Roman"/>
                <w:sz w:val="24"/>
                <w:szCs w:val="24"/>
              </w:rPr>
            </w:pPr>
            <w:r w:rsidRPr="00BF19FB">
              <w:rPr>
                <w:rFonts w:eastAsia="Times New Roman" w:cs="Times New Roman"/>
                <w:sz w:val="24"/>
                <w:szCs w:val="24"/>
              </w:rPr>
              <w:t>Стратификация</w:t>
            </w:r>
            <w:r>
              <w:rPr>
                <w:rFonts w:eastAsia="Times New Roman" w:cs="Times New Roman"/>
                <w:sz w:val="24"/>
                <w:szCs w:val="24"/>
              </w:rPr>
              <w:t xml:space="preserve"> </w:t>
            </w:r>
            <w:r w:rsidRPr="00BF19FB">
              <w:rPr>
                <w:rFonts w:eastAsia="Times New Roman" w:cs="Times New Roman"/>
                <w:sz w:val="24"/>
                <w:szCs w:val="24"/>
              </w:rPr>
              <w:t>риска</w:t>
            </w:r>
          </w:p>
          <w:p w14:paraId="1B4015D1" w14:textId="77777777" w:rsidR="00BF19FB" w:rsidRPr="00BF19FB" w:rsidRDefault="00BF19FB" w:rsidP="00BF19FB">
            <w:pPr>
              <w:spacing w:after="0"/>
              <w:jc w:val="both"/>
              <w:rPr>
                <w:rFonts w:eastAsia="Times New Roman" w:cs="Times New Roman"/>
                <w:sz w:val="24"/>
                <w:szCs w:val="24"/>
              </w:rPr>
            </w:pPr>
            <w:r w:rsidRPr="00BF19FB">
              <w:rPr>
                <w:rFonts w:eastAsia="Times New Roman" w:cs="Times New Roman"/>
                <w:sz w:val="24"/>
                <w:szCs w:val="24"/>
              </w:rPr>
              <w:t>сердечно-сосудистых осложнений</w:t>
            </w:r>
            <w:r w:rsidRPr="00BF19FB">
              <w:rPr>
                <w:rFonts w:eastAsia="Times New Roman" w:cs="Times New Roman"/>
                <w:sz w:val="24"/>
                <w:szCs w:val="24"/>
              </w:rPr>
              <w:tab/>
              <w:t>у</w:t>
            </w:r>
          </w:p>
          <w:p w14:paraId="0491B7B7" w14:textId="77777777" w:rsidR="00BF19FB" w:rsidRPr="00BF19FB" w:rsidRDefault="00BF19FB" w:rsidP="00BF19FB">
            <w:pPr>
              <w:spacing w:after="0"/>
              <w:jc w:val="both"/>
              <w:rPr>
                <w:rFonts w:eastAsia="Times New Roman" w:cs="Times New Roman"/>
                <w:sz w:val="24"/>
                <w:szCs w:val="24"/>
              </w:rPr>
            </w:pPr>
            <w:r w:rsidRPr="00BF19FB">
              <w:rPr>
                <w:rFonts w:eastAsia="Times New Roman" w:cs="Times New Roman"/>
                <w:sz w:val="24"/>
                <w:szCs w:val="24"/>
              </w:rPr>
              <w:t>пациентов с АГ</w:t>
            </w:r>
          </w:p>
        </w:tc>
        <w:tc>
          <w:tcPr>
            <w:tcW w:w="6744" w:type="dxa"/>
            <w:tcBorders>
              <w:top w:val="single" w:sz="4" w:space="0" w:color="auto"/>
              <w:left w:val="single" w:sz="4" w:space="0" w:color="auto"/>
              <w:bottom w:val="single" w:sz="4" w:space="0" w:color="auto"/>
              <w:right w:val="single" w:sz="4" w:space="0" w:color="auto"/>
            </w:tcBorders>
            <w:vAlign w:val="bottom"/>
          </w:tcPr>
          <w:p w14:paraId="65419137" w14:textId="77777777" w:rsidR="00BF19FB" w:rsidRDefault="00BF19FB" w:rsidP="00BF19FB">
            <w:pPr>
              <w:spacing w:after="0"/>
              <w:jc w:val="both"/>
              <w:rPr>
                <w:rFonts w:eastAsia="Times New Roman" w:cs="Times New Roman"/>
                <w:sz w:val="24"/>
                <w:szCs w:val="24"/>
              </w:rPr>
            </w:pPr>
            <w:r w:rsidRPr="00BF19FB">
              <w:rPr>
                <w:rFonts w:eastAsia="Times New Roman" w:cs="Times New Roman"/>
                <w:sz w:val="24"/>
                <w:szCs w:val="24"/>
              </w:rPr>
              <w:t>На основании уровня АД, наличия ФР, ПОМ, АКС, ХБП 3–5-й стадий, СД, ФП</w:t>
            </w:r>
          </w:p>
          <w:p w14:paraId="1F6CCB7E" w14:textId="77777777" w:rsidR="00BF19FB" w:rsidRDefault="00BF19FB" w:rsidP="00BF19FB">
            <w:pPr>
              <w:spacing w:after="0"/>
              <w:jc w:val="both"/>
              <w:rPr>
                <w:rFonts w:eastAsia="Times New Roman" w:cs="Times New Roman"/>
                <w:sz w:val="24"/>
                <w:szCs w:val="24"/>
              </w:rPr>
            </w:pPr>
          </w:p>
          <w:p w14:paraId="2BC75274" w14:textId="77777777" w:rsidR="00BF19FB" w:rsidRPr="00BF19FB" w:rsidRDefault="00BF19FB" w:rsidP="00BF19FB">
            <w:pPr>
              <w:spacing w:after="0"/>
              <w:jc w:val="both"/>
              <w:rPr>
                <w:rFonts w:eastAsia="Times New Roman" w:cs="Times New Roman"/>
                <w:sz w:val="24"/>
                <w:szCs w:val="24"/>
              </w:rPr>
            </w:pPr>
          </w:p>
        </w:tc>
      </w:tr>
    </w:tbl>
    <w:p w14:paraId="23AF05C0" w14:textId="77777777" w:rsidR="00AB5297" w:rsidRDefault="00AB5297" w:rsidP="00AB5297">
      <w:pPr>
        <w:spacing w:after="0" w:line="360" w:lineRule="auto"/>
        <w:jc w:val="both"/>
        <w:rPr>
          <w:rFonts w:eastAsia="Times New Roman" w:cs="Times New Roman"/>
          <w:sz w:val="24"/>
          <w:szCs w:val="24"/>
        </w:rPr>
      </w:pPr>
    </w:p>
    <w:p w14:paraId="062DC727" w14:textId="77777777" w:rsidR="002E0EFB" w:rsidRDefault="00BF19FB" w:rsidP="002E0EFB">
      <w:pPr>
        <w:spacing w:after="0" w:line="360" w:lineRule="auto"/>
        <w:jc w:val="right"/>
        <w:rPr>
          <w:rFonts w:eastAsia="Times New Roman" w:cs="Times New Roman"/>
          <w:b/>
          <w:bCs/>
          <w:sz w:val="24"/>
          <w:szCs w:val="24"/>
        </w:rPr>
      </w:pPr>
      <w:r w:rsidRPr="00BF19FB">
        <w:rPr>
          <w:rFonts w:eastAsia="Times New Roman" w:cs="Times New Roman"/>
          <w:b/>
          <w:bCs/>
          <w:sz w:val="24"/>
          <w:szCs w:val="24"/>
        </w:rPr>
        <w:t>Таблица П14/</w:t>
      </w:r>
      <w:r w:rsidR="00FB33EA">
        <w:rPr>
          <w:rFonts w:eastAsia="Times New Roman" w:cs="Times New Roman"/>
          <w:b/>
          <w:bCs/>
          <w:sz w:val="24"/>
          <w:szCs w:val="24"/>
        </w:rPr>
        <w:t>А2</w:t>
      </w:r>
      <w:r w:rsidRPr="00BF19FB">
        <w:rPr>
          <w:rFonts w:eastAsia="Times New Roman" w:cs="Times New Roman"/>
          <w:b/>
          <w:bCs/>
          <w:sz w:val="24"/>
          <w:szCs w:val="24"/>
        </w:rPr>
        <w:t xml:space="preserve">. </w:t>
      </w:r>
    </w:p>
    <w:p w14:paraId="4AD1A081" w14:textId="7880F46C" w:rsidR="00BF19FB" w:rsidRPr="00BF19FB" w:rsidRDefault="00BF19FB" w:rsidP="00BF19FB">
      <w:pPr>
        <w:spacing w:after="0" w:line="360" w:lineRule="auto"/>
        <w:jc w:val="both"/>
        <w:rPr>
          <w:rFonts w:eastAsia="Times New Roman" w:cs="Times New Roman"/>
          <w:b/>
          <w:bCs/>
          <w:sz w:val="24"/>
          <w:szCs w:val="24"/>
        </w:rPr>
      </w:pPr>
      <w:r w:rsidRPr="00BF19FB">
        <w:rPr>
          <w:rFonts w:eastAsia="Times New Roman" w:cs="Times New Roman"/>
          <w:b/>
          <w:bCs/>
          <w:sz w:val="24"/>
          <w:szCs w:val="24"/>
        </w:rPr>
        <w:t xml:space="preserve">Модифицирующие факторы, способствующие увеличению сердечно-сосудистого риска </w:t>
      </w:r>
    </w:p>
    <w:tbl>
      <w:tblPr>
        <w:tblW w:w="0" w:type="auto"/>
        <w:tblInd w:w="-5" w:type="dxa"/>
        <w:tblLayout w:type="fixed"/>
        <w:tblCellMar>
          <w:left w:w="0" w:type="dxa"/>
          <w:right w:w="0" w:type="dxa"/>
        </w:tblCellMar>
        <w:tblLook w:val="0000" w:firstRow="0" w:lastRow="0" w:firstColumn="0" w:lastColumn="0" w:noHBand="0" w:noVBand="0"/>
      </w:tblPr>
      <w:tblGrid>
        <w:gridCol w:w="8947"/>
      </w:tblGrid>
      <w:tr w:rsidR="00BF19FB" w:rsidRPr="00BF19FB" w14:paraId="1C5688B4" w14:textId="77777777">
        <w:trPr>
          <w:trHeight w:val="288"/>
        </w:trPr>
        <w:tc>
          <w:tcPr>
            <w:tcW w:w="8947" w:type="dxa"/>
            <w:tcBorders>
              <w:top w:val="single" w:sz="4" w:space="0" w:color="auto"/>
              <w:left w:val="single" w:sz="4" w:space="0" w:color="auto"/>
              <w:bottom w:val="nil"/>
              <w:right w:val="single" w:sz="4" w:space="0" w:color="auto"/>
            </w:tcBorders>
            <w:vAlign w:val="bottom"/>
          </w:tcPr>
          <w:p w14:paraId="67074107" w14:textId="77777777" w:rsidR="00BF19FB" w:rsidRPr="00BF19FB" w:rsidRDefault="00BF19FB" w:rsidP="00BF19FB">
            <w:pPr>
              <w:spacing w:after="0"/>
              <w:jc w:val="both"/>
              <w:rPr>
                <w:rFonts w:eastAsia="Times New Roman" w:cs="Times New Roman"/>
                <w:sz w:val="24"/>
                <w:szCs w:val="24"/>
              </w:rPr>
            </w:pPr>
            <w:r w:rsidRPr="00BF19FB">
              <w:rPr>
                <w:rFonts w:eastAsia="Times New Roman" w:cs="Times New Roman"/>
                <w:sz w:val="24"/>
                <w:szCs w:val="24"/>
              </w:rPr>
              <w:t>Социальная депривация — причина многих ССЗ</w:t>
            </w:r>
          </w:p>
        </w:tc>
      </w:tr>
      <w:tr w:rsidR="00BF19FB" w:rsidRPr="00BF19FB" w14:paraId="46729AE9" w14:textId="77777777">
        <w:trPr>
          <w:trHeight w:val="557"/>
        </w:trPr>
        <w:tc>
          <w:tcPr>
            <w:tcW w:w="8947" w:type="dxa"/>
            <w:tcBorders>
              <w:top w:val="single" w:sz="4" w:space="0" w:color="auto"/>
              <w:left w:val="single" w:sz="4" w:space="0" w:color="auto"/>
              <w:bottom w:val="nil"/>
              <w:right w:val="single" w:sz="4" w:space="0" w:color="auto"/>
            </w:tcBorders>
            <w:vAlign w:val="bottom"/>
          </w:tcPr>
          <w:p w14:paraId="3EC72F17" w14:textId="77777777" w:rsidR="00BF19FB" w:rsidRPr="00BF19FB" w:rsidRDefault="00BF19FB" w:rsidP="00BF19FB">
            <w:pPr>
              <w:spacing w:after="0"/>
              <w:jc w:val="both"/>
              <w:rPr>
                <w:rFonts w:eastAsia="Times New Roman" w:cs="Times New Roman"/>
                <w:sz w:val="24"/>
                <w:szCs w:val="24"/>
              </w:rPr>
            </w:pPr>
            <w:r w:rsidRPr="00BF19FB">
              <w:rPr>
                <w:rFonts w:eastAsia="Times New Roman" w:cs="Times New Roman"/>
                <w:sz w:val="24"/>
                <w:szCs w:val="24"/>
              </w:rPr>
              <w:t>Ожирение</w:t>
            </w:r>
            <w:r w:rsidRPr="00BF19FB">
              <w:rPr>
                <w:rFonts w:eastAsia="Times New Roman" w:cs="Times New Roman"/>
                <w:sz w:val="24"/>
                <w:szCs w:val="24"/>
              </w:rPr>
              <w:tab/>
              <w:t>(диагностированное</w:t>
            </w:r>
            <w:r w:rsidRPr="00BF19FB">
              <w:rPr>
                <w:rFonts w:eastAsia="Times New Roman" w:cs="Times New Roman"/>
                <w:sz w:val="24"/>
                <w:szCs w:val="24"/>
              </w:rPr>
              <w:tab/>
              <w:t>по</w:t>
            </w:r>
            <w:r w:rsidRPr="00BF19FB">
              <w:rPr>
                <w:rFonts w:eastAsia="Times New Roman" w:cs="Times New Roman"/>
                <w:sz w:val="24"/>
                <w:szCs w:val="24"/>
              </w:rPr>
              <w:tab/>
              <w:t>ИМТ)</w:t>
            </w:r>
            <w:r w:rsidRPr="00BF19FB">
              <w:rPr>
                <w:rFonts w:eastAsia="Times New Roman" w:cs="Times New Roman"/>
                <w:sz w:val="24"/>
                <w:szCs w:val="24"/>
              </w:rPr>
              <w:tab/>
              <w:t>и</w:t>
            </w:r>
            <w:r w:rsidRPr="00BF19FB">
              <w:rPr>
                <w:rFonts w:eastAsia="Times New Roman" w:cs="Times New Roman"/>
                <w:sz w:val="24"/>
                <w:szCs w:val="24"/>
              </w:rPr>
              <w:tab/>
              <w:t>центральное</w:t>
            </w:r>
            <w:r w:rsidRPr="00BF19FB">
              <w:rPr>
                <w:rFonts w:eastAsia="Times New Roman" w:cs="Times New Roman"/>
                <w:sz w:val="24"/>
                <w:szCs w:val="24"/>
              </w:rPr>
              <w:tab/>
              <w:t>ожирение</w:t>
            </w:r>
          </w:p>
          <w:p w14:paraId="7A666D0E" w14:textId="77777777" w:rsidR="00BF19FB" w:rsidRPr="00BF19FB" w:rsidRDefault="00BF19FB" w:rsidP="00BF19FB">
            <w:pPr>
              <w:spacing w:after="0"/>
              <w:jc w:val="both"/>
              <w:rPr>
                <w:rFonts w:eastAsia="Times New Roman" w:cs="Times New Roman"/>
                <w:sz w:val="24"/>
                <w:szCs w:val="24"/>
              </w:rPr>
            </w:pPr>
            <w:r w:rsidRPr="00BF19FB">
              <w:rPr>
                <w:rFonts w:eastAsia="Times New Roman" w:cs="Times New Roman"/>
                <w:sz w:val="24"/>
                <w:szCs w:val="24"/>
              </w:rPr>
              <w:t>(диагностированное по окружности талии)</w:t>
            </w:r>
          </w:p>
        </w:tc>
      </w:tr>
      <w:tr w:rsidR="00BF19FB" w:rsidRPr="00BF19FB" w14:paraId="64EAFCF5" w14:textId="77777777">
        <w:trPr>
          <w:trHeight w:val="293"/>
        </w:trPr>
        <w:tc>
          <w:tcPr>
            <w:tcW w:w="8947" w:type="dxa"/>
            <w:tcBorders>
              <w:top w:val="single" w:sz="4" w:space="0" w:color="auto"/>
              <w:left w:val="single" w:sz="4" w:space="0" w:color="auto"/>
              <w:bottom w:val="nil"/>
              <w:right w:val="single" w:sz="4" w:space="0" w:color="auto"/>
            </w:tcBorders>
            <w:vAlign w:val="bottom"/>
          </w:tcPr>
          <w:p w14:paraId="35ADBAFB" w14:textId="77777777" w:rsidR="00BF19FB" w:rsidRPr="00BF19FB" w:rsidRDefault="00BF19FB" w:rsidP="00BF19FB">
            <w:pPr>
              <w:spacing w:after="0"/>
              <w:jc w:val="both"/>
              <w:rPr>
                <w:rFonts w:eastAsia="Times New Roman" w:cs="Times New Roman"/>
                <w:sz w:val="24"/>
                <w:szCs w:val="24"/>
              </w:rPr>
            </w:pPr>
            <w:r w:rsidRPr="00BF19FB">
              <w:rPr>
                <w:rFonts w:eastAsia="Times New Roman" w:cs="Times New Roman"/>
                <w:sz w:val="24"/>
                <w:szCs w:val="24"/>
              </w:rPr>
              <w:t>Отсутствие физической активности</w:t>
            </w:r>
          </w:p>
        </w:tc>
      </w:tr>
      <w:tr w:rsidR="00BF19FB" w:rsidRPr="00BF19FB" w14:paraId="17397831" w14:textId="77777777">
        <w:trPr>
          <w:trHeight w:val="278"/>
        </w:trPr>
        <w:tc>
          <w:tcPr>
            <w:tcW w:w="8947" w:type="dxa"/>
            <w:tcBorders>
              <w:top w:val="single" w:sz="4" w:space="0" w:color="auto"/>
              <w:left w:val="single" w:sz="4" w:space="0" w:color="auto"/>
              <w:bottom w:val="nil"/>
              <w:right w:val="single" w:sz="4" w:space="0" w:color="auto"/>
            </w:tcBorders>
            <w:vAlign w:val="bottom"/>
          </w:tcPr>
          <w:p w14:paraId="25F731AD" w14:textId="77777777" w:rsidR="00BF19FB" w:rsidRPr="00BF19FB" w:rsidRDefault="00BF19FB" w:rsidP="00BF19FB">
            <w:pPr>
              <w:spacing w:after="0"/>
              <w:jc w:val="both"/>
              <w:rPr>
                <w:rFonts w:eastAsia="Times New Roman" w:cs="Times New Roman"/>
                <w:sz w:val="24"/>
                <w:szCs w:val="24"/>
              </w:rPr>
            </w:pPr>
            <w:r w:rsidRPr="00BF19FB">
              <w:rPr>
                <w:rFonts w:eastAsia="Times New Roman" w:cs="Times New Roman"/>
                <w:sz w:val="24"/>
                <w:szCs w:val="24"/>
              </w:rPr>
              <w:t>Психологический стресс</w:t>
            </w:r>
          </w:p>
        </w:tc>
      </w:tr>
      <w:tr w:rsidR="00BF19FB" w:rsidRPr="00BF19FB" w14:paraId="1D70A431" w14:textId="77777777">
        <w:trPr>
          <w:trHeight w:val="566"/>
        </w:trPr>
        <w:tc>
          <w:tcPr>
            <w:tcW w:w="8947" w:type="dxa"/>
            <w:tcBorders>
              <w:top w:val="single" w:sz="4" w:space="0" w:color="auto"/>
              <w:left w:val="single" w:sz="4" w:space="0" w:color="auto"/>
              <w:bottom w:val="nil"/>
              <w:right w:val="single" w:sz="4" w:space="0" w:color="auto"/>
            </w:tcBorders>
            <w:vAlign w:val="bottom"/>
          </w:tcPr>
          <w:p w14:paraId="12C4A813" w14:textId="77777777" w:rsidR="00BF19FB" w:rsidRPr="00BF19FB" w:rsidRDefault="00BF19FB" w:rsidP="00BF19FB">
            <w:pPr>
              <w:spacing w:after="0"/>
              <w:jc w:val="both"/>
              <w:rPr>
                <w:rFonts w:eastAsia="Times New Roman" w:cs="Times New Roman"/>
                <w:sz w:val="24"/>
                <w:szCs w:val="24"/>
              </w:rPr>
            </w:pPr>
            <w:r w:rsidRPr="00BF19FB">
              <w:rPr>
                <w:rFonts w:eastAsia="Times New Roman" w:cs="Times New Roman"/>
                <w:sz w:val="24"/>
                <w:szCs w:val="24"/>
              </w:rPr>
              <w:t>Семейный анамнез раннего развития ССЗ (возникших &lt;55 лет у мужчин и до &lt;60 лет у женщин)</w:t>
            </w:r>
          </w:p>
        </w:tc>
      </w:tr>
      <w:tr w:rsidR="00BF19FB" w:rsidRPr="00BF19FB" w14:paraId="0E2CF0F8" w14:textId="77777777">
        <w:trPr>
          <w:trHeight w:val="283"/>
        </w:trPr>
        <w:tc>
          <w:tcPr>
            <w:tcW w:w="8947" w:type="dxa"/>
            <w:tcBorders>
              <w:top w:val="single" w:sz="4" w:space="0" w:color="auto"/>
              <w:left w:val="single" w:sz="4" w:space="0" w:color="auto"/>
              <w:bottom w:val="nil"/>
              <w:right w:val="single" w:sz="4" w:space="0" w:color="auto"/>
            </w:tcBorders>
            <w:vAlign w:val="bottom"/>
          </w:tcPr>
          <w:p w14:paraId="0557A3A0" w14:textId="77777777" w:rsidR="00BF19FB" w:rsidRPr="00BF19FB" w:rsidRDefault="00BF19FB" w:rsidP="00BF19FB">
            <w:pPr>
              <w:spacing w:after="0"/>
              <w:jc w:val="both"/>
              <w:rPr>
                <w:rFonts w:eastAsia="Times New Roman" w:cs="Times New Roman"/>
                <w:sz w:val="24"/>
                <w:szCs w:val="24"/>
              </w:rPr>
            </w:pPr>
            <w:r w:rsidRPr="00BF19FB">
              <w:rPr>
                <w:rFonts w:eastAsia="Times New Roman" w:cs="Times New Roman"/>
                <w:sz w:val="24"/>
                <w:szCs w:val="24"/>
              </w:rPr>
              <w:t>Аутоиммунные и другие воспалительные заболевания</w:t>
            </w:r>
          </w:p>
        </w:tc>
      </w:tr>
      <w:tr w:rsidR="00BF19FB" w:rsidRPr="00BF19FB" w14:paraId="4021FBBF" w14:textId="77777777">
        <w:trPr>
          <w:trHeight w:val="293"/>
        </w:trPr>
        <w:tc>
          <w:tcPr>
            <w:tcW w:w="8947" w:type="dxa"/>
            <w:tcBorders>
              <w:top w:val="single" w:sz="4" w:space="0" w:color="auto"/>
              <w:left w:val="single" w:sz="4" w:space="0" w:color="auto"/>
              <w:bottom w:val="nil"/>
              <w:right w:val="single" w:sz="4" w:space="0" w:color="auto"/>
            </w:tcBorders>
            <w:vAlign w:val="bottom"/>
          </w:tcPr>
          <w:p w14:paraId="6D250447" w14:textId="77777777" w:rsidR="00BF19FB" w:rsidRPr="00BF19FB" w:rsidRDefault="00BF19FB" w:rsidP="00BF19FB">
            <w:pPr>
              <w:spacing w:after="0"/>
              <w:jc w:val="both"/>
              <w:rPr>
                <w:rFonts w:eastAsia="Times New Roman" w:cs="Times New Roman"/>
                <w:sz w:val="24"/>
                <w:szCs w:val="24"/>
              </w:rPr>
            </w:pPr>
            <w:r w:rsidRPr="00BF19FB">
              <w:rPr>
                <w:rFonts w:eastAsia="Times New Roman" w:cs="Times New Roman"/>
                <w:sz w:val="24"/>
                <w:szCs w:val="24"/>
              </w:rPr>
              <w:t>Большие психические расстройства</w:t>
            </w:r>
          </w:p>
        </w:tc>
      </w:tr>
      <w:tr w:rsidR="00BF19FB" w:rsidRPr="00BF19FB" w14:paraId="58E5760D" w14:textId="77777777">
        <w:trPr>
          <w:trHeight w:val="278"/>
        </w:trPr>
        <w:tc>
          <w:tcPr>
            <w:tcW w:w="8947" w:type="dxa"/>
            <w:tcBorders>
              <w:top w:val="single" w:sz="4" w:space="0" w:color="auto"/>
              <w:left w:val="single" w:sz="4" w:space="0" w:color="auto"/>
              <w:bottom w:val="nil"/>
              <w:right w:val="single" w:sz="4" w:space="0" w:color="auto"/>
            </w:tcBorders>
            <w:vAlign w:val="bottom"/>
          </w:tcPr>
          <w:p w14:paraId="72C3B436" w14:textId="77777777" w:rsidR="00BF19FB" w:rsidRPr="00BF19FB" w:rsidRDefault="00BF19FB" w:rsidP="00BF19FB">
            <w:pPr>
              <w:spacing w:after="0"/>
              <w:jc w:val="both"/>
              <w:rPr>
                <w:rFonts w:eastAsia="Times New Roman" w:cs="Times New Roman"/>
                <w:sz w:val="24"/>
                <w:szCs w:val="24"/>
              </w:rPr>
            </w:pPr>
            <w:r w:rsidRPr="00BF19FB">
              <w:rPr>
                <w:rFonts w:eastAsia="Times New Roman" w:cs="Times New Roman"/>
                <w:sz w:val="24"/>
                <w:szCs w:val="24"/>
              </w:rPr>
              <w:t>Лечение инфекций при наличии ВИЧ</w:t>
            </w:r>
          </w:p>
        </w:tc>
      </w:tr>
      <w:tr w:rsidR="00BF19FB" w:rsidRPr="00BF19FB" w14:paraId="5EF2B4EA" w14:textId="77777777">
        <w:trPr>
          <w:trHeight w:val="293"/>
        </w:trPr>
        <w:tc>
          <w:tcPr>
            <w:tcW w:w="8947" w:type="dxa"/>
            <w:tcBorders>
              <w:top w:val="single" w:sz="4" w:space="0" w:color="auto"/>
              <w:left w:val="single" w:sz="4" w:space="0" w:color="auto"/>
              <w:bottom w:val="nil"/>
              <w:right w:val="single" w:sz="4" w:space="0" w:color="auto"/>
            </w:tcBorders>
            <w:vAlign w:val="bottom"/>
          </w:tcPr>
          <w:p w14:paraId="75EEA311" w14:textId="77777777" w:rsidR="00BF19FB" w:rsidRPr="00BF19FB" w:rsidRDefault="00BF19FB" w:rsidP="00BF19FB">
            <w:pPr>
              <w:spacing w:after="0"/>
              <w:jc w:val="both"/>
              <w:rPr>
                <w:rFonts w:eastAsia="Times New Roman" w:cs="Times New Roman"/>
                <w:sz w:val="24"/>
                <w:szCs w:val="24"/>
              </w:rPr>
            </w:pPr>
            <w:r w:rsidRPr="00BF19FB">
              <w:rPr>
                <w:rFonts w:eastAsia="Times New Roman" w:cs="Times New Roman"/>
                <w:sz w:val="24"/>
                <w:szCs w:val="24"/>
              </w:rPr>
              <w:t>Фибрилляция предсердий</w:t>
            </w:r>
          </w:p>
        </w:tc>
      </w:tr>
      <w:tr w:rsidR="00BF19FB" w:rsidRPr="00BF19FB" w14:paraId="23FD7BE1" w14:textId="77777777">
        <w:trPr>
          <w:trHeight w:val="278"/>
        </w:trPr>
        <w:tc>
          <w:tcPr>
            <w:tcW w:w="8947" w:type="dxa"/>
            <w:tcBorders>
              <w:top w:val="single" w:sz="4" w:space="0" w:color="auto"/>
              <w:left w:val="single" w:sz="4" w:space="0" w:color="auto"/>
              <w:bottom w:val="nil"/>
              <w:right w:val="single" w:sz="4" w:space="0" w:color="auto"/>
            </w:tcBorders>
            <w:vAlign w:val="bottom"/>
          </w:tcPr>
          <w:p w14:paraId="20136B06" w14:textId="77777777" w:rsidR="00BF19FB" w:rsidRPr="00BF19FB" w:rsidRDefault="00BF19FB" w:rsidP="00BF19FB">
            <w:pPr>
              <w:spacing w:after="0"/>
              <w:jc w:val="both"/>
              <w:rPr>
                <w:rFonts w:eastAsia="Times New Roman" w:cs="Times New Roman"/>
                <w:sz w:val="24"/>
                <w:szCs w:val="24"/>
              </w:rPr>
            </w:pPr>
            <w:r w:rsidRPr="00BF19FB">
              <w:rPr>
                <w:rFonts w:eastAsia="Times New Roman" w:cs="Times New Roman"/>
                <w:sz w:val="24"/>
                <w:szCs w:val="24"/>
              </w:rPr>
              <w:t>Гипертрофия левого желудочка</w:t>
            </w:r>
          </w:p>
        </w:tc>
      </w:tr>
      <w:tr w:rsidR="00BF19FB" w:rsidRPr="00BF19FB" w14:paraId="0D181A15" w14:textId="77777777">
        <w:trPr>
          <w:trHeight w:val="293"/>
        </w:trPr>
        <w:tc>
          <w:tcPr>
            <w:tcW w:w="8947" w:type="dxa"/>
            <w:tcBorders>
              <w:top w:val="single" w:sz="4" w:space="0" w:color="auto"/>
              <w:left w:val="single" w:sz="4" w:space="0" w:color="auto"/>
              <w:bottom w:val="nil"/>
              <w:right w:val="single" w:sz="4" w:space="0" w:color="auto"/>
            </w:tcBorders>
            <w:vAlign w:val="bottom"/>
          </w:tcPr>
          <w:p w14:paraId="4E863124" w14:textId="77777777" w:rsidR="00BF19FB" w:rsidRPr="00BF19FB" w:rsidRDefault="00BF19FB" w:rsidP="00BF19FB">
            <w:pPr>
              <w:spacing w:after="0"/>
              <w:jc w:val="both"/>
              <w:rPr>
                <w:rFonts w:eastAsia="Times New Roman" w:cs="Times New Roman"/>
                <w:sz w:val="24"/>
                <w:szCs w:val="24"/>
              </w:rPr>
            </w:pPr>
            <w:r w:rsidRPr="00BF19FB">
              <w:rPr>
                <w:rFonts w:eastAsia="Times New Roman" w:cs="Times New Roman"/>
                <w:sz w:val="24"/>
                <w:szCs w:val="24"/>
              </w:rPr>
              <w:t>ХБП</w:t>
            </w:r>
          </w:p>
        </w:tc>
      </w:tr>
      <w:tr w:rsidR="00BF19FB" w:rsidRPr="00BF19FB" w14:paraId="43D394B9" w14:textId="77777777">
        <w:trPr>
          <w:trHeight w:val="293"/>
        </w:trPr>
        <w:tc>
          <w:tcPr>
            <w:tcW w:w="8947" w:type="dxa"/>
            <w:tcBorders>
              <w:top w:val="single" w:sz="4" w:space="0" w:color="auto"/>
              <w:left w:val="single" w:sz="4" w:space="0" w:color="auto"/>
              <w:bottom w:val="single" w:sz="4" w:space="0" w:color="auto"/>
              <w:right w:val="single" w:sz="4" w:space="0" w:color="auto"/>
            </w:tcBorders>
            <w:vAlign w:val="bottom"/>
          </w:tcPr>
          <w:p w14:paraId="70AD4F99" w14:textId="77777777" w:rsidR="00BF19FB" w:rsidRPr="00BF19FB" w:rsidRDefault="00BF19FB" w:rsidP="00BF19FB">
            <w:pPr>
              <w:spacing w:after="0"/>
              <w:jc w:val="both"/>
              <w:rPr>
                <w:rFonts w:eastAsia="Times New Roman" w:cs="Times New Roman"/>
                <w:sz w:val="24"/>
                <w:szCs w:val="24"/>
              </w:rPr>
            </w:pPr>
            <w:r w:rsidRPr="00BF19FB">
              <w:rPr>
                <w:rFonts w:eastAsia="Times New Roman" w:cs="Times New Roman"/>
                <w:sz w:val="24"/>
                <w:szCs w:val="24"/>
              </w:rPr>
              <w:t>Синдром обструктивного апноэ сна</w:t>
            </w:r>
          </w:p>
        </w:tc>
      </w:tr>
    </w:tbl>
    <w:p w14:paraId="26FD45AA" w14:textId="77777777" w:rsidR="00BF19FB" w:rsidRDefault="00BF19FB" w:rsidP="00BF19FB">
      <w:pPr>
        <w:spacing w:after="0" w:line="360" w:lineRule="auto"/>
        <w:jc w:val="both"/>
        <w:rPr>
          <w:rFonts w:eastAsia="Times New Roman" w:cs="Times New Roman"/>
          <w:b/>
          <w:bCs/>
          <w:sz w:val="24"/>
          <w:szCs w:val="24"/>
        </w:rPr>
      </w:pPr>
    </w:p>
    <w:p w14:paraId="68141B65" w14:textId="77777777" w:rsidR="001A12F4" w:rsidRDefault="001A12F4" w:rsidP="002E0EFB">
      <w:pPr>
        <w:spacing w:after="0" w:line="360" w:lineRule="auto"/>
        <w:jc w:val="right"/>
        <w:rPr>
          <w:rFonts w:eastAsia="Times New Roman" w:cs="Times New Roman"/>
          <w:b/>
          <w:bCs/>
          <w:sz w:val="24"/>
          <w:szCs w:val="24"/>
        </w:rPr>
      </w:pPr>
    </w:p>
    <w:p w14:paraId="528B39A2" w14:textId="77777777" w:rsidR="001A12F4" w:rsidRDefault="001A12F4" w:rsidP="002E0EFB">
      <w:pPr>
        <w:spacing w:after="0" w:line="360" w:lineRule="auto"/>
        <w:jc w:val="right"/>
        <w:rPr>
          <w:rFonts w:eastAsia="Times New Roman" w:cs="Times New Roman"/>
          <w:b/>
          <w:bCs/>
          <w:sz w:val="24"/>
          <w:szCs w:val="24"/>
        </w:rPr>
      </w:pPr>
    </w:p>
    <w:p w14:paraId="1DB9AB95" w14:textId="77777777" w:rsidR="001A12F4" w:rsidRDefault="001A12F4" w:rsidP="002E0EFB">
      <w:pPr>
        <w:spacing w:after="0" w:line="360" w:lineRule="auto"/>
        <w:jc w:val="right"/>
        <w:rPr>
          <w:rFonts w:eastAsia="Times New Roman" w:cs="Times New Roman"/>
          <w:b/>
          <w:bCs/>
          <w:sz w:val="24"/>
          <w:szCs w:val="24"/>
        </w:rPr>
      </w:pPr>
    </w:p>
    <w:p w14:paraId="2A8EA73B" w14:textId="77777777" w:rsidR="001A12F4" w:rsidRDefault="001A12F4" w:rsidP="002E0EFB">
      <w:pPr>
        <w:spacing w:after="0" w:line="360" w:lineRule="auto"/>
        <w:jc w:val="right"/>
        <w:rPr>
          <w:rFonts w:eastAsia="Times New Roman" w:cs="Times New Roman"/>
          <w:b/>
          <w:bCs/>
          <w:sz w:val="24"/>
          <w:szCs w:val="24"/>
        </w:rPr>
      </w:pPr>
    </w:p>
    <w:p w14:paraId="7B2C61E5" w14:textId="77777777" w:rsidR="001A12F4" w:rsidRDefault="001A12F4" w:rsidP="002E0EFB">
      <w:pPr>
        <w:spacing w:after="0" w:line="360" w:lineRule="auto"/>
        <w:jc w:val="right"/>
        <w:rPr>
          <w:rFonts w:eastAsia="Times New Roman" w:cs="Times New Roman"/>
          <w:b/>
          <w:bCs/>
          <w:sz w:val="24"/>
          <w:szCs w:val="24"/>
        </w:rPr>
      </w:pPr>
    </w:p>
    <w:p w14:paraId="5B03BC36" w14:textId="77777777" w:rsidR="001A12F4" w:rsidRDefault="001A12F4" w:rsidP="002E0EFB">
      <w:pPr>
        <w:spacing w:after="0" w:line="360" w:lineRule="auto"/>
        <w:jc w:val="right"/>
        <w:rPr>
          <w:rFonts w:eastAsia="Times New Roman" w:cs="Times New Roman"/>
          <w:b/>
          <w:bCs/>
          <w:sz w:val="24"/>
          <w:szCs w:val="24"/>
        </w:rPr>
      </w:pPr>
    </w:p>
    <w:p w14:paraId="0B45ABA4" w14:textId="77777777" w:rsidR="001A12F4" w:rsidRDefault="001A12F4" w:rsidP="002E0EFB">
      <w:pPr>
        <w:spacing w:after="0" w:line="360" w:lineRule="auto"/>
        <w:jc w:val="right"/>
        <w:rPr>
          <w:rFonts w:eastAsia="Times New Roman" w:cs="Times New Roman"/>
          <w:b/>
          <w:bCs/>
          <w:sz w:val="24"/>
          <w:szCs w:val="24"/>
        </w:rPr>
      </w:pPr>
    </w:p>
    <w:p w14:paraId="6099DBCA" w14:textId="77777777" w:rsidR="001A12F4" w:rsidRDefault="001A12F4" w:rsidP="002E0EFB">
      <w:pPr>
        <w:spacing w:after="0" w:line="360" w:lineRule="auto"/>
        <w:jc w:val="right"/>
        <w:rPr>
          <w:rFonts w:eastAsia="Times New Roman" w:cs="Times New Roman"/>
          <w:b/>
          <w:bCs/>
          <w:sz w:val="24"/>
          <w:szCs w:val="24"/>
        </w:rPr>
      </w:pPr>
    </w:p>
    <w:p w14:paraId="3468574B" w14:textId="77777777" w:rsidR="001A12F4" w:rsidRDefault="001A12F4" w:rsidP="002E0EFB">
      <w:pPr>
        <w:spacing w:after="0" w:line="360" w:lineRule="auto"/>
        <w:jc w:val="right"/>
        <w:rPr>
          <w:rFonts w:eastAsia="Times New Roman" w:cs="Times New Roman"/>
          <w:b/>
          <w:bCs/>
          <w:sz w:val="24"/>
          <w:szCs w:val="24"/>
        </w:rPr>
      </w:pPr>
    </w:p>
    <w:p w14:paraId="1DC94303" w14:textId="77777777" w:rsidR="001A12F4" w:rsidRDefault="001A12F4" w:rsidP="002E0EFB">
      <w:pPr>
        <w:spacing w:after="0" w:line="360" w:lineRule="auto"/>
        <w:jc w:val="right"/>
        <w:rPr>
          <w:rFonts w:eastAsia="Times New Roman" w:cs="Times New Roman"/>
          <w:b/>
          <w:bCs/>
          <w:sz w:val="24"/>
          <w:szCs w:val="24"/>
        </w:rPr>
      </w:pPr>
    </w:p>
    <w:p w14:paraId="59BC2D54" w14:textId="77777777" w:rsidR="001A12F4" w:rsidRDefault="001A12F4" w:rsidP="002E0EFB">
      <w:pPr>
        <w:spacing w:after="0" w:line="360" w:lineRule="auto"/>
        <w:jc w:val="right"/>
        <w:rPr>
          <w:rFonts w:eastAsia="Times New Roman" w:cs="Times New Roman"/>
          <w:b/>
          <w:bCs/>
          <w:sz w:val="24"/>
          <w:szCs w:val="24"/>
        </w:rPr>
      </w:pPr>
    </w:p>
    <w:p w14:paraId="30D36401" w14:textId="77777777" w:rsidR="001A12F4" w:rsidRDefault="001A12F4" w:rsidP="002E0EFB">
      <w:pPr>
        <w:spacing w:after="0" w:line="360" w:lineRule="auto"/>
        <w:jc w:val="right"/>
        <w:rPr>
          <w:rFonts w:eastAsia="Times New Roman" w:cs="Times New Roman"/>
          <w:b/>
          <w:bCs/>
          <w:sz w:val="24"/>
          <w:szCs w:val="24"/>
        </w:rPr>
      </w:pPr>
    </w:p>
    <w:p w14:paraId="5060499D" w14:textId="2323D5F2" w:rsidR="002E0EFB" w:rsidRDefault="00BF19FB" w:rsidP="002E0EFB">
      <w:pPr>
        <w:spacing w:after="0" w:line="360" w:lineRule="auto"/>
        <w:jc w:val="right"/>
        <w:rPr>
          <w:rFonts w:eastAsia="Times New Roman" w:cs="Times New Roman"/>
          <w:b/>
          <w:bCs/>
          <w:sz w:val="24"/>
          <w:szCs w:val="24"/>
        </w:rPr>
      </w:pPr>
      <w:r>
        <w:rPr>
          <w:rFonts w:eastAsia="Times New Roman" w:cs="Times New Roman"/>
          <w:b/>
          <w:bCs/>
          <w:sz w:val="24"/>
          <w:szCs w:val="24"/>
        </w:rPr>
        <w:lastRenderedPageBreak/>
        <w:t>Т</w:t>
      </w:r>
      <w:r w:rsidRPr="00BF19FB">
        <w:rPr>
          <w:rFonts w:eastAsia="Times New Roman" w:cs="Times New Roman"/>
          <w:b/>
          <w:bCs/>
          <w:sz w:val="24"/>
          <w:szCs w:val="24"/>
        </w:rPr>
        <w:t>аблица П15/</w:t>
      </w:r>
      <w:r w:rsidR="00FB33EA">
        <w:rPr>
          <w:rFonts w:eastAsia="Times New Roman" w:cs="Times New Roman"/>
          <w:b/>
          <w:bCs/>
          <w:sz w:val="24"/>
          <w:szCs w:val="24"/>
        </w:rPr>
        <w:t>А2</w:t>
      </w:r>
      <w:r w:rsidRPr="00BF19FB">
        <w:rPr>
          <w:rFonts w:eastAsia="Times New Roman" w:cs="Times New Roman"/>
          <w:b/>
          <w:bCs/>
          <w:sz w:val="24"/>
          <w:szCs w:val="24"/>
        </w:rPr>
        <w:t xml:space="preserve">. </w:t>
      </w:r>
    </w:p>
    <w:p w14:paraId="5D665709" w14:textId="253DD6A5" w:rsidR="00BF19FB" w:rsidRPr="00BF19FB" w:rsidRDefault="00BF19FB" w:rsidP="00BF19FB">
      <w:pPr>
        <w:spacing w:after="0" w:line="360" w:lineRule="auto"/>
        <w:jc w:val="both"/>
        <w:rPr>
          <w:rFonts w:eastAsia="Times New Roman" w:cs="Times New Roman"/>
          <w:b/>
          <w:bCs/>
          <w:sz w:val="24"/>
          <w:szCs w:val="24"/>
        </w:rPr>
      </w:pPr>
      <w:r w:rsidRPr="00BF19FB">
        <w:rPr>
          <w:rFonts w:eastAsia="Times New Roman" w:cs="Times New Roman"/>
          <w:b/>
          <w:bCs/>
          <w:sz w:val="24"/>
          <w:szCs w:val="24"/>
        </w:rPr>
        <w:t>Классификация стадий АГ в зависимости от уровней артериального давления, наличия факторов СС риска, поражения органов, обусловленного гипертензией, и наличия сопутствующих заболеваний</w:t>
      </w:r>
    </w:p>
    <w:tbl>
      <w:tblPr>
        <w:tblW w:w="0" w:type="auto"/>
        <w:tblInd w:w="-5" w:type="dxa"/>
        <w:tblLayout w:type="fixed"/>
        <w:tblCellMar>
          <w:left w:w="0" w:type="dxa"/>
          <w:right w:w="0" w:type="dxa"/>
        </w:tblCellMar>
        <w:tblLook w:val="0000" w:firstRow="0" w:lastRow="0" w:firstColumn="0" w:lastColumn="0" w:noHBand="0" w:noVBand="0"/>
      </w:tblPr>
      <w:tblGrid>
        <w:gridCol w:w="1709"/>
        <w:gridCol w:w="1560"/>
        <w:gridCol w:w="10"/>
        <w:gridCol w:w="1546"/>
        <w:gridCol w:w="1421"/>
        <w:gridCol w:w="1421"/>
        <w:gridCol w:w="1282"/>
      </w:tblGrid>
      <w:tr w:rsidR="00BF19FB" w:rsidRPr="00BF19FB" w14:paraId="26604F3B" w14:textId="77777777" w:rsidTr="00BF19FB">
        <w:trPr>
          <w:trHeight w:val="283"/>
        </w:trPr>
        <w:tc>
          <w:tcPr>
            <w:tcW w:w="1709" w:type="dxa"/>
            <w:vMerge w:val="restart"/>
            <w:tcBorders>
              <w:top w:val="single" w:sz="4" w:space="0" w:color="auto"/>
              <w:left w:val="single" w:sz="4" w:space="0" w:color="auto"/>
              <w:bottom w:val="nil"/>
              <w:right w:val="nil"/>
            </w:tcBorders>
            <w:shd w:val="clear" w:color="auto" w:fill="B8CCE4"/>
          </w:tcPr>
          <w:p w14:paraId="3A25CAAA" w14:textId="77777777" w:rsidR="00BF19FB" w:rsidRPr="00BF19FB" w:rsidRDefault="00BF19FB" w:rsidP="00D31282">
            <w:pPr>
              <w:spacing w:after="0"/>
              <w:jc w:val="both"/>
              <w:rPr>
                <w:rFonts w:eastAsia="Times New Roman" w:cs="Times New Roman"/>
                <w:sz w:val="24"/>
                <w:szCs w:val="24"/>
              </w:rPr>
            </w:pPr>
            <w:r w:rsidRPr="00BF19FB">
              <w:rPr>
                <w:rFonts w:eastAsia="Times New Roman" w:cs="Times New Roman"/>
                <w:sz w:val="24"/>
                <w:szCs w:val="24"/>
              </w:rPr>
              <w:t>Стадия ГБ</w:t>
            </w:r>
          </w:p>
        </w:tc>
        <w:tc>
          <w:tcPr>
            <w:tcW w:w="1560" w:type="dxa"/>
            <w:vMerge w:val="restart"/>
            <w:tcBorders>
              <w:top w:val="single" w:sz="4" w:space="0" w:color="auto"/>
              <w:left w:val="single" w:sz="4" w:space="0" w:color="auto"/>
              <w:bottom w:val="nil"/>
              <w:right w:val="nil"/>
            </w:tcBorders>
            <w:shd w:val="clear" w:color="auto" w:fill="B8CCE4"/>
          </w:tcPr>
          <w:p w14:paraId="56DC9FCB" w14:textId="77777777" w:rsidR="00BF19FB" w:rsidRPr="00BF19FB" w:rsidRDefault="00BF19FB" w:rsidP="00D31282">
            <w:pPr>
              <w:spacing w:after="0"/>
              <w:jc w:val="both"/>
              <w:rPr>
                <w:rFonts w:eastAsia="Times New Roman" w:cs="Times New Roman"/>
                <w:sz w:val="24"/>
                <w:szCs w:val="24"/>
              </w:rPr>
            </w:pPr>
            <w:r w:rsidRPr="00BF19FB">
              <w:rPr>
                <w:rFonts w:eastAsia="Times New Roman" w:cs="Times New Roman"/>
                <w:sz w:val="24"/>
                <w:szCs w:val="24"/>
              </w:rPr>
              <w:t>Другие факторы риска,</w:t>
            </w:r>
          </w:p>
          <w:p w14:paraId="68EB05E3" w14:textId="77777777" w:rsidR="00BF19FB" w:rsidRPr="00BF19FB" w:rsidRDefault="00BF19FB" w:rsidP="00D31282">
            <w:pPr>
              <w:spacing w:after="0"/>
              <w:jc w:val="both"/>
              <w:rPr>
                <w:rFonts w:eastAsia="Times New Roman" w:cs="Times New Roman"/>
                <w:sz w:val="24"/>
                <w:szCs w:val="24"/>
              </w:rPr>
            </w:pPr>
            <w:r w:rsidRPr="00BF19FB">
              <w:rPr>
                <w:rFonts w:eastAsia="Times New Roman" w:cs="Times New Roman"/>
                <w:sz w:val="24"/>
                <w:szCs w:val="24"/>
              </w:rPr>
              <w:t>ПОМ</w:t>
            </w:r>
            <w:r w:rsidRPr="00BF19FB">
              <w:rPr>
                <w:rFonts w:eastAsia="Times New Roman" w:cs="Times New Roman"/>
                <w:sz w:val="24"/>
                <w:szCs w:val="24"/>
              </w:rPr>
              <w:tab/>
              <w:t>или</w:t>
            </w:r>
          </w:p>
          <w:p w14:paraId="1B4DB8D3" w14:textId="77777777" w:rsidR="00BF19FB" w:rsidRPr="00BF19FB" w:rsidRDefault="00BF19FB" w:rsidP="00D31282">
            <w:pPr>
              <w:spacing w:after="0"/>
              <w:jc w:val="both"/>
              <w:rPr>
                <w:rFonts w:eastAsia="Times New Roman" w:cs="Times New Roman"/>
                <w:sz w:val="24"/>
                <w:szCs w:val="24"/>
              </w:rPr>
            </w:pPr>
            <w:r w:rsidRPr="00BF19FB">
              <w:rPr>
                <w:rFonts w:eastAsia="Times New Roman" w:cs="Times New Roman"/>
                <w:sz w:val="24"/>
                <w:szCs w:val="24"/>
              </w:rPr>
              <w:t>заболевания</w:t>
            </w:r>
          </w:p>
        </w:tc>
        <w:tc>
          <w:tcPr>
            <w:tcW w:w="5680" w:type="dxa"/>
            <w:gridSpan w:val="5"/>
            <w:tcBorders>
              <w:top w:val="single" w:sz="4" w:space="0" w:color="auto"/>
              <w:left w:val="single" w:sz="4" w:space="0" w:color="auto"/>
              <w:bottom w:val="nil"/>
              <w:right w:val="single" w:sz="4" w:space="0" w:color="auto"/>
            </w:tcBorders>
            <w:shd w:val="clear" w:color="auto" w:fill="B8CCE4"/>
            <w:vAlign w:val="bottom"/>
          </w:tcPr>
          <w:p w14:paraId="0FB82496" w14:textId="77777777" w:rsidR="00BF19FB" w:rsidRPr="00BF19FB" w:rsidRDefault="00BF19FB" w:rsidP="00D31282">
            <w:pPr>
              <w:spacing w:after="0"/>
              <w:jc w:val="both"/>
              <w:rPr>
                <w:rFonts w:eastAsia="Times New Roman" w:cs="Times New Roman"/>
                <w:sz w:val="24"/>
                <w:szCs w:val="24"/>
              </w:rPr>
            </w:pPr>
            <w:r w:rsidRPr="00BF19FB">
              <w:rPr>
                <w:rFonts w:eastAsia="Times New Roman" w:cs="Times New Roman"/>
                <w:sz w:val="24"/>
                <w:szCs w:val="24"/>
              </w:rPr>
              <w:t>АД, мм рт. ст.</w:t>
            </w:r>
          </w:p>
        </w:tc>
      </w:tr>
      <w:tr w:rsidR="00BF19FB" w:rsidRPr="00BF19FB" w14:paraId="4E07AE4A" w14:textId="77777777" w:rsidTr="00BF19FB">
        <w:trPr>
          <w:trHeight w:val="1010"/>
        </w:trPr>
        <w:tc>
          <w:tcPr>
            <w:tcW w:w="1709" w:type="dxa"/>
            <w:vMerge/>
            <w:tcBorders>
              <w:top w:val="nil"/>
              <w:left w:val="single" w:sz="4" w:space="0" w:color="auto"/>
              <w:bottom w:val="nil"/>
              <w:right w:val="nil"/>
            </w:tcBorders>
            <w:shd w:val="clear" w:color="auto" w:fill="B8CCE4"/>
          </w:tcPr>
          <w:p w14:paraId="57CC61E0" w14:textId="77777777" w:rsidR="00BF19FB" w:rsidRPr="00BF19FB" w:rsidRDefault="00BF19FB" w:rsidP="00D31282">
            <w:pPr>
              <w:spacing w:after="0"/>
              <w:jc w:val="both"/>
              <w:rPr>
                <w:rFonts w:eastAsia="Times New Roman" w:cs="Times New Roman"/>
                <w:sz w:val="24"/>
                <w:szCs w:val="24"/>
              </w:rPr>
            </w:pPr>
          </w:p>
        </w:tc>
        <w:tc>
          <w:tcPr>
            <w:tcW w:w="1560" w:type="dxa"/>
            <w:vMerge/>
            <w:tcBorders>
              <w:top w:val="nil"/>
              <w:left w:val="single" w:sz="4" w:space="0" w:color="auto"/>
              <w:bottom w:val="nil"/>
              <w:right w:val="nil"/>
            </w:tcBorders>
            <w:shd w:val="clear" w:color="auto" w:fill="B8CCE4"/>
          </w:tcPr>
          <w:p w14:paraId="56D3A73D" w14:textId="77777777" w:rsidR="00BF19FB" w:rsidRPr="00BF19FB" w:rsidRDefault="00BF19FB" w:rsidP="00D31282">
            <w:pPr>
              <w:spacing w:after="0"/>
              <w:jc w:val="both"/>
              <w:rPr>
                <w:rFonts w:eastAsia="Times New Roman" w:cs="Times New Roman"/>
                <w:sz w:val="24"/>
                <w:szCs w:val="24"/>
              </w:rPr>
            </w:pPr>
          </w:p>
        </w:tc>
        <w:tc>
          <w:tcPr>
            <w:tcW w:w="1556" w:type="dxa"/>
            <w:gridSpan w:val="2"/>
            <w:tcBorders>
              <w:top w:val="single" w:sz="4" w:space="0" w:color="auto"/>
              <w:left w:val="single" w:sz="4" w:space="0" w:color="auto"/>
              <w:bottom w:val="nil"/>
              <w:right w:val="nil"/>
            </w:tcBorders>
            <w:vAlign w:val="bottom"/>
          </w:tcPr>
          <w:p w14:paraId="10C3B956" w14:textId="77777777" w:rsidR="00BF19FB" w:rsidRPr="00BF19FB" w:rsidRDefault="00BF19FB" w:rsidP="00D31282">
            <w:pPr>
              <w:spacing w:after="0"/>
              <w:jc w:val="both"/>
              <w:rPr>
                <w:rFonts w:eastAsia="Times New Roman" w:cs="Times New Roman"/>
                <w:sz w:val="24"/>
                <w:szCs w:val="24"/>
              </w:rPr>
            </w:pPr>
            <w:r w:rsidRPr="00BF19FB">
              <w:rPr>
                <w:rFonts w:eastAsia="Times New Roman" w:cs="Times New Roman"/>
                <w:sz w:val="24"/>
                <w:szCs w:val="24"/>
              </w:rPr>
              <w:t>Высокое нормальное САД 130–139 ДАД 85–89</w:t>
            </w:r>
          </w:p>
        </w:tc>
        <w:tc>
          <w:tcPr>
            <w:tcW w:w="1421" w:type="dxa"/>
            <w:tcBorders>
              <w:top w:val="single" w:sz="4" w:space="0" w:color="auto"/>
              <w:left w:val="single" w:sz="4" w:space="0" w:color="auto"/>
              <w:bottom w:val="nil"/>
              <w:right w:val="nil"/>
            </w:tcBorders>
          </w:tcPr>
          <w:p w14:paraId="3FA9DA7B" w14:textId="77777777" w:rsidR="00BF19FB" w:rsidRPr="00BF19FB" w:rsidRDefault="00BF19FB" w:rsidP="00D31282">
            <w:pPr>
              <w:spacing w:after="0"/>
              <w:jc w:val="both"/>
              <w:rPr>
                <w:rFonts w:eastAsia="Times New Roman" w:cs="Times New Roman"/>
                <w:sz w:val="24"/>
                <w:szCs w:val="24"/>
              </w:rPr>
            </w:pPr>
            <w:r w:rsidRPr="00BF19FB">
              <w:rPr>
                <w:rFonts w:eastAsia="Times New Roman" w:cs="Times New Roman"/>
                <w:sz w:val="24"/>
                <w:szCs w:val="24"/>
              </w:rPr>
              <w:t>Степень 1 САД 140–159 ДАД 90–99</w:t>
            </w:r>
          </w:p>
        </w:tc>
        <w:tc>
          <w:tcPr>
            <w:tcW w:w="1421" w:type="dxa"/>
            <w:tcBorders>
              <w:top w:val="single" w:sz="4" w:space="0" w:color="auto"/>
              <w:left w:val="single" w:sz="4" w:space="0" w:color="auto"/>
              <w:bottom w:val="nil"/>
              <w:right w:val="nil"/>
            </w:tcBorders>
          </w:tcPr>
          <w:p w14:paraId="722F6A09" w14:textId="77777777" w:rsidR="00BF19FB" w:rsidRPr="00BF19FB" w:rsidRDefault="00BF19FB" w:rsidP="00D31282">
            <w:pPr>
              <w:spacing w:after="0"/>
              <w:jc w:val="both"/>
              <w:rPr>
                <w:rFonts w:eastAsia="Times New Roman" w:cs="Times New Roman"/>
                <w:sz w:val="24"/>
                <w:szCs w:val="24"/>
              </w:rPr>
            </w:pPr>
            <w:r w:rsidRPr="00BF19FB">
              <w:rPr>
                <w:rFonts w:eastAsia="Times New Roman" w:cs="Times New Roman"/>
                <w:sz w:val="24"/>
                <w:szCs w:val="24"/>
              </w:rPr>
              <w:t>Степень 2 САД 160–179 ДАД 100–109</w:t>
            </w:r>
          </w:p>
        </w:tc>
        <w:tc>
          <w:tcPr>
            <w:tcW w:w="1282" w:type="dxa"/>
            <w:tcBorders>
              <w:top w:val="single" w:sz="4" w:space="0" w:color="auto"/>
              <w:left w:val="single" w:sz="4" w:space="0" w:color="auto"/>
              <w:bottom w:val="nil"/>
              <w:right w:val="single" w:sz="4" w:space="0" w:color="auto"/>
            </w:tcBorders>
          </w:tcPr>
          <w:p w14:paraId="2003D4CE" w14:textId="77777777" w:rsidR="00BF19FB" w:rsidRPr="00BF19FB" w:rsidRDefault="00BF19FB" w:rsidP="00D31282">
            <w:pPr>
              <w:spacing w:after="0"/>
              <w:jc w:val="both"/>
              <w:rPr>
                <w:rFonts w:eastAsia="Times New Roman" w:cs="Times New Roman"/>
                <w:sz w:val="24"/>
                <w:szCs w:val="24"/>
              </w:rPr>
            </w:pPr>
            <w:r w:rsidRPr="00BF19FB">
              <w:rPr>
                <w:rFonts w:eastAsia="Times New Roman" w:cs="Times New Roman"/>
                <w:sz w:val="24"/>
                <w:szCs w:val="24"/>
              </w:rPr>
              <w:t>Степень 3 САД≥180 ДАД ≥110</w:t>
            </w:r>
          </w:p>
        </w:tc>
      </w:tr>
      <w:tr w:rsidR="00BF19FB" w:rsidRPr="00BF19FB" w14:paraId="4D930C0B" w14:textId="77777777" w:rsidTr="00BF19FB">
        <w:trPr>
          <w:trHeight w:val="830"/>
        </w:trPr>
        <w:tc>
          <w:tcPr>
            <w:tcW w:w="1709" w:type="dxa"/>
            <w:vMerge w:val="restart"/>
            <w:tcBorders>
              <w:top w:val="single" w:sz="4" w:space="0" w:color="auto"/>
              <w:left w:val="single" w:sz="4" w:space="0" w:color="auto"/>
              <w:bottom w:val="nil"/>
              <w:right w:val="nil"/>
            </w:tcBorders>
          </w:tcPr>
          <w:p w14:paraId="17B6235A" w14:textId="77777777" w:rsidR="00BF19FB" w:rsidRPr="00BF19FB" w:rsidRDefault="00BF19FB" w:rsidP="00D31282">
            <w:pPr>
              <w:spacing w:after="0"/>
              <w:jc w:val="both"/>
              <w:rPr>
                <w:rFonts w:eastAsia="Times New Roman" w:cs="Times New Roman"/>
                <w:sz w:val="24"/>
                <w:szCs w:val="24"/>
              </w:rPr>
            </w:pPr>
            <w:r w:rsidRPr="00BF19FB">
              <w:rPr>
                <w:rFonts w:eastAsia="Times New Roman" w:cs="Times New Roman"/>
                <w:sz w:val="24"/>
                <w:szCs w:val="24"/>
              </w:rPr>
              <w:t xml:space="preserve">Стадия </w:t>
            </w:r>
            <w:r w:rsidRPr="00BF19FB">
              <w:rPr>
                <w:rFonts w:eastAsia="Times New Roman" w:cs="Times New Roman"/>
                <w:sz w:val="24"/>
                <w:szCs w:val="24"/>
                <w:lang w:val="en-US"/>
              </w:rPr>
              <w:t>I</w:t>
            </w:r>
          </w:p>
        </w:tc>
        <w:tc>
          <w:tcPr>
            <w:tcW w:w="1560" w:type="dxa"/>
            <w:tcBorders>
              <w:top w:val="single" w:sz="4" w:space="0" w:color="auto"/>
              <w:left w:val="single" w:sz="4" w:space="0" w:color="auto"/>
              <w:bottom w:val="nil"/>
              <w:right w:val="nil"/>
            </w:tcBorders>
          </w:tcPr>
          <w:p w14:paraId="4176FEB3" w14:textId="77777777" w:rsidR="00BF19FB" w:rsidRPr="00BF19FB" w:rsidRDefault="00BF19FB" w:rsidP="00D31282">
            <w:pPr>
              <w:spacing w:after="0"/>
              <w:jc w:val="both"/>
              <w:rPr>
                <w:rFonts w:eastAsia="Times New Roman" w:cs="Times New Roman"/>
                <w:sz w:val="24"/>
                <w:szCs w:val="24"/>
              </w:rPr>
            </w:pPr>
            <w:r w:rsidRPr="00BF19FB">
              <w:rPr>
                <w:rFonts w:eastAsia="Times New Roman" w:cs="Times New Roman"/>
                <w:sz w:val="24"/>
                <w:szCs w:val="24"/>
              </w:rPr>
              <w:t>Нет других ФР</w:t>
            </w:r>
          </w:p>
        </w:tc>
        <w:tc>
          <w:tcPr>
            <w:tcW w:w="1556" w:type="dxa"/>
            <w:gridSpan w:val="2"/>
            <w:tcBorders>
              <w:top w:val="single" w:sz="4" w:space="0" w:color="auto"/>
              <w:left w:val="single" w:sz="4" w:space="0" w:color="auto"/>
              <w:bottom w:val="nil"/>
              <w:right w:val="nil"/>
            </w:tcBorders>
            <w:shd w:val="clear" w:color="auto" w:fill="FFFF00"/>
          </w:tcPr>
          <w:p w14:paraId="0D15EC0D" w14:textId="77777777" w:rsidR="00BF19FB" w:rsidRPr="00BF19FB" w:rsidRDefault="00BF19FB" w:rsidP="00D31282">
            <w:pPr>
              <w:spacing w:after="0"/>
              <w:jc w:val="both"/>
              <w:rPr>
                <w:rFonts w:eastAsia="Times New Roman" w:cs="Times New Roman"/>
                <w:sz w:val="24"/>
                <w:szCs w:val="24"/>
              </w:rPr>
            </w:pPr>
            <w:r w:rsidRPr="00BF19FB">
              <w:rPr>
                <w:rFonts w:eastAsia="Times New Roman" w:cs="Times New Roman"/>
                <w:sz w:val="24"/>
                <w:szCs w:val="24"/>
              </w:rPr>
              <w:t>Низкий риск (риск 1)</w:t>
            </w:r>
          </w:p>
        </w:tc>
        <w:tc>
          <w:tcPr>
            <w:tcW w:w="1421" w:type="dxa"/>
            <w:tcBorders>
              <w:top w:val="single" w:sz="4" w:space="0" w:color="auto"/>
              <w:left w:val="single" w:sz="4" w:space="0" w:color="auto"/>
              <w:bottom w:val="nil"/>
              <w:right w:val="nil"/>
            </w:tcBorders>
            <w:shd w:val="clear" w:color="auto" w:fill="FFFF00"/>
            <w:vAlign w:val="bottom"/>
          </w:tcPr>
          <w:p w14:paraId="1D0D6C17" w14:textId="77777777" w:rsidR="00BF19FB" w:rsidRPr="00BF19FB" w:rsidRDefault="00BF19FB" w:rsidP="00D31282">
            <w:pPr>
              <w:spacing w:after="0"/>
              <w:jc w:val="both"/>
              <w:rPr>
                <w:rFonts w:eastAsia="Times New Roman" w:cs="Times New Roman"/>
                <w:sz w:val="24"/>
                <w:szCs w:val="24"/>
              </w:rPr>
            </w:pPr>
            <w:r w:rsidRPr="00BF19FB">
              <w:rPr>
                <w:rFonts w:eastAsia="Times New Roman" w:cs="Times New Roman"/>
                <w:sz w:val="24"/>
                <w:szCs w:val="24"/>
              </w:rPr>
              <w:t>Низкий риск (риск 1)</w:t>
            </w:r>
          </w:p>
        </w:tc>
        <w:tc>
          <w:tcPr>
            <w:tcW w:w="1421" w:type="dxa"/>
            <w:tcBorders>
              <w:top w:val="single" w:sz="4" w:space="0" w:color="auto"/>
              <w:left w:val="single" w:sz="4" w:space="0" w:color="auto"/>
              <w:bottom w:val="nil"/>
              <w:right w:val="nil"/>
            </w:tcBorders>
            <w:shd w:val="clear" w:color="auto" w:fill="FFC000"/>
            <w:vAlign w:val="bottom"/>
          </w:tcPr>
          <w:p w14:paraId="26F87F21" w14:textId="77777777" w:rsidR="00BF19FB" w:rsidRPr="00BF19FB" w:rsidRDefault="00BF19FB" w:rsidP="00D31282">
            <w:pPr>
              <w:spacing w:after="0"/>
              <w:jc w:val="both"/>
              <w:rPr>
                <w:rFonts w:eastAsia="Times New Roman" w:cs="Times New Roman"/>
                <w:sz w:val="24"/>
                <w:szCs w:val="24"/>
              </w:rPr>
            </w:pPr>
            <w:r w:rsidRPr="00BF19FB">
              <w:rPr>
                <w:rFonts w:eastAsia="Times New Roman" w:cs="Times New Roman"/>
                <w:sz w:val="24"/>
                <w:szCs w:val="24"/>
              </w:rPr>
              <w:t>Умеренны й</w:t>
            </w:r>
            <w:r w:rsidRPr="00BF19FB">
              <w:rPr>
                <w:rFonts w:eastAsia="Times New Roman" w:cs="Times New Roman"/>
                <w:sz w:val="24"/>
                <w:szCs w:val="24"/>
              </w:rPr>
              <w:tab/>
              <w:t>риск</w:t>
            </w:r>
          </w:p>
          <w:p w14:paraId="2631E77C" w14:textId="77777777" w:rsidR="00BF19FB" w:rsidRPr="00BF19FB" w:rsidRDefault="00BF19FB" w:rsidP="00D31282">
            <w:pPr>
              <w:spacing w:after="0"/>
              <w:jc w:val="both"/>
              <w:rPr>
                <w:rFonts w:eastAsia="Times New Roman" w:cs="Times New Roman"/>
                <w:sz w:val="24"/>
                <w:szCs w:val="24"/>
              </w:rPr>
            </w:pPr>
            <w:r w:rsidRPr="00BF19FB">
              <w:rPr>
                <w:rFonts w:eastAsia="Times New Roman" w:cs="Times New Roman"/>
                <w:sz w:val="24"/>
                <w:szCs w:val="24"/>
              </w:rPr>
              <w:t>(риск 2)</w:t>
            </w:r>
          </w:p>
        </w:tc>
        <w:tc>
          <w:tcPr>
            <w:tcW w:w="1282" w:type="dxa"/>
            <w:tcBorders>
              <w:top w:val="single" w:sz="4" w:space="0" w:color="auto"/>
              <w:left w:val="single" w:sz="4" w:space="0" w:color="auto"/>
              <w:bottom w:val="nil"/>
              <w:right w:val="single" w:sz="4" w:space="0" w:color="auto"/>
            </w:tcBorders>
            <w:shd w:val="clear" w:color="auto" w:fill="FF0000"/>
            <w:vAlign w:val="bottom"/>
          </w:tcPr>
          <w:p w14:paraId="638A595C" w14:textId="77777777" w:rsidR="00BF19FB" w:rsidRPr="00BF19FB" w:rsidRDefault="00BF19FB" w:rsidP="00D31282">
            <w:pPr>
              <w:spacing w:after="0"/>
              <w:jc w:val="both"/>
              <w:rPr>
                <w:rFonts w:eastAsia="Times New Roman" w:cs="Times New Roman"/>
                <w:sz w:val="24"/>
                <w:szCs w:val="24"/>
              </w:rPr>
            </w:pPr>
            <w:r w:rsidRPr="00BF19FB">
              <w:rPr>
                <w:rFonts w:eastAsia="Times New Roman" w:cs="Times New Roman"/>
                <w:sz w:val="24"/>
                <w:szCs w:val="24"/>
              </w:rPr>
              <w:t>Высокий риск (риск 3)</w:t>
            </w:r>
          </w:p>
        </w:tc>
      </w:tr>
      <w:tr w:rsidR="00BF19FB" w:rsidRPr="00BF19FB" w14:paraId="3DA55849" w14:textId="77777777" w:rsidTr="00BF19FB">
        <w:trPr>
          <w:trHeight w:val="850"/>
        </w:trPr>
        <w:tc>
          <w:tcPr>
            <w:tcW w:w="1709" w:type="dxa"/>
            <w:vMerge/>
            <w:tcBorders>
              <w:top w:val="nil"/>
              <w:left w:val="single" w:sz="4" w:space="0" w:color="auto"/>
              <w:bottom w:val="single" w:sz="4" w:space="0" w:color="auto"/>
              <w:right w:val="nil"/>
            </w:tcBorders>
          </w:tcPr>
          <w:p w14:paraId="1D41D1DF" w14:textId="77777777" w:rsidR="00BF19FB" w:rsidRPr="00BF19FB" w:rsidRDefault="00BF19FB" w:rsidP="00D31282">
            <w:pPr>
              <w:spacing w:after="0"/>
              <w:jc w:val="both"/>
              <w:rPr>
                <w:rFonts w:eastAsia="Times New Roman" w:cs="Times New Roman"/>
                <w:sz w:val="24"/>
                <w:szCs w:val="24"/>
              </w:rPr>
            </w:pPr>
          </w:p>
        </w:tc>
        <w:tc>
          <w:tcPr>
            <w:tcW w:w="1560" w:type="dxa"/>
            <w:tcBorders>
              <w:top w:val="single" w:sz="4" w:space="0" w:color="auto"/>
              <w:left w:val="single" w:sz="4" w:space="0" w:color="auto"/>
              <w:bottom w:val="single" w:sz="4" w:space="0" w:color="auto"/>
              <w:right w:val="nil"/>
            </w:tcBorders>
          </w:tcPr>
          <w:p w14:paraId="011D239E" w14:textId="77777777" w:rsidR="00BF19FB" w:rsidRPr="00BF19FB" w:rsidRDefault="00BF19FB" w:rsidP="00D31282">
            <w:pPr>
              <w:spacing w:after="0"/>
              <w:jc w:val="both"/>
              <w:rPr>
                <w:rFonts w:eastAsia="Times New Roman" w:cs="Times New Roman"/>
                <w:sz w:val="24"/>
                <w:szCs w:val="24"/>
              </w:rPr>
            </w:pPr>
            <w:r w:rsidRPr="00BF19FB">
              <w:rPr>
                <w:rFonts w:eastAsia="Times New Roman" w:cs="Times New Roman"/>
                <w:sz w:val="24"/>
                <w:szCs w:val="24"/>
              </w:rPr>
              <w:t>1–2 ФР</w:t>
            </w:r>
          </w:p>
        </w:tc>
        <w:tc>
          <w:tcPr>
            <w:tcW w:w="1556" w:type="dxa"/>
            <w:gridSpan w:val="2"/>
            <w:tcBorders>
              <w:top w:val="single" w:sz="4" w:space="0" w:color="auto"/>
              <w:left w:val="single" w:sz="4" w:space="0" w:color="auto"/>
              <w:bottom w:val="single" w:sz="4" w:space="0" w:color="auto"/>
              <w:right w:val="nil"/>
            </w:tcBorders>
            <w:shd w:val="clear" w:color="auto" w:fill="FFFF00"/>
          </w:tcPr>
          <w:p w14:paraId="55EC2270" w14:textId="77777777" w:rsidR="00BF19FB" w:rsidRPr="00BF19FB" w:rsidRDefault="00BF19FB" w:rsidP="00D31282">
            <w:pPr>
              <w:spacing w:after="0"/>
              <w:jc w:val="both"/>
              <w:rPr>
                <w:rFonts w:eastAsia="Times New Roman" w:cs="Times New Roman"/>
                <w:sz w:val="24"/>
                <w:szCs w:val="24"/>
              </w:rPr>
            </w:pPr>
            <w:r w:rsidRPr="00BF19FB">
              <w:rPr>
                <w:rFonts w:eastAsia="Times New Roman" w:cs="Times New Roman"/>
                <w:sz w:val="24"/>
                <w:szCs w:val="24"/>
              </w:rPr>
              <w:t>Низкий риск (риск 1)</w:t>
            </w:r>
          </w:p>
        </w:tc>
        <w:tc>
          <w:tcPr>
            <w:tcW w:w="1421" w:type="dxa"/>
            <w:tcBorders>
              <w:top w:val="single" w:sz="4" w:space="0" w:color="auto"/>
              <w:left w:val="single" w:sz="4" w:space="0" w:color="auto"/>
              <w:bottom w:val="single" w:sz="4" w:space="0" w:color="auto"/>
              <w:right w:val="nil"/>
            </w:tcBorders>
            <w:shd w:val="clear" w:color="auto" w:fill="FFC000"/>
            <w:vAlign w:val="bottom"/>
          </w:tcPr>
          <w:p w14:paraId="5EF20BD0" w14:textId="77777777" w:rsidR="00BF19FB" w:rsidRPr="00BF19FB" w:rsidRDefault="00BF19FB" w:rsidP="00D31282">
            <w:pPr>
              <w:spacing w:after="0"/>
              <w:jc w:val="both"/>
              <w:rPr>
                <w:rFonts w:eastAsia="Times New Roman" w:cs="Times New Roman"/>
                <w:sz w:val="24"/>
                <w:szCs w:val="24"/>
              </w:rPr>
            </w:pPr>
            <w:r w:rsidRPr="00BF19FB">
              <w:rPr>
                <w:rFonts w:eastAsia="Times New Roman" w:cs="Times New Roman"/>
                <w:sz w:val="24"/>
                <w:szCs w:val="24"/>
              </w:rPr>
              <w:t>Умеренный риск (риск 2)</w:t>
            </w:r>
          </w:p>
        </w:tc>
        <w:tc>
          <w:tcPr>
            <w:tcW w:w="1421" w:type="dxa"/>
            <w:tcBorders>
              <w:top w:val="single" w:sz="4" w:space="0" w:color="auto"/>
              <w:left w:val="single" w:sz="4" w:space="0" w:color="auto"/>
              <w:bottom w:val="single" w:sz="4" w:space="0" w:color="auto"/>
              <w:right w:val="nil"/>
            </w:tcBorders>
            <w:shd w:val="clear" w:color="auto" w:fill="FF0000"/>
            <w:vAlign w:val="bottom"/>
          </w:tcPr>
          <w:p w14:paraId="06BC09CD" w14:textId="77777777" w:rsidR="00BF19FB" w:rsidRPr="00BF19FB" w:rsidRDefault="00BF19FB" w:rsidP="00D31282">
            <w:pPr>
              <w:spacing w:after="0"/>
              <w:jc w:val="both"/>
              <w:rPr>
                <w:rFonts w:eastAsia="Times New Roman" w:cs="Times New Roman"/>
                <w:sz w:val="24"/>
                <w:szCs w:val="24"/>
              </w:rPr>
            </w:pPr>
            <w:r w:rsidRPr="00BF19FB">
              <w:rPr>
                <w:rFonts w:eastAsia="Times New Roman" w:cs="Times New Roman"/>
                <w:sz w:val="24"/>
                <w:szCs w:val="24"/>
              </w:rPr>
              <w:t>Умеренны й/ высокий</w:t>
            </w:r>
          </w:p>
          <w:p w14:paraId="76D0ABC6" w14:textId="77777777" w:rsidR="00BF19FB" w:rsidRPr="00BF19FB" w:rsidRDefault="00BF19FB" w:rsidP="00D31282">
            <w:pPr>
              <w:spacing w:after="0"/>
              <w:jc w:val="both"/>
              <w:rPr>
                <w:rFonts w:eastAsia="Times New Roman" w:cs="Times New Roman"/>
                <w:sz w:val="24"/>
                <w:szCs w:val="24"/>
              </w:rPr>
            </w:pPr>
            <w:r w:rsidRPr="00BF19FB">
              <w:rPr>
                <w:rFonts w:eastAsia="Times New Roman" w:cs="Times New Roman"/>
                <w:sz w:val="24"/>
                <w:szCs w:val="24"/>
              </w:rPr>
              <w:t>риск</w:t>
            </w:r>
          </w:p>
        </w:tc>
        <w:tc>
          <w:tcPr>
            <w:tcW w:w="1282" w:type="dxa"/>
            <w:tcBorders>
              <w:top w:val="single" w:sz="4" w:space="0" w:color="auto"/>
              <w:left w:val="single" w:sz="4" w:space="0" w:color="auto"/>
              <w:bottom w:val="single" w:sz="4" w:space="0" w:color="auto"/>
              <w:right w:val="single" w:sz="4" w:space="0" w:color="auto"/>
            </w:tcBorders>
            <w:shd w:val="clear" w:color="auto" w:fill="FF0000"/>
            <w:vAlign w:val="bottom"/>
          </w:tcPr>
          <w:p w14:paraId="3E5AD4E0" w14:textId="77777777" w:rsidR="00BF19FB" w:rsidRPr="00BF19FB" w:rsidRDefault="00BF19FB" w:rsidP="00D31282">
            <w:pPr>
              <w:spacing w:after="0"/>
              <w:jc w:val="both"/>
              <w:rPr>
                <w:rFonts w:eastAsia="Times New Roman" w:cs="Times New Roman"/>
                <w:sz w:val="24"/>
                <w:szCs w:val="24"/>
              </w:rPr>
            </w:pPr>
            <w:r w:rsidRPr="00BF19FB">
              <w:rPr>
                <w:rFonts w:eastAsia="Times New Roman" w:cs="Times New Roman"/>
                <w:sz w:val="24"/>
                <w:szCs w:val="24"/>
              </w:rPr>
              <w:t>Высокий риск (риск 3)</w:t>
            </w:r>
          </w:p>
        </w:tc>
      </w:tr>
      <w:tr w:rsidR="00BF19FB" w:rsidRPr="00BF19FB" w14:paraId="7D034FBF" w14:textId="77777777">
        <w:trPr>
          <w:trHeight w:val="840"/>
        </w:trPr>
        <w:tc>
          <w:tcPr>
            <w:tcW w:w="1709" w:type="dxa"/>
            <w:tcBorders>
              <w:top w:val="single" w:sz="4" w:space="0" w:color="auto"/>
              <w:left w:val="single" w:sz="4" w:space="0" w:color="auto"/>
              <w:bottom w:val="nil"/>
              <w:right w:val="nil"/>
            </w:tcBorders>
          </w:tcPr>
          <w:p w14:paraId="0B38CA3B" w14:textId="77777777" w:rsidR="00BF19FB" w:rsidRPr="00BF19FB" w:rsidRDefault="00BF19FB" w:rsidP="00D31282">
            <w:pPr>
              <w:spacing w:after="0"/>
              <w:jc w:val="both"/>
              <w:rPr>
                <w:rFonts w:eastAsia="Times New Roman" w:cs="Times New Roman"/>
                <w:sz w:val="24"/>
                <w:szCs w:val="24"/>
              </w:rPr>
            </w:pPr>
          </w:p>
        </w:tc>
        <w:tc>
          <w:tcPr>
            <w:tcW w:w="1570" w:type="dxa"/>
            <w:gridSpan w:val="2"/>
            <w:tcBorders>
              <w:top w:val="single" w:sz="4" w:space="0" w:color="auto"/>
              <w:left w:val="single" w:sz="4" w:space="0" w:color="auto"/>
              <w:bottom w:val="nil"/>
              <w:right w:val="nil"/>
            </w:tcBorders>
          </w:tcPr>
          <w:p w14:paraId="1CB2E784" w14:textId="77777777" w:rsidR="00BF19FB" w:rsidRPr="00BF19FB" w:rsidRDefault="00BF19FB" w:rsidP="00D31282">
            <w:pPr>
              <w:spacing w:after="0"/>
              <w:jc w:val="both"/>
              <w:rPr>
                <w:rFonts w:eastAsia="Times New Roman" w:cs="Times New Roman"/>
                <w:sz w:val="24"/>
                <w:szCs w:val="24"/>
              </w:rPr>
            </w:pPr>
            <w:r w:rsidRPr="00BF19FB">
              <w:rPr>
                <w:rFonts w:eastAsia="Times New Roman" w:cs="Times New Roman"/>
                <w:sz w:val="24"/>
                <w:szCs w:val="24"/>
              </w:rPr>
              <w:t>≥3 ФР</w:t>
            </w:r>
          </w:p>
        </w:tc>
        <w:tc>
          <w:tcPr>
            <w:tcW w:w="1546" w:type="dxa"/>
            <w:tcBorders>
              <w:top w:val="single" w:sz="4" w:space="0" w:color="auto"/>
              <w:left w:val="single" w:sz="4" w:space="0" w:color="auto"/>
              <w:bottom w:val="nil"/>
              <w:right w:val="nil"/>
            </w:tcBorders>
            <w:shd w:val="clear" w:color="auto" w:fill="FFC000"/>
            <w:vAlign w:val="bottom"/>
          </w:tcPr>
          <w:p w14:paraId="166881A1" w14:textId="77777777" w:rsidR="00BF19FB" w:rsidRPr="00BF19FB" w:rsidRDefault="00BF19FB" w:rsidP="00D31282">
            <w:pPr>
              <w:spacing w:after="0"/>
              <w:jc w:val="both"/>
              <w:rPr>
                <w:rFonts w:eastAsia="Times New Roman" w:cs="Times New Roman"/>
                <w:sz w:val="24"/>
                <w:szCs w:val="24"/>
              </w:rPr>
            </w:pPr>
            <w:r w:rsidRPr="00BF19FB">
              <w:rPr>
                <w:rFonts w:eastAsia="Times New Roman" w:cs="Times New Roman"/>
                <w:sz w:val="24"/>
                <w:szCs w:val="24"/>
              </w:rPr>
              <w:t>Низкий/ умеренный риск</w:t>
            </w:r>
          </w:p>
        </w:tc>
        <w:tc>
          <w:tcPr>
            <w:tcW w:w="1421" w:type="dxa"/>
            <w:tcBorders>
              <w:top w:val="single" w:sz="4" w:space="0" w:color="auto"/>
              <w:left w:val="single" w:sz="4" w:space="0" w:color="auto"/>
              <w:bottom w:val="nil"/>
              <w:right w:val="nil"/>
            </w:tcBorders>
            <w:shd w:val="clear" w:color="auto" w:fill="FF0000"/>
            <w:vAlign w:val="bottom"/>
          </w:tcPr>
          <w:p w14:paraId="4241CCB0" w14:textId="77777777" w:rsidR="00BF19FB" w:rsidRPr="00BF19FB" w:rsidRDefault="00BF19FB" w:rsidP="00D31282">
            <w:pPr>
              <w:spacing w:after="0"/>
              <w:jc w:val="both"/>
              <w:rPr>
                <w:rFonts w:eastAsia="Times New Roman" w:cs="Times New Roman"/>
                <w:sz w:val="24"/>
                <w:szCs w:val="24"/>
              </w:rPr>
            </w:pPr>
            <w:r w:rsidRPr="00BF19FB">
              <w:rPr>
                <w:rFonts w:eastAsia="Times New Roman" w:cs="Times New Roman"/>
                <w:sz w:val="24"/>
                <w:szCs w:val="24"/>
              </w:rPr>
              <w:t>Умеренный / высокий</w:t>
            </w:r>
          </w:p>
          <w:p w14:paraId="7156558D" w14:textId="77777777" w:rsidR="00BF19FB" w:rsidRPr="00BF19FB" w:rsidRDefault="00BF19FB" w:rsidP="00D31282">
            <w:pPr>
              <w:spacing w:after="0"/>
              <w:jc w:val="both"/>
              <w:rPr>
                <w:rFonts w:eastAsia="Times New Roman" w:cs="Times New Roman"/>
                <w:sz w:val="24"/>
                <w:szCs w:val="24"/>
              </w:rPr>
            </w:pPr>
            <w:r w:rsidRPr="00BF19FB">
              <w:rPr>
                <w:rFonts w:eastAsia="Times New Roman" w:cs="Times New Roman"/>
                <w:sz w:val="24"/>
                <w:szCs w:val="24"/>
              </w:rPr>
              <w:t>риск</w:t>
            </w:r>
          </w:p>
        </w:tc>
        <w:tc>
          <w:tcPr>
            <w:tcW w:w="1421" w:type="dxa"/>
            <w:tcBorders>
              <w:top w:val="single" w:sz="4" w:space="0" w:color="auto"/>
              <w:left w:val="single" w:sz="4" w:space="0" w:color="auto"/>
              <w:bottom w:val="nil"/>
              <w:right w:val="nil"/>
            </w:tcBorders>
            <w:shd w:val="clear" w:color="auto" w:fill="FF0000"/>
            <w:vAlign w:val="bottom"/>
          </w:tcPr>
          <w:p w14:paraId="181CE55B" w14:textId="77777777" w:rsidR="00BF19FB" w:rsidRPr="00BF19FB" w:rsidRDefault="00BF19FB" w:rsidP="00D31282">
            <w:pPr>
              <w:spacing w:after="0"/>
              <w:jc w:val="both"/>
              <w:rPr>
                <w:rFonts w:eastAsia="Times New Roman" w:cs="Times New Roman"/>
                <w:sz w:val="24"/>
                <w:szCs w:val="24"/>
              </w:rPr>
            </w:pPr>
            <w:r w:rsidRPr="00BF19FB">
              <w:rPr>
                <w:rFonts w:eastAsia="Times New Roman" w:cs="Times New Roman"/>
                <w:sz w:val="24"/>
                <w:szCs w:val="24"/>
              </w:rPr>
              <w:t>Высокий риск (риск 3)</w:t>
            </w:r>
          </w:p>
        </w:tc>
        <w:tc>
          <w:tcPr>
            <w:tcW w:w="1282" w:type="dxa"/>
            <w:tcBorders>
              <w:top w:val="single" w:sz="4" w:space="0" w:color="auto"/>
              <w:left w:val="single" w:sz="4" w:space="0" w:color="auto"/>
              <w:bottom w:val="nil"/>
              <w:right w:val="single" w:sz="4" w:space="0" w:color="auto"/>
            </w:tcBorders>
            <w:shd w:val="clear" w:color="auto" w:fill="FF0000"/>
            <w:vAlign w:val="bottom"/>
          </w:tcPr>
          <w:p w14:paraId="27979386" w14:textId="77777777" w:rsidR="00BF19FB" w:rsidRPr="00BF19FB" w:rsidRDefault="00BF19FB" w:rsidP="00D31282">
            <w:pPr>
              <w:spacing w:after="0"/>
              <w:jc w:val="both"/>
              <w:rPr>
                <w:rFonts w:eastAsia="Times New Roman" w:cs="Times New Roman"/>
                <w:sz w:val="24"/>
                <w:szCs w:val="24"/>
              </w:rPr>
            </w:pPr>
            <w:r w:rsidRPr="00BF19FB">
              <w:rPr>
                <w:rFonts w:eastAsia="Times New Roman" w:cs="Times New Roman"/>
                <w:sz w:val="24"/>
                <w:szCs w:val="24"/>
              </w:rPr>
              <w:t>Высокий риск (риск 3)</w:t>
            </w:r>
          </w:p>
        </w:tc>
      </w:tr>
      <w:tr w:rsidR="00BF19FB" w:rsidRPr="00BF19FB" w14:paraId="75927735" w14:textId="77777777">
        <w:trPr>
          <w:trHeight w:val="1392"/>
        </w:trPr>
        <w:tc>
          <w:tcPr>
            <w:tcW w:w="1709" w:type="dxa"/>
            <w:tcBorders>
              <w:top w:val="single" w:sz="4" w:space="0" w:color="auto"/>
              <w:left w:val="single" w:sz="4" w:space="0" w:color="auto"/>
              <w:bottom w:val="nil"/>
              <w:right w:val="nil"/>
            </w:tcBorders>
          </w:tcPr>
          <w:p w14:paraId="03174AF3" w14:textId="77777777" w:rsidR="00BF19FB" w:rsidRPr="00BF19FB" w:rsidRDefault="00BF19FB" w:rsidP="00D31282">
            <w:pPr>
              <w:spacing w:after="0"/>
              <w:jc w:val="both"/>
              <w:rPr>
                <w:rFonts w:eastAsia="Times New Roman" w:cs="Times New Roman"/>
                <w:sz w:val="24"/>
                <w:szCs w:val="24"/>
              </w:rPr>
            </w:pPr>
            <w:r w:rsidRPr="00BF19FB">
              <w:rPr>
                <w:rFonts w:eastAsia="Times New Roman" w:cs="Times New Roman"/>
                <w:sz w:val="24"/>
                <w:szCs w:val="24"/>
              </w:rPr>
              <w:t xml:space="preserve">Стадия </w:t>
            </w:r>
            <w:r w:rsidRPr="00BF19FB">
              <w:rPr>
                <w:rFonts w:eastAsia="Times New Roman" w:cs="Times New Roman"/>
                <w:sz w:val="24"/>
                <w:szCs w:val="24"/>
                <w:lang w:val="en-US"/>
              </w:rPr>
              <w:t>II</w:t>
            </w:r>
          </w:p>
        </w:tc>
        <w:tc>
          <w:tcPr>
            <w:tcW w:w="1570" w:type="dxa"/>
            <w:gridSpan w:val="2"/>
            <w:tcBorders>
              <w:top w:val="single" w:sz="4" w:space="0" w:color="auto"/>
              <w:left w:val="single" w:sz="4" w:space="0" w:color="auto"/>
              <w:bottom w:val="nil"/>
              <w:right w:val="nil"/>
            </w:tcBorders>
            <w:vAlign w:val="bottom"/>
          </w:tcPr>
          <w:p w14:paraId="2FA309CB" w14:textId="77777777" w:rsidR="00BF19FB" w:rsidRPr="00BF19FB" w:rsidRDefault="00BF19FB" w:rsidP="00D31282">
            <w:pPr>
              <w:spacing w:after="0"/>
              <w:jc w:val="both"/>
              <w:rPr>
                <w:rFonts w:eastAsia="Times New Roman" w:cs="Times New Roman"/>
                <w:sz w:val="24"/>
                <w:szCs w:val="24"/>
              </w:rPr>
            </w:pPr>
            <w:r w:rsidRPr="00BF19FB">
              <w:rPr>
                <w:rFonts w:eastAsia="Times New Roman" w:cs="Times New Roman"/>
                <w:sz w:val="24"/>
                <w:szCs w:val="24"/>
              </w:rPr>
              <w:t>ПОМ,</w:t>
            </w:r>
            <w:r w:rsidRPr="00BF19FB">
              <w:rPr>
                <w:rFonts w:eastAsia="Times New Roman" w:cs="Times New Roman"/>
                <w:sz w:val="24"/>
                <w:szCs w:val="24"/>
              </w:rPr>
              <w:tab/>
              <w:t>ХБП</w:t>
            </w:r>
          </w:p>
          <w:p w14:paraId="1CBB8F76" w14:textId="77777777" w:rsidR="00BF19FB" w:rsidRPr="00BF19FB" w:rsidRDefault="00BF19FB" w:rsidP="00D31282">
            <w:pPr>
              <w:spacing w:after="0"/>
              <w:jc w:val="both"/>
              <w:rPr>
                <w:rFonts w:eastAsia="Times New Roman" w:cs="Times New Roman"/>
                <w:sz w:val="24"/>
                <w:szCs w:val="24"/>
              </w:rPr>
            </w:pPr>
            <w:r w:rsidRPr="00BF19FB">
              <w:rPr>
                <w:rFonts w:eastAsia="Times New Roman" w:cs="Times New Roman"/>
                <w:sz w:val="24"/>
                <w:szCs w:val="24"/>
              </w:rPr>
              <w:t>стадия 3 или СД</w:t>
            </w:r>
            <w:r w:rsidRPr="00BF19FB">
              <w:rPr>
                <w:rFonts w:eastAsia="Times New Roman" w:cs="Times New Roman"/>
                <w:sz w:val="24"/>
                <w:szCs w:val="24"/>
              </w:rPr>
              <w:tab/>
              <w:t>без</w:t>
            </w:r>
          </w:p>
          <w:p w14:paraId="627B5CC2" w14:textId="77777777" w:rsidR="00BF19FB" w:rsidRPr="00BF19FB" w:rsidRDefault="00BF19FB" w:rsidP="00D31282">
            <w:pPr>
              <w:spacing w:after="0"/>
              <w:jc w:val="both"/>
              <w:rPr>
                <w:rFonts w:eastAsia="Times New Roman" w:cs="Times New Roman"/>
                <w:sz w:val="24"/>
                <w:szCs w:val="24"/>
              </w:rPr>
            </w:pPr>
            <w:r w:rsidRPr="00BF19FB">
              <w:rPr>
                <w:rFonts w:eastAsia="Times New Roman" w:cs="Times New Roman"/>
                <w:sz w:val="24"/>
                <w:szCs w:val="24"/>
              </w:rPr>
              <w:t>поражения органов</w:t>
            </w:r>
          </w:p>
        </w:tc>
        <w:tc>
          <w:tcPr>
            <w:tcW w:w="1546" w:type="dxa"/>
            <w:tcBorders>
              <w:top w:val="single" w:sz="4" w:space="0" w:color="auto"/>
              <w:left w:val="single" w:sz="4" w:space="0" w:color="auto"/>
              <w:bottom w:val="nil"/>
              <w:right w:val="nil"/>
            </w:tcBorders>
            <w:shd w:val="clear" w:color="auto" w:fill="FF0000"/>
          </w:tcPr>
          <w:p w14:paraId="31A275D7" w14:textId="77777777" w:rsidR="00BF19FB" w:rsidRPr="00D31282" w:rsidRDefault="00BF19FB" w:rsidP="00D31282">
            <w:pPr>
              <w:spacing w:after="0"/>
              <w:jc w:val="both"/>
              <w:rPr>
                <w:rFonts w:eastAsia="Times New Roman" w:cs="Times New Roman"/>
                <w:color w:val="000000" w:themeColor="text1"/>
                <w:sz w:val="24"/>
                <w:szCs w:val="24"/>
              </w:rPr>
            </w:pPr>
            <w:r w:rsidRPr="00D31282">
              <w:rPr>
                <w:rFonts w:eastAsia="Times New Roman" w:cs="Times New Roman"/>
                <w:color w:val="000000" w:themeColor="text1"/>
                <w:sz w:val="24"/>
                <w:szCs w:val="24"/>
              </w:rPr>
              <w:t>Умеренный/ высокий риск</w:t>
            </w:r>
          </w:p>
        </w:tc>
        <w:tc>
          <w:tcPr>
            <w:tcW w:w="1421" w:type="dxa"/>
            <w:tcBorders>
              <w:top w:val="single" w:sz="4" w:space="0" w:color="auto"/>
              <w:left w:val="single" w:sz="4" w:space="0" w:color="auto"/>
              <w:bottom w:val="nil"/>
              <w:right w:val="nil"/>
            </w:tcBorders>
            <w:shd w:val="clear" w:color="auto" w:fill="FF0000"/>
          </w:tcPr>
          <w:p w14:paraId="408F7A25" w14:textId="77777777" w:rsidR="00BF19FB" w:rsidRPr="00D31282" w:rsidRDefault="00BF19FB" w:rsidP="00D31282">
            <w:pPr>
              <w:spacing w:after="0"/>
              <w:jc w:val="both"/>
              <w:rPr>
                <w:rFonts w:eastAsia="Times New Roman" w:cs="Times New Roman"/>
                <w:color w:val="000000" w:themeColor="text1"/>
                <w:sz w:val="24"/>
                <w:szCs w:val="24"/>
              </w:rPr>
            </w:pPr>
            <w:r w:rsidRPr="00D31282">
              <w:rPr>
                <w:rFonts w:eastAsia="Times New Roman" w:cs="Times New Roman"/>
                <w:color w:val="000000" w:themeColor="text1"/>
                <w:sz w:val="24"/>
                <w:szCs w:val="24"/>
              </w:rPr>
              <w:t>Высокий риск (риск 3)</w:t>
            </w:r>
          </w:p>
        </w:tc>
        <w:tc>
          <w:tcPr>
            <w:tcW w:w="1421" w:type="dxa"/>
            <w:tcBorders>
              <w:top w:val="single" w:sz="4" w:space="0" w:color="auto"/>
              <w:left w:val="single" w:sz="4" w:space="0" w:color="auto"/>
              <w:bottom w:val="nil"/>
              <w:right w:val="nil"/>
            </w:tcBorders>
            <w:shd w:val="clear" w:color="auto" w:fill="FF0000"/>
          </w:tcPr>
          <w:p w14:paraId="5B4DAA64" w14:textId="77777777" w:rsidR="00BF19FB" w:rsidRPr="00D31282" w:rsidRDefault="00BF19FB" w:rsidP="00D31282">
            <w:pPr>
              <w:spacing w:after="0"/>
              <w:jc w:val="both"/>
              <w:rPr>
                <w:rFonts w:eastAsia="Times New Roman" w:cs="Times New Roman"/>
                <w:color w:val="000000" w:themeColor="text1"/>
                <w:sz w:val="24"/>
                <w:szCs w:val="24"/>
              </w:rPr>
            </w:pPr>
            <w:r w:rsidRPr="00D31282">
              <w:rPr>
                <w:rFonts w:eastAsia="Times New Roman" w:cs="Times New Roman"/>
                <w:color w:val="000000" w:themeColor="text1"/>
                <w:sz w:val="24"/>
                <w:szCs w:val="24"/>
              </w:rPr>
              <w:t>Высокий риск (риск 3)</w:t>
            </w:r>
          </w:p>
        </w:tc>
        <w:tc>
          <w:tcPr>
            <w:tcW w:w="1282" w:type="dxa"/>
            <w:tcBorders>
              <w:top w:val="single" w:sz="4" w:space="0" w:color="auto"/>
              <w:left w:val="single" w:sz="4" w:space="0" w:color="auto"/>
              <w:bottom w:val="nil"/>
              <w:right w:val="single" w:sz="4" w:space="0" w:color="auto"/>
            </w:tcBorders>
            <w:shd w:val="clear" w:color="auto" w:fill="C00000"/>
          </w:tcPr>
          <w:p w14:paraId="4D8EAD12" w14:textId="77777777" w:rsidR="00BF19FB" w:rsidRPr="00D31282" w:rsidRDefault="00BF19FB" w:rsidP="00D31282">
            <w:pPr>
              <w:spacing w:after="0"/>
              <w:jc w:val="both"/>
              <w:rPr>
                <w:rFonts w:eastAsia="Times New Roman" w:cs="Times New Roman"/>
                <w:color w:val="000000" w:themeColor="text1"/>
                <w:sz w:val="24"/>
                <w:szCs w:val="24"/>
              </w:rPr>
            </w:pPr>
            <w:r w:rsidRPr="00D31282">
              <w:rPr>
                <w:rFonts w:eastAsia="Times New Roman" w:cs="Times New Roman"/>
                <w:color w:val="000000" w:themeColor="text1"/>
                <w:sz w:val="24"/>
                <w:szCs w:val="24"/>
              </w:rPr>
              <w:t>Высокий/ очень высокий риск</w:t>
            </w:r>
          </w:p>
        </w:tc>
      </w:tr>
      <w:tr w:rsidR="00BF19FB" w:rsidRPr="00BF19FB" w14:paraId="62CB85DD" w14:textId="77777777">
        <w:trPr>
          <w:trHeight w:val="1670"/>
        </w:trPr>
        <w:tc>
          <w:tcPr>
            <w:tcW w:w="1709" w:type="dxa"/>
            <w:tcBorders>
              <w:top w:val="single" w:sz="4" w:space="0" w:color="auto"/>
              <w:left w:val="single" w:sz="4" w:space="0" w:color="auto"/>
              <w:bottom w:val="single" w:sz="4" w:space="0" w:color="auto"/>
              <w:right w:val="nil"/>
            </w:tcBorders>
          </w:tcPr>
          <w:p w14:paraId="0EF42D22" w14:textId="77777777" w:rsidR="00BF19FB" w:rsidRPr="00BF19FB" w:rsidRDefault="00BF19FB" w:rsidP="00D31282">
            <w:pPr>
              <w:spacing w:after="0"/>
              <w:jc w:val="both"/>
              <w:rPr>
                <w:rFonts w:eastAsia="Times New Roman" w:cs="Times New Roman"/>
                <w:sz w:val="24"/>
                <w:szCs w:val="24"/>
              </w:rPr>
            </w:pPr>
            <w:r w:rsidRPr="00BF19FB">
              <w:rPr>
                <w:rFonts w:eastAsia="Times New Roman" w:cs="Times New Roman"/>
                <w:sz w:val="24"/>
                <w:szCs w:val="24"/>
              </w:rPr>
              <w:t xml:space="preserve">Стадия </w:t>
            </w:r>
            <w:r w:rsidRPr="00BF19FB">
              <w:rPr>
                <w:rFonts w:eastAsia="Times New Roman" w:cs="Times New Roman"/>
                <w:sz w:val="24"/>
                <w:szCs w:val="24"/>
                <w:lang w:val="en-US"/>
              </w:rPr>
              <w:t>III</w:t>
            </w:r>
          </w:p>
        </w:tc>
        <w:tc>
          <w:tcPr>
            <w:tcW w:w="1570" w:type="dxa"/>
            <w:gridSpan w:val="2"/>
            <w:tcBorders>
              <w:top w:val="single" w:sz="4" w:space="0" w:color="auto"/>
              <w:left w:val="single" w:sz="4" w:space="0" w:color="auto"/>
              <w:bottom w:val="single" w:sz="4" w:space="0" w:color="auto"/>
              <w:right w:val="nil"/>
            </w:tcBorders>
            <w:vAlign w:val="bottom"/>
          </w:tcPr>
          <w:p w14:paraId="48743503" w14:textId="77777777" w:rsidR="00BF19FB" w:rsidRPr="00BF19FB" w:rsidRDefault="00BF19FB" w:rsidP="00D31282">
            <w:pPr>
              <w:spacing w:after="0"/>
              <w:jc w:val="both"/>
              <w:rPr>
                <w:rFonts w:eastAsia="Times New Roman" w:cs="Times New Roman"/>
                <w:sz w:val="24"/>
                <w:szCs w:val="24"/>
              </w:rPr>
            </w:pPr>
            <w:r w:rsidRPr="00BF19FB">
              <w:rPr>
                <w:rFonts w:eastAsia="Times New Roman" w:cs="Times New Roman"/>
                <w:sz w:val="24"/>
                <w:szCs w:val="24"/>
              </w:rPr>
              <w:t>Установленн ое ССЗ, ХБП стадия</w:t>
            </w:r>
            <w:r w:rsidRPr="00BF19FB">
              <w:rPr>
                <w:rFonts w:eastAsia="Times New Roman" w:cs="Times New Roman"/>
                <w:sz w:val="24"/>
                <w:szCs w:val="24"/>
              </w:rPr>
              <w:tab/>
              <w:t>≥4</w:t>
            </w:r>
          </w:p>
          <w:p w14:paraId="2D228EC1" w14:textId="77777777" w:rsidR="00BF19FB" w:rsidRPr="00BF19FB" w:rsidRDefault="00BF19FB" w:rsidP="00D31282">
            <w:pPr>
              <w:spacing w:after="0"/>
              <w:jc w:val="both"/>
              <w:rPr>
                <w:rFonts w:eastAsia="Times New Roman" w:cs="Times New Roman"/>
                <w:sz w:val="24"/>
                <w:szCs w:val="24"/>
              </w:rPr>
            </w:pPr>
            <w:r w:rsidRPr="00BF19FB">
              <w:rPr>
                <w:rFonts w:eastAsia="Times New Roman" w:cs="Times New Roman"/>
                <w:sz w:val="24"/>
                <w:szCs w:val="24"/>
              </w:rPr>
              <w:t>или СД с поражением органов</w:t>
            </w:r>
          </w:p>
        </w:tc>
        <w:tc>
          <w:tcPr>
            <w:tcW w:w="1546" w:type="dxa"/>
            <w:tcBorders>
              <w:top w:val="single" w:sz="4" w:space="0" w:color="auto"/>
              <w:left w:val="single" w:sz="4" w:space="0" w:color="auto"/>
              <w:bottom w:val="single" w:sz="4" w:space="0" w:color="auto"/>
              <w:right w:val="nil"/>
            </w:tcBorders>
            <w:shd w:val="clear" w:color="auto" w:fill="C00000"/>
          </w:tcPr>
          <w:p w14:paraId="21CB53B6" w14:textId="77777777" w:rsidR="00BF19FB" w:rsidRPr="00D31282" w:rsidRDefault="00BF19FB" w:rsidP="00D31282">
            <w:pPr>
              <w:spacing w:after="0"/>
              <w:jc w:val="both"/>
              <w:rPr>
                <w:rFonts w:eastAsia="Times New Roman" w:cs="Times New Roman"/>
                <w:color w:val="000000" w:themeColor="text1"/>
                <w:sz w:val="24"/>
                <w:szCs w:val="24"/>
              </w:rPr>
            </w:pPr>
            <w:r w:rsidRPr="00D31282">
              <w:rPr>
                <w:rFonts w:eastAsia="Times New Roman" w:cs="Times New Roman"/>
                <w:color w:val="000000" w:themeColor="text1"/>
                <w:sz w:val="24"/>
                <w:szCs w:val="24"/>
              </w:rPr>
              <w:t>Очень высокий риск (риск 4)</w:t>
            </w:r>
          </w:p>
        </w:tc>
        <w:tc>
          <w:tcPr>
            <w:tcW w:w="1421" w:type="dxa"/>
            <w:tcBorders>
              <w:top w:val="single" w:sz="4" w:space="0" w:color="auto"/>
              <w:left w:val="single" w:sz="4" w:space="0" w:color="auto"/>
              <w:bottom w:val="single" w:sz="4" w:space="0" w:color="auto"/>
              <w:right w:val="nil"/>
            </w:tcBorders>
            <w:shd w:val="clear" w:color="auto" w:fill="C00000"/>
          </w:tcPr>
          <w:p w14:paraId="10573F8B" w14:textId="77777777" w:rsidR="00BF19FB" w:rsidRPr="00D31282" w:rsidRDefault="00BF19FB" w:rsidP="00D31282">
            <w:pPr>
              <w:spacing w:after="0"/>
              <w:jc w:val="both"/>
              <w:rPr>
                <w:rFonts w:eastAsia="Times New Roman" w:cs="Times New Roman"/>
                <w:color w:val="000000" w:themeColor="text1"/>
                <w:sz w:val="24"/>
                <w:szCs w:val="24"/>
              </w:rPr>
            </w:pPr>
            <w:r w:rsidRPr="00D31282">
              <w:rPr>
                <w:rFonts w:eastAsia="Times New Roman" w:cs="Times New Roman"/>
                <w:color w:val="000000" w:themeColor="text1"/>
                <w:sz w:val="24"/>
                <w:szCs w:val="24"/>
              </w:rPr>
              <w:t>Очень высокий риск (риск</w:t>
            </w:r>
          </w:p>
          <w:p w14:paraId="7E2D637A" w14:textId="77777777" w:rsidR="00BF19FB" w:rsidRPr="00D31282" w:rsidRDefault="00BF19FB" w:rsidP="00D31282">
            <w:pPr>
              <w:spacing w:after="0"/>
              <w:jc w:val="both"/>
              <w:rPr>
                <w:rFonts w:eastAsia="Times New Roman" w:cs="Times New Roman"/>
                <w:color w:val="000000" w:themeColor="text1"/>
                <w:sz w:val="24"/>
                <w:szCs w:val="24"/>
              </w:rPr>
            </w:pPr>
            <w:r w:rsidRPr="00D31282">
              <w:rPr>
                <w:rFonts w:eastAsia="Times New Roman" w:cs="Times New Roman"/>
                <w:color w:val="000000" w:themeColor="text1"/>
                <w:sz w:val="24"/>
                <w:szCs w:val="24"/>
              </w:rPr>
              <w:t>4)</w:t>
            </w:r>
          </w:p>
        </w:tc>
        <w:tc>
          <w:tcPr>
            <w:tcW w:w="1421" w:type="dxa"/>
            <w:tcBorders>
              <w:top w:val="single" w:sz="4" w:space="0" w:color="auto"/>
              <w:left w:val="single" w:sz="4" w:space="0" w:color="auto"/>
              <w:bottom w:val="single" w:sz="4" w:space="0" w:color="auto"/>
              <w:right w:val="nil"/>
            </w:tcBorders>
            <w:shd w:val="clear" w:color="auto" w:fill="C00000"/>
          </w:tcPr>
          <w:p w14:paraId="2E4E3110" w14:textId="77777777" w:rsidR="00BF19FB" w:rsidRPr="00D31282" w:rsidRDefault="00BF19FB" w:rsidP="00D31282">
            <w:pPr>
              <w:spacing w:after="0"/>
              <w:jc w:val="both"/>
              <w:rPr>
                <w:rFonts w:eastAsia="Times New Roman" w:cs="Times New Roman"/>
                <w:color w:val="000000" w:themeColor="text1"/>
                <w:sz w:val="24"/>
                <w:szCs w:val="24"/>
              </w:rPr>
            </w:pPr>
            <w:r w:rsidRPr="00D31282">
              <w:rPr>
                <w:rFonts w:eastAsia="Times New Roman" w:cs="Times New Roman"/>
                <w:color w:val="000000" w:themeColor="text1"/>
                <w:sz w:val="24"/>
                <w:szCs w:val="24"/>
              </w:rPr>
              <w:t>Очень высокий риск (риск</w:t>
            </w:r>
          </w:p>
          <w:p w14:paraId="08BD0277" w14:textId="77777777" w:rsidR="00BF19FB" w:rsidRPr="00D31282" w:rsidRDefault="00BF19FB" w:rsidP="00D31282">
            <w:pPr>
              <w:spacing w:after="0"/>
              <w:jc w:val="both"/>
              <w:rPr>
                <w:rFonts w:eastAsia="Times New Roman" w:cs="Times New Roman"/>
                <w:color w:val="000000" w:themeColor="text1"/>
                <w:sz w:val="24"/>
                <w:szCs w:val="24"/>
              </w:rPr>
            </w:pPr>
            <w:r w:rsidRPr="00D31282">
              <w:rPr>
                <w:rFonts w:eastAsia="Times New Roman" w:cs="Times New Roman"/>
                <w:color w:val="000000" w:themeColor="text1"/>
                <w:sz w:val="24"/>
                <w:szCs w:val="24"/>
              </w:rPr>
              <w:t>4)</w:t>
            </w:r>
          </w:p>
        </w:tc>
        <w:tc>
          <w:tcPr>
            <w:tcW w:w="1282" w:type="dxa"/>
            <w:tcBorders>
              <w:top w:val="single" w:sz="4" w:space="0" w:color="auto"/>
              <w:left w:val="single" w:sz="4" w:space="0" w:color="auto"/>
              <w:bottom w:val="single" w:sz="4" w:space="0" w:color="auto"/>
              <w:right w:val="single" w:sz="4" w:space="0" w:color="auto"/>
            </w:tcBorders>
            <w:shd w:val="clear" w:color="auto" w:fill="C00000"/>
          </w:tcPr>
          <w:p w14:paraId="561445ED" w14:textId="77777777" w:rsidR="00BF19FB" w:rsidRPr="00D31282" w:rsidRDefault="00BF19FB" w:rsidP="00D31282">
            <w:pPr>
              <w:spacing w:after="0"/>
              <w:jc w:val="both"/>
              <w:rPr>
                <w:rFonts w:eastAsia="Times New Roman" w:cs="Times New Roman"/>
                <w:color w:val="000000" w:themeColor="text1"/>
                <w:sz w:val="24"/>
                <w:szCs w:val="24"/>
              </w:rPr>
            </w:pPr>
            <w:r w:rsidRPr="00D31282">
              <w:rPr>
                <w:rFonts w:eastAsia="Times New Roman" w:cs="Times New Roman"/>
                <w:color w:val="000000" w:themeColor="text1"/>
                <w:sz w:val="24"/>
                <w:szCs w:val="24"/>
              </w:rPr>
              <w:t>Очень высокий риск (риск 4)</w:t>
            </w:r>
          </w:p>
        </w:tc>
      </w:tr>
    </w:tbl>
    <w:p w14:paraId="34DB5749" w14:textId="77777777" w:rsidR="00BF19FB" w:rsidRDefault="00BF19FB" w:rsidP="00AB5297">
      <w:pPr>
        <w:spacing w:after="0" w:line="360" w:lineRule="auto"/>
        <w:jc w:val="both"/>
        <w:rPr>
          <w:rFonts w:eastAsia="Times New Roman" w:cs="Times New Roman"/>
          <w:sz w:val="24"/>
          <w:szCs w:val="24"/>
        </w:rPr>
      </w:pPr>
      <w:r>
        <w:rPr>
          <w:noProof/>
          <w:lang w:eastAsia="ru-RU"/>
        </w:rPr>
        <w:drawing>
          <wp:inline distT="0" distB="0" distL="0" distR="0" wp14:anchorId="6012F7B3" wp14:editId="52B57042">
            <wp:extent cx="5936615" cy="1378585"/>
            <wp:effectExtent l="0" t="0" r="6985" b="0"/>
            <wp:docPr id="426375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37526" name=""/>
                    <pic:cNvPicPr/>
                  </pic:nvPicPr>
                  <pic:blipFill>
                    <a:blip r:embed="rId39" cstate="print"/>
                    <a:stretch>
                      <a:fillRect/>
                    </a:stretch>
                  </pic:blipFill>
                  <pic:spPr>
                    <a:xfrm>
                      <a:off x="0" y="0"/>
                      <a:ext cx="5936615" cy="1378585"/>
                    </a:xfrm>
                    <a:prstGeom prst="rect">
                      <a:avLst/>
                    </a:prstGeom>
                  </pic:spPr>
                </pic:pic>
              </a:graphicData>
            </a:graphic>
          </wp:inline>
        </w:drawing>
      </w:r>
    </w:p>
    <w:p w14:paraId="3BF201C2" w14:textId="4E3A48CA" w:rsidR="00BB6816" w:rsidRDefault="00BB6816" w:rsidP="00BF19FB">
      <w:pPr>
        <w:spacing w:after="0" w:line="360" w:lineRule="auto"/>
        <w:jc w:val="both"/>
        <w:rPr>
          <w:rFonts w:eastAsia="Times New Roman" w:cs="Times New Roman"/>
          <w:b/>
          <w:bCs/>
          <w:sz w:val="24"/>
          <w:szCs w:val="24"/>
        </w:rPr>
      </w:pPr>
    </w:p>
    <w:p w14:paraId="5F44E471" w14:textId="77777777" w:rsidR="001A12F4" w:rsidRDefault="001A12F4" w:rsidP="002E0EFB">
      <w:pPr>
        <w:spacing w:after="0" w:line="360" w:lineRule="auto"/>
        <w:jc w:val="right"/>
        <w:rPr>
          <w:rFonts w:eastAsia="Times New Roman" w:cs="Times New Roman"/>
          <w:b/>
          <w:bCs/>
          <w:sz w:val="24"/>
          <w:szCs w:val="24"/>
        </w:rPr>
      </w:pPr>
    </w:p>
    <w:p w14:paraId="27521A89" w14:textId="77777777" w:rsidR="001A12F4" w:rsidRDefault="001A12F4" w:rsidP="002E0EFB">
      <w:pPr>
        <w:spacing w:after="0" w:line="360" w:lineRule="auto"/>
        <w:jc w:val="right"/>
        <w:rPr>
          <w:rFonts w:eastAsia="Times New Roman" w:cs="Times New Roman"/>
          <w:b/>
          <w:bCs/>
          <w:sz w:val="24"/>
          <w:szCs w:val="24"/>
        </w:rPr>
      </w:pPr>
    </w:p>
    <w:p w14:paraId="49D201B1" w14:textId="77777777" w:rsidR="001A12F4" w:rsidRDefault="001A12F4" w:rsidP="002E0EFB">
      <w:pPr>
        <w:spacing w:after="0" w:line="360" w:lineRule="auto"/>
        <w:jc w:val="right"/>
        <w:rPr>
          <w:rFonts w:eastAsia="Times New Roman" w:cs="Times New Roman"/>
          <w:b/>
          <w:bCs/>
          <w:sz w:val="24"/>
          <w:szCs w:val="24"/>
        </w:rPr>
      </w:pPr>
    </w:p>
    <w:p w14:paraId="13257E63" w14:textId="77777777" w:rsidR="001A12F4" w:rsidRDefault="001A12F4" w:rsidP="002E0EFB">
      <w:pPr>
        <w:spacing w:after="0" w:line="360" w:lineRule="auto"/>
        <w:jc w:val="right"/>
        <w:rPr>
          <w:rFonts w:eastAsia="Times New Roman" w:cs="Times New Roman"/>
          <w:b/>
          <w:bCs/>
          <w:sz w:val="24"/>
          <w:szCs w:val="24"/>
        </w:rPr>
      </w:pPr>
    </w:p>
    <w:p w14:paraId="447CE19E" w14:textId="77777777" w:rsidR="001A12F4" w:rsidRDefault="001A12F4" w:rsidP="002E0EFB">
      <w:pPr>
        <w:spacing w:after="0" w:line="360" w:lineRule="auto"/>
        <w:jc w:val="right"/>
        <w:rPr>
          <w:rFonts w:eastAsia="Times New Roman" w:cs="Times New Roman"/>
          <w:b/>
          <w:bCs/>
          <w:sz w:val="24"/>
          <w:szCs w:val="24"/>
        </w:rPr>
      </w:pPr>
    </w:p>
    <w:p w14:paraId="3A43ED32" w14:textId="77777777" w:rsidR="001A12F4" w:rsidRDefault="001A12F4" w:rsidP="002E0EFB">
      <w:pPr>
        <w:spacing w:after="0" w:line="360" w:lineRule="auto"/>
        <w:jc w:val="right"/>
        <w:rPr>
          <w:rFonts w:eastAsia="Times New Roman" w:cs="Times New Roman"/>
          <w:b/>
          <w:bCs/>
          <w:sz w:val="24"/>
          <w:szCs w:val="24"/>
        </w:rPr>
      </w:pPr>
    </w:p>
    <w:p w14:paraId="2D8D1385" w14:textId="77777777" w:rsidR="001A12F4" w:rsidRDefault="001A12F4" w:rsidP="002E0EFB">
      <w:pPr>
        <w:spacing w:after="0" w:line="360" w:lineRule="auto"/>
        <w:jc w:val="right"/>
        <w:rPr>
          <w:rFonts w:eastAsia="Times New Roman" w:cs="Times New Roman"/>
          <w:b/>
          <w:bCs/>
          <w:sz w:val="24"/>
          <w:szCs w:val="24"/>
        </w:rPr>
      </w:pPr>
    </w:p>
    <w:p w14:paraId="3AB6F383" w14:textId="5AEF689C" w:rsidR="002E0EFB" w:rsidRDefault="00BF19FB" w:rsidP="002E0EFB">
      <w:pPr>
        <w:spacing w:after="0" w:line="360" w:lineRule="auto"/>
        <w:jc w:val="right"/>
        <w:rPr>
          <w:rFonts w:eastAsia="Times New Roman" w:cs="Times New Roman"/>
          <w:b/>
          <w:bCs/>
          <w:sz w:val="24"/>
          <w:szCs w:val="24"/>
        </w:rPr>
      </w:pPr>
      <w:r w:rsidRPr="00BF19FB">
        <w:rPr>
          <w:rFonts w:eastAsia="Times New Roman" w:cs="Times New Roman"/>
          <w:b/>
          <w:bCs/>
          <w:sz w:val="24"/>
          <w:szCs w:val="24"/>
        </w:rPr>
        <w:lastRenderedPageBreak/>
        <w:t>Таблица П16/</w:t>
      </w:r>
      <w:r w:rsidR="00FB33EA">
        <w:rPr>
          <w:rFonts w:eastAsia="Times New Roman" w:cs="Times New Roman"/>
          <w:b/>
          <w:bCs/>
          <w:sz w:val="24"/>
          <w:szCs w:val="24"/>
        </w:rPr>
        <w:t>А2</w:t>
      </w:r>
      <w:r w:rsidRPr="00BF19FB">
        <w:rPr>
          <w:rFonts w:eastAsia="Times New Roman" w:cs="Times New Roman"/>
          <w:b/>
          <w:bCs/>
          <w:sz w:val="24"/>
          <w:szCs w:val="24"/>
        </w:rPr>
        <w:t xml:space="preserve">. </w:t>
      </w:r>
    </w:p>
    <w:p w14:paraId="5DB069DA" w14:textId="06991B3F" w:rsidR="00BF19FB" w:rsidRPr="00BF19FB" w:rsidRDefault="00BF19FB" w:rsidP="00BF19FB">
      <w:pPr>
        <w:spacing w:after="0" w:line="360" w:lineRule="auto"/>
        <w:jc w:val="both"/>
        <w:rPr>
          <w:rFonts w:eastAsia="Times New Roman" w:cs="Times New Roman"/>
          <w:b/>
          <w:bCs/>
          <w:sz w:val="24"/>
          <w:szCs w:val="24"/>
        </w:rPr>
      </w:pPr>
      <w:r w:rsidRPr="00BF19FB">
        <w:rPr>
          <w:rFonts w:eastAsia="Times New Roman" w:cs="Times New Roman"/>
          <w:b/>
          <w:bCs/>
          <w:sz w:val="24"/>
          <w:szCs w:val="24"/>
        </w:rPr>
        <w:t xml:space="preserve">Факторы, определяющие сердечно-сосудистый риск и стадию заболевания у пациентов с АГ </w:t>
      </w:r>
    </w:p>
    <w:tbl>
      <w:tblPr>
        <w:tblW w:w="0" w:type="auto"/>
        <w:tblInd w:w="-5" w:type="dxa"/>
        <w:tblLayout w:type="fixed"/>
        <w:tblCellMar>
          <w:left w:w="0" w:type="dxa"/>
          <w:right w:w="0" w:type="dxa"/>
        </w:tblCellMar>
        <w:tblLook w:val="0000" w:firstRow="0" w:lastRow="0" w:firstColumn="0" w:lastColumn="0" w:noHBand="0" w:noVBand="0"/>
      </w:tblPr>
      <w:tblGrid>
        <w:gridCol w:w="8947"/>
      </w:tblGrid>
      <w:tr w:rsidR="00BF19FB" w:rsidRPr="00BF19FB" w14:paraId="644DDF8C" w14:textId="77777777" w:rsidTr="00D31282">
        <w:trPr>
          <w:trHeight w:val="283"/>
        </w:trPr>
        <w:tc>
          <w:tcPr>
            <w:tcW w:w="8947" w:type="dxa"/>
            <w:tcBorders>
              <w:top w:val="single" w:sz="4" w:space="0" w:color="auto"/>
              <w:left w:val="single" w:sz="4" w:space="0" w:color="auto"/>
              <w:bottom w:val="nil"/>
              <w:right w:val="single" w:sz="4" w:space="0" w:color="auto"/>
            </w:tcBorders>
            <w:shd w:val="clear" w:color="auto" w:fill="E7E6E6" w:themeFill="background2"/>
            <w:vAlign w:val="bottom"/>
          </w:tcPr>
          <w:p w14:paraId="53D9C455" w14:textId="77777777" w:rsidR="00BF19FB" w:rsidRPr="00BF19FB" w:rsidRDefault="00BF19FB" w:rsidP="00BF19FB">
            <w:pPr>
              <w:spacing w:after="0"/>
              <w:jc w:val="center"/>
              <w:rPr>
                <w:rFonts w:eastAsia="Times New Roman" w:cs="Times New Roman"/>
                <w:sz w:val="24"/>
                <w:szCs w:val="24"/>
              </w:rPr>
            </w:pPr>
            <w:r w:rsidRPr="00BF19FB">
              <w:rPr>
                <w:rFonts w:eastAsia="Times New Roman" w:cs="Times New Roman"/>
                <w:b/>
                <w:bCs/>
                <w:sz w:val="24"/>
                <w:szCs w:val="24"/>
              </w:rPr>
              <w:t>Демографические характеристики и лабораторные параметры</w:t>
            </w:r>
          </w:p>
        </w:tc>
      </w:tr>
      <w:tr w:rsidR="00D31282" w:rsidRPr="00BF19FB" w14:paraId="1D518CF3" w14:textId="77777777" w:rsidTr="00D45012">
        <w:trPr>
          <w:trHeight w:val="307"/>
        </w:trPr>
        <w:tc>
          <w:tcPr>
            <w:tcW w:w="8947" w:type="dxa"/>
            <w:tcBorders>
              <w:top w:val="single" w:sz="4" w:space="0" w:color="auto"/>
              <w:left w:val="single" w:sz="4" w:space="0" w:color="auto"/>
              <w:bottom w:val="nil"/>
              <w:right w:val="single" w:sz="4" w:space="0" w:color="auto"/>
            </w:tcBorders>
            <w:vAlign w:val="center"/>
          </w:tcPr>
          <w:p w14:paraId="1A85E291" w14:textId="77777777" w:rsidR="00D31282" w:rsidRPr="00D31282" w:rsidRDefault="00D31282" w:rsidP="00424F51">
            <w:pPr>
              <w:pStyle w:val="a7"/>
              <w:numPr>
                <w:ilvl w:val="0"/>
                <w:numId w:val="58"/>
              </w:numPr>
              <w:spacing w:after="0"/>
              <w:jc w:val="both"/>
              <w:rPr>
                <w:rFonts w:eastAsia="Times New Roman" w:cs="Times New Roman"/>
                <w:sz w:val="24"/>
                <w:szCs w:val="24"/>
              </w:rPr>
            </w:pPr>
            <w:r w:rsidRPr="00D31282">
              <w:rPr>
                <w:rFonts w:eastAsia="Times New Roman" w:cs="Times New Roman"/>
                <w:sz w:val="24"/>
                <w:szCs w:val="24"/>
              </w:rPr>
              <w:t>Мужской пол</w:t>
            </w:r>
          </w:p>
        </w:tc>
      </w:tr>
      <w:tr w:rsidR="00D31282" w:rsidRPr="00BF19FB" w14:paraId="7610B77F" w14:textId="77777777" w:rsidTr="00D45012">
        <w:trPr>
          <w:trHeight w:val="307"/>
        </w:trPr>
        <w:tc>
          <w:tcPr>
            <w:tcW w:w="8947" w:type="dxa"/>
            <w:tcBorders>
              <w:top w:val="single" w:sz="4" w:space="0" w:color="auto"/>
              <w:left w:val="single" w:sz="4" w:space="0" w:color="auto"/>
              <w:bottom w:val="nil"/>
              <w:right w:val="single" w:sz="4" w:space="0" w:color="auto"/>
            </w:tcBorders>
            <w:vAlign w:val="center"/>
          </w:tcPr>
          <w:p w14:paraId="5C990990" w14:textId="77777777" w:rsidR="00D31282" w:rsidRPr="00D31282" w:rsidRDefault="00D31282" w:rsidP="00424F51">
            <w:pPr>
              <w:pStyle w:val="a7"/>
              <w:numPr>
                <w:ilvl w:val="0"/>
                <w:numId w:val="58"/>
              </w:numPr>
              <w:spacing w:after="0"/>
              <w:jc w:val="both"/>
              <w:rPr>
                <w:rFonts w:eastAsia="Times New Roman" w:cs="Times New Roman"/>
                <w:sz w:val="24"/>
                <w:szCs w:val="24"/>
              </w:rPr>
            </w:pPr>
            <w:r w:rsidRPr="00D31282">
              <w:rPr>
                <w:rFonts w:eastAsia="Times New Roman" w:cs="Times New Roman"/>
                <w:sz w:val="24"/>
                <w:szCs w:val="24"/>
              </w:rPr>
              <w:t xml:space="preserve">Возраст </w:t>
            </w:r>
            <w:r w:rsidRPr="00D31282">
              <w:rPr>
                <w:rFonts w:eastAsia="Times New Roman" w:cs="Times New Roman"/>
                <w:sz w:val="24"/>
                <w:szCs w:val="24"/>
                <w:vertAlign w:val="superscript"/>
              </w:rPr>
              <w:t>а</w:t>
            </w:r>
            <w:r w:rsidRPr="00D31282">
              <w:rPr>
                <w:rFonts w:eastAsia="Times New Roman" w:cs="Times New Roman"/>
                <w:sz w:val="24"/>
                <w:szCs w:val="24"/>
              </w:rPr>
              <w:t xml:space="preserve"> ≥55 лет у мужчин, ≥65 лет у женщин</w:t>
            </w:r>
          </w:p>
        </w:tc>
      </w:tr>
      <w:tr w:rsidR="00D31282" w:rsidRPr="00BF19FB" w14:paraId="4641FF27" w14:textId="77777777" w:rsidTr="00D45012">
        <w:trPr>
          <w:trHeight w:val="302"/>
        </w:trPr>
        <w:tc>
          <w:tcPr>
            <w:tcW w:w="8947" w:type="dxa"/>
            <w:tcBorders>
              <w:top w:val="single" w:sz="4" w:space="0" w:color="auto"/>
              <w:left w:val="single" w:sz="4" w:space="0" w:color="auto"/>
              <w:bottom w:val="nil"/>
              <w:right w:val="single" w:sz="4" w:space="0" w:color="auto"/>
            </w:tcBorders>
            <w:vAlign w:val="center"/>
          </w:tcPr>
          <w:p w14:paraId="7A5C6956" w14:textId="77777777" w:rsidR="00D31282" w:rsidRPr="00D31282" w:rsidRDefault="00D31282" w:rsidP="00424F51">
            <w:pPr>
              <w:pStyle w:val="a7"/>
              <w:numPr>
                <w:ilvl w:val="0"/>
                <w:numId w:val="58"/>
              </w:numPr>
              <w:spacing w:after="0"/>
              <w:jc w:val="both"/>
              <w:rPr>
                <w:rFonts w:eastAsia="Times New Roman" w:cs="Times New Roman"/>
                <w:sz w:val="24"/>
                <w:szCs w:val="24"/>
              </w:rPr>
            </w:pPr>
            <w:r w:rsidRPr="00D31282">
              <w:rPr>
                <w:rFonts w:eastAsia="Times New Roman" w:cs="Times New Roman"/>
                <w:sz w:val="24"/>
                <w:szCs w:val="24"/>
              </w:rPr>
              <w:t xml:space="preserve">Курение (в настоящем или прошлом) </w:t>
            </w:r>
            <w:r w:rsidRPr="00D31282">
              <w:rPr>
                <w:rFonts w:eastAsia="Times New Roman" w:cs="Times New Roman"/>
                <w:sz w:val="24"/>
                <w:szCs w:val="24"/>
                <w:vertAlign w:val="superscript"/>
              </w:rPr>
              <w:t>а</w:t>
            </w:r>
          </w:p>
        </w:tc>
      </w:tr>
      <w:tr w:rsidR="00BF19FB" w:rsidRPr="00BF19FB" w14:paraId="27C9C855" w14:textId="77777777" w:rsidTr="00D31282">
        <w:trPr>
          <w:trHeight w:val="1958"/>
        </w:trPr>
        <w:tc>
          <w:tcPr>
            <w:tcW w:w="8947" w:type="dxa"/>
            <w:tcBorders>
              <w:top w:val="single" w:sz="4" w:space="0" w:color="auto"/>
              <w:left w:val="single" w:sz="4" w:space="0" w:color="auto"/>
              <w:bottom w:val="nil"/>
              <w:right w:val="single" w:sz="4" w:space="0" w:color="auto"/>
            </w:tcBorders>
            <w:vAlign w:val="bottom"/>
          </w:tcPr>
          <w:p w14:paraId="6CE65F32" w14:textId="77777777" w:rsidR="00BF19FB" w:rsidRPr="00D31282" w:rsidRDefault="00BF19FB" w:rsidP="00D31282">
            <w:pPr>
              <w:spacing w:after="0"/>
              <w:jc w:val="both"/>
              <w:rPr>
                <w:rFonts w:eastAsia="Times New Roman" w:cs="Times New Roman"/>
                <w:sz w:val="24"/>
                <w:szCs w:val="24"/>
              </w:rPr>
            </w:pPr>
            <w:r w:rsidRPr="00D31282">
              <w:rPr>
                <w:rFonts w:eastAsia="Times New Roman" w:cs="Times New Roman"/>
                <w:sz w:val="24"/>
                <w:szCs w:val="24"/>
              </w:rPr>
              <w:t xml:space="preserve">Дислипидемия </w:t>
            </w:r>
            <w:r w:rsidRPr="00D31282">
              <w:rPr>
                <w:rFonts w:eastAsia="Times New Roman" w:cs="Times New Roman"/>
                <w:sz w:val="24"/>
                <w:szCs w:val="24"/>
                <w:vertAlign w:val="superscript"/>
              </w:rPr>
              <w:t>а</w:t>
            </w:r>
            <w:r w:rsidRPr="00D31282">
              <w:rPr>
                <w:rFonts w:eastAsia="Times New Roman" w:cs="Times New Roman"/>
                <w:sz w:val="24"/>
                <w:szCs w:val="24"/>
              </w:rPr>
              <w:t xml:space="preserve"> (принимается во внимание каждый из представленных</w:t>
            </w:r>
          </w:p>
          <w:p w14:paraId="5CDEEDCF" w14:textId="77777777" w:rsidR="00BF19FB" w:rsidRPr="00D31282" w:rsidRDefault="00BF19FB" w:rsidP="00D31282">
            <w:pPr>
              <w:spacing w:after="0"/>
              <w:jc w:val="both"/>
              <w:rPr>
                <w:rFonts w:eastAsia="Times New Roman" w:cs="Times New Roman"/>
                <w:sz w:val="24"/>
                <w:szCs w:val="24"/>
              </w:rPr>
            </w:pPr>
            <w:r w:rsidRPr="00D31282">
              <w:rPr>
                <w:rFonts w:eastAsia="Times New Roman" w:cs="Times New Roman"/>
                <w:sz w:val="24"/>
                <w:szCs w:val="24"/>
              </w:rPr>
              <w:t>показателей липидного обмена)</w:t>
            </w:r>
          </w:p>
          <w:p w14:paraId="6F5606B9" w14:textId="77777777" w:rsidR="00BF19FB" w:rsidRPr="00D31282" w:rsidRDefault="00BF19FB" w:rsidP="00424F51">
            <w:pPr>
              <w:pStyle w:val="a7"/>
              <w:numPr>
                <w:ilvl w:val="0"/>
                <w:numId w:val="57"/>
              </w:numPr>
              <w:spacing w:after="0"/>
              <w:jc w:val="both"/>
              <w:rPr>
                <w:rFonts w:eastAsia="Times New Roman" w:cs="Times New Roman"/>
                <w:sz w:val="24"/>
                <w:szCs w:val="24"/>
              </w:rPr>
            </w:pPr>
            <w:r w:rsidRPr="00D31282">
              <w:rPr>
                <w:rFonts w:eastAsia="Times New Roman" w:cs="Times New Roman"/>
                <w:sz w:val="24"/>
                <w:szCs w:val="24"/>
              </w:rPr>
              <w:t>ОХС &gt;4,9 ммоль/л и/или</w:t>
            </w:r>
          </w:p>
          <w:p w14:paraId="524CCFF5" w14:textId="77777777" w:rsidR="00BF19FB" w:rsidRPr="00D31282" w:rsidRDefault="00BF19FB" w:rsidP="00424F51">
            <w:pPr>
              <w:pStyle w:val="a7"/>
              <w:numPr>
                <w:ilvl w:val="0"/>
                <w:numId w:val="57"/>
              </w:numPr>
              <w:spacing w:after="0"/>
              <w:jc w:val="both"/>
              <w:rPr>
                <w:rFonts w:eastAsia="Times New Roman" w:cs="Times New Roman"/>
                <w:sz w:val="24"/>
                <w:szCs w:val="24"/>
              </w:rPr>
            </w:pPr>
            <w:r w:rsidRPr="00D31282">
              <w:rPr>
                <w:rFonts w:eastAsia="Times New Roman" w:cs="Times New Roman"/>
                <w:sz w:val="24"/>
                <w:szCs w:val="24"/>
              </w:rPr>
              <w:t>ХС ЛНП &gt;3,0 ммоль/л и/или</w:t>
            </w:r>
          </w:p>
          <w:p w14:paraId="67D2C171" w14:textId="77777777" w:rsidR="00BF19FB" w:rsidRPr="00D31282" w:rsidRDefault="00BF19FB" w:rsidP="00424F51">
            <w:pPr>
              <w:pStyle w:val="a7"/>
              <w:numPr>
                <w:ilvl w:val="0"/>
                <w:numId w:val="57"/>
              </w:numPr>
              <w:spacing w:after="0"/>
              <w:jc w:val="both"/>
              <w:rPr>
                <w:rFonts w:eastAsia="Times New Roman" w:cs="Times New Roman"/>
                <w:sz w:val="24"/>
                <w:szCs w:val="24"/>
              </w:rPr>
            </w:pPr>
            <w:r w:rsidRPr="00D31282">
              <w:rPr>
                <w:rFonts w:eastAsia="Times New Roman" w:cs="Times New Roman"/>
                <w:sz w:val="24"/>
                <w:szCs w:val="24"/>
              </w:rPr>
              <w:t>ХС ЛВП у мужчин — &lt;1,0 ммоль/л (40 мг/дл), у женщин — &lt;1,2 ммоль/л (46</w:t>
            </w:r>
          </w:p>
          <w:p w14:paraId="1B540B48" w14:textId="77777777" w:rsidR="00BF19FB" w:rsidRPr="00D31282" w:rsidRDefault="00BF19FB" w:rsidP="00424F51">
            <w:pPr>
              <w:pStyle w:val="a7"/>
              <w:numPr>
                <w:ilvl w:val="0"/>
                <w:numId w:val="57"/>
              </w:numPr>
              <w:spacing w:after="0"/>
              <w:jc w:val="both"/>
              <w:rPr>
                <w:rFonts w:eastAsia="Times New Roman" w:cs="Times New Roman"/>
                <w:sz w:val="24"/>
                <w:szCs w:val="24"/>
              </w:rPr>
            </w:pPr>
            <w:r w:rsidRPr="00D31282">
              <w:rPr>
                <w:rFonts w:eastAsia="Times New Roman" w:cs="Times New Roman"/>
                <w:sz w:val="24"/>
                <w:szCs w:val="24"/>
              </w:rPr>
              <w:t>мг/дл)</w:t>
            </w:r>
          </w:p>
          <w:p w14:paraId="02418CF8" w14:textId="77777777" w:rsidR="00BF19FB" w:rsidRPr="00D31282" w:rsidRDefault="00BF19FB" w:rsidP="00424F51">
            <w:pPr>
              <w:pStyle w:val="a7"/>
              <w:numPr>
                <w:ilvl w:val="0"/>
                <w:numId w:val="57"/>
              </w:numPr>
              <w:spacing w:after="0"/>
              <w:jc w:val="both"/>
              <w:rPr>
                <w:rFonts w:eastAsia="Times New Roman" w:cs="Times New Roman"/>
                <w:sz w:val="24"/>
                <w:szCs w:val="24"/>
              </w:rPr>
            </w:pPr>
            <w:r w:rsidRPr="00D31282">
              <w:rPr>
                <w:rFonts w:eastAsia="Times New Roman" w:cs="Times New Roman"/>
                <w:sz w:val="24"/>
                <w:szCs w:val="24"/>
              </w:rPr>
              <w:t>Триглицериды &gt;1,7 ммоль/л</w:t>
            </w:r>
          </w:p>
        </w:tc>
      </w:tr>
      <w:tr w:rsidR="00BF19FB" w:rsidRPr="00BF19FB" w14:paraId="0E9A1BB3" w14:textId="77777777" w:rsidTr="00D31282">
        <w:trPr>
          <w:trHeight w:val="854"/>
        </w:trPr>
        <w:tc>
          <w:tcPr>
            <w:tcW w:w="8947" w:type="dxa"/>
            <w:tcBorders>
              <w:top w:val="single" w:sz="4" w:space="0" w:color="auto"/>
              <w:left w:val="single" w:sz="4" w:space="0" w:color="auto"/>
              <w:bottom w:val="nil"/>
              <w:right w:val="single" w:sz="4" w:space="0" w:color="auto"/>
            </w:tcBorders>
            <w:vAlign w:val="bottom"/>
          </w:tcPr>
          <w:p w14:paraId="03172E3D" w14:textId="77777777" w:rsidR="00BF19FB" w:rsidRPr="00655012" w:rsidRDefault="00BF19FB" w:rsidP="00424F51">
            <w:pPr>
              <w:pStyle w:val="a7"/>
              <w:numPr>
                <w:ilvl w:val="0"/>
                <w:numId w:val="59"/>
              </w:numPr>
              <w:spacing w:after="0"/>
              <w:jc w:val="both"/>
              <w:rPr>
                <w:rFonts w:eastAsia="Times New Roman" w:cs="Times New Roman"/>
                <w:sz w:val="24"/>
                <w:szCs w:val="24"/>
              </w:rPr>
            </w:pPr>
            <w:r w:rsidRPr="00655012">
              <w:rPr>
                <w:rFonts w:eastAsia="Times New Roman" w:cs="Times New Roman"/>
                <w:sz w:val="24"/>
                <w:szCs w:val="24"/>
              </w:rPr>
              <w:t>Гипергликемия натощак (глюкоза плазмы)</w:t>
            </w:r>
          </w:p>
          <w:p w14:paraId="2B559DF9" w14:textId="77777777" w:rsidR="00BF19FB" w:rsidRPr="00655012" w:rsidRDefault="00BF19FB" w:rsidP="00424F51">
            <w:pPr>
              <w:pStyle w:val="a7"/>
              <w:numPr>
                <w:ilvl w:val="0"/>
                <w:numId w:val="59"/>
              </w:numPr>
              <w:spacing w:after="0"/>
              <w:jc w:val="both"/>
              <w:rPr>
                <w:rFonts w:eastAsia="Times New Roman" w:cs="Times New Roman"/>
                <w:sz w:val="24"/>
                <w:szCs w:val="24"/>
              </w:rPr>
            </w:pPr>
            <w:r w:rsidRPr="00655012">
              <w:rPr>
                <w:rFonts w:eastAsia="Times New Roman" w:cs="Times New Roman"/>
                <w:sz w:val="24"/>
                <w:szCs w:val="24"/>
              </w:rPr>
              <w:t>Глюкоза плазмы натощак 5,6–6,9 ммоль/л или нарушение толерантности к</w:t>
            </w:r>
            <w:r w:rsidR="00655012" w:rsidRPr="00655012">
              <w:rPr>
                <w:rFonts w:eastAsia="Times New Roman" w:cs="Times New Roman"/>
                <w:sz w:val="24"/>
                <w:szCs w:val="24"/>
              </w:rPr>
              <w:t xml:space="preserve"> </w:t>
            </w:r>
            <w:r w:rsidRPr="00655012">
              <w:rPr>
                <w:rFonts w:eastAsia="Times New Roman" w:cs="Times New Roman"/>
                <w:sz w:val="24"/>
                <w:szCs w:val="24"/>
              </w:rPr>
              <w:t>глюкозе</w:t>
            </w:r>
          </w:p>
        </w:tc>
      </w:tr>
      <w:tr w:rsidR="00655012" w:rsidRPr="00BF19FB" w14:paraId="39481C49" w14:textId="77777777" w:rsidTr="00D45012">
        <w:trPr>
          <w:trHeight w:val="298"/>
        </w:trPr>
        <w:tc>
          <w:tcPr>
            <w:tcW w:w="8947" w:type="dxa"/>
            <w:tcBorders>
              <w:top w:val="single" w:sz="4" w:space="0" w:color="auto"/>
              <w:left w:val="single" w:sz="4" w:space="0" w:color="auto"/>
              <w:bottom w:val="nil"/>
              <w:right w:val="single" w:sz="4" w:space="0" w:color="auto"/>
            </w:tcBorders>
            <w:vAlign w:val="center"/>
          </w:tcPr>
          <w:p w14:paraId="49255C06" w14:textId="77777777" w:rsidR="00655012" w:rsidRPr="00655012" w:rsidRDefault="00655012" w:rsidP="00424F51">
            <w:pPr>
              <w:pStyle w:val="a7"/>
              <w:numPr>
                <w:ilvl w:val="0"/>
                <w:numId w:val="59"/>
              </w:numPr>
              <w:spacing w:after="0"/>
              <w:jc w:val="both"/>
              <w:rPr>
                <w:rFonts w:eastAsia="Times New Roman" w:cs="Times New Roman"/>
                <w:sz w:val="24"/>
                <w:szCs w:val="24"/>
              </w:rPr>
            </w:pPr>
            <w:r w:rsidRPr="00655012">
              <w:rPr>
                <w:rFonts w:eastAsia="Times New Roman" w:cs="Times New Roman"/>
                <w:sz w:val="24"/>
                <w:szCs w:val="24"/>
              </w:rPr>
              <w:t>Избыточная масса тела (ИМТ 25-29,9 кг/м</w:t>
            </w:r>
            <w:r w:rsidRPr="00655012">
              <w:rPr>
                <w:rFonts w:eastAsia="Times New Roman" w:cs="Times New Roman"/>
                <w:sz w:val="24"/>
                <w:szCs w:val="24"/>
                <w:vertAlign w:val="superscript"/>
              </w:rPr>
              <w:t>2</w:t>
            </w:r>
            <w:r w:rsidRPr="00655012">
              <w:rPr>
                <w:rFonts w:eastAsia="Times New Roman" w:cs="Times New Roman"/>
                <w:sz w:val="24"/>
                <w:szCs w:val="24"/>
              </w:rPr>
              <w:t>) или ожирение (ИМТ ≥ 30 кг/м</w:t>
            </w:r>
            <w:r w:rsidRPr="00655012">
              <w:rPr>
                <w:rFonts w:eastAsia="Times New Roman" w:cs="Times New Roman"/>
                <w:sz w:val="24"/>
                <w:szCs w:val="24"/>
                <w:vertAlign w:val="superscript"/>
              </w:rPr>
              <w:t>2</w:t>
            </w:r>
            <w:r w:rsidRPr="00655012">
              <w:rPr>
                <w:rFonts w:eastAsia="Times New Roman" w:cs="Times New Roman"/>
                <w:sz w:val="24"/>
                <w:szCs w:val="24"/>
              </w:rPr>
              <w:t>)</w:t>
            </w:r>
          </w:p>
        </w:tc>
      </w:tr>
      <w:tr w:rsidR="00BF19FB" w:rsidRPr="00BF19FB" w14:paraId="267F351E" w14:textId="77777777" w:rsidTr="00D31282">
        <w:trPr>
          <w:trHeight w:val="586"/>
        </w:trPr>
        <w:tc>
          <w:tcPr>
            <w:tcW w:w="8947" w:type="dxa"/>
            <w:tcBorders>
              <w:top w:val="single" w:sz="4" w:space="0" w:color="auto"/>
              <w:left w:val="single" w:sz="4" w:space="0" w:color="auto"/>
              <w:bottom w:val="nil"/>
              <w:right w:val="single" w:sz="4" w:space="0" w:color="auto"/>
            </w:tcBorders>
            <w:vAlign w:val="bottom"/>
          </w:tcPr>
          <w:p w14:paraId="1E71E8A6" w14:textId="77777777" w:rsidR="00BF19FB" w:rsidRPr="00655012" w:rsidRDefault="00BF19FB" w:rsidP="00424F51">
            <w:pPr>
              <w:pStyle w:val="a7"/>
              <w:numPr>
                <w:ilvl w:val="0"/>
                <w:numId w:val="59"/>
              </w:numPr>
              <w:spacing w:after="0"/>
              <w:jc w:val="both"/>
              <w:rPr>
                <w:rFonts w:eastAsia="Times New Roman" w:cs="Times New Roman"/>
                <w:sz w:val="24"/>
                <w:szCs w:val="24"/>
              </w:rPr>
            </w:pPr>
            <w:r w:rsidRPr="00655012">
              <w:rPr>
                <w:rFonts w:eastAsia="Times New Roman" w:cs="Times New Roman"/>
                <w:sz w:val="24"/>
                <w:szCs w:val="24"/>
              </w:rPr>
              <w:t xml:space="preserve">Семейный анамнез развития ССЗ в молодом возрасте </w:t>
            </w:r>
            <w:proofErr w:type="gramStart"/>
            <w:r w:rsidR="00D31282" w:rsidRPr="00655012">
              <w:rPr>
                <w:rFonts w:eastAsia="Times New Roman" w:cs="Times New Roman"/>
                <w:sz w:val="24"/>
                <w:szCs w:val="24"/>
              </w:rPr>
              <w:t>(&lt;</w:t>
            </w:r>
            <w:r w:rsidRPr="00655012">
              <w:rPr>
                <w:rFonts w:eastAsia="Times New Roman" w:cs="Times New Roman"/>
                <w:sz w:val="24"/>
                <w:szCs w:val="24"/>
              </w:rPr>
              <w:t xml:space="preserve"> 55</w:t>
            </w:r>
            <w:proofErr w:type="gramEnd"/>
            <w:r w:rsidRPr="00655012">
              <w:rPr>
                <w:rFonts w:eastAsia="Times New Roman" w:cs="Times New Roman"/>
                <w:sz w:val="24"/>
                <w:szCs w:val="24"/>
              </w:rPr>
              <w:t xml:space="preserve"> лет для мужчин и</w:t>
            </w:r>
          </w:p>
          <w:p w14:paraId="12F6F0C3" w14:textId="77777777" w:rsidR="00BF19FB" w:rsidRPr="00655012" w:rsidRDefault="00BF19FB" w:rsidP="00424F51">
            <w:pPr>
              <w:pStyle w:val="a7"/>
              <w:numPr>
                <w:ilvl w:val="0"/>
                <w:numId w:val="59"/>
              </w:numPr>
              <w:spacing w:after="0"/>
              <w:jc w:val="both"/>
              <w:rPr>
                <w:rFonts w:eastAsia="Times New Roman" w:cs="Times New Roman"/>
                <w:sz w:val="24"/>
                <w:szCs w:val="24"/>
              </w:rPr>
            </w:pPr>
            <w:r w:rsidRPr="00655012">
              <w:rPr>
                <w:rFonts w:eastAsia="Times New Roman" w:cs="Times New Roman"/>
                <w:sz w:val="24"/>
                <w:szCs w:val="24"/>
              </w:rPr>
              <w:t>&lt;65 лет для женщин)</w:t>
            </w:r>
          </w:p>
        </w:tc>
      </w:tr>
      <w:tr w:rsidR="00655012" w:rsidRPr="00BF19FB" w14:paraId="32037F48" w14:textId="77777777" w:rsidTr="00D45012">
        <w:trPr>
          <w:trHeight w:val="302"/>
        </w:trPr>
        <w:tc>
          <w:tcPr>
            <w:tcW w:w="8947" w:type="dxa"/>
            <w:tcBorders>
              <w:top w:val="single" w:sz="4" w:space="0" w:color="auto"/>
              <w:left w:val="single" w:sz="4" w:space="0" w:color="auto"/>
              <w:bottom w:val="nil"/>
              <w:right w:val="single" w:sz="4" w:space="0" w:color="auto"/>
            </w:tcBorders>
            <w:vAlign w:val="center"/>
          </w:tcPr>
          <w:p w14:paraId="7925964A" w14:textId="77777777" w:rsidR="00655012" w:rsidRPr="00655012" w:rsidRDefault="00655012" w:rsidP="00424F51">
            <w:pPr>
              <w:pStyle w:val="a7"/>
              <w:numPr>
                <w:ilvl w:val="0"/>
                <w:numId w:val="59"/>
              </w:numPr>
              <w:spacing w:after="0"/>
              <w:jc w:val="both"/>
              <w:rPr>
                <w:rFonts w:eastAsia="Times New Roman" w:cs="Times New Roman"/>
                <w:sz w:val="24"/>
                <w:szCs w:val="24"/>
              </w:rPr>
            </w:pPr>
            <w:r w:rsidRPr="00655012">
              <w:rPr>
                <w:rFonts w:eastAsia="Times New Roman" w:cs="Times New Roman"/>
                <w:sz w:val="24"/>
                <w:szCs w:val="24"/>
              </w:rPr>
              <w:t>Мочевая кислота (≥360 мкмоль/л)</w:t>
            </w:r>
          </w:p>
        </w:tc>
      </w:tr>
      <w:tr w:rsidR="00655012" w:rsidRPr="00BF19FB" w14:paraId="0F157AF8" w14:textId="77777777" w:rsidTr="00D45012">
        <w:trPr>
          <w:trHeight w:val="298"/>
        </w:trPr>
        <w:tc>
          <w:tcPr>
            <w:tcW w:w="8947" w:type="dxa"/>
            <w:tcBorders>
              <w:top w:val="single" w:sz="4" w:space="0" w:color="auto"/>
              <w:left w:val="single" w:sz="4" w:space="0" w:color="auto"/>
              <w:bottom w:val="nil"/>
              <w:right w:val="single" w:sz="4" w:space="0" w:color="auto"/>
            </w:tcBorders>
            <w:vAlign w:val="center"/>
          </w:tcPr>
          <w:p w14:paraId="4B36C44C" w14:textId="77777777" w:rsidR="00655012" w:rsidRPr="00655012" w:rsidRDefault="00655012" w:rsidP="00424F51">
            <w:pPr>
              <w:pStyle w:val="a7"/>
              <w:numPr>
                <w:ilvl w:val="0"/>
                <w:numId w:val="59"/>
              </w:numPr>
              <w:spacing w:after="0"/>
              <w:jc w:val="both"/>
              <w:rPr>
                <w:rFonts w:eastAsia="Times New Roman" w:cs="Times New Roman"/>
                <w:sz w:val="24"/>
                <w:szCs w:val="24"/>
              </w:rPr>
            </w:pPr>
            <w:r w:rsidRPr="00655012">
              <w:rPr>
                <w:rFonts w:eastAsia="Times New Roman" w:cs="Times New Roman"/>
                <w:sz w:val="24"/>
                <w:szCs w:val="24"/>
              </w:rPr>
              <w:t>Развитие АГ в молодом возрасте у родителей или в семье</w:t>
            </w:r>
          </w:p>
        </w:tc>
      </w:tr>
      <w:tr w:rsidR="00655012" w:rsidRPr="00BF19FB" w14:paraId="1B280F49" w14:textId="77777777" w:rsidTr="00D45012">
        <w:trPr>
          <w:trHeight w:val="312"/>
        </w:trPr>
        <w:tc>
          <w:tcPr>
            <w:tcW w:w="8947" w:type="dxa"/>
            <w:tcBorders>
              <w:top w:val="single" w:sz="4" w:space="0" w:color="auto"/>
              <w:left w:val="single" w:sz="4" w:space="0" w:color="auto"/>
              <w:bottom w:val="nil"/>
              <w:right w:val="single" w:sz="4" w:space="0" w:color="auto"/>
            </w:tcBorders>
            <w:vAlign w:val="center"/>
          </w:tcPr>
          <w:p w14:paraId="461B2A06" w14:textId="77777777" w:rsidR="00655012" w:rsidRPr="00655012" w:rsidRDefault="00655012" w:rsidP="00424F51">
            <w:pPr>
              <w:pStyle w:val="a7"/>
              <w:numPr>
                <w:ilvl w:val="0"/>
                <w:numId w:val="59"/>
              </w:numPr>
              <w:spacing w:after="0"/>
              <w:jc w:val="both"/>
              <w:rPr>
                <w:rFonts w:eastAsia="Times New Roman" w:cs="Times New Roman"/>
                <w:sz w:val="24"/>
                <w:szCs w:val="24"/>
              </w:rPr>
            </w:pPr>
            <w:r w:rsidRPr="00655012">
              <w:rPr>
                <w:rFonts w:eastAsia="Times New Roman" w:cs="Times New Roman"/>
                <w:sz w:val="24"/>
                <w:szCs w:val="24"/>
              </w:rPr>
              <w:t>Ранняя менопауза</w:t>
            </w:r>
          </w:p>
        </w:tc>
      </w:tr>
      <w:tr w:rsidR="00655012" w:rsidRPr="00BF19FB" w14:paraId="0B260A73" w14:textId="77777777" w:rsidTr="00D45012">
        <w:trPr>
          <w:trHeight w:val="307"/>
        </w:trPr>
        <w:tc>
          <w:tcPr>
            <w:tcW w:w="8947" w:type="dxa"/>
            <w:tcBorders>
              <w:top w:val="single" w:sz="4" w:space="0" w:color="auto"/>
              <w:left w:val="single" w:sz="4" w:space="0" w:color="auto"/>
              <w:bottom w:val="single" w:sz="4" w:space="0" w:color="auto"/>
              <w:right w:val="single" w:sz="4" w:space="0" w:color="auto"/>
            </w:tcBorders>
            <w:vAlign w:val="center"/>
          </w:tcPr>
          <w:p w14:paraId="6ADF1498" w14:textId="77777777" w:rsidR="00655012" w:rsidRPr="00655012" w:rsidRDefault="00655012" w:rsidP="00424F51">
            <w:pPr>
              <w:pStyle w:val="a7"/>
              <w:numPr>
                <w:ilvl w:val="0"/>
                <w:numId w:val="59"/>
              </w:numPr>
              <w:spacing w:after="0"/>
              <w:jc w:val="both"/>
              <w:rPr>
                <w:rFonts w:eastAsia="Times New Roman" w:cs="Times New Roman"/>
                <w:sz w:val="24"/>
                <w:szCs w:val="24"/>
              </w:rPr>
            </w:pPr>
            <w:r w:rsidRPr="00655012">
              <w:rPr>
                <w:rFonts w:eastAsia="Times New Roman" w:cs="Times New Roman"/>
                <w:sz w:val="24"/>
                <w:szCs w:val="24"/>
              </w:rPr>
              <w:t>Малоподвижный образ жизни</w:t>
            </w:r>
          </w:p>
        </w:tc>
      </w:tr>
      <w:tr w:rsidR="00D31282" w:rsidRPr="00D31282" w14:paraId="35289FD6" w14:textId="77777777" w:rsidTr="00D31282">
        <w:trPr>
          <w:trHeight w:val="307"/>
        </w:trPr>
        <w:tc>
          <w:tcPr>
            <w:tcW w:w="8947" w:type="dxa"/>
            <w:tcBorders>
              <w:top w:val="single" w:sz="4" w:space="0" w:color="auto"/>
              <w:left w:val="single" w:sz="4" w:space="0" w:color="auto"/>
              <w:bottom w:val="nil"/>
              <w:right w:val="single" w:sz="4" w:space="0" w:color="auto"/>
            </w:tcBorders>
            <w:vAlign w:val="bottom"/>
          </w:tcPr>
          <w:p w14:paraId="4D6BA1BD" w14:textId="77777777" w:rsidR="00D31282" w:rsidRPr="00655012" w:rsidRDefault="00D31282" w:rsidP="00424F51">
            <w:pPr>
              <w:pStyle w:val="a7"/>
              <w:numPr>
                <w:ilvl w:val="0"/>
                <w:numId w:val="59"/>
              </w:numPr>
              <w:spacing w:after="0"/>
              <w:jc w:val="both"/>
              <w:rPr>
                <w:rFonts w:eastAsia="Times New Roman" w:cs="Times New Roman"/>
                <w:sz w:val="24"/>
                <w:szCs w:val="24"/>
              </w:rPr>
            </w:pPr>
            <w:r w:rsidRPr="00655012">
              <w:rPr>
                <w:rFonts w:eastAsia="Times New Roman" w:cs="Times New Roman"/>
                <w:sz w:val="24"/>
                <w:szCs w:val="24"/>
              </w:rPr>
              <w:t>Психологические и социально-экономические факторы</w:t>
            </w:r>
          </w:p>
        </w:tc>
      </w:tr>
      <w:tr w:rsidR="00D31282" w:rsidRPr="00D31282" w14:paraId="7CE9C67A" w14:textId="77777777" w:rsidTr="00D31282">
        <w:trPr>
          <w:trHeight w:val="298"/>
        </w:trPr>
        <w:tc>
          <w:tcPr>
            <w:tcW w:w="8947" w:type="dxa"/>
            <w:tcBorders>
              <w:top w:val="single" w:sz="4" w:space="0" w:color="auto"/>
              <w:left w:val="single" w:sz="4" w:space="0" w:color="auto"/>
              <w:bottom w:val="nil"/>
              <w:right w:val="single" w:sz="4" w:space="0" w:color="auto"/>
            </w:tcBorders>
            <w:vAlign w:val="bottom"/>
          </w:tcPr>
          <w:p w14:paraId="728895DA" w14:textId="77777777" w:rsidR="00D31282" w:rsidRPr="00655012" w:rsidRDefault="00D31282" w:rsidP="00424F51">
            <w:pPr>
              <w:pStyle w:val="a7"/>
              <w:numPr>
                <w:ilvl w:val="0"/>
                <w:numId w:val="59"/>
              </w:numPr>
              <w:spacing w:after="0"/>
              <w:jc w:val="both"/>
              <w:rPr>
                <w:rFonts w:eastAsia="Times New Roman" w:cs="Times New Roman"/>
                <w:sz w:val="24"/>
                <w:szCs w:val="24"/>
              </w:rPr>
            </w:pPr>
            <w:r w:rsidRPr="00655012">
              <w:rPr>
                <w:rFonts w:eastAsia="Times New Roman" w:cs="Times New Roman"/>
                <w:sz w:val="24"/>
                <w:szCs w:val="24"/>
              </w:rPr>
              <w:t>Частота сердечных сокращений (значение в покое &gt;80 ударов в минуту)</w:t>
            </w:r>
          </w:p>
        </w:tc>
      </w:tr>
      <w:tr w:rsidR="00D31282" w:rsidRPr="00D31282" w14:paraId="7BACA9AB" w14:textId="77777777" w:rsidTr="00655012">
        <w:trPr>
          <w:trHeight w:val="293"/>
        </w:trPr>
        <w:tc>
          <w:tcPr>
            <w:tcW w:w="8947" w:type="dxa"/>
            <w:tcBorders>
              <w:top w:val="single" w:sz="4" w:space="0" w:color="auto"/>
              <w:left w:val="single" w:sz="4" w:space="0" w:color="auto"/>
              <w:bottom w:val="nil"/>
              <w:right w:val="single" w:sz="4" w:space="0" w:color="auto"/>
            </w:tcBorders>
            <w:shd w:val="clear" w:color="auto" w:fill="E7E6E6" w:themeFill="background2"/>
            <w:vAlign w:val="bottom"/>
          </w:tcPr>
          <w:p w14:paraId="2F7020F2" w14:textId="77777777" w:rsidR="00D31282" w:rsidRPr="00D31282" w:rsidRDefault="00D31282" w:rsidP="00655012">
            <w:pPr>
              <w:spacing w:after="0"/>
              <w:jc w:val="center"/>
              <w:rPr>
                <w:rFonts w:eastAsia="Times New Roman" w:cs="Times New Roman"/>
                <w:sz w:val="24"/>
                <w:szCs w:val="24"/>
              </w:rPr>
            </w:pPr>
            <w:r w:rsidRPr="00D31282">
              <w:rPr>
                <w:rFonts w:eastAsia="Times New Roman" w:cs="Times New Roman"/>
                <w:b/>
                <w:bCs/>
                <w:sz w:val="24"/>
                <w:szCs w:val="24"/>
              </w:rPr>
              <w:t>Бессимптомное поражение органов-мишеней</w:t>
            </w:r>
          </w:p>
        </w:tc>
      </w:tr>
      <w:tr w:rsidR="00D31282" w:rsidRPr="00D31282" w14:paraId="357F3D28" w14:textId="77777777" w:rsidTr="00D31282">
        <w:trPr>
          <w:trHeight w:val="854"/>
        </w:trPr>
        <w:tc>
          <w:tcPr>
            <w:tcW w:w="8947" w:type="dxa"/>
            <w:tcBorders>
              <w:top w:val="single" w:sz="4" w:space="0" w:color="auto"/>
              <w:left w:val="single" w:sz="4" w:space="0" w:color="auto"/>
              <w:bottom w:val="nil"/>
              <w:right w:val="single" w:sz="4" w:space="0" w:color="auto"/>
            </w:tcBorders>
            <w:vAlign w:val="bottom"/>
          </w:tcPr>
          <w:p w14:paraId="29F60972" w14:textId="77777777" w:rsidR="00D31282" w:rsidRPr="00344A59" w:rsidRDefault="00D31282" w:rsidP="00424F51">
            <w:pPr>
              <w:pStyle w:val="a7"/>
              <w:numPr>
                <w:ilvl w:val="0"/>
                <w:numId w:val="60"/>
              </w:numPr>
              <w:spacing w:after="0"/>
              <w:jc w:val="both"/>
              <w:rPr>
                <w:rFonts w:eastAsia="Times New Roman" w:cs="Times New Roman"/>
                <w:sz w:val="24"/>
                <w:szCs w:val="24"/>
              </w:rPr>
            </w:pPr>
            <w:r w:rsidRPr="00344A59">
              <w:rPr>
                <w:rFonts w:eastAsia="Times New Roman" w:cs="Times New Roman"/>
                <w:sz w:val="24"/>
                <w:szCs w:val="24"/>
              </w:rPr>
              <w:t>Артериальная жесткость:</w:t>
            </w:r>
          </w:p>
          <w:p w14:paraId="5ED52BDC" w14:textId="77777777" w:rsidR="00D31282" w:rsidRPr="00344A59" w:rsidRDefault="00D31282" w:rsidP="00424F51">
            <w:pPr>
              <w:pStyle w:val="a7"/>
              <w:numPr>
                <w:ilvl w:val="0"/>
                <w:numId w:val="60"/>
              </w:numPr>
              <w:spacing w:after="0"/>
              <w:jc w:val="both"/>
              <w:rPr>
                <w:rFonts w:eastAsia="Times New Roman" w:cs="Times New Roman"/>
                <w:sz w:val="24"/>
                <w:szCs w:val="24"/>
              </w:rPr>
            </w:pPr>
            <w:r w:rsidRPr="00344A59">
              <w:rPr>
                <w:rFonts w:eastAsia="Times New Roman" w:cs="Times New Roman"/>
                <w:sz w:val="24"/>
                <w:szCs w:val="24"/>
              </w:rPr>
              <w:t>Пульсовое давление (у пожилых пациентов) ≥60 мм рт. ст.</w:t>
            </w:r>
          </w:p>
          <w:p w14:paraId="330081C5" w14:textId="77777777" w:rsidR="00D31282" w:rsidRPr="00344A59" w:rsidRDefault="00D31282" w:rsidP="00424F51">
            <w:pPr>
              <w:pStyle w:val="a7"/>
              <w:numPr>
                <w:ilvl w:val="0"/>
                <w:numId w:val="60"/>
              </w:numPr>
              <w:spacing w:after="0"/>
              <w:jc w:val="both"/>
              <w:rPr>
                <w:rFonts w:eastAsia="Times New Roman" w:cs="Times New Roman"/>
                <w:sz w:val="24"/>
                <w:szCs w:val="24"/>
              </w:rPr>
            </w:pPr>
            <w:r w:rsidRPr="00344A59">
              <w:rPr>
                <w:rFonts w:eastAsia="Times New Roman" w:cs="Times New Roman"/>
                <w:sz w:val="24"/>
                <w:szCs w:val="24"/>
              </w:rPr>
              <w:t>Скорость пульсовой волны на каротидно-феморальном участке &gt;10 м/с</w:t>
            </w:r>
          </w:p>
        </w:tc>
      </w:tr>
      <w:tr w:rsidR="00D31282" w:rsidRPr="00D31282" w14:paraId="2EABE570" w14:textId="77777777" w:rsidTr="00D31282">
        <w:trPr>
          <w:trHeight w:val="1147"/>
        </w:trPr>
        <w:tc>
          <w:tcPr>
            <w:tcW w:w="8947" w:type="dxa"/>
            <w:tcBorders>
              <w:top w:val="single" w:sz="4" w:space="0" w:color="auto"/>
              <w:left w:val="single" w:sz="4" w:space="0" w:color="auto"/>
              <w:bottom w:val="nil"/>
              <w:right w:val="single" w:sz="4" w:space="0" w:color="auto"/>
            </w:tcBorders>
            <w:vAlign w:val="bottom"/>
          </w:tcPr>
          <w:p w14:paraId="6D59F228" w14:textId="77777777" w:rsidR="00D31282" w:rsidRPr="00344A59" w:rsidRDefault="00D31282" w:rsidP="00424F51">
            <w:pPr>
              <w:pStyle w:val="a7"/>
              <w:numPr>
                <w:ilvl w:val="0"/>
                <w:numId w:val="60"/>
              </w:numPr>
              <w:spacing w:after="0"/>
              <w:jc w:val="both"/>
              <w:rPr>
                <w:rFonts w:eastAsia="Times New Roman" w:cs="Times New Roman"/>
                <w:sz w:val="24"/>
                <w:szCs w:val="24"/>
              </w:rPr>
            </w:pPr>
            <w:r w:rsidRPr="00344A59">
              <w:rPr>
                <w:rFonts w:eastAsia="Times New Roman" w:cs="Times New Roman"/>
                <w:sz w:val="24"/>
                <w:szCs w:val="24"/>
              </w:rPr>
              <w:t>ЭКГ признаки ГЛЖ (индекс Соколова-Лайона (</w:t>
            </w:r>
            <w:r w:rsidRPr="00344A59">
              <w:rPr>
                <w:rFonts w:eastAsia="Times New Roman" w:cs="Times New Roman"/>
                <w:sz w:val="24"/>
                <w:szCs w:val="24"/>
                <w:lang w:val="en-US"/>
              </w:rPr>
              <w:t>SV</w:t>
            </w:r>
            <w:r w:rsidRPr="00344A59">
              <w:rPr>
                <w:rFonts w:eastAsia="Times New Roman" w:cs="Times New Roman"/>
                <w:sz w:val="24"/>
                <w:szCs w:val="24"/>
              </w:rPr>
              <w:t>1+</w:t>
            </w:r>
            <w:r w:rsidRPr="00344A59">
              <w:rPr>
                <w:rFonts w:eastAsia="Times New Roman" w:cs="Times New Roman"/>
                <w:sz w:val="24"/>
                <w:szCs w:val="24"/>
                <w:lang w:val="en-US"/>
              </w:rPr>
              <w:t>RV</w:t>
            </w:r>
            <w:r w:rsidRPr="00344A59">
              <w:rPr>
                <w:rFonts w:eastAsia="Times New Roman" w:cs="Times New Roman"/>
                <w:sz w:val="24"/>
                <w:szCs w:val="24"/>
              </w:rPr>
              <w:t xml:space="preserve">5-6) &gt; 35 мм, или амплитуда зубца </w:t>
            </w:r>
            <w:r w:rsidRPr="00344A59">
              <w:rPr>
                <w:rFonts w:eastAsia="Times New Roman" w:cs="Times New Roman"/>
                <w:sz w:val="24"/>
                <w:szCs w:val="24"/>
                <w:lang w:val="en-US"/>
              </w:rPr>
              <w:t>R</w:t>
            </w:r>
            <w:r w:rsidRPr="00344A59">
              <w:rPr>
                <w:rFonts w:eastAsia="Times New Roman" w:cs="Times New Roman"/>
                <w:sz w:val="24"/>
                <w:szCs w:val="24"/>
              </w:rPr>
              <w:t xml:space="preserve"> в отведении </w:t>
            </w:r>
            <w:r w:rsidRPr="00344A59">
              <w:rPr>
                <w:rFonts w:eastAsia="Times New Roman" w:cs="Times New Roman"/>
                <w:sz w:val="24"/>
                <w:szCs w:val="24"/>
                <w:lang w:val="en-US"/>
              </w:rPr>
              <w:t>aVL</w:t>
            </w:r>
            <w:r w:rsidRPr="00344A59">
              <w:rPr>
                <w:rFonts w:eastAsia="Times New Roman" w:cs="Times New Roman"/>
                <w:sz w:val="24"/>
                <w:szCs w:val="24"/>
              </w:rPr>
              <w:t xml:space="preserve"> &gt;11 мм, корнельское произведение &gt;2440 мм х мс или корнельский вольтажный индекс (</w:t>
            </w:r>
            <w:r w:rsidRPr="00344A59">
              <w:rPr>
                <w:rFonts w:eastAsia="Times New Roman" w:cs="Times New Roman"/>
                <w:sz w:val="24"/>
                <w:szCs w:val="24"/>
                <w:lang w:val="en-US"/>
              </w:rPr>
              <w:t>SV</w:t>
            </w:r>
            <w:r w:rsidRPr="00344A59">
              <w:rPr>
                <w:rFonts w:eastAsia="Times New Roman" w:cs="Times New Roman"/>
                <w:sz w:val="24"/>
                <w:szCs w:val="24"/>
              </w:rPr>
              <w:t xml:space="preserve">3 + </w:t>
            </w:r>
            <w:r w:rsidRPr="00344A59">
              <w:rPr>
                <w:rFonts w:eastAsia="Times New Roman" w:cs="Times New Roman"/>
                <w:sz w:val="24"/>
                <w:szCs w:val="24"/>
                <w:lang w:val="en-US"/>
              </w:rPr>
              <w:t>RaVL</w:t>
            </w:r>
            <w:r w:rsidRPr="00344A59">
              <w:rPr>
                <w:rFonts w:eastAsia="Times New Roman" w:cs="Times New Roman"/>
                <w:sz w:val="24"/>
                <w:szCs w:val="24"/>
              </w:rPr>
              <w:t>) &gt;28 мм для мужчин и &gt;20 мм для женщин)</w:t>
            </w:r>
          </w:p>
        </w:tc>
      </w:tr>
      <w:tr w:rsidR="00D31282" w:rsidRPr="00D31282" w14:paraId="41CDC12A" w14:textId="77777777" w:rsidTr="00D31282">
        <w:trPr>
          <w:trHeight w:val="1406"/>
        </w:trPr>
        <w:tc>
          <w:tcPr>
            <w:tcW w:w="8947" w:type="dxa"/>
            <w:tcBorders>
              <w:top w:val="single" w:sz="4" w:space="0" w:color="auto"/>
              <w:left w:val="single" w:sz="4" w:space="0" w:color="auto"/>
              <w:bottom w:val="nil"/>
              <w:right w:val="single" w:sz="4" w:space="0" w:color="auto"/>
            </w:tcBorders>
            <w:vAlign w:val="bottom"/>
          </w:tcPr>
          <w:p w14:paraId="138DCBBD" w14:textId="77777777" w:rsidR="00D31282" w:rsidRPr="00344A59" w:rsidRDefault="00D31282" w:rsidP="00424F51">
            <w:pPr>
              <w:pStyle w:val="a7"/>
              <w:numPr>
                <w:ilvl w:val="0"/>
                <w:numId w:val="60"/>
              </w:numPr>
              <w:spacing w:after="0"/>
              <w:jc w:val="both"/>
              <w:rPr>
                <w:rFonts w:eastAsia="Times New Roman" w:cs="Times New Roman"/>
                <w:sz w:val="24"/>
                <w:szCs w:val="24"/>
              </w:rPr>
            </w:pPr>
            <w:r w:rsidRPr="00344A59">
              <w:rPr>
                <w:rFonts w:eastAsia="Times New Roman" w:cs="Times New Roman"/>
                <w:sz w:val="24"/>
                <w:szCs w:val="24"/>
              </w:rPr>
              <w:t xml:space="preserve">Эхокардиографические признаки ГЛЖ (индекс массы миокарда ЛЖ: формула </w:t>
            </w:r>
            <w:r w:rsidRPr="00344A59">
              <w:rPr>
                <w:rFonts w:eastAsia="Times New Roman" w:cs="Times New Roman"/>
                <w:sz w:val="24"/>
                <w:szCs w:val="24"/>
                <w:lang w:val="en-US"/>
              </w:rPr>
              <w:t>ASE</w:t>
            </w:r>
            <w:r w:rsidRPr="00344A59">
              <w:rPr>
                <w:rFonts w:eastAsia="Times New Roman" w:cs="Times New Roman"/>
                <w:sz w:val="24"/>
                <w:szCs w:val="24"/>
              </w:rPr>
              <w:t xml:space="preserve"> для пациентов с избыточной массой тела и ожирением – для мужчин &gt;50 г/м</w:t>
            </w:r>
            <w:r w:rsidRPr="00344A59">
              <w:rPr>
                <w:rFonts w:eastAsia="Times New Roman" w:cs="Times New Roman"/>
                <w:sz w:val="24"/>
                <w:szCs w:val="24"/>
                <w:vertAlign w:val="superscript"/>
              </w:rPr>
              <w:t>2,7</w:t>
            </w:r>
            <w:r w:rsidRPr="00344A59">
              <w:rPr>
                <w:rFonts w:eastAsia="Times New Roman" w:cs="Times New Roman"/>
                <w:sz w:val="24"/>
                <w:szCs w:val="24"/>
              </w:rPr>
              <w:t>, для женщин &gt;47 г/м</w:t>
            </w:r>
            <w:r w:rsidRPr="00344A59">
              <w:rPr>
                <w:rFonts w:eastAsia="Times New Roman" w:cs="Times New Roman"/>
                <w:sz w:val="24"/>
                <w:szCs w:val="24"/>
                <w:vertAlign w:val="superscript"/>
              </w:rPr>
              <w:t>2,7</w:t>
            </w:r>
            <w:r w:rsidRPr="00344A59">
              <w:rPr>
                <w:rFonts w:eastAsia="Times New Roman" w:cs="Times New Roman"/>
                <w:sz w:val="24"/>
                <w:szCs w:val="24"/>
              </w:rPr>
              <w:t>(рост в метрах</w:t>
            </w:r>
            <w:r w:rsidRPr="00344A59">
              <w:rPr>
                <w:rFonts w:eastAsia="Times New Roman" w:cs="Times New Roman"/>
                <w:sz w:val="24"/>
                <w:szCs w:val="24"/>
                <w:vertAlign w:val="superscript"/>
              </w:rPr>
              <w:t>2,7</w:t>
            </w:r>
            <w:r w:rsidRPr="00344A59">
              <w:rPr>
                <w:rFonts w:eastAsia="Times New Roman" w:cs="Times New Roman"/>
                <w:sz w:val="24"/>
                <w:szCs w:val="24"/>
              </w:rPr>
              <w:t>); индексация на площадь поверхности тела может быть использована у пациентов с нормальной массой тела: масса ЛЖ/ППТ г/м</w:t>
            </w:r>
            <w:r w:rsidRPr="00344A59">
              <w:rPr>
                <w:rFonts w:eastAsia="Times New Roman" w:cs="Times New Roman"/>
                <w:sz w:val="24"/>
                <w:szCs w:val="24"/>
                <w:vertAlign w:val="superscript"/>
              </w:rPr>
              <w:t>2</w:t>
            </w:r>
            <w:r w:rsidRPr="00344A59">
              <w:rPr>
                <w:rFonts w:eastAsia="Times New Roman" w:cs="Times New Roman"/>
                <w:sz w:val="24"/>
                <w:szCs w:val="24"/>
              </w:rPr>
              <w:t>&gt; 115 (мужчины) и &gt; 95 (женщины)).</w:t>
            </w:r>
          </w:p>
        </w:tc>
      </w:tr>
      <w:tr w:rsidR="00D31282" w:rsidRPr="00D31282" w14:paraId="5A784026" w14:textId="77777777" w:rsidTr="00D31282">
        <w:trPr>
          <w:trHeight w:val="1133"/>
        </w:trPr>
        <w:tc>
          <w:tcPr>
            <w:tcW w:w="8947" w:type="dxa"/>
            <w:tcBorders>
              <w:top w:val="single" w:sz="4" w:space="0" w:color="auto"/>
              <w:left w:val="single" w:sz="4" w:space="0" w:color="auto"/>
              <w:bottom w:val="nil"/>
              <w:right w:val="single" w:sz="4" w:space="0" w:color="auto"/>
            </w:tcBorders>
            <w:vAlign w:val="bottom"/>
          </w:tcPr>
          <w:p w14:paraId="0D78483F" w14:textId="77777777" w:rsidR="00D31282" w:rsidRPr="00344A59" w:rsidRDefault="00D31282" w:rsidP="00424F51">
            <w:pPr>
              <w:pStyle w:val="a7"/>
              <w:numPr>
                <w:ilvl w:val="0"/>
                <w:numId w:val="60"/>
              </w:numPr>
              <w:spacing w:after="0"/>
              <w:jc w:val="both"/>
              <w:rPr>
                <w:rFonts w:eastAsia="Times New Roman" w:cs="Times New Roman"/>
                <w:sz w:val="24"/>
                <w:szCs w:val="24"/>
              </w:rPr>
            </w:pPr>
            <w:r w:rsidRPr="00344A59">
              <w:rPr>
                <w:rFonts w:eastAsia="Times New Roman" w:cs="Times New Roman"/>
                <w:sz w:val="24"/>
                <w:szCs w:val="24"/>
              </w:rPr>
              <w:t xml:space="preserve">Альбуминурия 30-300 мг/24 ч или повышение отношения альбумин- креатинин (30–300 мг/г; 3,4-34 мг/ммоль) (предпочтительно в утренней порции </w:t>
            </w:r>
            <w:proofErr w:type="gramStart"/>
            <w:r w:rsidRPr="00344A59">
              <w:rPr>
                <w:rFonts w:eastAsia="Times New Roman" w:cs="Times New Roman"/>
                <w:sz w:val="24"/>
                <w:szCs w:val="24"/>
              </w:rPr>
              <w:t>мочи)</w:t>
            </w:r>
            <w:r w:rsidRPr="00344A59">
              <w:rPr>
                <w:rFonts w:eastAsia="Times New Roman" w:cs="Times New Roman"/>
                <w:sz w:val="24"/>
                <w:szCs w:val="24"/>
                <w:vertAlign w:val="superscript"/>
              </w:rPr>
              <w:t>b</w:t>
            </w:r>
            <w:proofErr w:type="gramEnd"/>
            <w:r w:rsidRPr="00344A59">
              <w:rPr>
                <w:rFonts w:eastAsia="Times New Roman" w:cs="Times New Roman"/>
                <w:sz w:val="24"/>
                <w:szCs w:val="24"/>
              </w:rPr>
              <w:t xml:space="preserve"> либо качественная оценка протеинурии при невозможности проведения количественного определения альбумина в моче или отношения альбумин-креатинин</w:t>
            </w:r>
          </w:p>
        </w:tc>
      </w:tr>
      <w:tr w:rsidR="00D31282" w:rsidRPr="00D31282" w14:paraId="4236BEB7" w14:textId="77777777" w:rsidTr="00D31282">
        <w:trPr>
          <w:trHeight w:val="298"/>
        </w:trPr>
        <w:tc>
          <w:tcPr>
            <w:tcW w:w="8947" w:type="dxa"/>
            <w:tcBorders>
              <w:top w:val="single" w:sz="4" w:space="0" w:color="auto"/>
              <w:left w:val="single" w:sz="4" w:space="0" w:color="auto"/>
              <w:bottom w:val="nil"/>
              <w:right w:val="single" w:sz="4" w:space="0" w:color="auto"/>
            </w:tcBorders>
            <w:vAlign w:val="bottom"/>
          </w:tcPr>
          <w:p w14:paraId="5241D289" w14:textId="77777777" w:rsidR="00D31282" w:rsidRPr="00344A59" w:rsidRDefault="00D31282" w:rsidP="00424F51">
            <w:pPr>
              <w:pStyle w:val="a7"/>
              <w:numPr>
                <w:ilvl w:val="0"/>
                <w:numId w:val="60"/>
              </w:numPr>
              <w:spacing w:after="0"/>
              <w:jc w:val="both"/>
              <w:rPr>
                <w:rFonts w:eastAsia="Times New Roman" w:cs="Times New Roman"/>
                <w:sz w:val="24"/>
                <w:szCs w:val="24"/>
              </w:rPr>
            </w:pPr>
            <w:r w:rsidRPr="00344A59">
              <w:rPr>
                <w:rFonts w:eastAsia="Times New Roman" w:cs="Times New Roman"/>
                <w:sz w:val="24"/>
                <w:szCs w:val="24"/>
              </w:rPr>
              <w:t>Умеренная ХБП с СКФ &gt;30-59 мл/мин/1,73 м</w:t>
            </w:r>
            <w:r w:rsidRPr="00344A59">
              <w:rPr>
                <w:rFonts w:eastAsia="Times New Roman" w:cs="Times New Roman"/>
                <w:sz w:val="24"/>
                <w:szCs w:val="24"/>
                <w:vertAlign w:val="superscript"/>
              </w:rPr>
              <w:t>2</w:t>
            </w:r>
            <w:r w:rsidRPr="00344A59">
              <w:rPr>
                <w:rFonts w:eastAsia="Times New Roman" w:cs="Times New Roman"/>
                <w:sz w:val="24"/>
                <w:szCs w:val="24"/>
              </w:rPr>
              <w:t xml:space="preserve"> (ППТ)</w:t>
            </w:r>
          </w:p>
        </w:tc>
      </w:tr>
      <w:tr w:rsidR="00D31282" w:rsidRPr="00D31282" w14:paraId="1CFAF07B" w14:textId="77777777" w:rsidTr="00D31282">
        <w:trPr>
          <w:trHeight w:val="307"/>
        </w:trPr>
        <w:tc>
          <w:tcPr>
            <w:tcW w:w="8947" w:type="dxa"/>
            <w:tcBorders>
              <w:top w:val="single" w:sz="4" w:space="0" w:color="auto"/>
              <w:left w:val="single" w:sz="4" w:space="0" w:color="auto"/>
              <w:bottom w:val="nil"/>
              <w:right w:val="single" w:sz="4" w:space="0" w:color="auto"/>
            </w:tcBorders>
            <w:vAlign w:val="bottom"/>
          </w:tcPr>
          <w:p w14:paraId="493F505E" w14:textId="77777777" w:rsidR="00D31282" w:rsidRPr="00344A59" w:rsidRDefault="00D31282" w:rsidP="00424F51">
            <w:pPr>
              <w:pStyle w:val="a7"/>
              <w:numPr>
                <w:ilvl w:val="0"/>
                <w:numId w:val="60"/>
              </w:numPr>
              <w:spacing w:after="0"/>
              <w:jc w:val="both"/>
              <w:rPr>
                <w:rFonts w:eastAsia="Times New Roman" w:cs="Times New Roman"/>
                <w:sz w:val="24"/>
                <w:szCs w:val="24"/>
              </w:rPr>
            </w:pPr>
            <w:r w:rsidRPr="00344A59">
              <w:rPr>
                <w:rFonts w:eastAsia="Times New Roman" w:cs="Times New Roman"/>
                <w:sz w:val="24"/>
                <w:szCs w:val="24"/>
              </w:rPr>
              <w:t>Лодыжечно-плечевой индекс &lt;0,9</w:t>
            </w:r>
          </w:p>
        </w:tc>
      </w:tr>
      <w:tr w:rsidR="00D31282" w:rsidRPr="00D31282" w14:paraId="29B8B427" w14:textId="77777777" w:rsidTr="00D31282">
        <w:trPr>
          <w:trHeight w:val="854"/>
        </w:trPr>
        <w:tc>
          <w:tcPr>
            <w:tcW w:w="8947" w:type="dxa"/>
            <w:tcBorders>
              <w:top w:val="single" w:sz="4" w:space="0" w:color="auto"/>
              <w:left w:val="single" w:sz="4" w:space="0" w:color="auto"/>
              <w:bottom w:val="nil"/>
              <w:right w:val="single" w:sz="4" w:space="0" w:color="auto"/>
            </w:tcBorders>
            <w:vAlign w:val="bottom"/>
          </w:tcPr>
          <w:p w14:paraId="61E8595A" w14:textId="77777777" w:rsidR="00D31282" w:rsidRPr="00344A59" w:rsidRDefault="00D31282" w:rsidP="00424F51">
            <w:pPr>
              <w:pStyle w:val="a7"/>
              <w:numPr>
                <w:ilvl w:val="0"/>
                <w:numId w:val="60"/>
              </w:numPr>
              <w:spacing w:after="0"/>
              <w:jc w:val="both"/>
              <w:rPr>
                <w:rFonts w:eastAsia="Times New Roman" w:cs="Times New Roman"/>
                <w:sz w:val="24"/>
                <w:szCs w:val="24"/>
              </w:rPr>
            </w:pPr>
            <w:r w:rsidRPr="00344A59">
              <w:rPr>
                <w:rFonts w:eastAsia="Times New Roman" w:cs="Times New Roman"/>
                <w:sz w:val="24"/>
                <w:szCs w:val="24"/>
              </w:rPr>
              <w:lastRenderedPageBreak/>
              <w:t xml:space="preserve">Выраженная ретинопатия: III степень (кровоизлияния, микроаневризмы, твердый экссудат и ватные пятна) и </w:t>
            </w:r>
            <w:r w:rsidRPr="00344A59">
              <w:rPr>
                <w:rFonts w:eastAsia="Times New Roman" w:cs="Times New Roman"/>
                <w:sz w:val="24"/>
                <w:szCs w:val="24"/>
                <w:lang w:val="en-US"/>
              </w:rPr>
              <w:t>IV</w:t>
            </w:r>
            <w:r w:rsidRPr="00344A59">
              <w:rPr>
                <w:rFonts w:eastAsia="Times New Roman" w:cs="Times New Roman"/>
                <w:sz w:val="24"/>
                <w:szCs w:val="24"/>
              </w:rPr>
              <w:t xml:space="preserve"> степень (отек диска зрительного нерва и/или отек макулы) по классификации </w:t>
            </w:r>
            <w:r w:rsidRPr="00344A59">
              <w:rPr>
                <w:rFonts w:eastAsia="Times New Roman" w:cs="Times New Roman"/>
                <w:sz w:val="24"/>
                <w:szCs w:val="24"/>
                <w:lang w:val="en-US"/>
              </w:rPr>
              <w:t>KWB</w:t>
            </w:r>
          </w:p>
        </w:tc>
      </w:tr>
      <w:tr w:rsidR="00D31282" w:rsidRPr="00D31282" w14:paraId="204FF1DE" w14:textId="77777777" w:rsidTr="00D31282">
        <w:trPr>
          <w:trHeight w:val="288"/>
        </w:trPr>
        <w:tc>
          <w:tcPr>
            <w:tcW w:w="8947" w:type="dxa"/>
            <w:tcBorders>
              <w:top w:val="single" w:sz="4" w:space="0" w:color="auto"/>
              <w:left w:val="single" w:sz="4" w:space="0" w:color="auto"/>
              <w:bottom w:val="nil"/>
              <w:right w:val="single" w:sz="4" w:space="0" w:color="auto"/>
            </w:tcBorders>
            <w:vAlign w:val="bottom"/>
          </w:tcPr>
          <w:p w14:paraId="2DE40992" w14:textId="77777777" w:rsidR="00D31282" w:rsidRPr="00D31282" w:rsidRDefault="00D31282" w:rsidP="00D31282">
            <w:pPr>
              <w:spacing w:after="0"/>
              <w:jc w:val="both"/>
              <w:rPr>
                <w:rFonts w:eastAsia="Times New Roman" w:cs="Times New Roman"/>
                <w:sz w:val="24"/>
                <w:szCs w:val="24"/>
              </w:rPr>
            </w:pPr>
            <w:r w:rsidRPr="00D31282">
              <w:rPr>
                <w:rFonts w:eastAsia="Times New Roman" w:cs="Times New Roman"/>
                <w:b/>
                <w:bCs/>
                <w:sz w:val="24"/>
                <w:szCs w:val="24"/>
              </w:rPr>
              <w:t>Диагностированные СС или почечные заболевания</w:t>
            </w:r>
          </w:p>
        </w:tc>
      </w:tr>
      <w:tr w:rsidR="00D31282" w:rsidRPr="00D31282" w14:paraId="01596D15" w14:textId="77777777" w:rsidTr="00D31282">
        <w:trPr>
          <w:trHeight w:val="581"/>
        </w:trPr>
        <w:tc>
          <w:tcPr>
            <w:tcW w:w="8947" w:type="dxa"/>
            <w:tcBorders>
              <w:top w:val="single" w:sz="4" w:space="0" w:color="auto"/>
              <w:left w:val="single" w:sz="4" w:space="0" w:color="auto"/>
              <w:bottom w:val="nil"/>
              <w:right w:val="single" w:sz="4" w:space="0" w:color="auto"/>
            </w:tcBorders>
            <w:vAlign w:val="bottom"/>
          </w:tcPr>
          <w:p w14:paraId="35FEA498" w14:textId="77777777" w:rsidR="00D31282" w:rsidRPr="00344A59" w:rsidRDefault="00D31282" w:rsidP="00424F51">
            <w:pPr>
              <w:pStyle w:val="a7"/>
              <w:numPr>
                <w:ilvl w:val="0"/>
                <w:numId w:val="61"/>
              </w:numPr>
              <w:spacing w:after="0"/>
              <w:jc w:val="both"/>
              <w:rPr>
                <w:rFonts w:eastAsia="Times New Roman" w:cs="Times New Roman"/>
                <w:sz w:val="24"/>
                <w:szCs w:val="24"/>
              </w:rPr>
            </w:pPr>
            <w:r w:rsidRPr="00344A59">
              <w:rPr>
                <w:rFonts w:eastAsia="Times New Roman" w:cs="Times New Roman"/>
                <w:sz w:val="24"/>
                <w:szCs w:val="24"/>
              </w:rPr>
              <w:t>Цереброваскулярные заболевания: ишемический инсульт, геморрагический</w:t>
            </w:r>
          </w:p>
          <w:p w14:paraId="04FD37FC" w14:textId="77777777" w:rsidR="00D31282" w:rsidRPr="00344A59" w:rsidRDefault="00D31282" w:rsidP="00424F51">
            <w:pPr>
              <w:pStyle w:val="a7"/>
              <w:numPr>
                <w:ilvl w:val="0"/>
                <w:numId w:val="61"/>
              </w:numPr>
              <w:spacing w:after="0"/>
              <w:jc w:val="both"/>
              <w:rPr>
                <w:rFonts w:eastAsia="Times New Roman" w:cs="Times New Roman"/>
                <w:sz w:val="24"/>
                <w:szCs w:val="24"/>
              </w:rPr>
            </w:pPr>
            <w:r w:rsidRPr="00344A59">
              <w:rPr>
                <w:rFonts w:eastAsia="Times New Roman" w:cs="Times New Roman"/>
                <w:sz w:val="24"/>
                <w:szCs w:val="24"/>
              </w:rPr>
              <w:t>инсульт, ТИА</w:t>
            </w:r>
          </w:p>
        </w:tc>
      </w:tr>
      <w:tr w:rsidR="00D31282" w:rsidRPr="00D31282" w14:paraId="274683CD" w14:textId="77777777" w:rsidTr="00D31282">
        <w:trPr>
          <w:trHeight w:val="571"/>
        </w:trPr>
        <w:tc>
          <w:tcPr>
            <w:tcW w:w="8947" w:type="dxa"/>
            <w:tcBorders>
              <w:top w:val="single" w:sz="4" w:space="0" w:color="auto"/>
              <w:left w:val="single" w:sz="4" w:space="0" w:color="auto"/>
              <w:bottom w:val="nil"/>
              <w:right w:val="single" w:sz="4" w:space="0" w:color="auto"/>
            </w:tcBorders>
            <w:vAlign w:val="bottom"/>
          </w:tcPr>
          <w:p w14:paraId="5EBA6A63" w14:textId="77777777" w:rsidR="00D31282" w:rsidRPr="00344A59" w:rsidRDefault="00D31282" w:rsidP="00424F51">
            <w:pPr>
              <w:pStyle w:val="a7"/>
              <w:numPr>
                <w:ilvl w:val="0"/>
                <w:numId w:val="61"/>
              </w:numPr>
              <w:spacing w:after="0"/>
              <w:jc w:val="both"/>
              <w:rPr>
                <w:rFonts w:eastAsia="Times New Roman" w:cs="Times New Roman"/>
                <w:sz w:val="24"/>
                <w:szCs w:val="24"/>
              </w:rPr>
            </w:pPr>
            <w:r w:rsidRPr="00344A59">
              <w:rPr>
                <w:rFonts w:eastAsia="Times New Roman" w:cs="Times New Roman"/>
                <w:sz w:val="24"/>
                <w:szCs w:val="24"/>
              </w:rPr>
              <w:t>ИБС: инфаркт миокарда, стенокардия, реваскуляризация миокарда (методом</w:t>
            </w:r>
          </w:p>
          <w:p w14:paraId="309034CE" w14:textId="77777777" w:rsidR="00D31282" w:rsidRPr="00344A59" w:rsidRDefault="00D31282" w:rsidP="00424F51">
            <w:pPr>
              <w:pStyle w:val="a7"/>
              <w:numPr>
                <w:ilvl w:val="0"/>
                <w:numId w:val="61"/>
              </w:numPr>
              <w:spacing w:after="0"/>
              <w:jc w:val="both"/>
              <w:rPr>
                <w:rFonts w:eastAsia="Times New Roman" w:cs="Times New Roman"/>
                <w:sz w:val="24"/>
                <w:szCs w:val="24"/>
              </w:rPr>
            </w:pPr>
            <w:r w:rsidRPr="00344A59">
              <w:rPr>
                <w:rFonts w:eastAsia="Times New Roman" w:cs="Times New Roman"/>
                <w:sz w:val="24"/>
                <w:szCs w:val="24"/>
              </w:rPr>
              <w:t>чрескожного коронарного вмешательства или аортокоронарного шунтирования)</w:t>
            </w:r>
          </w:p>
        </w:tc>
      </w:tr>
      <w:tr w:rsidR="00D31282" w:rsidRPr="00D31282" w14:paraId="10B2F602" w14:textId="77777777" w:rsidTr="00D31282">
        <w:trPr>
          <w:trHeight w:val="312"/>
        </w:trPr>
        <w:tc>
          <w:tcPr>
            <w:tcW w:w="8947" w:type="dxa"/>
            <w:tcBorders>
              <w:top w:val="single" w:sz="4" w:space="0" w:color="auto"/>
              <w:left w:val="single" w:sz="4" w:space="0" w:color="auto"/>
              <w:bottom w:val="nil"/>
              <w:right w:val="single" w:sz="4" w:space="0" w:color="auto"/>
            </w:tcBorders>
            <w:vAlign w:val="bottom"/>
          </w:tcPr>
          <w:p w14:paraId="573B1574" w14:textId="77777777" w:rsidR="00D31282" w:rsidRPr="00344A59" w:rsidRDefault="00D31282" w:rsidP="00424F51">
            <w:pPr>
              <w:pStyle w:val="a7"/>
              <w:numPr>
                <w:ilvl w:val="0"/>
                <w:numId w:val="61"/>
              </w:numPr>
              <w:spacing w:after="0"/>
              <w:jc w:val="both"/>
              <w:rPr>
                <w:rFonts w:eastAsia="Times New Roman" w:cs="Times New Roman"/>
                <w:sz w:val="24"/>
                <w:szCs w:val="24"/>
              </w:rPr>
            </w:pPr>
            <w:r w:rsidRPr="00344A59">
              <w:rPr>
                <w:rFonts w:eastAsia="Times New Roman" w:cs="Times New Roman"/>
                <w:sz w:val="24"/>
                <w:szCs w:val="24"/>
              </w:rPr>
              <w:t>Наличие атероматозных бляшек при визуализации (стеноз &gt;50%)</w:t>
            </w:r>
          </w:p>
        </w:tc>
      </w:tr>
      <w:tr w:rsidR="00D31282" w:rsidRPr="00D31282" w14:paraId="258C846E" w14:textId="77777777" w:rsidTr="00D31282">
        <w:trPr>
          <w:trHeight w:val="302"/>
        </w:trPr>
        <w:tc>
          <w:tcPr>
            <w:tcW w:w="8947" w:type="dxa"/>
            <w:tcBorders>
              <w:top w:val="single" w:sz="4" w:space="0" w:color="auto"/>
              <w:left w:val="single" w:sz="4" w:space="0" w:color="auto"/>
              <w:bottom w:val="nil"/>
              <w:right w:val="single" w:sz="4" w:space="0" w:color="auto"/>
            </w:tcBorders>
            <w:vAlign w:val="bottom"/>
          </w:tcPr>
          <w:p w14:paraId="3C946FA9" w14:textId="77777777" w:rsidR="00D31282" w:rsidRPr="00344A59" w:rsidRDefault="00D31282" w:rsidP="00424F51">
            <w:pPr>
              <w:pStyle w:val="a7"/>
              <w:numPr>
                <w:ilvl w:val="0"/>
                <w:numId w:val="61"/>
              </w:numPr>
              <w:spacing w:after="0"/>
              <w:jc w:val="both"/>
              <w:rPr>
                <w:rFonts w:eastAsia="Times New Roman" w:cs="Times New Roman"/>
                <w:sz w:val="24"/>
                <w:szCs w:val="24"/>
              </w:rPr>
            </w:pPr>
            <w:r w:rsidRPr="00344A59">
              <w:rPr>
                <w:rFonts w:eastAsia="Times New Roman" w:cs="Times New Roman"/>
                <w:sz w:val="24"/>
                <w:szCs w:val="24"/>
              </w:rPr>
              <w:t>Сердечная недостаточность, в том числе СН с сохраненной ФВ</w:t>
            </w:r>
          </w:p>
        </w:tc>
      </w:tr>
      <w:tr w:rsidR="00D31282" w:rsidRPr="00D31282" w14:paraId="03FCB1DD" w14:textId="77777777" w:rsidTr="00D31282">
        <w:trPr>
          <w:trHeight w:val="302"/>
        </w:trPr>
        <w:tc>
          <w:tcPr>
            <w:tcW w:w="8947" w:type="dxa"/>
            <w:tcBorders>
              <w:top w:val="single" w:sz="4" w:space="0" w:color="auto"/>
              <w:left w:val="single" w:sz="4" w:space="0" w:color="auto"/>
              <w:bottom w:val="nil"/>
              <w:right w:val="single" w:sz="4" w:space="0" w:color="auto"/>
            </w:tcBorders>
            <w:vAlign w:val="bottom"/>
          </w:tcPr>
          <w:p w14:paraId="1AC1483B" w14:textId="77777777" w:rsidR="00D31282" w:rsidRPr="00344A59" w:rsidRDefault="00D31282" w:rsidP="00424F51">
            <w:pPr>
              <w:pStyle w:val="a7"/>
              <w:numPr>
                <w:ilvl w:val="0"/>
                <w:numId w:val="61"/>
              </w:numPr>
              <w:spacing w:after="0"/>
              <w:jc w:val="both"/>
              <w:rPr>
                <w:rFonts w:eastAsia="Times New Roman" w:cs="Times New Roman"/>
                <w:sz w:val="24"/>
                <w:szCs w:val="24"/>
              </w:rPr>
            </w:pPr>
            <w:r w:rsidRPr="00344A59">
              <w:rPr>
                <w:rFonts w:eastAsia="Times New Roman" w:cs="Times New Roman"/>
                <w:sz w:val="24"/>
                <w:szCs w:val="24"/>
              </w:rPr>
              <w:t>Заболевание периферических артерий</w:t>
            </w:r>
          </w:p>
        </w:tc>
      </w:tr>
      <w:tr w:rsidR="00D31282" w:rsidRPr="00D31282" w14:paraId="0850405A" w14:textId="77777777" w:rsidTr="00D31282">
        <w:trPr>
          <w:trHeight w:val="302"/>
        </w:trPr>
        <w:tc>
          <w:tcPr>
            <w:tcW w:w="8947" w:type="dxa"/>
            <w:tcBorders>
              <w:top w:val="single" w:sz="4" w:space="0" w:color="auto"/>
              <w:left w:val="single" w:sz="4" w:space="0" w:color="auto"/>
              <w:bottom w:val="nil"/>
              <w:right w:val="single" w:sz="4" w:space="0" w:color="auto"/>
            </w:tcBorders>
            <w:vAlign w:val="bottom"/>
          </w:tcPr>
          <w:p w14:paraId="10402821" w14:textId="77777777" w:rsidR="00D31282" w:rsidRPr="00344A59" w:rsidRDefault="00D31282" w:rsidP="00424F51">
            <w:pPr>
              <w:pStyle w:val="a7"/>
              <w:numPr>
                <w:ilvl w:val="0"/>
                <w:numId w:val="61"/>
              </w:numPr>
              <w:spacing w:after="0"/>
              <w:jc w:val="both"/>
              <w:rPr>
                <w:rFonts w:eastAsia="Times New Roman" w:cs="Times New Roman"/>
                <w:sz w:val="24"/>
                <w:szCs w:val="24"/>
              </w:rPr>
            </w:pPr>
            <w:r w:rsidRPr="00344A59">
              <w:rPr>
                <w:rFonts w:eastAsia="Times New Roman" w:cs="Times New Roman"/>
                <w:sz w:val="24"/>
                <w:szCs w:val="24"/>
              </w:rPr>
              <w:t>Фибрилляция предсердий</w:t>
            </w:r>
          </w:p>
        </w:tc>
      </w:tr>
      <w:tr w:rsidR="00D31282" w:rsidRPr="00D31282" w14:paraId="5A7256C1" w14:textId="77777777" w:rsidTr="00D31282">
        <w:trPr>
          <w:trHeight w:val="302"/>
        </w:trPr>
        <w:tc>
          <w:tcPr>
            <w:tcW w:w="8947" w:type="dxa"/>
            <w:tcBorders>
              <w:top w:val="single" w:sz="4" w:space="0" w:color="auto"/>
              <w:left w:val="single" w:sz="4" w:space="0" w:color="auto"/>
              <w:bottom w:val="nil"/>
              <w:right w:val="single" w:sz="4" w:space="0" w:color="auto"/>
            </w:tcBorders>
            <w:vAlign w:val="bottom"/>
          </w:tcPr>
          <w:p w14:paraId="09C15F51" w14:textId="77777777" w:rsidR="00D31282" w:rsidRPr="00344A59" w:rsidRDefault="00D31282" w:rsidP="00424F51">
            <w:pPr>
              <w:pStyle w:val="a7"/>
              <w:numPr>
                <w:ilvl w:val="0"/>
                <w:numId w:val="61"/>
              </w:numPr>
              <w:spacing w:after="0"/>
              <w:jc w:val="both"/>
              <w:rPr>
                <w:rFonts w:eastAsia="Times New Roman" w:cs="Times New Roman"/>
                <w:sz w:val="24"/>
                <w:szCs w:val="24"/>
              </w:rPr>
            </w:pPr>
            <w:r w:rsidRPr="00344A59">
              <w:rPr>
                <w:rFonts w:eastAsia="Times New Roman" w:cs="Times New Roman"/>
                <w:sz w:val="24"/>
                <w:szCs w:val="24"/>
              </w:rPr>
              <w:t>Тяжелая ХБП с СКФ &lt;30 мл/мин/1,73 м</w:t>
            </w:r>
            <w:r w:rsidRPr="00344A59">
              <w:rPr>
                <w:rFonts w:eastAsia="Times New Roman" w:cs="Times New Roman"/>
                <w:sz w:val="24"/>
                <w:szCs w:val="24"/>
                <w:vertAlign w:val="superscript"/>
              </w:rPr>
              <w:t>2</w:t>
            </w:r>
            <w:r w:rsidRPr="00344A59">
              <w:rPr>
                <w:rFonts w:eastAsia="Times New Roman" w:cs="Times New Roman"/>
                <w:sz w:val="24"/>
                <w:szCs w:val="24"/>
              </w:rPr>
              <w:t>(ППТ)</w:t>
            </w:r>
          </w:p>
        </w:tc>
      </w:tr>
      <w:tr w:rsidR="00D31282" w:rsidRPr="00D31282" w14:paraId="44C84ED6" w14:textId="77777777" w:rsidTr="00D31282">
        <w:trPr>
          <w:trHeight w:val="288"/>
        </w:trPr>
        <w:tc>
          <w:tcPr>
            <w:tcW w:w="8947" w:type="dxa"/>
            <w:tcBorders>
              <w:top w:val="single" w:sz="4" w:space="0" w:color="auto"/>
              <w:left w:val="single" w:sz="4" w:space="0" w:color="auto"/>
              <w:bottom w:val="nil"/>
              <w:right w:val="single" w:sz="4" w:space="0" w:color="auto"/>
            </w:tcBorders>
            <w:vAlign w:val="bottom"/>
          </w:tcPr>
          <w:p w14:paraId="6F770A05" w14:textId="77777777" w:rsidR="00D31282" w:rsidRPr="00D31282" w:rsidRDefault="00D31282" w:rsidP="00D31282">
            <w:pPr>
              <w:spacing w:after="0"/>
              <w:jc w:val="both"/>
              <w:rPr>
                <w:rFonts w:eastAsia="Times New Roman" w:cs="Times New Roman"/>
                <w:sz w:val="24"/>
                <w:szCs w:val="24"/>
              </w:rPr>
            </w:pPr>
            <w:r w:rsidRPr="00D31282">
              <w:rPr>
                <w:rFonts w:eastAsia="Times New Roman" w:cs="Times New Roman"/>
                <w:b/>
                <w:bCs/>
                <w:sz w:val="24"/>
                <w:szCs w:val="24"/>
              </w:rPr>
              <w:t>Сахарный диабет</w:t>
            </w:r>
          </w:p>
        </w:tc>
      </w:tr>
      <w:tr w:rsidR="00D31282" w:rsidRPr="00D31282" w14:paraId="379E4EF4" w14:textId="77777777" w:rsidTr="00D31282">
        <w:trPr>
          <w:trHeight w:val="1138"/>
        </w:trPr>
        <w:tc>
          <w:tcPr>
            <w:tcW w:w="8947" w:type="dxa"/>
            <w:tcBorders>
              <w:top w:val="single" w:sz="4" w:space="0" w:color="auto"/>
              <w:left w:val="single" w:sz="4" w:space="0" w:color="auto"/>
              <w:bottom w:val="single" w:sz="4" w:space="0" w:color="auto"/>
              <w:right w:val="single" w:sz="4" w:space="0" w:color="auto"/>
            </w:tcBorders>
            <w:vAlign w:val="bottom"/>
          </w:tcPr>
          <w:p w14:paraId="53854CAB" w14:textId="77777777" w:rsidR="00D31282" w:rsidRPr="00344A59" w:rsidRDefault="00D31282" w:rsidP="00424F51">
            <w:pPr>
              <w:pStyle w:val="a7"/>
              <w:numPr>
                <w:ilvl w:val="0"/>
                <w:numId w:val="62"/>
              </w:numPr>
              <w:spacing w:after="0"/>
              <w:jc w:val="both"/>
              <w:rPr>
                <w:rFonts w:eastAsia="Times New Roman" w:cs="Times New Roman"/>
                <w:sz w:val="24"/>
                <w:szCs w:val="24"/>
              </w:rPr>
            </w:pPr>
            <w:r w:rsidRPr="00344A59">
              <w:rPr>
                <w:rFonts w:eastAsia="Times New Roman" w:cs="Times New Roman"/>
                <w:sz w:val="24"/>
                <w:szCs w:val="24"/>
              </w:rPr>
              <w:t>Глюкоза плазмы натощак ≥7,0 ммоль/л при двух измерениях подряд и/или</w:t>
            </w:r>
          </w:p>
          <w:p w14:paraId="3BDB2FA9" w14:textId="77777777" w:rsidR="00D31282" w:rsidRPr="00344A59" w:rsidRDefault="00D31282" w:rsidP="00424F51">
            <w:pPr>
              <w:pStyle w:val="a7"/>
              <w:numPr>
                <w:ilvl w:val="0"/>
                <w:numId w:val="62"/>
              </w:numPr>
              <w:spacing w:after="0"/>
              <w:jc w:val="both"/>
              <w:rPr>
                <w:rFonts w:eastAsia="Times New Roman" w:cs="Times New Roman"/>
                <w:sz w:val="24"/>
                <w:szCs w:val="24"/>
              </w:rPr>
            </w:pPr>
            <w:r w:rsidRPr="00344A59">
              <w:rPr>
                <w:rFonts w:eastAsia="Times New Roman" w:cs="Times New Roman"/>
                <w:sz w:val="24"/>
                <w:szCs w:val="24"/>
                <w:lang w:val="en-US"/>
              </w:rPr>
              <w:t>HbA</w:t>
            </w:r>
            <w:r w:rsidRPr="00344A59">
              <w:rPr>
                <w:rFonts w:eastAsia="Times New Roman" w:cs="Times New Roman"/>
                <w:sz w:val="24"/>
                <w:szCs w:val="24"/>
              </w:rPr>
              <w:t>1</w:t>
            </w:r>
            <w:r w:rsidRPr="00344A59">
              <w:rPr>
                <w:rFonts w:eastAsia="Times New Roman" w:cs="Times New Roman"/>
                <w:sz w:val="24"/>
                <w:szCs w:val="24"/>
                <w:lang w:val="en-US"/>
              </w:rPr>
              <w:t>c</w:t>
            </w:r>
            <w:r w:rsidRPr="00344A59">
              <w:rPr>
                <w:rFonts w:eastAsia="Times New Roman" w:cs="Times New Roman"/>
                <w:sz w:val="24"/>
                <w:szCs w:val="24"/>
              </w:rPr>
              <w:t xml:space="preserve"> ≥ 6,5% и/или</w:t>
            </w:r>
          </w:p>
          <w:p w14:paraId="62C043AE" w14:textId="77777777" w:rsidR="00D31282" w:rsidRPr="00344A59" w:rsidRDefault="00D31282" w:rsidP="00424F51">
            <w:pPr>
              <w:pStyle w:val="a7"/>
              <w:numPr>
                <w:ilvl w:val="0"/>
                <w:numId w:val="62"/>
              </w:numPr>
              <w:spacing w:after="0"/>
              <w:jc w:val="both"/>
              <w:rPr>
                <w:rFonts w:eastAsia="Times New Roman" w:cs="Times New Roman"/>
                <w:sz w:val="24"/>
                <w:szCs w:val="24"/>
              </w:rPr>
            </w:pPr>
            <w:r w:rsidRPr="00344A59">
              <w:rPr>
                <w:rFonts w:eastAsia="Times New Roman" w:cs="Times New Roman"/>
                <w:sz w:val="24"/>
                <w:szCs w:val="24"/>
              </w:rPr>
              <w:t>Глюкоза плазмы после нагрузки ≥11,1 ммоль/л и/или</w:t>
            </w:r>
          </w:p>
          <w:p w14:paraId="04F14986" w14:textId="77777777" w:rsidR="00D31282" w:rsidRPr="00344A59" w:rsidRDefault="00D31282" w:rsidP="00424F51">
            <w:pPr>
              <w:pStyle w:val="a7"/>
              <w:numPr>
                <w:ilvl w:val="0"/>
                <w:numId w:val="62"/>
              </w:numPr>
              <w:spacing w:after="0"/>
              <w:jc w:val="both"/>
              <w:rPr>
                <w:rFonts w:eastAsia="Times New Roman" w:cs="Times New Roman"/>
                <w:sz w:val="24"/>
                <w:szCs w:val="24"/>
              </w:rPr>
            </w:pPr>
            <w:r w:rsidRPr="00344A59">
              <w:rPr>
                <w:rFonts w:eastAsia="Times New Roman" w:cs="Times New Roman"/>
                <w:sz w:val="24"/>
                <w:szCs w:val="24"/>
              </w:rPr>
              <w:t>Глюкоза плазмы при случайном определении &gt;11,1 ммоль/л</w:t>
            </w:r>
          </w:p>
        </w:tc>
      </w:tr>
    </w:tbl>
    <w:p w14:paraId="4F47C619" w14:textId="77777777" w:rsidR="00344A59" w:rsidRPr="00344A59" w:rsidRDefault="00344A59" w:rsidP="00344A59">
      <w:pPr>
        <w:spacing w:after="0" w:line="360" w:lineRule="auto"/>
        <w:jc w:val="both"/>
        <w:rPr>
          <w:rFonts w:eastAsia="Times New Roman" w:cs="Times New Roman"/>
          <w:sz w:val="24"/>
          <w:szCs w:val="24"/>
        </w:rPr>
      </w:pPr>
      <w:r w:rsidRPr="00344A59">
        <w:rPr>
          <w:rFonts w:eastAsia="Times New Roman" w:cs="Times New Roman"/>
          <w:sz w:val="24"/>
          <w:szCs w:val="24"/>
        </w:rPr>
        <w:t xml:space="preserve">а — факторы риска, учтенные в </w:t>
      </w:r>
      <w:proofErr w:type="gramStart"/>
      <w:r w:rsidRPr="00344A59">
        <w:rPr>
          <w:rFonts w:eastAsia="Times New Roman" w:cs="Times New Roman"/>
          <w:sz w:val="24"/>
          <w:szCs w:val="24"/>
        </w:rPr>
        <w:t>шкале  SCORE</w:t>
      </w:r>
      <w:proofErr w:type="gramEnd"/>
      <w:r w:rsidRPr="00344A59">
        <w:rPr>
          <w:rFonts w:eastAsia="Times New Roman" w:cs="Times New Roman"/>
          <w:sz w:val="24"/>
          <w:szCs w:val="24"/>
        </w:rPr>
        <w:t xml:space="preserve">-2 для лиц в возрасте 40-69 лет и SCORE-2- OP для лиц в возрасте ≥ 70 лет , b — Протеинурия и снижение СКФ являются независимыми факторами риска. </w:t>
      </w:r>
    </w:p>
    <w:p w14:paraId="41151DAD" w14:textId="0AFD175D" w:rsidR="002E0EFB" w:rsidRDefault="00344A59" w:rsidP="002E0EFB">
      <w:pPr>
        <w:spacing w:after="0" w:line="360" w:lineRule="auto"/>
        <w:jc w:val="right"/>
        <w:rPr>
          <w:rFonts w:eastAsia="Times New Roman" w:cs="Times New Roman"/>
          <w:b/>
          <w:bCs/>
          <w:sz w:val="24"/>
          <w:szCs w:val="24"/>
        </w:rPr>
      </w:pPr>
      <w:r>
        <w:rPr>
          <w:rFonts w:eastAsia="Times New Roman" w:cs="Times New Roman"/>
          <w:b/>
          <w:bCs/>
          <w:sz w:val="24"/>
          <w:szCs w:val="24"/>
        </w:rPr>
        <w:tab/>
      </w:r>
      <w:r w:rsidRPr="00344A59">
        <w:rPr>
          <w:rFonts w:eastAsia="Times New Roman" w:cs="Times New Roman"/>
          <w:b/>
          <w:bCs/>
          <w:sz w:val="24"/>
          <w:szCs w:val="24"/>
        </w:rPr>
        <w:t>Таблица П17/</w:t>
      </w:r>
      <w:r w:rsidR="00FB33EA">
        <w:rPr>
          <w:rFonts w:eastAsia="Times New Roman" w:cs="Times New Roman"/>
          <w:b/>
          <w:bCs/>
          <w:sz w:val="24"/>
          <w:szCs w:val="24"/>
        </w:rPr>
        <w:t>А2</w:t>
      </w:r>
      <w:r w:rsidRPr="00344A59">
        <w:rPr>
          <w:rFonts w:eastAsia="Times New Roman" w:cs="Times New Roman"/>
          <w:b/>
          <w:bCs/>
          <w:sz w:val="24"/>
          <w:szCs w:val="24"/>
        </w:rPr>
        <w:t xml:space="preserve">. </w:t>
      </w:r>
    </w:p>
    <w:p w14:paraId="0F8796A9" w14:textId="17A8C833" w:rsidR="00344A59" w:rsidRPr="00344A59" w:rsidRDefault="00344A59" w:rsidP="00344A59">
      <w:pPr>
        <w:spacing w:after="0" w:line="360" w:lineRule="auto"/>
        <w:jc w:val="both"/>
        <w:rPr>
          <w:rFonts w:eastAsia="Times New Roman" w:cs="Times New Roman"/>
          <w:b/>
          <w:bCs/>
          <w:sz w:val="24"/>
          <w:szCs w:val="24"/>
        </w:rPr>
      </w:pPr>
      <w:r w:rsidRPr="00344A59">
        <w:rPr>
          <w:rFonts w:eastAsia="Times New Roman" w:cs="Times New Roman"/>
          <w:b/>
          <w:bCs/>
          <w:sz w:val="24"/>
          <w:szCs w:val="24"/>
        </w:rPr>
        <w:t xml:space="preserve">Начало антигипертензивной терапии (изменение образа жизни и лекарственные препараты) при различных значениях АД, измеренного в медицинском учреждении </w:t>
      </w:r>
    </w:p>
    <w:p w14:paraId="5FAB823F" w14:textId="77777777" w:rsidR="00BF19FB" w:rsidRDefault="00344A59" w:rsidP="00AB5297">
      <w:pPr>
        <w:spacing w:after="0" w:line="360" w:lineRule="auto"/>
        <w:jc w:val="both"/>
        <w:rPr>
          <w:rFonts w:eastAsia="Times New Roman" w:cs="Times New Roman"/>
          <w:sz w:val="24"/>
          <w:szCs w:val="24"/>
        </w:rPr>
      </w:pPr>
      <w:r>
        <w:rPr>
          <w:noProof/>
          <w:lang w:eastAsia="ru-RU"/>
        </w:rPr>
        <w:drawing>
          <wp:inline distT="0" distB="0" distL="0" distR="0" wp14:anchorId="15A072D7" wp14:editId="476253EF">
            <wp:extent cx="5936615" cy="2849245"/>
            <wp:effectExtent l="0" t="0" r="6985" b="8255"/>
            <wp:docPr id="12837367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736724" name=""/>
                    <pic:cNvPicPr/>
                  </pic:nvPicPr>
                  <pic:blipFill>
                    <a:blip r:embed="rId40" cstate="print"/>
                    <a:stretch>
                      <a:fillRect/>
                    </a:stretch>
                  </pic:blipFill>
                  <pic:spPr>
                    <a:xfrm>
                      <a:off x="0" y="0"/>
                      <a:ext cx="5936615" cy="2849245"/>
                    </a:xfrm>
                    <a:prstGeom prst="rect">
                      <a:avLst/>
                    </a:prstGeom>
                  </pic:spPr>
                </pic:pic>
              </a:graphicData>
            </a:graphic>
          </wp:inline>
        </w:drawing>
      </w:r>
    </w:p>
    <w:p w14:paraId="6B9321E8" w14:textId="77777777" w:rsidR="001A12F4" w:rsidRDefault="001A12F4" w:rsidP="002E0EFB">
      <w:pPr>
        <w:spacing w:after="0" w:line="360" w:lineRule="auto"/>
        <w:jc w:val="right"/>
        <w:rPr>
          <w:rFonts w:eastAsia="Times New Roman" w:cs="Times New Roman"/>
          <w:b/>
          <w:bCs/>
          <w:sz w:val="24"/>
          <w:szCs w:val="24"/>
        </w:rPr>
      </w:pPr>
    </w:p>
    <w:p w14:paraId="46F5097C" w14:textId="77777777" w:rsidR="001A12F4" w:rsidRDefault="001A12F4" w:rsidP="002E0EFB">
      <w:pPr>
        <w:spacing w:after="0" w:line="360" w:lineRule="auto"/>
        <w:jc w:val="right"/>
        <w:rPr>
          <w:rFonts w:eastAsia="Times New Roman" w:cs="Times New Roman"/>
          <w:b/>
          <w:bCs/>
          <w:sz w:val="24"/>
          <w:szCs w:val="24"/>
        </w:rPr>
      </w:pPr>
    </w:p>
    <w:p w14:paraId="745E83FD" w14:textId="77777777" w:rsidR="001A12F4" w:rsidRDefault="001A12F4" w:rsidP="002E0EFB">
      <w:pPr>
        <w:spacing w:after="0" w:line="360" w:lineRule="auto"/>
        <w:jc w:val="right"/>
        <w:rPr>
          <w:rFonts w:eastAsia="Times New Roman" w:cs="Times New Roman"/>
          <w:b/>
          <w:bCs/>
          <w:sz w:val="24"/>
          <w:szCs w:val="24"/>
        </w:rPr>
      </w:pPr>
    </w:p>
    <w:p w14:paraId="6B637C49" w14:textId="77777777" w:rsidR="001A12F4" w:rsidRDefault="001A12F4" w:rsidP="002E0EFB">
      <w:pPr>
        <w:spacing w:after="0" w:line="360" w:lineRule="auto"/>
        <w:jc w:val="right"/>
        <w:rPr>
          <w:rFonts w:eastAsia="Times New Roman" w:cs="Times New Roman"/>
          <w:b/>
          <w:bCs/>
          <w:sz w:val="24"/>
          <w:szCs w:val="24"/>
        </w:rPr>
      </w:pPr>
    </w:p>
    <w:p w14:paraId="0EE6DCA4" w14:textId="68FA74E6" w:rsidR="002E0EFB" w:rsidRDefault="00344A59" w:rsidP="002E0EFB">
      <w:pPr>
        <w:spacing w:after="0" w:line="360" w:lineRule="auto"/>
        <w:jc w:val="right"/>
        <w:rPr>
          <w:rFonts w:eastAsia="Times New Roman" w:cs="Times New Roman"/>
          <w:b/>
          <w:bCs/>
          <w:sz w:val="24"/>
          <w:szCs w:val="24"/>
        </w:rPr>
      </w:pPr>
      <w:r w:rsidRPr="00344A59">
        <w:rPr>
          <w:rFonts w:eastAsia="Times New Roman" w:cs="Times New Roman"/>
          <w:b/>
          <w:bCs/>
          <w:sz w:val="24"/>
          <w:szCs w:val="24"/>
        </w:rPr>
        <w:lastRenderedPageBreak/>
        <w:t>Таблица П18/</w:t>
      </w:r>
      <w:r w:rsidR="00FB33EA">
        <w:rPr>
          <w:rFonts w:eastAsia="Times New Roman" w:cs="Times New Roman"/>
          <w:b/>
          <w:bCs/>
          <w:sz w:val="24"/>
          <w:szCs w:val="24"/>
        </w:rPr>
        <w:t>А2</w:t>
      </w:r>
      <w:r w:rsidRPr="00344A59">
        <w:rPr>
          <w:rFonts w:eastAsia="Times New Roman" w:cs="Times New Roman"/>
          <w:b/>
          <w:bCs/>
          <w:sz w:val="24"/>
          <w:szCs w:val="24"/>
        </w:rPr>
        <w:t xml:space="preserve">. </w:t>
      </w:r>
    </w:p>
    <w:p w14:paraId="51B09536" w14:textId="2A7613EB" w:rsidR="00344A59" w:rsidRPr="00344A59" w:rsidRDefault="00344A59" w:rsidP="00344A59">
      <w:pPr>
        <w:spacing w:after="0" w:line="360" w:lineRule="auto"/>
        <w:jc w:val="both"/>
        <w:rPr>
          <w:rFonts w:eastAsia="Times New Roman" w:cs="Times New Roman"/>
          <w:b/>
          <w:bCs/>
          <w:sz w:val="24"/>
          <w:szCs w:val="24"/>
        </w:rPr>
      </w:pPr>
      <w:r w:rsidRPr="00344A59">
        <w:rPr>
          <w:rFonts w:eastAsia="Times New Roman" w:cs="Times New Roman"/>
          <w:b/>
          <w:bCs/>
          <w:sz w:val="24"/>
          <w:szCs w:val="24"/>
        </w:rPr>
        <w:t xml:space="preserve">Показания к началу антигипертензивной терапии в зависимости от возраста и сопутствующих заболеваний </w:t>
      </w:r>
    </w:p>
    <w:tbl>
      <w:tblPr>
        <w:tblW w:w="0" w:type="auto"/>
        <w:tblInd w:w="-5" w:type="dxa"/>
        <w:tblLayout w:type="fixed"/>
        <w:tblCellMar>
          <w:left w:w="0" w:type="dxa"/>
          <w:right w:w="0" w:type="dxa"/>
        </w:tblCellMar>
        <w:tblLook w:val="0000" w:firstRow="0" w:lastRow="0" w:firstColumn="0" w:lastColumn="0" w:noHBand="0" w:noVBand="0"/>
      </w:tblPr>
      <w:tblGrid>
        <w:gridCol w:w="1579"/>
        <w:gridCol w:w="1104"/>
        <w:gridCol w:w="1267"/>
        <w:gridCol w:w="1248"/>
        <w:gridCol w:w="902"/>
        <w:gridCol w:w="1022"/>
        <w:gridCol w:w="1709"/>
      </w:tblGrid>
      <w:tr w:rsidR="00344A59" w:rsidRPr="00344A59" w14:paraId="6D537599" w14:textId="77777777">
        <w:trPr>
          <w:trHeight w:val="293"/>
        </w:trPr>
        <w:tc>
          <w:tcPr>
            <w:tcW w:w="1579" w:type="dxa"/>
            <w:vMerge w:val="restart"/>
            <w:tcBorders>
              <w:top w:val="single" w:sz="4" w:space="0" w:color="auto"/>
              <w:left w:val="single" w:sz="4" w:space="0" w:color="auto"/>
              <w:bottom w:val="nil"/>
              <w:right w:val="nil"/>
            </w:tcBorders>
          </w:tcPr>
          <w:p w14:paraId="7E5908C9"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sz w:val="24"/>
                <w:szCs w:val="24"/>
              </w:rPr>
              <w:t>Возраст</w:t>
            </w:r>
          </w:p>
        </w:tc>
        <w:tc>
          <w:tcPr>
            <w:tcW w:w="5543" w:type="dxa"/>
            <w:gridSpan w:val="5"/>
            <w:tcBorders>
              <w:top w:val="single" w:sz="4" w:space="0" w:color="auto"/>
              <w:left w:val="single" w:sz="4" w:space="0" w:color="auto"/>
              <w:bottom w:val="nil"/>
              <w:right w:val="nil"/>
            </w:tcBorders>
            <w:vAlign w:val="bottom"/>
          </w:tcPr>
          <w:p w14:paraId="38B314DC"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sz w:val="24"/>
                <w:szCs w:val="24"/>
              </w:rPr>
              <w:t>Пороговое значение САД (мм рт. ст.)</w:t>
            </w:r>
          </w:p>
        </w:tc>
        <w:tc>
          <w:tcPr>
            <w:tcW w:w="1709" w:type="dxa"/>
            <w:vMerge w:val="restart"/>
            <w:tcBorders>
              <w:top w:val="single" w:sz="4" w:space="0" w:color="auto"/>
              <w:left w:val="single" w:sz="4" w:space="0" w:color="auto"/>
              <w:bottom w:val="nil"/>
              <w:right w:val="single" w:sz="4" w:space="0" w:color="auto"/>
            </w:tcBorders>
            <w:vAlign w:val="bottom"/>
          </w:tcPr>
          <w:p w14:paraId="49340FEB"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sz w:val="24"/>
                <w:szCs w:val="24"/>
              </w:rPr>
              <w:t>Пороговое значение ДАД, измеренного в медицинском учреждении (мм рт. ст.)</w:t>
            </w:r>
          </w:p>
        </w:tc>
      </w:tr>
      <w:tr w:rsidR="00344A59" w:rsidRPr="00344A59" w14:paraId="7DDADF55" w14:textId="77777777">
        <w:trPr>
          <w:trHeight w:val="1656"/>
        </w:trPr>
        <w:tc>
          <w:tcPr>
            <w:tcW w:w="1579" w:type="dxa"/>
            <w:vMerge/>
            <w:tcBorders>
              <w:top w:val="nil"/>
              <w:left w:val="single" w:sz="4" w:space="0" w:color="auto"/>
              <w:bottom w:val="nil"/>
              <w:right w:val="nil"/>
            </w:tcBorders>
          </w:tcPr>
          <w:p w14:paraId="35D35682" w14:textId="77777777" w:rsidR="00344A59" w:rsidRPr="00344A59" w:rsidRDefault="00344A59" w:rsidP="00344A59">
            <w:pPr>
              <w:spacing w:after="0"/>
              <w:jc w:val="both"/>
              <w:rPr>
                <w:rFonts w:eastAsia="Times New Roman" w:cs="Times New Roman"/>
                <w:sz w:val="24"/>
                <w:szCs w:val="24"/>
              </w:rPr>
            </w:pPr>
          </w:p>
        </w:tc>
        <w:tc>
          <w:tcPr>
            <w:tcW w:w="1104" w:type="dxa"/>
            <w:tcBorders>
              <w:top w:val="single" w:sz="4" w:space="0" w:color="auto"/>
              <w:left w:val="single" w:sz="4" w:space="0" w:color="auto"/>
              <w:bottom w:val="nil"/>
              <w:right w:val="nil"/>
            </w:tcBorders>
          </w:tcPr>
          <w:p w14:paraId="07AA90AC"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sz w:val="24"/>
                <w:szCs w:val="24"/>
              </w:rPr>
              <w:t>АГ</w:t>
            </w:r>
          </w:p>
        </w:tc>
        <w:tc>
          <w:tcPr>
            <w:tcW w:w="1267" w:type="dxa"/>
            <w:tcBorders>
              <w:top w:val="single" w:sz="4" w:space="0" w:color="auto"/>
              <w:left w:val="single" w:sz="4" w:space="0" w:color="auto"/>
              <w:bottom w:val="nil"/>
              <w:right w:val="nil"/>
            </w:tcBorders>
          </w:tcPr>
          <w:p w14:paraId="357CC8FD"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sz w:val="24"/>
                <w:szCs w:val="24"/>
              </w:rPr>
              <w:t>+СД</w:t>
            </w:r>
          </w:p>
        </w:tc>
        <w:tc>
          <w:tcPr>
            <w:tcW w:w="1248" w:type="dxa"/>
            <w:tcBorders>
              <w:top w:val="single" w:sz="4" w:space="0" w:color="auto"/>
              <w:left w:val="single" w:sz="4" w:space="0" w:color="auto"/>
              <w:bottom w:val="nil"/>
              <w:right w:val="nil"/>
            </w:tcBorders>
          </w:tcPr>
          <w:p w14:paraId="0F3755B9"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sz w:val="24"/>
                <w:szCs w:val="24"/>
              </w:rPr>
              <w:t>+ХБП</w:t>
            </w:r>
          </w:p>
        </w:tc>
        <w:tc>
          <w:tcPr>
            <w:tcW w:w="902" w:type="dxa"/>
            <w:tcBorders>
              <w:top w:val="single" w:sz="4" w:space="0" w:color="auto"/>
              <w:left w:val="single" w:sz="4" w:space="0" w:color="auto"/>
              <w:bottom w:val="nil"/>
              <w:right w:val="nil"/>
            </w:tcBorders>
          </w:tcPr>
          <w:p w14:paraId="58E05C71"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sz w:val="24"/>
                <w:szCs w:val="24"/>
              </w:rPr>
              <w:t>+ИБС</w:t>
            </w:r>
          </w:p>
        </w:tc>
        <w:tc>
          <w:tcPr>
            <w:tcW w:w="1022" w:type="dxa"/>
            <w:tcBorders>
              <w:top w:val="single" w:sz="4" w:space="0" w:color="auto"/>
              <w:left w:val="single" w:sz="4" w:space="0" w:color="auto"/>
              <w:bottom w:val="nil"/>
              <w:right w:val="nil"/>
            </w:tcBorders>
          </w:tcPr>
          <w:p w14:paraId="32474AC5"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sz w:val="24"/>
                <w:szCs w:val="24"/>
              </w:rPr>
              <w:t>+Инсул</w:t>
            </w:r>
          </w:p>
          <w:p w14:paraId="740C3ABC"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sz w:val="24"/>
                <w:szCs w:val="24"/>
              </w:rPr>
              <w:t>ИА</w:t>
            </w:r>
          </w:p>
        </w:tc>
        <w:tc>
          <w:tcPr>
            <w:tcW w:w="1709" w:type="dxa"/>
            <w:vMerge/>
            <w:tcBorders>
              <w:top w:val="nil"/>
              <w:left w:val="single" w:sz="4" w:space="0" w:color="auto"/>
              <w:bottom w:val="nil"/>
              <w:right w:val="single" w:sz="4" w:space="0" w:color="auto"/>
            </w:tcBorders>
            <w:vAlign w:val="bottom"/>
          </w:tcPr>
          <w:p w14:paraId="14362FF7" w14:textId="77777777" w:rsidR="00344A59" w:rsidRPr="00344A59" w:rsidRDefault="00344A59" w:rsidP="00344A59">
            <w:pPr>
              <w:spacing w:after="0"/>
              <w:jc w:val="both"/>
              <w:rPr>
                <w:rFonts w:eastAsia="Times New Roman" w:cs="Times New Roman"/>
                <w:sz w:val="24"/>
                <w:szCs w:val="24"/>
              </w:rPr>
            </w:pPr>
          </w:p>
        </w:tc>
      </w:tr>
      <w:tr w:rsidR="00344A59" w:rsidRPr="00344A59" w14:paraId="5C3B48F6" w14:textId="77777777">
        <w:trPr>
          <w:trHeight w:val="283"/>
        </w:trPr>
        <w:tc>
          <w:tcPr>
            <w:tcW w:w="1579" w:type="dxa"/>
            <w:tcBorders>
              <w:top w:val="single" w:sz="4" w:space="0" w:color="auto"/>
              <w:left w:val="single" w:sz="4" w:space="0" w:color="auto"/>
              <w:bottom w:val="nil"/>
              <w:right w:val="nil"/>
            </w:tcBorders>
            <w:vAlign w:val="bottom"/>
          </w:tcPr>
          <w:p w14:paraId="50B6C075"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sz w:val="24"/>
                <w:szCs w:val="24"/>
              </w:rPr>
              <w:t>18–64 года</w:t>
            </w:r>
          </w:p>
        </w:tc>
        <w:tc>
          <w:tcPr>
            <w:tcW w:w="1104" w:type="dxa"/>
            <w:tcBorders>
              <w:top w:val="single" w:sz="4" w:space="0" w:color="auto"/>
              <w:left w:val="single" w:sz="4" w:space="0" w:color="auto"/>
              <w:bottom w:val="nil"/>
              <w:right w:val="nil"/>
            </w:tcBorders>
            <w:vAlign w:val="bottom"/>
          </w:tcPr>
          <w:p w14:paraId="0E0216A8"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sz w:val="24"/>
                <w:szCs w:val="24"/>
              </w:rPr>
              <w:t>≥140</w:t>
            </w:r>
          </w:p>
        </w:tc>
        <w:tc>
          <w:tcPr>
            <w:tcW w:w="1267" w:type="dxa"/>
            <w:tcBorders>
              <w:top w:val="single" w:sz="4" w:space="0" w:color="auto"/>
              <w:left w:val="single" w:sz="4" w:space="0" w:color="auto"/>
              <w:bottom w:val="nil"/>
              <w:right w:val="nil"/>
            </w:tcBorders>
            <w:vAlign w:val="bottom"/>
          </w:tcPr>
          <w:p w14:paraId="012BEFD2"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sz w:val="24"/>
                <w:szCs w:val="24"/>
              </w:rPr>
              <w:t>≥140</w:t>
            </w:r>
          </w:p>
        </w:tc>
        <w:tc>
          <w:tcPr>
            <w:tcW w:w="1248" w:type="dxa"/>
            <w:tcBorders>
              <w:top w:val="single" w:sz="4" w:space="0" w:color="auto"/>
              <w:left w:val="single" w:sz="4" w:space="0" w:color="auto"/>
              <w:bottom w:val="nil"/>
              <w:right w:val="nil"/>
            </w:tcBorders>
            <w:vAlign w:val="bottom"/>
          </w:tcPr>
          <w:p w14:paraId="0D9BF507"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sz w:val="24"/>
                <w:szCs w:val="24"/>
              </w:rPr>
              <w:t>≥140</w:t>
            </w:r>
          </w:p>
        </w:tc>
        <w:tc>
          <w:tcPr>
            <w:tcW w:w="902" w:type="dxa"/>
            <w:tcBorders>
              <w:top w:val="single" w:sz="4" w:space="0" w:color="auto"/>
              <w:left w:val="single" w:sz="4" w:space="0" w:color="auto"/>
              <w:bottom w:val="nil"/>
              <w:right w:val="nil"/>
            </w:tcBorders>
            <w:vAlign w:val="bottom"/>
          </w:tcPr>
          <w:p w14:paraId="3313C7B1"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sz w:val="24"/>
                <w:szCs w:val="24"/>
              </w:rPr>
              <w:t>≥140</w:t>
            </w:r>
          </w:p>
        </w:tc>
        <w:tc>
          <w:tcPr>
            <w:tcW w:w="1022" w:type="dxa"/>
            <w:tcBorders>
              <w:top w:val="single" w:sz="4" w:space="0" w:color="auto"/>
              <w:left w:val="single" w:sz="4" w:space="0" w:color="auto"/>
              <w:bottom w:val="nil"/>
              <w:right w:val="nil"/>
            </w:tcBorders>
            <w:vAlign w:val="bottom"/>
          </w:tcPr>
          <w:p w14:paraId="18E08E7C"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sz w:val="24"/>
                <w:szCs w:val="24"/>
              </w:rPr>
              <w:t>≥140</w:t>
            </w:r>
          </w:p>
        </w:tc>
        <w:tc>
          <w:tcPr>
            <w:tcW w:w="1709" w:type="dxa"/>
            <w:tcBorders>
              <w:top w:val="single" w:sz="4" w:space="0" w:color="auto"/>
              <w:left w:val="single" w:sz="4" w:space="0" w:color="auto"/>
              <w:bottom w:val="nil"/>
              <w:right w:val="single" w:sz="4" w:space="0" w:color="auto"/>
            </w:tcBorders>
            <w:vAlign w:val="bottom"/>
          </w:tcPr>
          <w:p w14:paraId="79C6D737"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sz w:val="24"/>
                <w:szCs w:val="24"/>
              </w:rPr>
              <w:t>≥90</w:t>
            </w:r>
          </w:p>
        </w:tc>
      </w:tr>
      <w:tr w:rsidR="00344A59" w:rsidRPr="00344A59" w14:paraId="4AFBAF23" w14:textId="77777777">
        <w:trPr>
          <w:trHeight w:val="331"/>
        </w:trPr>
        <w:tc>
          <w:tcPr>
            <w:tcW w:w="1579" w:type="dxa"/>
            <w:tcBorders>
              <w:top w:val="single" w:sz="4" w:space="0" w:color="auto"/>
              <w:left w:val="single" w:sz="4" w:space="0" w:color="auto"/>
              <w:bottom w:val="nil"/>
              <w:right w:val="nil"/>
            </w:tcBorders>
            <w:vAlign w:val="center"/>
          </w:tcPr>
          <w:p w14:paraId="696ADDDB"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sz w:val="24"/>
                <w:szCs w:val="24"/>
              </w:rPr>
              <w:t>65–79 лет</w:t>
            </w:r>
          </w:p>
        </w:tc>
        <w:tc>
          <w:tcPr>
            <w:tcW w:w="1104" w:type="dxa"/>
            <w:tcBorders>
              <w:top w:val="single" w:sz="4" w:space="0" w:color="auto"/>
              <w:left w:val="single" w:sz="4" w:space="0" w:color="auto"/>
              <w:bottom w:val="nil"/>
              <w:right w:val="nil"/>
            </w:tcBorders>
            <w:vAlign w:val="center"/>
          </w:tcPr>
          <w:p w14:paraId="43CE0841"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sz w:val="24"/>
                <w:szCs w:val="24"/>
              </w:rPr>
              <w:t>≥140</w:t>
            </w:r>
          </w:p>
        </w:tc>
        <w:tc>
          <w:tcPr>
            <w:tcW w:w="1267" w:type="dxa"/>
            <w:tcBorders>
              <w:top w:val="single" w:sz="4" w:space="0" w:color="auto"/>
              <w:left w:val="single" w:sz="4" w:space="0" w:color="auto"/>
              <w:bottom w:val="nil"/>
              <w:right w:val="nil"/>
            </w:tcBorders>
            <w:vAlign w:val="center"/>
          </w:tcPr>
          <w:p w14:paraId="521F7C74"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sz w:val="24"/>
                <w:szCs w:val="24"/>
              </w:rPr>
              <w:t>≥140</w:t>
            </w:r>
          </w:p>
        </w:tc>
        <w:tc>
          <w:tcPr>
            <w:tcW w:w="1248" w:type="dxa"/>
            <w:tcBorders>
              <w:top w:val="single" w:sz="4" w:space="0" w:color="auto"/>
              <w:left w:val="single" w:sz="4" w:space="0" w:color="auto"/>
              <w:bottom w:val="nil"/>
              <w:right w:val="nil"/>
            </w:tcBorders>
            <w:vAlign w:val="center"/>
          </w:tcPr>
          <w:p w14:paraId="1CF65BFD"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sz w:val="24"/>
                <w:szCs w:val="24"/>
              </w:rPr>
              <w:t>≥140</w:t>
            </w:r>
          </w:p>
        </w:tc>
        <w:tc>
          <w:tcPr>
            <w:tcW w:w="902" w:type="dxa"/>
            <w:tcBorders>
              <w:top w:val="single" w:sz="4" w:space="0" w:color="auto"/>
              <w:left w:val="single" w:sz="4" w:space="0" w:color="auto"/>
              <w:bottom w:val="nil"/>
              <w:right w:val="nil"/>
            </w:tcBorders>
            <w:vAlign w:val="center"/>
          </w:tcPr>
          <w:p w14:paraId="3233B754"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sz w:val="24"/>
                <w:szCs w:val="24"/>
              </w:rPr>
              <w:t>≥140</w:t>
            </w:r>
          </w:p>
        </w:tc>
        <w:tc>
          <w:tcPr>
            <w:tcW w:w="1022" w:type="dxa"/>
            <w:tcBorders>
              <w:top w:val="single" w:sz="4" w:space="0" w:color="auto"/>
              <w:left w:val="single" w:sz="4" w:space="0" w:color="auto"/>
              <w:bottom w:val="nil"/>
              <w:right w:val="nil"/>
            </w:tcBorders>
            <w:vAlign w:val="center"/>
          </w:tcPr>
          <w:p w14:paraId="050CD0C2"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sz w:val="24"/>
                <w:szCs w:val="24"/>
              </w:rPr>
              <w:t>≥140</w:t>
            </w:r>
          </w:p>
        </w:tc>
        <w:tc>
          <w:tcPr>
            <w:tcW w:w="1709" w:type="dxa"/>
            <w:tcBorders>
              <w:top w:val="single" w:sz="4" w:space="0" w:color="auto"/>
              <w:left w:val="single" w:sz="4" w:space="0" w:color="auto"/>
              <w:bottom w:val="nil"/>
              <w:right w:val="single" w:sz="4" w:space="0" w:color="auto"/>
            </w:tcBorders>
            <w:vAlign w:val="center"/>
          </w:tcPr>
          <w:p w14:paraId="57B161A4"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sz w:val="24"/>
                <w:szCs w:val="24"/>
              </w:rPr>
              <w:t>≥90</w:t>
            </w:r>
          </w:p>
        </w:tc>
      </w:tr>
      <w:tr w:rsidR="00344A59" w:rsidRPr="00344A59" w14:paraId="212AC6FC" w14:textId="77777777">
        <w:trPr>
          <w:trHeight w:val="288"/>
        </w:trPr>
        <w:tc>
          <w:tcPr>
            <w:tcW w:w="1579" w:type="dxa"/>
            <w:tcBorders>
              <w:top w:val="single" w:sz="4" w:space="0" w:color="auto"/>
              <w:left w:val="single" w:sz="4" w:space="0" w:color="auto"/>
              <w:bottom w:val="nil"/>
              <w:right w:val="nil"/>
            </w:tcBorders>
            <w:vAlign w:val="bottom"/>
          </w:tcPr>
          <w:p w14:paraId="347AB465"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sz w:val="24"/>
                <w:szCs w:val="24"/>
              </w:rPr>
              <w:t>≥80 лет</w:t>
            </w:r>
          </w:p>
        </w:tc>
        <w:tc>
          <w:tcPr>
            <w:tcW w:w="1104" w:type="dxa"/>
            <w:tcBorders>
              <w:top w:val="single" w:sz="4" w:space="0" w:color="auto"/>
              <w:left w:val="single" w:sz="4" w:space="0" w:color="auto"/>
              <w:bottom w:val="nil"/>
              <w:right w:val="nil"/>
            </w:tcBorders>
            <w:vAlign w:val="bottom"/>
          </w:tcPr>
          <w:p w14:paraId="626768FF"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sz w:val="24"/>
                <w:szCs w:val="24"/>
              </w:rPr>
              <w:t>≥160</w:t>
            </w:r>
          </w:p>
        </w:tc>
        <w:tc>
          <w:tcPr>
            <w:tcW w:w="1267" w:type="dxa"/>
            <w:tcBorders>
              <w:top w:val="single" w:sz="4" w:space="0" w:color="auto"/>
              <w:left w:val="single" w:sz="4" w:space="0" w:color="auto"/>
              <w:bottom w:val="nil"/>
              <w:right w:val="nil"/>
            </w:tcBorders>
            <w:vAlign w:val="bottom"/>
          </w:tcPr>
          <w:p w14:paraId="3433E477"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sz w:val="24"/>
                <w:szCs w:val="24"/>
              </w:rPr>
              <w:t>≥160</w:t>
            </w:r>
          </w:p>
        </w:tc>
        <w:tc>
          <w:tcPr>
            <w:tcW w:w="1248" w:type="dxa"/>
            <w:tcBorders>
              <w:top w:val="single" w:sz="4" w:space="0" w:color="auto"/>
              <w:left w:val="single" w:sz="4" w:space="0" w:color="auto"/>
              <w:bottom w:val="nil"/>
              <w:right w:val="nil"/>
            </w:tcBorders>
            <w:vAlign w:val="bottom"/>
          </w:tcPr>
          <w:p w14:paraId="45D07D4D"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sz w:val="24"/>
                <w:szCs w:val="24"/>
              </w:rPr>
              <w:t>≥160</w:t>
            </w:r>
          </w:p>
        </w:tc>
        <w:tc>
          <w:tcPr>
            <w:tcW w:w="902" w:type="dxa"/>
            <w:tcBorders>
              <w:top w:val="single" w:sz="4" w:space="0" w:color="auto"/>
              <w:left w:val="single" w:sz="4" w:space="0" w:color="auto"/>
              <w:bottom w:val="nil"/>
              <w:right w:val="nil"/>
            </w:tcBorders>
            <w:vAlign w:val="bottom"/>
          </w:tcPr>
          <w:p w14:paraId="6A63C52B"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sz w:val="24"/>
                <w:szCs w:val="24"/>
              </w:rPr>
              <w:t>≥160</w:t>
            </w:r>
          </w:p>
        </w:tc>
        <w:tc>
          <w:tcPr>
            <w:tcW w:w="1022" w:type="dxa"/>
            <w:tcBorders>
              <w:top w:val="single" w:sz="4" w:space="0" w:color="auto"/>
              <w:left w:val="single" w:sz="4" w:space="0" w:color="auto"/>
              <w:bottom w:val="nil"/>
              <w:right w:val="nil"/>
            </w:tcBorders>
            <w:vAlign w:val="bottom"/>
          </w:tcPr>
          <w:p w14:paraId="108FE66E"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sz w:val="24"/>
                <w:szCs w:val="24"/>
              </w:rPr>
              <w:t>≥160</w:t>
            </w:r>
          </w:p>
        </w:tc>
        <w:tc>
          <w:tcPr>
            <w:tcW w:w="1709" w:type="dxa"/>
            <w:tcBorders>
              <w:top w:val="single" w:sz="4" w:space="0" w:color="auto"/>
              <w:left w:val="single" w:sz="4" w:space="0" w:color="auto"/>
              <w:bottom w:val="nil"/>
              <w:right w:val="single" w:sz="4" w:space="0" w:color="auto"/>
            </w:tcBorders>
            <w:vAlign w:val="bottom"/>
          </w:tcPr>
          <w:p w14:paraId="7B87BB56"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sz w:val="24"/>
                <w:szCs w:val="24"/>
              </w:rPr>
              <w:t>≥90</w:t>
            </w:r>
          </w:p>
        </w:tc>
      </w:tr>
      <w:tr w:rsidR="00344A59" w:rsidRPr="00344A59" w14:paraId="5FE6085A" w14:textId="77777777" w:rsidTr="00344A59">
        <w:trPr>
          <w:trHeight w:val="1347"/>
        </w:trPr>
        <w:tc>
          <w:tcPr>
            <w:tcW w:w="1579" w:type="dxa"/>
            <w:tcBorders>
              <w:top w:val="single" w:sz="4" w:space="0" w:color="auto"/>
              <w:left w:val="single" w:sz="4" w:space="0" w:color="auto"/>
              <w:bottom w:val="single" w:sz="4" w:space="0" w:color="auto"/>
              <w:right w:val="nil"/>
            </w:tcBorders>
            <w:vAlign w:val="bottom"/>
          </w:tcPr>
          <w:p w14:paraId="01206507"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sz w:val="24"/>
                <w:szCs w:val="24"/>
              </w:rPr>
              <w:t>Пороговое значение ДАД, измеренного в медицинско м учреждении (мм рт. ст.)</w:t>
            </w:r>
          </w:p>
        </w:tc>
        <w:tc>
          <w:tcPr>
            <w:tcW w:w="1104" w:type="dxa"/>
            <w:tcBorders>
              <w:top w:val="single" w:sz="4" w:space="0" w:color="auto"/>
              <w:left w:val="single" w:sz="4" w:space="0" w:color="auto"/>
              <w:bottom w:val="single" w:sz="4" w:space="0" w:color="auto"/>
              <w:right w:val="nil"/>
            </w:tcBorders>
          </w:tcPr>
          <w:p w14:paraId="52D068DA"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sz w:val="24"/>
                <w:szCs w:val="24"/>
              </w:rPr>
              <w:t>≥90</w:t>
            </w:r>
          </w:p>
        </w:tc>
        <w:tc>
          <w:tcPr>
            <w:tcW w:w="1267" w:type="dxa"/>
            <w:tcBorders>
              <w:top w:val="single" w:sz="4" w:space="0" w:color="auto"/>
              <w:left w:val="single" w:sz="4" w:space="0" w:color="auto"/>
              <w:bottom w:val="single" w:sz="4" w:space="0" w:color="auto"/>
              <w:right w:val="nil"/>
            </w:tcBorders>
          </w:tcPr>
          <w:p w14:paraId="20534C97"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sz w:val="24"/>
                <w:szCs w:val="24"/>
              </w:rPr>
              <w:t>≥90</w:t>
            </w:r>
          </w:p>
        </w:tc>
        <w:tc>
          <w:tcPr>
            <w:tcW w:w="1248" w:type="dxa"/>
            <w:tcBorders>
              <w:top w:val="single" w:sz="4" w:space="0" w:color="auto"/>
              <w:left w:val="single" w:sz="4" w:space="0" w:color="auto"/>
              <w:bottom w:val="single" w:sz="4" w:space="0" w:color="auto"/>
              <w:right w:val="nil"/>
            </w:tcBorders>
          </w:tcPr>
          <w:p w14:paraId="36ADF02F"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sz w:val="24"/>
                <w:szCs w:val="24"/>
              </w:rPr>
              <w:t>≥90</w:t>
            </w:r>
          </w:p>
        </w:tc>
        <w:tc>
          <w:tcPr>
            <w:tcW w:w="902" w:type="dxa"/>
            <w:tcBorders>
              <w:top w:val="single" w:sz="4" w:space="0" w:color="auto"/>
              <w:left w:val="single" w:sz="4" w:space="0" w:color="auto"/>
              <w:bottom w:val="single" w:sz="4" w:space="0" w:color="auto"/>
              <w:right w:val="nil"/>
            </w:tcBorders>
          </w:tcPr>
          <w:p w14:paraId="49E3FECF"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sz w:val="24"/>
                <w:szCs w:val="24"/>
              </w:rPr>
              <w:t>≥90</w:t>
            </w:r>
          </w:p>
        </w:tc>
        <w:tc>
          <w:tcPr>
            <w:tcW w:w="1022" w:type="dxa"/>
            <w:tcBorders>
              <w:top w:val="single" w:sz="4" w:space="0" w:color="auto"/>
              <w:left w:val="single" w:sz="4" w:space="0" w:color="auto"/>
              <w:bottom w:val="single" w:sz="4" w:space="0" w:color="auto"/>
              <w:right w:val="nil"/>
            </w:tcBorders>
          </w:tcPr>
          <w:p w14:paraId="4AB32CD5"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sz w:val="24"/>
                <w:szCs w:val="24"/>
              </w:rPr>
              <w:t>≥90</w:t>
            </w:r>
          </w:p>
        </w:tc>
        <w:tc>
          <w:tcPr>
            <w:tcW w:w="1709" w:type="dxa"/>
            <w:tcBorders>
              <w:top w:val="single" w:sz="4" w:space="0" w:color="auto"/>
              <w:left w:val="single" w:sz="4" w:space="0" w:color="auto"/>
              <w:bottom w:val="single" w:sz="4" w:space="0" w:color="auto"/>
              <w:right w:val="single" w:sz="4" w:space="0" w:color="auto"/>
            </w:tcBorders>
          </w:tcPr>
          <w:p w14:paraId="56CBB4DB" w14:textId="77777777" w:rsidR="00344A59" w:rsidRPr="00344A59" w:rsidRDefault="00344A59" w:rsidP="00344A59">
            <w:pPr>
              <w:spacing w:after="0"/>
              <w:jc w:val="both"/>
              <w:rPr>
                <w:rFonts w:eastAsia="Times New Roman" w:cs="Times New Roman"/>
                <w:sz w:val="24"/>
                <w:szCs w:val="24"/>
              </w:rPr>
            </w:pPr>
          </w:p>
        </w:tc>
      </w:tr>
    </w:tbl>
    <w:p w14:paraId="16DB59E3" w14:textId="77777777" w:rsidR="00344A59" w:rsidRDefault="00344A59" w:rsidP="00344A59">
      <w:pPr>
        <w:spacing w:after="0" w:line="360" w:lineRule="auto"/>
        <w:jc w:val="both"/>
        <w:rPr>
          <w:rFonts w:eastAsia="Times New Roman" w:cs="Times New Roman"/>
          <w:b/>
          <w:bCs/>
          <w:sz w:val="24"/>
          <w:szCs w:val="24"/>
        </w:rPr>
      </w:pPr>
    </w:p>
    <w:p w14:paraId="477F1582" w14:textId="77777777" w:rsidR="002E0EFB" w:rsidRDefault="00344A59" w:rsidP="002E0EFB">
      <w:pPr>
        <w:spacing w:after="0" w:line="360" w:lineRule="auto"/>
        <w:jc w:val="right"/>
        <w:rPr>
          <w:rFonts w:eastAsia="Times New Roman" w:cs="Times New Roman"/>
          <w:b/>
          <w:bCs/>
          <w:sz w:val="24"/>
          <w:szCs w:val="24"/>
        </w:rPr>
      </w:pPr>
      <w:r>
        <w:rPr>
          <w:rFonts w:eastAsia="Times New Roman" w:cs="Times New Roman"/>
          <w:b/>
          <w:bCs/>
          <w:sz w:val="24"/>
          <w:szCs w:val="24"/>
        </w:rPr>
        <w:t>Т</w:t>
      </w:r>
      <w:r w:rsidRPr="00344A59">
        <w:rPr>
          <w:rFonts w:eastAsia="Times New Roman" w:cs="Times New Roman"/>
          <w:b/>
          <w:bCs/>
          <w:sz w:val="24"/>
          <w:szCs w:val="24"/>
        </w:rPr>
        <w:t>аблица П19/</w:t>
      </w:r>
      <w:r w:rsidR="00FB33EA">
        <w:rPr>
          <w:rFonts w:eastAsia="Times New Roman" w:cs="Times New Roman"/>
          <w:b/>
          <w:bCs/>
          <w:sz w:val="24"/>
          <w:szCs w:val="24"/>
        </w:rPr>
        <w:t>А2</w:t>
      </w:r>
      <w:r w:rsidRPr="00344A59">
        <w:rPr>
          <w:rFonts w:eastAsia="Times New Roman" w:cs="Times New Roman"/>
          <w:b/>
          <w:bCs/>
          <w:sz w:val="24"/>
          <w:szCs w:val="24"/>
        </w:rPr>
        <w:t xml:space="preserve">. </w:t>
      </w:r>
    </w:p>
    <w:p w14:paraId="7814103C" w14:textId="49AB30E1" w:rsidR="00344A59" w:rsidRPr="00344A59" w:rsidRDefault="00344A59" w:rsidP="00344A59">
      <w:pPr>
        <w:spacing w:after="0" w:line="360" w:lineRule="auto"/>
        <w:jc w:val="both"/>
        <w:rPr>
          <w:rFonts w:eastAsia="Times New Roman" w:cs="Times New Roman"/>
          <w:b/>
          <w:bCs/>
          <w:sz w:val="24"/>
          <w:szCs w:val="24"/>
        </w:rPr>
      </w:pPr>
      <w:r w:rsidRPr="00344A59">
        <w:rPr>
          <w:rFonts w:eastAsia="Times New Roman" w:cs="Times New Roman"/>
          <w:b/>
          <w:bCs/>
          <w:sz w:val="24"/>
          <w:szCs w:val="24"/>
        </w:rPr>
        <w:t xml:space="preserve">Целевые значения АД, измеренного в медицинском учреждении, в зависимости от возраста и сопутствующих заболеваний. </w:t>
      </w:r>
    </w:p>
    <w:tbl>
      <w:tblPr>
        <w:tblW w:w="0" w:type="auto"/>
        <w:tblInd w:w="-5" w:type="dxa"/>
        <w:tblLayout w:type="fixed"/>
        <w:tblCellMar>
          <w:left w:w="0" w:type="dxa"/>
          <w:right w:w="0" w:type="dxa"/>
        </w:tblCellMar>
        <w:tblLook w:val="0000" w:firstRow="0" w:lastRow="0" w:firstColumn="0" w:lastColumn="0" w:noHBand="0" w:noVBand="0"/>
      </w:tblPr>
      <w:tblGrid>
        <w:gridCol w:w="3264"/>
        <w:gridCol w:w="542"/>
        <w:gridCol w:w="874"/>
        <w:gridCol w:w="1944"/>
        <w:gridCol w:w="874"/>
        <w:gridCol w:w="1099"/>
      </w:tblGrid>
      <w:tr w:rsidR="00344A59" w:rsidRPr="00344A59" w14:paraId="60744CF8" w14:textId="77777777">
        <w:trPr>
          <w:trHeight w:val="432"/>
        </w:trPr>
        <w:tc>
          <w:tcPr>
            <w:tcW w:w="3264" w:type="dxa"/>
            <w:tcBorders>
              <w:top w:val="single" w:sz="4" w:space="0" w:color="auto"/>
              <w:left w:val="single" w:sz="4" w:space="0" w:color="auto"/>
              <w:bottom w:val="nil"/>
              <w:right w:val="nil"/>
            </w:tcBorders>
            <w:vAlign w:val="center"/>
          </w:tcPr>
          <w:p w14:paraId="34BFC589"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b/>
                <w:bCs/>
                <w:sz w:val="24"/>
                <w:szCs w:val="24"/>
              </w:rPr>
              <w:t>Возрастные группы</w:t>
            </w:r>
          </w:p>
        </w:tc>
        <w:tc>
          <w:tcPr>
            <w:tcW w:w="5333" w:type="dxa"/>
            <w:gridSpan w:val="5"/>
            <w:tcBorders>
              <w:top w:val="single" w:sz="4" w:space="0" w:color="auto"/>
              <w:left w:val="single" w:sz="4" w:space="0" w:color="auto"/>
              <w:bottom w:val="nil"/>
              <w:right w:val="single" w:sz="4" w:space="0" w:color="auto"/>
            </w:tcBorders>
            <w:vAlign w:val="center"/>
          </w:tcPr>
          <w:p w14:paraId="3C09D670"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b/>
                <w:bCs/>
                <w:sz w:val="24"/>
                <w:szCs w:val="24"/>
              </w:rPr>
              <w:t>Целевое САД (мм рт.ст.)</w:t>
            </w:r>
          </w:p>
        </w:tc>
      </w:tr>
      <w:tr w:rsidR="00344A59" w:rsidRPr="00344A59" w14:paraId="08CD546D" w14:textId="77777777">
        <w:trPr>
          <w:trHeight w:val="422"/>
        </w:trPr>
        <w:tc>
          <w:tcPr>
            <w:tcW w:w="3264" w:type="dxa"/>
            <w:tcBorders>
              <w:top w:val="single" w:sz="4" w:space="0" w:color="auto"/>
              <w:left w:val="single" w:sz="4" w:space="0" w:color="auto"/>
              <w:bottom w:val="nil"/>
              <w:right w:val="nil"/>
            </w:tcBorders>
          </w:tcPr>
          <w:p w14:paraId="68B9AE77" w14:textId="77777777" w:rsidR="00344A59" w:rsidRPr="00344A59" w:rsidRDefault="00344A59" w:rsidP="00344A59">
            <w:pPr>
              <w:spacing w:after="0"/>
              <w:jc w:val="both"/>
              <w:rPr>
                <w:rFonts w:eastAsia="Times New Roman" w:cs="Times New Roman"/>
                <w:sz w:val="24"/>
                <w:szCs w:val="24"/>
              </w:rPr>
            </w:pPr>
          </w:p>
        </w:tc>
        <w:tc>
          <w:tcPr>
            <w:tcW w:w="542" w:type="dxa"/>
            <w:tcBorders>
              <w:top w:val="single" w:sz="4" w:space="0" w:color="auto"/>
              <w:left w:val="single" w:sz="4" w:space="0" w:color="auto"/>
              <w:bottom w:val="nil"/>
              <w:right w:val="nil"/>
            </w:tcBorders>
            <w:vAlign w:val="center"/>
          </w:tcPr>
          <w:p w14:paraId="36670C68"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b/>
                <w:bCs/>
                <w:sz w:val="24"/>
                <w:szCs w:val="24"/>
              </w:rPr>
              <w:t>АГ</w:t>
            </w:r>
          </w:p>
        </w:tc>
        <w:tc>
          <w:tcPr>
            <w:tcW w:w="874" w:type="dxa"/>
            <w:tcBorders>
              <w:top w:val="single" w:sz="4" w:space="0" w:color="auto"/>
              <w:left w:val="single" w:sz="4" w:space="0" w:color="auto"/>
              <w:bottom w:val="nil"/>
              <w:right w:val="nil"/>
            </w:tcBorders>
            <w:vAlign w:val="center"/>
          </w:tcPr>
          <w:p w14:paraId="2A53D151"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b/>
                <w:bCs/>
                <w:sz w:val="24"/>
                <w:szCs w:val="24"/>
              </w:rPr>
              <w:t>+СД</w:t>
            </w:r>
          </w:p>
        </w:tc>
        <w:tc>
          <w:tcPr>
            <w:tcW w:w="1944" w:type="dxa"/>
            <w:tcBorders>
              <w:top w:val="single" w:sz="4" w:space="0" w:color="auto"/>
              <w:left w:val="single" w:sz="4" w:space="0" w:color="auto"/>
              <w:bottom w:val="nil"/>
              <w:right w:val="nil"/>
            </w:tcBorders>
            <w:vAlign w:val="center"/>
          </w:tcPr>
          <w:p w14:paraId="6C91DA9A"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b/>
                <w:bCs/>
                <w:sz w:val="24"/>
                <w:szCs w:val="24"/>
              </w:rPr>
              <w:t>+Инсульт/ТИА</w:t>
            </w:r>
            <w:r w:rsidRPr="00344A59">
              <w:rPr>
                <w:rFonts w:eastAsia="Times New Roman" w:cs="Times New Roman"/>
                <w:sz w:val="24"/>
                <w:szCs w:val="24"/>
                <w:vertAlign w:val="superscript"/>
              </w:rPr>
              <w:t>а</w:t>
            </w:r>
          </w:p>
        </w:tc>
        <w:tc>
          <w:tcPr>
            <w:tcW w:w="874" w:type="dxa"/>
            <w:tcBorders>
              <w:top w:val="single" w:sz="4" w:space="0" w:color="auto"/>
              <w:left w:val="single" w:sz="4" w:space="0" w:color="auto"/>
              <w:bottom w:val="nil"/>
              <w:right w:val="nil"/>
            </w:tcBorders>
            <w:vAlign w:val="center"/>
          </w:tcPr>
          <w:p w14:paraId="327C3F68"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b/>
                <w:bCs/>
                <w:sz w:val="24"/>
                <w:szCs w:val="24"/>
              </w:rPr>
              <w:t>+ИБС</w:t>
            </w:r>
          </w:p>
        </w:tc>
        <w:tc>
          <w:tcPr>
            <w:tcW w:w="1099" w:type="dxa"/>
            <w:tcBorders>
              <w:top w:val="single" w:sz="4" w:space="0" w:color="auto"/>
              <w:left w:val="single" w:sz="4" w:space="0" w:color="auto"/>
              <w:bottom w:val="nil"/>
              <w:right w:val="single" w:sz="4" w:space="0" w:color="auto"/>
            </w:tcBorders>
            <w:vAlign w:val="center"/>
          </w:tcPr>
          <w:p w14:paraId="63993D30"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b/>
                <w:bCs/>
                <w:sz w:val="24"/>
                <w:szCs w:val="24"/>
              </w:rPr>
              <w:t>+ХБП</w:t>
            </w:r>
          </w:p>
        </w:tc>
      </w:tr>
      <w:tr w:rsidR="00344A59" w:rsidRPr="00344A59" w14:paraId="446E1FF9" w14:textId="77777777" w:rsidTr="00344A59">
        <w:trPr>
          <w:trHeight w:val="112"/>
        </w:trPr>
        <w:tc>
          <w:tcPr>
            <w:tcW w:w="3264" w:type="dxa"/>
            <w:tcBorders>
              <w:top w:val="single" w:sz="4" w:space="0" w:color="auto"/>
              <w:left w:val="single" w:sz="4" w:space="0" w:color="auto"/>
              <w:bottom w:val="nil"/>
              <w:right w:val="nil"/>
            </w:tcBorders>
          </w:tcPr>
          <w:p w14:paraId="482C81FC"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b/>
                <w:bCs/>
                <w:sz w:val="24"/>
                <w:szCs w:val="24"/>
              </w:rPr>
              <w:t>18-64 года</w:t>
            </w:r>
          </w:p>
        </w:tc>
        <w:tc>
          <w:tcPr>
            <w:tcW w:w="5333" w:type="dxa"/>
            <w:gridSpan w:val="5"/>
            <w:tcBorders>
              <w:top w:val="single" w:sz="4" w:space="0" w:color="auto"/>
              <w:left w:val="single" w:sz="4" w:space="0" w:color="auto"/>
              <w:bottom w:val="nil"/>
              <w:right w:val="single" w:sz="4" w:space="0" w:color="auto"/>
            </w:tcBorders>
            <w:vAlign w:val="bottom"/>
          </w:tcPr>
          <w:p w14:paraId="6E8376B6"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sz w:val="24"/>
                <w:szCs w:val="24"/>
              </w:rPr>
              <w:t xml:space="preserve">≤130 при переносимости </w:t>
            </w:r>
            <w:proofErr w:type="gramStart"/>
            <w:r w:rsidRPr="00344A59">
              <w:rPr>
                <w:rFonts w:eastAsia="Times New Roman" w:cs="Times New Roman"/>
                <w:sz w:val="24"/>
                <w:szCs w:val="24"/>
              </w:rPr>
              <w:t>Не</w:t>
            </w:r>
            <w:proofErr w:type="gramEnd"/>
            <w:r w:rsidRPr="00344A59">
              <w:rPr>
                <w:rFonts w:eastAsia="Times New Roman" w:cs="Times New Roman"/>
                <w:sz w:val="24"/>
                <w:szCs w:val="24"/>
              </w:rPr>
              <w:t xml:space="preserve"> &lt;120</w:t>
            </w:r>
          </w:p>
        </w:tc>
      </w:tr>
      <w:tr w:rsidR="00344A59" w:rsidRPr="00344A59" w14:paraId="2F463F55" w14:textId="77777777" w:rsidTr="00344A59">
        <w:trPr>
          <w:trHeight w:val="244"/>
        </w:trPr>
        <w:tc>
          <w:tcPr>
            <w:tcW w:w="3264" w:type="dxa"/>
            <w:tcBorders>
              <w:top w:val="single" w:sz="4" w:space="0" w:color="auto"/>
              <w:left w:val="single" w:sz="4" w:space="0" w:color="auto"/>
              <w:bottom w:val="nil"/>
              <w:right w:val="nil"/>
            </w:tcBorders>
            <w:vAlign w:val="center"/>
          </w:tcPr>
          <w:p w14:paraId="4FCD7709"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b/>
                <w:bCs/>
                <w:sz w:val="24"/>
                <w:szCs w:val="24"/>
              </w:rPr>
              <w:t>≥ 65 лет*</w:t>
            </w:r>
          </w:p>
        </w:tc>
        <w:tc>
          <w:tcPr>
            <w:tcW w:w="5333" w:type="dxa"/>
            <w:gridSpan w:val="5"/>
            <w:tcBorders>
              <w:top w:val="single" w:sz="4" w:space="0" w:color="auto"/>
              <w:left w:val="single" w:sz="4" w:space="0" w:color="auto"/>
              <w:bottom w:val="nil"/>
              <w:right w:val="single" w:sz="4" w:space="0" w:color="auto"/>
            </w:tcBorders>
            <w:vAlign w:val="center"/>
          </w:tcPr>
          <w:p w14:paraId="185C7D79"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sz w:val="24"/>
                <w:szCs w:val="24"/>
              </w:rPr>
              <w:t>130–139 при переносимости</w:t>
            </w:r>
          </w:p>
        </w:tc>
      </w:tr>
      <w:tr w:rsidR="00344A59" w:rsidRPr="00344A59" w14:paraId="7463EE33" w14:textId="77777777" w:rsidTr="00344A59">
        <w:trPr>
          <w:trHeight w:val="235"/>
        </w:trPr>
        <w:tc>
          <w:tcPr>
            <w:tcW w:w="3264" w:type="dxa"/>
            <w:tcBorders>
              <w:top w:val="single" w:sz="4" w:space="0" w:color="auto"/>
              <w:left w:val="single" w:sz="4" w:space="0" w:color="auto"/>
              <w:bottom w:val="single" w:sz="4" w:space="0" w:color="auto"/>
              <w:right w:val="nil"/>
            </w:tcBorders>
            <w:vAlign w:val="center"/>
          </w:tcPr>
          <w:p w14:paraId="34F87872"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b/>
                <w:bCs/>
                <w:sz w:val="24"/>
                <w:szCs w:val="24"/>
              </w:rPr>
              <w:t>Целевое ДАД (мм рт.ст.)</w:t>
            </w:r>
          </w:p>
        </w:tc>
        <w:tc>
          <w:tcPr>
            <w:tcW w:w="5333" w:type="dxa"/>
            <w:gridSpan w:val="5"/>
            <w:tcBorders>
              <w:top w:val="single" w:sz="4" w:space="0" w:color="auto"/>
              <w:left w:val="single" w:sz="4" w:space="0" w:color="auto"/>
              <w:bottom w:val="single" w:sz="4" w:space="0" w:color="auto"/>
              <w:right w:val="single" w:sz="4" w:space="0" w:color="auto"/>
            </w:tcBorders>
            <w:vAlign w:val="center"/>
          </w:tcPr>
          <w:p w14:paraId="3B317BB7" w14:textId="77777777" w:rsidR="00344A59" w:rsidRPr="00344A59" w:rsidRDefault="00344A59" w:rsidP="00344A59">
            <w:pPr>
              <w:spacing w:after="0"/>
              <w:jc w:val="both"/>
              <w:rPr>
                <w:rFonts w:eastAsia="Times New Roman" w:cs="Times New Roman"/>
                <w:sz w:val="24"/>
                <w:szCs w:val="24"/>
              </w:rPr>
            </w:pPr>
            <w:r w:rsidRPr="00344A59">
              <w:rPr>
                <w:rFonts w:eastAsia="Times New Roman" w:cs="Times New Roman"/>
                <w:b/>
                <w:bCs/>
                <w:sz w:val="24"/>
                <w:szCs w:val="24"/>
              </w:rPr>
              <w:t>&lt;80 для всех пациентов</w:t>
            </w:r>
          </w:p>
        </w:tc>
      </w:tr>
    </w:tbl>
    <w:p w14:paraId="38B608BF" w14:textId="77777777" w:rsidR="00946949" w:rsidRPr="003B0E24" w:rsidRDefault="00344A59" w:rsidP="00946949">
      <w:pPr>
        <w:spacing w:after="0" w:line="360" w:lineRule="auto"/>
        <w:jc w:val="both"/>
        <w:rPr>
          <w:rFonts w:eastAsia="Times New Roman" w:cs="Times New Roman"/>
          <w:sz w:val="24"/>
          <w:szCs w:val="24"/>
        </w:rPr>
      </w:pPr>
      <w:r w:rsidRPr="00344A59">
        <w:rPr>
          <w:rFonts w:eastAsia="Times New Roman" w:cs="Times New Roman"/>
          <w:b/>
          <w:bCs/>
          <w:sz w:val="24"/>
          <w:szCs w:val="24"/>
        </w:rPr>
        <w:t xml:space="preserve">* </w:t>
      </w:r>
      <w:r w:rsidRPr="00344A59">
        <w:rPr>
          <w:rFonts w:eastAsia="Times New Roman" w:cs="Times New Roman"/>
          <w:sz w:val="24"/>
          <w:szCs w:val="24"/>
        </w:rPr>
        <w:t>Продемонстрирована целесообразность и безопасность более низких целевых показателей АД для пациентов старше 75 лет [161, 227, 128] аОтносится к пациентам с инсультом в анамнезе, а не к показателям АД в остром периоде инсульта.</w:t>
      </w:r>
    </w:p>
    <w:p w14:paraId="3A7A68B8" w14:textId="77777777" w:rsidR="00946949" w:rsidRDefault="00946949" w:rsidP="00946949">
      <w:pPr>
        <w:spacing w:after="0" w:line="360" w:lineRule="auto"/>
        <w:jc w:val="both"/>
        <w:rPr>
          <w:rFonts w:eastAsia="Times New Roman" w:cs="Times New Roman"/>
          <w:b/>
          <w:bCs/>
          <w:sz w:val="24"/>
          <w:szCs w:val="24"/>
        </w:rPr>
      </w:pPr>
    </w:p>
    <w:p w14:paraId="45405844" w14:textId="77777777" w:rsidR="001A12F4" w:rsidRDefault="001A12F4" w:rsidP="002E0EFB">
      <w:pPr>
        <w:spacing w:after="0" w:line="360" w:lineRule="auto"/>
        <w:jc w:val="right"/>
        <w:rPr>
          <w:rFonts w:eastAsia="Times New Roman" w:cs="Times New Roman"/>
          <w:b/>
          <w:bCs/>
          <w:sz w:val="24"/>
          <w:szCs w:val="24"/>
        </w:rPr>
      </w:pPr>
    </w:p>
    <w:p w14:paraId="663D02E2" w14:textId="77777777" w:rsidR="001A12F4" w:rsidRDefault="001A12F4" w:rsidP="002E0EFB">
      <w:pPr>
        <w:spacing w:after="0" w:line="360" w:lineRule="auto"/>
        <w:jc w:val="right"/>
        <w:rPr>
          <w:rFonts w:eastAsia="Times New Roman" w:cs="Times New Roman"/>
          <w:b/>
          <w:bCs/>
          <w:sz w:val="24"/>
          <w:szCs w:val="24"/>
        </w:rPr>
      </w:pPr>
    </w:p>
    <w:p w14:paraId="3A1B4C0F" w14:textId="77777777" w:rsidR="001A12F4" w:rsidRDefault="001A12F4" w:rsidP="002E0EFB">
      <w:pPr>
        <w:spacing w:after="0" w:line="360" w:lineRule="auto"/>
        <w:jc w:val="right"/>
        <w:rPr>
          <w:rFonts w:eastAsia="Times New Roman" w:cs="Times New Roman"/>
          <w:b/>
          <w:bCs/>
          <w:sz w:val="24"/>
          <w:szCs w:val="24"/>
        </w:rPr>
      </w:pPr>
    </w:p>
    <w:p w14:paraId="254DE6A8" w14:textId="77777777" w:rsidR="001A12F4" w:rsidRDefault="001A12F4" w:rsidP="002E0EFB">
      <w:pPr>
        <w:spacing w:after="0" w:line="360" w:lineRule="auto"/>
        <w:jc w:val="right"/>
        <w:rPr>
          <w:rFonts w:eastAsia="Times New Roman" w:cs="Times New Roman"/>
          <w:b/>
          <w:bCs/>
          <w:sz w:val="24"/>
          <w:szCs w:val="24"/>
        </w:rPr>
      </w:pPr>
    </w:p>
    <w:p w14:paraId="7F03186B" w14:textId="77777777" w:rsidR="001A12F4" w:rsidRDefault="001A12F4" w:rsidP="002E0EFB">
      <w:pPr>
        <w:spacing w:after="0" w:line="360" w:lineRule="auto"/>
        <w:jc w:val="right"/>
        <w:rPr>
          <w:rFonts w:eastAsia="Times New Roman" w:cs="Times New Roman"/>
          <w:b/>
          <w:bCs/>
          <w:sz w:val="24"/>
          <w:szCs w:val="24"/>
        </w:rPr>
      </w:pPr>
    </w:p>
    <w:p w14:paraId="2FBE54B7" w14:textId="77777777" w:rsidR="001A12F4" w:rsidRDefault="001A12F4" w:rsidP="002E0EFB">
      <w:pPr>
        <w:spacing w:after="0" w:line="360" w:lineRule="auto"/>
        <w:jc w:val="right"/>
        <w:rPr>
          <w:rFonts w:eastAsia="Times New Roman" w:cs="Times New Roman"/>
          <w:b/>
          <w:bCs/>
          <w:sz w:val="24"/>
          <w:szCs w:val="24"/>
        </w:rPr>
      </w:pPr>
    </w:p>
    <w:p w14:paraId="1D0BBA90" w14:textId="77777777" w:rsidR="001A12F4" w:rsidRDefault="001A12F4" w:rsidP="002E0EFB">
      <w:pPr>
        <w:spacing w:after="0" w:line="360" w:lineRule="auto"/>
        <w:jc w:val="right"/>
        <w:rPr>
          <w:rFonts w:eastAsia="Times New Roman" w:cs="Times New Roman"/>
          <w:b/>
          <w:bCs/>
          <w:sz w:val="24"/>
          <w:szCs w:val="24"/>
        </w:rPr>
      </w:pPr>
    </w:p>
    <w:p w14:paraId="4A98C194" w14:textId="77777777" w:rsidR="001A12F4" w:rsidRDefault="001A12F4" w:rsidP="002E0EFB">
      <w:pPr>
        <w:spacing w:after="0" w:line="360" w:lineRule="auto"/>
        <w:jc w:val="right"/>
        <w:rPr>
          <w:rFonts w:eastAsia="Times New Roman" w:cs="Times New Roman"/>
          <w:b/>
          <w:bCs/>
          <w:sz w:val="24"/>
          <w:szCs w:val="24"/>
        </w:rPr>
      </w:pPr>
    </w:p>
    <w:p w14:paraId="634D14FE" w14:textId="6600DFDB" w:rsidR="002E0EFB" w:rsidRDefault="00946949" w:rsidP="002E0EFB">
      <w:pPr>
        <w:spacing w:after="0" w:line="360" w:lineRule="auto"/>
        <w:jc w:val="right"/>
        <w:rPr>
          <w:rFonts w:eastAsia="Times New Roman" w:cs="Times New Roman"/>
          <w:b/>
          <w:bCs/>
          <w:sz w:val="24"/>
          <w:szCs w:val="24"/>
        </w:rPr>
      </w:pPr>
      <w:r w:rsidRPr="00946949">
        <w:rPr>
          <w:rFonts w:eastAsia="Times New Roman" w:cs="Times New Roman"/>
          <w:b/>
          <w:bCs/>
          <w:sz w:val="24"/>
          <w:szCs w:val="24"/>
        </w:rPr>
        <w:lastRenderedPageBreak/>
        <w:t>Таблица П20/</w:t>
      </w:r>
      <w:r w:rsidR="00FB33EA">
        <w:rPr>
          <w:rFonts w:eastAsia="Times New Roman" w:cs="Times New Roman"/>
          <w:b/>
          <w:bCs/>
          <w:sz w:val="24"/>
          <w:szCs w:val="24"/>
        </w:rPr>
        <w:t>А2</w:t>
      </w:r>
      <w:r w:rsidRPr="00946949">
        <w:rPr>
          <w:rFonts w:eastAsia="Times New Roman" w:cs="Times New Roman"/>
          <w:b/>
          <w:bCs/>
          <w:sz w:val="24"/>
          <w:szCs w:val="24"/>
        </w:rPr>
        <w:t xml:space="preserve">. </w:t>
      </w:r>
    </w:p>
    <w:p w14:paraId="051032D0" w14:textId="7168FA09" w:rsidR="00946949" w:rsidRPr="00946949" w:rsidRDefault="00946949" w:rsidP="00946949">
      <w:pPr>
        <w:spacing w:after="0" w:line="360" w:lineRule="auto"/>
        <w:jc w:val="both"/>
        <w:rPr>
          <w:rFonts w:eastAsia="Times New Roman" w:cs="Times New Roman"/>
          <w:b/>
          <w:bCs/>
          <w:sz w:val="24"/>
          <w:szCs w:val="24"/>
        </w:rPr>
      </w:pPr>
      <w:r w:rsidRPr="00946949">
        <w:rPr>
          <w:rFonts w:eastAsia="Times New Roman" w:cs="Times New Roman"/>
          <w:b/>
          <w:bCs/>
          <w:sz w:val="24"/>
          <w:szCs w:val="24"/>
        </w:rPr>
        <w:t xml:space="preserve">Противопоказания к назначению отдельных классов антигипертензивных средств </w:t>
      </w:r>
    </w:p>
    <w:tbl>
      <w:tblPr>
        <w:tblW w:w="0" w:type="auto"/>
        <w:tblInd w:w="-5" w:type="dxa"/>
        <w:tblLayout w:type="fixed"/>
        <w:tblCellMar>
          <w:left w:w="0" w:type="dxa"/>
          <w:right w:w="0" w:type="dxa"/>
        </w:tblCellMar>
        <w:tblLook w:val="0000" w:firstRow="0" w:lastRow="0" w:firstColumn="0" w:lastColumn="0" w:noHBand="0" w:noVBand="0"/>
      </w:tblPr>
      <w:tblGrid>
        <w:gridCol w:w="1915"/>
        <w:gridCol w:w="3830"/>
        <w:gridCol w:w="3062"/>
      </w:tblGrid>
      <w:tr w:rsidR="00946949" w:rsidRPr="00946949" w14:paraId="776CB257" w14:textId="77777777" w:rsidTr="00946949">
        <w:trPr>
          <w:trHeight w:val="571"/>
        </w:trPr>
        <w:tc>
          <w:tcPr>
            <w:tcW w:w="1915" w:type="dxa"/>
            <w:tcBorders>
              <w:top w:val="single" w:sz="4" w:space="0" w:color="auto"/>
              <w:left w:val="single" w:sz="4" w:space="0" w:color="auto"/>
              <w:bottom w:val="nil"/>
              <w:right w:val="nil"/>
            </w:tcBorders>
            <w:shd w:val="clear" w:color="auto" w:fill="E7E6E6" w:themeFill="background2"/>
          </w:tcPr>
          <w:p w14:paraId="597A127A" w14:textId="77777777" w:rsidR="00946949" w:rsidRPr="00946949" w:rsidRDefault="00946949" w:rsidP="00946949">
            <w:pPr>
              <w:spacing w:after="0"/>
              <w:jc w:val="center"/>
              <w:rPr>
                <w:rFonts w:eastAsia="Times New Roman" w:cs="Times New Roman"/>
                <w:sz w:val="24"/>
                <w:szCs w:val="24"/>
              </w:rPr>
            </w:pPr>
            <w:r w:rsidRPr="00946949">
              <w:rPr>
                <w:rFonts w:eastAsia="Times New Roman" w:cs="Times New Roman"/>
                <w:b/>
                <w:bCs/>
                <w:sz w:val="24"/>
                <w:szCs w:val="24"/>
              </w:rPr>
              <w:t>Препараты</w:t>
            </w:r>
          </w:p>
        </w:tc>
        <w:tc>
          <w:tcPr>
            <w:tcW w:w="3830" w:type="dxa"/>
            <w:tcBorders>
              <w:top w:val="single" w:sz="4" w:space="0" w:color="auto"/>
              <w:left w:val="single" w:sz="4" w:space="0" w:color="auto"/>
              <w:bottom w:val="nil"/>
              <w:right w:val="nil"/>
            </w:tcBorders>
            <w:shd w:val="clear" w:color="auto" w:fill="E7E6E6" w:themeFill="background2"/>
          </w:tcPr>
          <w:p w14:paraId="3B23C603" w14:textId="77777777" w:rsidR="00946949" w:rsidRPr="00946949" w:rsidRDefault="00946949" w:rsidP="00946949">
            <w:pPr>
              <w:spacing w:after="0"/>
              <w:jc w:val="center"/>
              <w:rPr>
                <w:rFonts w:eastAsia="Times New Roman" w:cs="Times New Roman"/>
                <w:sz w:val="24"/>
                <w:szCs w:val="24"/>
              </w:rPr>
            </w:pPr>
            <w:r w:rsidRPr="00946949">
              <w:rPr>
                <w:rFonts w:eastAsia="Times New Roman" w:cs="Times New Roman"/>
                <w:b/>
                <w:bCs/>
                <w:sz w:val="24"/>
                <w:szCs w:val="24"/>
              </w:rPr>
              <w:t>Противопоказания</w:t>
            </w:r>
          </w:p>
        </w:tc>
        <w:tc>
          <w:tcPr>
            <w:tcW w:w="3062" w:type="dxa"/>
            <w:tcBorders>
              <w:top w:val="single" w:sz="4" w:space="0" w:color="auto"/>
              <w:left w:val="single" w:sz="4" w:space="0" w:color="auto"/>
              <w:bottom w:val="nil"/>
              <w:right w:val="single" w:sz="4" w:space="0" w:color="auto"/>
            </w:tcBorders>
            <w:shd w:val="clear" w:color="auto" w:fill="E7E6E6" w:themeFill="background2"/>
            <w:vAlign w:val="bottom"/>
          </w:tcPr>
          <w:p w14:paraId="667025F2" w14:textId="77777777" w:rsidR="00946949" w:rsidRPr="00946949" w:rsidRDefault="00946949" w:rsidP="00946949">
            <w:pPr>
              <w:spacing w:after="0"/>
              <w:jc w:val="center"/>
              <w:rPr>
                <w:rFonts w:eastAsia="Times New Roman" w:cs="Times New Roman"/>
                <w:sz w:val="24"/>
                <w:szCs w:val="24"/>
              </w:rPr>
            </w:pPr>
            <w:r w:rsidRPr="00946949">
              <w:rPr>
                <w:rFonts w:eastAsia="Times New Roman" w:cs="Times New Roman"/>
                <w:b/>
                <w:bCs/>
                <w:sz w:val="24"/>
                <w:szCs w:val="24"/>
              </w:rPr>
              <w:t>Использовать</w:t>
            </w:r>
            <w:r>
              <w:rPr>
                <w:rFonts w:eastAsia="Times New Roman" w:cs="Times New Roman"/>
                <w:b/>
                <w:bCs/>
                <w:sz w:val="24"/>
                <w:szCs w:val="24"/>
              </w:rPr>
              <w:t xml:space="preserve"> </w:t>
            </w:r>
            <w:r w:rsidRPr="00946949">
              <w:rPr>
                <w:rFonts w:eastAsia="Times New Roman" w:cs="Times New Roman"/>
                <w:b/>
                <w:bCs/>
                <w:sz w:val="24"/>
                <w:szCs w:val="24"/>
              </w:rPr>
              <w:t>с</w:t>
            </w:r>
            <w:r>
              <w:rPr>
                <w:rFonts w:eastAsia="Times New Roman" w:cs="Times New Roman"/>
                <w:sz w:val="24"/>
                <w:szCs w:val="24"/>
              </w:rPr>
              <w:t xml:space="preserve"> </w:t>
            </w:r>
            <w:r w:rsidRPr="00946949">
              <w:rPr>
                <w:rFonts w:eastAsia="Times New Roman" w:cs="Times New Roman"/>
                <w:b/>
                <w:bCs/>
                <w:sz w:val="24"/>
                <w:szCs w:val="24"/>
              </w:rPr>
              <w:t>осторожностью</w:t>
            </w:r>
          </w:p>
        </w:tc>
      </w:tr>
      <w:tr w:rsidR="00946949" w:rsidRPr="00946949" w14:paraId="27DAF315" w14:textId="77777777">
        <w:trPr>
          <w:trHeight w:val="3874"/>
        </w:trPr>
        <w:tc>
          <w:tcPr>
            <w:tcW w:w="1915" w:type="dxa"/>
            <w:tcBorders>
              <w:top w:val="single" w:sz="4" w:space="0" w:color="auto"/>
              <w:left w:val="single" w:sz="4" w:space="0" w:color="auto"/>
              <w:bottom w:val="nil"/>
              <w:right w:val="nil"/>
            </w:tcBorders>
          </w:tcPr>
          <w:p w14:paraId="2002B65C" w14:textId="77777777" w:rsidR="00946949" w:rsidRPr="00946949" w:rsidRDefault="00946949" w:rsidP="00946949">
            <w:pPr>
              <w:spacing w:after="0"/>
              <w:jc w:val="both"/>
              <w:rPr>
                <w:rFonts w:eastAsia="Times New Roman" w:cs="Times New Roman"/>
                <w:sz w:val="24"/>
                <w:szCs w:val="24"/>
              </w:rPr>
            </w:pPr>
            <w:r w:rsidRPr="00946949">
              <w:rPr>
                <w:rFonts w:eastAsia="Times New Roman" w:cs="Times New Roman"/>
                <w:sz w:val="24"/>
                <w:szCs w:val="24"/>
              </w:rPr>
              <w:t xml:space="preserve">Диуретики (тиазидные/ </w:t>
            </w:r>
            <w:proofErr w:type="gramStart"/>
            <w:r w:rsidRPr="00946949">
              <w:rPr>
                <w:rFonts w:eastAsia="Times New Roman" w:cs="Times New Roman"/>
                <w:sz w:val="24"/>
                <w:szCs w:val="24"/>
              </w:rPr>
              <w:t>тиазидоподобные,например</w:t>
            </w:r>
            <w:proofErr w:type="gramEnd"/>
            <w:r w:rsidRPr="00946949">
              <w:rPr>
                <w:rFonts w:eastAsia="Times New Roman" w:cs="Times New Roman"/>
                <w:sz w:val="24"/>
                <w:szCs w:val="24"/>
              </w:rPr>
              <w:t>,</w:t>
            </w:r>
          </w:p>
          <w:p w14:paraId="231A998D" w14:textId="77777777" w:rsidR="00946949" w:rsidRPr="00946949" w:rsidRDefault="00946949" w:rsidP="00946949">
            <w:pPr>
              <w:spacing w:after="0"/>
              <w:jc w:val="both"/>
              <w:rPr>
                <w:rFonts w:eastAsia="Times New Roman" w:cs="Times New Roman"/>
                <w:sz w:val="24"/>
                <w:szCs w:val="24"/>
              </w:rPr>
            </w:pPr>
            <w:r w:rsidRPr="00946949">
              <w:rPr>
                <w:rFonts w:eastAsia="Times New Roman" w:cs="Times New Roman"/>
                <w:sz w:val="24"/>
                <w:szCs w:val="24"/>
              </w:rPr>
              <w:t>хлорталидон и индапамид**)</w:t>
            </w:r>
          </w:p>
        </w:tc>
        <w:tc>
          <w:tcPr>
            <w:tcW w:w="3830" w:type="dxa"/>
            <w:tcBorders>
              <w:top w:val="single" w:sz="4" w:space="0" w:color="auto"/>
              <w:left w:val="single" w:sz="4" w:space="0" w:color="auto"/>
              <w:bottom w:val="nil"/>
              <w:right w:val="nil"/>
            </w:tcBorders>
          </w:tcPr>
          <w:p w14:paraId="4E817D8E" w14:textId="77777777" w:rsidR="00946949" w:rsidRPr="00946949" w:rsidRDefault="00946949" w:rsidP="00946949">
            <w:pPr>
              <w:spacing w:after="0"/>
              <w:jc w:val="both"/>
              <w:rPr>
                <w:rFonts w:eastAsia="Times New Roman" w:cs="Times New Roman"/>
                <w:sz w:val="24"/>
                <w:szCs w:val="24"/>
              </w:rPr>
            </w:pPr>
            <w:r w:rsidRPr="00946949">
              <w:rPr>
                <w:rFonts w:eastAsia="Times New Roman" w:cs="Times New Roman"/>
                <w:sz w:val="24"/>
                <w:szCs w:val="24"/>
              </w:rPr>
              <w:t>Гипонатриемия</w:t>
            </w:r>
          </w:p>
          <w:p w14:paraId="58BA876D" w14:textId="77777777" w:rsidR="00946949" w:rsidRPr="00946949" w:rsidRDefault="00946949" w:rsidP="00946949">
            <w:pPr>
              <w:spacing w:after="0"/>
              <w:jc w:val="both"/>
              <w:rPr>
                <w:rFonts w:eastAsia="Times New Roman" w:cs="Times New Roman"/>
                <w:sz w:val="24"/>
                <w:szCs w:val="24"/>
              </w:rPr>
            </w:pPr>
            <w:r w:rsidRPr="00946949">
              <w:rPr>
                <w:rFonts w:eastAsia="Times New Roman" w:cs="Times New Roman"/>
                <w:sz w:val="24"/>
                <w:szCs w:val="24"/>
              </w:rPr>
              <w:t>ХБП</w:t>
            </w:r>
            <w:r w:rsidRPr="00946949">
              <w:rPr>
                <w:rFonts w:eastAsia="Times New Roman" w:cs="Times New Roman"/>
                <w:sz w:val="24"/>
                <w:szCs w:val="24"/>
              </w:rPr>
              <w:tab/>
              <w:t>из-за</w:t>
            </w:r>
            <w:r w:rsidRPr="00946949">
              <w:rPr>
                <w:rFonts w:eastAsia="Times New Roman" w:cs="Times New Roman"/>
                <w:sz w:val="24"/>
                <w:szCs w:val="24"/>
              </w:rPr>
              <w:tab/>
              <w:t>обструктивной</w:t>
            </w:r>
          </w:p>
          <w:p w14:paraId="06EA4E72" w14:textId="77777777" w:rsidR="00946949" w:rsidRPr="00946949" w:rsidRDefault="0066255F" w:rsidP="00946949">
            <w:pPr>
              <w:spacing w:after="0"/>
              <w:jc w:val="both"/>
              <w:rPr>
                <w:rFonts w:eastAsia="Times New Roman" w:cs="Times New Roman"/>
                <w:sz w:val="24"/>
                <w:szCs w:val="24"/>
              </w:rPr>
            </w:pPr>
            <w:r>
              <w:rPr>
                <w:rFonts w:eastAsia="Times New Roman" w:cs="Times New Roman"/>
                <w:sz w:val="24"/>
                <w:szCs w:val="24"/>
              </w:rPr>
              <w:t xml:space="preserve"> </w:t>
            </w:r>
            <w:r w:rsidR="00946949" w:rsidRPr="00946949">
              <w:rPr>
                <w:rFonts w:eastAsia="Times New Roman" w:cs="Times New Roman"/>
                <w:sz w:val="24"/>
                <w:szCs w:val="24"/>
              </w:rPr>
              <w:t>уропатии</w:t>
            </w:r>
          </w:p>
          <w:p w14:paraId="65D029D4" w14:textId="77777777" w:rsidR="00946949" w:rsidRPr="00946949" w:rsidRDefault="00946949" w:rsidP="00946949">
            <w:pPr>
              <w:spacing w:after="0"/>
              <w:jc w:val="both"/>
              <w:rPr>
                <w:rFonts w:eastAsia="Times New Roman" w:cs="Times New Roman"/>
                <w:sz w:val="24"/>
                <w:szCs w:val="24"/>
              </w:rPr>
            </w:pPr>
            <w:r w:rsidRPr="00946949">
              <w:rPr>
                <w:rFonts w:eastAsia="Times New Roman" w:cs="Times New Roman"/>
                <w:sz w:val="24"/>
                <w:szCs w:val="24"/>
              </w:rPr>
              <w:t>Аллергия на сульфонамиды</w:t>
            </w:r>
          </w:p>
        </w:tc>
        <w:tc>
          <w:tcPr>
            <w:tcW w:w="3062" w:type="dxa"/>
            <w:tcBorders>
              <w:top w:val="single" w:sz="4" w:space="0" w:color="auto"/>
              <w:left w:val="single" w:sz="4" w:space="0" w:color="auto"/>
              <w:bottom w:val="nil"/>
              <w:right w:val="single" w:sz="4" w:space="0" w:color="auto"/>
            </w:tcBorders>
            <w:vAlign w:val="bottom"/>
          </w:tcPr>
          <w:p w14:paraId="7DE18F9D" w14:textId="77777777" w:rsidR="00946949" w:rsidRPr="00946949" w:rsidRDefault="00946949" w:rsidP="00946949">
            <w:pPr>
              <w:spacing w:after="0"/>
              <w:jc w:val="both"/>
              <w:rPr>
                <w:rFonts w:eastAsia="Times New Roman" w:cs="Times New Roman"/>
                <w:sz w:val="24"/>
                <w:szCs w:val="24"/>
              </w:rPr>
            </w:pPr>
            <w:r w:rsidRPr="00946949">
              <w:rPr>
                <w:rFonts w:eastAsia="Times New Roman" w:cs="Times New Roman"/>
                <w:sz w:val="24"/>
                <w:szCs w:val="24"/>
              </w:rPr>
              <w:t>Метаболический синдром Нарушение толерантности к глюкозе</w:t>
            </w:r>
          </w:p>
          <w:p w14:paraId="514F85ED" w14:textId="77777777" w:rsidR="00946949" w:rsidRPr="00946949" w:rsidRDefault="00946949" w:rsidP="00946949">
            <w:pPr>
              <w:spacing w:after="0"/>
              <w:jc w:val="both"/>
              <w:rPr>
                <w:rFonts w:eastAsia="Times New Roman" w:cs="Times New Roman"/>
                <w:sz w:val="24"/>
                <w:szCs w:val="24"/>
              </w:rPr>
            </w:pPr>
            <w:r w:rsidRPr="00946949">
              <w:rPr>
                <w:rFonts w:eastAsia="Times New Roman" w:cs="Times New Roman"/>
                <w:sz w:val="24"/>
                <w:szCs w:val="24"/>
              </w:rPr>
              <w:t>Беременность Гиперкальциемия Гипокалиемия</w:t>
            </w:r>
          </w:p>
          <w:p w14:paraId="72D1B3BB" w14:textId="77777777" w:rsidR="00946949" w:rsidRPr="00946949" w:rsidRDefault="00946949" w:rsidP="00946949">
            <w:pPr>
              <w:spacing w:after="0"/>
              <w:jc w:val="both"/>
              <w:rPr>
                <w:rFonts w:eastAsia="Times New Roman" w:cs="Times New Roman"/>
                <w:sz w:val="24"/>
                <w:szCs w:val="24"/>
              </w:rPr>
            </w:pPr>
            <w:r w:rsidRPr="00946949">
              <w:rPr>
                <w:rFonts w:eastAsia="Times New Roman" w:cs="Times New Roman"/>
                <w:sz w:val="24"/>
                <w:szCs w:val="24"/>
              </w:rPr>
              <w:t>Гиперурикемия и подагра (на фоне приема следует мониторировать уровень мочевой</w:t>
            </w:r>
            <w:r w:rsidRPr="00946949">
              <w:rPr>
                <w:rFonts w:eastAsia="Times New Roman" w:cs="Times New Roman"/>
                <w:sz w:val="24"/>
                <w:szCs w:val="24"/>
              </w:rPr>
              <w:tab/>
              <w:t>кислоты.</w:t>
            </w:r>
          </w:p>
          <w:p w14:paraId="71E8F694" w14:textId="77777777" w:rsidR="00946949" w:rsidRPr="00946949" w:rsidRDefault="00946949" w:rsidP="00946949">
            <w:pPr>
              <w:spacing w:after="0"/>
              <w:jc w:val="both"/>
              <w:rPr>
                <w:rFonts w:eastAsia="Times New Roman" w:cs="Times New Roman"/>
                <w:sz w:val="24"/>
                <w:szCs w:val="24"/>
              </w:rPr>
            </w:pPr>
            <w:r w:rsidRPr="00946949">
              <w:rPr>
                <w:rFonts w:eastAsia="Times New Roman" w:cs="Times New Roman"/>
                <w:sz w:val="24"/>
                <w:szCs w:val="24"/>
              </w:rPr>
              <w:t>Транзиторное</w:t>
            </w:r>
            <w:r>
              <w:rPr>
                <w:rFonts w:eastAsia="Times New Roman" w:cs="Times New Roman"/>
                <w:sz w:val="24"/>
                <w:szCs w:val="24"/>
              </w:rPr>
              <w:t xml:space="preserve"> </w:t>
            </w:r>
            <w:r w:rsidRPr="00946949">
              <w:rPr>
                <w:rFonts w:eastAsia="Times New Roman" w:cs="Times New Roman"/>
                <w:sz w:val="24"/>
                <w:szCs w:val="24"/>
              </w:rPr>
              <w:t>повышение мочевой</w:t>
            </w:r>
            <w:r>
              <w:rPr>
                <w:rFonts w:eastAsia="Times New Roman" w:cs="Times New Roman"/>
                <w:sz w:val="24"/>
                <w:szCs w:val="24"/>
              </w:rPr>
              <w:t xml:space="preserve"> </w:t>
            </w:r>
            <w:r w:rsidRPr="00946949">
              <w:rPr>
                <w:rFonts w:eastAsia="Times New Roman" w:cs="Times New Roman"/>
                <w:sz w:val="24"/>
                <w:szCs w:val="24"/>
              </w:rPr>
              <w:t>кислоты</w:t>
            </w:r>
            <w:r>
              <w:rPr>
                <w:rFonts w:eastAsia="Times New Roman" w:cs="Times New Roman"/>
                <w:sz w:val="24"/>
                <w:szCs w:val="24"/>
              </w:rPr>
              <w:t xml:space="preserve"> </w:t>
            </w:r>
            <w:r w:rsidRPr="00946949">
              <w:rPr>
                <w:rFonts w:eastAsia="Times New Roman" w:cs="Times New Roman"/>
                <w:sz w:val="24"/>
                <w:szCs w:val="24"/>
              </w:rPr>
              <w:t>не</w:t>
            </w:r>
          </w:p>
          <w:p w14:paraId="11489078" w14:textId="77777777" w:rsidR="00946949" w:rsidRPr="00946949" w:rsidRDefault="00946949" w:rsidP="00946949">
            <w:pPr>
              <w:spacing w:after="0"/>
              <w:jc w:val="both"/>
              <w:rPr>
                <w:rFonts w:eastAsia="Times New Roman" w:cs="Times New Roman"/>
                <w:sz w:val="24"/>
                <w:szCs w:val="24"/>
              </w:rPr>
            </w:pPr>
            <w:r w:rsidRPr="00946949">
              <w:rPr>
                <w:rFonts w:eastAsia="Times New Roman" w:cs="Times New Roman"/>
                <w:sz w:val="24"/>
                <w:szCs w:val="24"/>
              </w:rPr>
              <w:t>требует отмены диуретика) Рак с метастазами в кости</w:t>
            </w:r>
          </w:p>
        </w:tc>
      </w:tr>
      <w:tr w:rsidR="00946949" w:rsidRPr="00946949" w14:paraId="672EBF17" w14:textId="77777777">
        <w:trPr>
          <w:trHeight w:val="830"/>
        </w:trPr>
        <w:tc>
          <w:tcPr>
            <w:tcW w:w="1915" w:type="dxa"/>
            <w:tcBorders>
              <w:top w:val="single" w:sz="4" w:space="0" w:color="auto"/>
              <w:left w:val="single" w:sz="4" w:space="0" w:color="auto"/>
              <w:bottom w:val="nil"/>
              <w:right w:val="nil"/>
            </w:tcBorders>
          </w:tcPr>
          <w:p w14:paraId="15AC3BE8" w14:textId="77777777" w:rsidR="00946949" w:rsidRPr="00946949" w:rsidRDefault="00946949" w:rsidP="00946949">
            <w:pPr>
              <w:spacing w:after="0"/>
              <w:jc w:val="both"/>
              <w:rPr>
                <w:rFonts w:eastAsia="Times New Roman" w:cs="Times New Roman"/>
                <w:sz w:val="24"/>
                <w:szCs w:val="24"/>
              </w:rPr>
            </w:pPr>
            <w:r w:rsidRPr="00946949">
              <w:rPr>
                <w:rFonts w:eastAsia="Times New Roman" w:cs="Times New Roman"/>
                <w:sz w:val="24"/>
                <w:szCs w:val="24"/>
              </w:rPr>
              <w:t>АМКР</w:t>
            </w:r>
          </w:p>
        </w:tc>
        <w:tc>
          <w:tcPr>
            <w:tcW w:w="3830" w:type="dxa"/>
            <w:tcBorders>
              <w:top w:val="single" w:sz="4" w:space="0" w:color="auto"/>
              <w:left w:val="single" w:sz="4" w:space="0" w:color="auto"/>
              <w:bottom w:val="nil"/>
              <w:right w:val="nil"/>
            </w:tcBorders>
            <w:vAlign w:val="bottom"/>
          </w:tcPr>
          <w:p w14:paraId="0B82ED81" w14:textId="77777777" w:rsidR="00946949" w:rsidRPr="00946949" w:rsidRDefault="00946949" w:rsidP="00946949">
            <w:pPr>
              <w:spacing w:after="0"/>
              <w:jc w:val="both"/>
              <w:rPr>
                <w:rFonts w:eastAsia="Times New Roman" w:cs="Times New Roman"/>
                <w:sz w:val="24"/>
                <w:szCs w:val="24"/>
              </w:rPr>
            </w:pPr>
            <w:r w:rsidRPr="00946949">
              <w:rPr>
                <w:rFonts w:eastAsia="Times New Roman" w:cs="Times New Roman"/>
                <w:sz w:val="24"/>
                <w:szCs w:val="24"/>
              </w:rPr>
              <w:t>Тяжелая</w:t>
            </w:r>
            <w:r w:rsidRPr="00946949">
              <w:rPr>
                <w:rFonts w:eastAsia="Times New Roman" w:cs="Times New Roman"/>
                <w:sz w:val="24"/>
                <w:szCs w:val="24"/>
              </w:rPr>
              <w:tab/>
              <w:t>гиперкалиеми</w:t>
            </w:r>
            <w:r>
              <w:rPr>
                <w:rFonts w:eastAsia="Times New Roman" w:cs="Times New Roman"/>
                <w:sz w:val="24"/>
                <w:szCs w:val="24"/>
              </w:rPr>
              <w:t xml:space="preserve"> </w:t>
            </w:r>
            <w:r w:rsidRPr="00946949">
              <w:rPr>
                <w:rFonts w:eastAsia="Times New Roman" w:cs="Times New Roman"/>
                <w:sz w:val="24"/>
                <w:szCs w:val="24"/>
              </w:rPr>
              <w:t>(&gt;5,5</w:t>
            </w:r>
          </w:p>
          <w:p w14:paraId="38DE2683" w14:textId="77777777" w:rsidR="00946949" w:rsidRPr="00946949" w:rsidRDefault="00946949" w:rsidP="00946949">
            <w:pPr>
              <w:spacing w:after="0"/>
              <w:jc w:val="both"/>
              <w:rPr>
                <w:rFonts w:eastAsia="Times New Roman" w:cs="Times New Roman"/>
                <w:sz w:val="24"/>
                <w:szCs w:val="24"/>
              </w:rPr>
            </w:pPr>
            <w:r w:rsidRPr="00946949">
              <w:rPr>
                <w:rFonts w:eastAsia="Times New Roman" w:cs="Times New Roman"/>
                <w:sz w:val="24"/>
                <w:szCs w:val="24"/>
              </w:rPr>
              <w:t>ммоль/л)</w:t>
            </w:r>
          </w:p>
          <w:p w14:paraId="3D782F5B" w14:textId="77777777" w:rsidR="00946949" w:rsidRPr="00946949" w:rsidRDefault="00946949" w:rsidP="00946949">
            <w:pPr>
              <w:spacing w:after="0"/>
              <w:jc w:val="both"/>
              <w:rPr>
                <w:rFonts w:eastAsia="Times New Roman" w:cs="Times New Roman"/>
                <w:sz w:val="24"/>
                <w:szCs w:val="24"/>
              </w:rPr>
            </w:pPr>
            <w:r w:rsidRPr="00946949">
              <w:rPr>
                <w:rFonts w:eastAsia="Times New Roman" w:cs="Times New Roman"/>
                <w:sz w:val="24"/>
                <w:szCs w:val="24"/>
              </w:rPr>
              <w:t xml:space="preserve">рСКФ </w:t>
            </w:r>
            <w:proofErr w:type="gramStart"/>
            <w:r w:rsidRPr="00946949">
              <w:rPr>
                <w:rFonts w:eastAsia="Times New Roman" w:cs="Times New Roman"/>
                <w:sz w:val="24"/>
                <w:szCs w:val="24"/>
              </w:rPr>
              <w:t xml:space="preserve">&lt; </w:t>
            </w:r>
            <w:r w:rsidR="0066255F">
              <w:rPr>
                <w:rFonts w:eastAsia="Times New Roman" w:cs="Times New Roman"/>
                <w:sz w:val="24"/>
                <w:szCs w:val="24"/>
              </w:rPr>
              <w:t xml:space="preserve"> </w:t>
            </w:r>
            <w:r w:rsidRPr="00946949">
              <w:rPr>
                <w:rFonts w:eastAsia="Times New Roman" w:cs="Times New Roman"/>
                <w:sz w:val="24"/>
                <w:szCs w:val="24"/>
              </w:rPr>
              <w:t>30</w:t>
            </w:r>
            <w:proofErr w:type="gramEnd"/>
            <w:r w:rsidRPr="00946949">
              <w:rPr>
                <w:rFonts w:eastAsia="Times New Roman" w:cs="Times New Roman"/>
                <w:sz w:val="24"/>
                <w:szCs w:val="24"/>
              </w:rPr>
              <w:t xml:space="preserve"> мл/мин/1,73м2</w:t>
            </w:r>
          </w:p>
        </w:tc>
        <w:tc>
          <w:tcPr>
            <w:tcW w:w="3062" w:type="dxa"/>
            <w:tcBorders>
              <w:top w:val="single" w:sz="4" w:space="0" w:color="auto"/>
              <w:left w:val="single" w:sz="4" w:space="0" w:color="auto"/>
              <w:bottom w:val="nil"/>
              <w:right w:val="single" w:sz="4" w:space="0" w:color="auto"/>
            </w:tcBorders>
            <w:vAlign w:val="bottom"/>
          </w:tcPr>
          <w:p w14:paraId="46BD7FA3" w14:textId="77777777" w:rsidR="00946949" w:rsidRPr="00946949" w:rsidRDefault="00946949" w:rsidP="00946949">
            <w:pPr>
              <w:spacing w:after="0"/>
              <w:jc w:val="both"/>
              <w:rPr>
                <w:rFonts w:eastAsia="Times New Roman" w:cs="Times New Roman"/>
                <w:sz w:val="24"/>
                <w:szCs w:val="24"/>
              </w:rPr>
            </w:pPr>
            <w:r w:rsidRPr="00946949">
              <w:rPr>
                <w:rFonts w:eastAsia="Times New Roman" w:cs="Times New Roman"/>
                <w:sz w:val="24"/>
                <w:szCs w:val="24"/>
              </w:rPr>
              <w:t>Прием</w:t>
            </w:r>
            <w:r w:rsidRPr="00946949">
              <w:rPr>
                <w:rFonts w:eastAsia="Times New Roman" w:cs="Times New Roman"/>
                <w:sz w:val="24"/>
                <w:szCs w:val="24"/>
              </w:rPr>
              <w:tab/>
              <w:t>препаратов</w:t>
            </w:r>
          </w:p>
          <w:p w14:paraId="6ED6784A" w14:textId="77777777" w:rsidR="00946949" w:rsidRPr="00946949" w:rsidRDefault="00946949" w:rsidP="00946949">
            <w:pPr>
              <w:spacing w:after="0"/>
              <w:jc w:val="both"/>
              <w:rPr>
                <w:rFonts w:eastAsia="Times New Roman" w:cs="Times New Roman"/>
                <w:sz w:val="24"/>
                <w:szCs w:val="24"/>
              </w:rPr>
            </w:pPr>
            <w:r w:rsidRPr="00946949">
              <w:rPr>
                <w:rFonts w:eastAsia="Times New Roman" w:cs="Times New Roman"/>
                <w:sz w:val="24"/>
                <w:szCs w:val="24"/>
              </w:rPr>
              <w:t>зависящих от Р-ГП или</w:t>
            </w:r>
          </w:p>
          <w:p w14:paraId="34D19430" w14:textId="77777777" w:rsidR="00946949" w:rsidRPr="00946949" w:rsidRDefault="00946949" w:rsidP="00946949">
            <w:pPr>
              <w:spacing w:after="0"/>
              <w:jc w:val="both"/>
              <w:rPr>
                <w:rFonts w:eastAsia="Times New Roman" w:cs="Times New Roman"/>
                <w:sz w:val="24"/>
                <w:szCs w:val="24"/>
              </w:rPr>
            </w:pPr>
            <w:r w:rsidRPr="00946949">
              <w:rPr>
                <w:rFonts w:eastAsia="Times New Roman" w:cs="Times New Roman"/>
                <w:sz w:val="24"/>
                <w:szCs w:val="24"/>
                <w:lang w:val="en-US"/>
              </w:rPr>
              <w:t xml:space="preserve">CYP3A4 </w:t>
            </w:r>
            <w:r w:rsidRPr="00946949">
              <w:rPr>
                <w:rFonts w:eastAsia="Times New Roman" w:cs="Times New Roman"/>
                <w:sz w:val="24"/>
                <w:szCs w:val="24"/>
              </w:rPr>
              <w:t>(для эплеренона)</w:t>
            </w:r>
          </w:p>
        </w:tc>
      </w:tr>
      <w:tr w:rsidR="00946949" w:rsidRPr="00946949" w14:paraId="6BAC23BE" w14:textId="77777777">
        <w:trPr>
          <w:trHeight w:val="2506"/>
        </w:trPr>
        <w:tc>
          <w:tcPr>
            <w:tcW w:w="1915" w:type="dxa"/>
            <w:tcBorders>
              <w:top w:val="single" w:sz="4" w:space="0" w:color="auto"/>
              <w:left w:val="single" w:sz="4" w:space="0" w:color="auto"/>
              <w:bottom w:val="single" w:sz="4" w:space="0" w:color="auto"/>
              <w:right w:val="nil"/>
            </w:tcBorders>
          </w:tcPr>
          <w:p w14:paraId="0765C467" w14:textId="77777777" w:rsidR="00946949" w:rsidRPr="00946949" w:rsidRDefault="00946949" w:rsidP="00946949">
            <w:pPr>
              <w:spacing w:after="0"/>
              <w:jc w:val="both"/>
              <w:rPr>
                <w:rFonts w:eastAsia="Times New Roman" w:cs="Times New Roman"/>
                <w:sz w:val="24"/>
                <w:szCs w:val="24"/>
              </w:rPr>
            </w:pPr>
            <w:r w:rsidRPr="00946949">
              <w:rPr>
                <w:rFonts w:eastAsia="Times New Roman" w:cs="Times New Roman"/>
                <w:sz w:val="24"/>
                <w:szCs w:val="24"/>
              </w:rPr>
              <w:t>Агонисты имидазолиновых рецепторов.</w:t>
            </w:r>
          </w:p>
        </w:tc>
        <w:tc>
          <w:tcPr>
            <w:tcW w:w="3830" w:type="dxa"/>
            <w:tcBorders>
              <w:top w:val="single" w:sz="4" w:space="0" w:color="auto"/>
              <w:left w:val="single" w:sz="4" w:space="0" w:color="auto"/>
              <w:bottom w:val="single" w:sz="4" w:space="0" w:color="auto"/>
              <w:right w:val="nil"/>
            </w:tcBorders>
          </w:tcPr>
          <w:p w14:paraId="662C5E3C" w14:textId="77777777" w:rsidR="00946949" w:rsidRPr="00946949" w:rsidRDefault="00946949" w:rsidP="00946949">
            <w:pPr>
              <w:spacing w:after="0"/>
              <w:jc w:val="both"/>
              <w:rPr>
                <w:rFonts w:eastAsia="Times New Roman" w:cs="Times New Roman"/>
                <w:sz w:val="24"/>
                <w:szCs w:val="24"/>
              </w:rPr>
            </w:pPr>
            <w:r w:rsidRPr="00946949">
              <w:rPr>
                <w:rFonts w:eastAsia="Times New Roman" w:cs="Times New Roman"/>
                <w:sz w:val="24"/>
                <w:szCs w:val="24"/>
              </w:rPr>
              <w:t>вследствие отсутствия опыта применения, следует избегать приема у пациентов с сопутствующей</w:t>
            </w:r>
          </w:p>
          <w:p w14:paraId="4F281430" w14:textId="77777777" w:rsidR="00946949" w:rsidRPr="00946949" w:rsidRDefault="00946949" w:rsidP="00946949">
            <w:pPr>
              <w:spacing w:after="0"/>
              <w:jc w:val="both"/>
              <w:rPr>
                <w:rFonts w:eastAsia="Times New Roman" w:cs="Times New Roman"/>
                <w:sz w:val="24"/>
                <w:szCs w:val="24"/>
              </w:rPr>
            </w:pPr>
            <w:r w:rsidRPr="00946949">
              <w:rPr>
                <w:rFonts w:eastAsia="Times New Roman" w:cs="Times New Roman"/>
                <w:sz w:val="24"/>
                <w:szCs w:val="24"/>
              </w:rPr>
              <w:t>"перемежающейся" хромотой, болезнью Рейно, болезнью Паркинсона, эпилепсией, глаукомой и депрессией.</w:t>
            </w:r>
          </w:p>
        </w:tc>
        <w:tc>
          <w:tcPr>
            <w:tcW w:w="3062" w:type="dxa"/>
            <w:tcBorders>
              <w:top w:val="single" w:sz="4" w:space="0" w:color="auto"/>
              <w:left w:val="single" w:sz="4" w:space="0" w:color="auto"/>
              <w:bottom w:val="single" w:sz="4" w:space="0" w:color="auto"/>
              <w:right w:val="single" w:sz="4" w:space="0" w:color="auto"/>
            </w:tcBorders>
            <w:vAlign w:val="bottom"/>
          </w:tcPr>
          <w:p w14:paraId="4F9B60F5" w14:textId="77777777" w:rsidR="00946949" w:rsidRPr="00946949" w:rsidRDefault="00946949" w:rsidP="00946949">
            <w:pPr>
              <w:spacing w:after="0"/>
              <w:jc w:val="both"/>
              <w:rPr>
                <w:rFonts w:eastAsia="Times New Roman" w:cs="Times New Roman"/>
                <w:sz w:val="24"/>
                <w:szCs w:val="24"/>
              </w:rPr>
            </w:pPr>
            <w:r w:rsidRPr="00946949">
              <w:rPr>
                <w:rFonts w:eastAsia="Times New Roman" w:cs="Times New Roman"/>
                <w:sz w:val="24"/>
                <w:szCs w:val="24"/>
              </w:rPr>
              <w:t>выраженная</w:t>
            </w:r>
            <w:r w:rsidRPr="00946949">
              <w:rPr>
                <w:rFonts w:eastAsia="Times New Roman" w:cs="Times New Roman"/>
                <w:sz w:val="24"/>
                <w:szCs w:val="24"/>
              </w:rPr>
              <w:tab/>
              <w:t>брадикардия</w:t>
            </w:r>
          </w:p>
          <w:p w14:paraId="16E389F2" w14:textId="77777777" w:rsidR="00946949" w:rsidRPr="00946949" w:rsidRDefault="00946949" w:rsidP="00946949">
            <w:pPr>
              <w:spacing w:after="0"/>
              <w:jc w:val="both"/>
              <w:rPr>
                <w:rFonts w:eastAsia="Times New Roman" w:cs="Times New Roman"/>
                <w:sz w:val="24"/>
                <w:szCs w:val="24"/>
              </w:rPr>
            </w:pPr>
            <w:r w:rsidRPr="00946949">
              <w:rPr>
                <w:rFonts w:eastAsia="Times New Roman" w:cs="Times New Roman"/>
                <w:sz w:val="24"/>
                <w:szCs w:val="24"/>
              </w:rPr>
              <w:t>(ЧСС менее 50 уд.</w:t>
            </w:r>
            <w:r w:rsidR="0066255F">
              <w:rPr>
                <w:rFonts w:eastAsia="Times New Roman" w:cs="Times New Roman"/>
                <w:sz w:val="24"/>
                <w:szCs w:val="24"/>
              </w:rPr>
              <w:t xml:space="preserve"> </w:t>
            </w:r>
            <w:r w:rsidRPr="00946949">
              <w:rPr>
                <w:rFonts w:eastAsia="Times New Roman" w:cs="Times New Roman"/>
                <w:sz w:val="24"/>
                <w:szCs w:val="24"/>
              </w:rPr>
              <w:t>/мин.) или тяжелая брадиаритмия, включая синдром слабости синусового</w:t>
            </w:r>
            <w:r w:rsidRPr="00946949">
              <w:rPr>
                <w:rFonts w:eastAsia="Times New Roman" w:cs="Times New Roman"/>
                <w:sz w:val="24"/>
                <w:szCs w:val="24"/>
              </w:rPr>
              <w:tab/>
              <w:t>узла,</w:t>
            </w:r>
          </w:p>
          <w:p w14:paraId="322FD4D1" w14:textId="77777777" w:rsidR="00946949" w:rsidRPr="00946949" w:rsidRDefault="00946949" w:rsidP="00946949">
            <w:pPr>
              <w:spacing w:after="0"/>
              <w:jc w:val="both"/>
              <w:rPr>
                <w:rFonts w:eastAsia="Times New Roman" w:cs="Times New Roman"/>
                <w:sz w:val="24"/>
                <w:szCs w:val="24"/>
              </w:rPr>
            </w:pPr>
            <w:r w:rsidRPr="00946949">
              <w:rPr>
                <w:rFonts w:eastAsia="Times New Roman" w:cs="Times New Roman"/>
                <w:sz w:val="24"/>
                <w:szCs w:val="24"/>
              </w:rPr>
              <w:t xml:space="preserve">атриовентрикулярную блокаду </w:t>
            </w:r>
            <w:r w:rsidRPr="00946949">
              <w:rPr>
                <w:rFonts w:eastAsia="Times New Roman" w:cs="Times New Roman"/>
                <w:sz w:val="24"/>
                <w:szCs w:val="24"/>
                <w:lang w:val="en-US"/>
              </w:rPr>
              <w:t>II</w:t>
            </w:r>
            <w:r w:rsidRPr="00946949">
              <w:rPr>
                <w:rFonts w:eastAsia="Times New Roman" w:cs="Times New Roman"/>
                <w:sz w:val="24"/>
                <w:szCs w:val="24"/>
              </w:rPr>
              <w:t xml:space="preserve"> и </w:t>
            </w:r>
            <w:r w:rsidRPr="00946949">
              <w:rPr>
                <w:rFonts w:eastAsia="Times New Roman" w:cs="Times New Roman"/>
                <w:sz w:val="24"/>
                <w:szCs w:val="24"/>
                <w:lang w:val="en-US"/>
              </w:rPr>
              <w:t>III</w:t>
            </w:r>
            <w:r w:rsidRPr="00946949">
              <w:rPr>
                <w:rFonts w:eastAsia="Times New Roman" w:cs="Times New Roman"/>
                <w:sz w:val="24"/>
                <w:szCs w:val="24"/>
              </w:rPr>
              <w:t xml:space="preserve"> степени; гемодинамически</w:t>
            </w:r>
          </w:p>
          <w:p w14:paraId="70042FD6" w14:textId="77777777" w:rsidR="00946949" w:rsidRPr="00946949" w:rsidRDefault="00946949" w:rsidP="00946949">
            <w:pPr>
              <w:spacing w:after="0"/>
              <w:jc w:val="both"/>
              <w:rPr>
                <w:rFonts w:eastAsia="Times New Roman" w:cs="Times New Roman"/>
                <w:sz w:val="24"/>
                <w:szCs w:val="24"/>
              </w:rPr>
            </w:pPr>
            <w:r w:rsidRPr="00946949">
              <w:rPr>
                <w:rFonts w:eastAsia="Times New Roman" w:cs="Times New Roman"/>
                <w:sz w:val="24"/>
                <w:szCs w:val="24"/>
              </w:rPr>
              <w:t>значимые нарушения ритма</w:t>
            </w:r>
          </w:p>
        </w:tc>
      </w:tr>
      <w:tr w:rsidR="00946949" w:rsidRPr="00946949" w14:paraId="4E3E9122" w14:textId="77777777" w:rsidTr="00946949">
        <w:trPr>
          <w:trHeight w:val="2506"/>
        </w:trPr>
        <w:tc>
          <w:tcPr>
            <w:tcW w:w="1915" w:type="dxa"/>
            <w:tcBorders>
              <w:top w:val="single" w:sz="4" w:space="0" w:color="auto"/>
              <w:left w:val="single" w:sz="4" w:space="0" w:color="auto"/>
              <w:bottom w:val="single" w:sz="4" w:space="0" w:color="auto"/>
              <w:right w:val="nil"/>
            </w:tcBorders>
          </w:tcPr>
          <w:p w14:paraId="45E42BBB" w14:textId="77777777" w:rsidR="00946949" w:rsidRPr="00946949" w:rsidRDefault="00946949" w:rsidP="00946949">
            <w:pPr>
              <w:spacing w:after="0"/>
              <w:jc w:val="both"/>
              <w:rPr>
                <w:rFonts w:eastAsia="Times New Roman" w:cs="Times New Roman"/>
                <w:sz w:val="24"/>
                <w:szCs w:val="24"/>
              </w:rPr>
            </w:pPr>
          </w:p>
        </w:tc>
        <w:tc>
          <w:tcPr>
            <w:tcW w:w="3830" w:type="dxa"/>
            <w:tcBorders>
              <w:top w:val="single" w:sz="4" w:space="0" w:color="auto"/>
              <w:left w:val="single" w:sz="4" w:space="0" w:color="auto"/>
              <w:bottom w:val="single" w:sz="4" w:space="0" w:color="auto"/>
              <w:right w:val="nil"/>
            </w:tcBorders>
          </w:tcPr>
          <w:p w14:paraId="5D6E7A93" w14:textId="77777777" w:rsidR="00946949" w:rsidRPr="00946949" w:rsidRDefault="00946949" w:rsidP="00946949">
            <w:pPr>
              <w:spacing w:after="0"/>
              <w:jc w:val="both"/>
              <w:rPr>
                <w:rFonts w:eastAsia="Times New Roman" w:cs="Times New Roman"/>
                <w:sz w:val="24"/>
                <w:szCs w:val="24"/>
              </w:rPr>
            </w:pPr>
          </w:p>
        </w:tc>
        <w:tc>
          <w:tcPr>
            <w:tcW w:w="3062" w:type="dxa"/>
            <w:tcBorders>
              <w:top w:val="single" w:sz="4" w:space="0" w:color="auto"/>
              <w:left w:val="single" w:sz="4" w:space="0" w:color="auto"/>
              <w:bottom w:val="single" w:sz="4" w:space="0" w:color="auto"/>
              <w:right w:val="single" w:sz="4" w:space="0" w:color="auto"/>
            </w:tcBorders>
            <w:vAlign w:val="bottom"/>
          </w:tcPr>
          <w:p w14:paraId="72614AD7" w14:textId="77777777" w:rsidR="00946949" w:rsidRPr="00946949" w:rsidRDefault="00946949" w:rsidP="00946949">
            <w:pPr>
              <w:spacing w:after="0"/>
              <w:jc w:val="both"/>
              <w:rPr>
                <w:rFonts w:eastAsia="Times New Roman" w:cs="Times New Roman"/>
                <w:sz w:val="24"/>
                <w:szCs w:val="24"/>
              </w:rPr>
            </w:pPr>
            <w:r w:rsidRPr="00946949">
              <w:rPr>
                <w:rFonts w:eastAsia="Times New Roman" w:cs="Times New Roman"/>
                <w:sz w:val="24"/>
                <w:szCs w:val="24"/>
              </w:rPr>
              <w:t>сердца;</w:t>
            </w:r>
            <w:r w:rsidRPr="00946949">
              <w:rPr>
                <w:rFonts w:eastAsia="Times New Roman" w:cs="Times New Roman"/>
                <w:sz w:val="24"/>
                <w:szCs w:val="24"/>
              </w:rPr>
              <w:tab/>
              <w:t>острая</w:t>
            </w:r>
            <w:r w:rsidRPr="00946949">
              <w:rPr>
                <w:rFonts w:eastAsia="Times New Roman" w:cs="Times New Roman"/>
                <w:sz w:val="24"/>
                <w:szCs w:val="24"/>
              </w:rPr>
              <w:tab/>
              <w:t>и</w:t>
            </w:r>
          </w:p>
          <w:p w14:paraId="19811A76" w14:textId="77777777" w:rsidR="00946949" w:rsidRPr="00946949" w:rsidRDefault="00946949" w:rsidP="00946949">
            <w:pPr>
              <w:spacing w:after="0"/>
              <w:jc w:val="both"/>
              <w:rPr>
                <w:rFonts w:eastAsia="Times New Roman" w:cs="Times New Roman"/>
                <w:sz w:val="24"/>
                <w:szCs w:val="24"/>
              </w:rPr>
            </w:pPr>
            <w:r w:rsidRPr="00946949">
              <w:rPr>
                <w:rFonts w:eastAsia="Times New Roman" w:cs="Times New Roman"/>
                <w:sz w:val="24"/>
                <w:szCs w:val="24"/>
              </w:rPr>
              <w:t>хроническая СН; возраст до 18 и старше 75 лет; клиренс креатинина</w:t>
            </w:r>
            <w:r w:rsidRPr="00946949">
              <w:rPr>
                <w:rFonts w:eastAsia="Times New Roman" w:cs="Times New Roman"/>
                <w:sz w:val="24"/>
                <w:szCs w:val="24"/>
              </w:rPr>
              <w:tab/>
              <w:t>менее</w:t>
            </w:r>
          </w:p>
          <w:p w14:paraId="08E0DA31" w14:textId="77777777" w:rsidR="00946949" w:rsidRPr="00946949" w:rsidRDefault="00946949" w:rsidP="00946949">
            <w:pPr>
              <w:spacing w:after="0"/>
              <w:jc w:val="both"/>
              <w:rPr>
                <w:rFonts w:eastAsia="Times New Roman" w:cs="Times New Roman"/>
                <w:sz w:val="24"/>
                <w:szCs w:val="24"/>
              </w:rPr>
            </w:pPr>
            <w:r w:rsidRPr="00946949">
              <w:rPr>
                <w:rFonts w:eastAsia="Times New Roman" w:cs="Times New Roman"/>
                <w:sz w:val="24"/>
                <w:szCs w:val="24"/>
              </w:rPr>
              <w:t>30мл/мин и/или креатинин плазмы крови более 160 мкмоль/л;</w:t>
            </w:r>
            <w:r w:rsidRPr="00946949">
              <w:rPr>
                <w:rFonts w:eastAsia="Times New Roman" w:cs="Times New Roman"/>
                <w:sz w:val="24"/>
                <w:szCs w:val="24"/>
              </w:rPr>
              <w:tab/>
              <w:t>-</w:t>
            </w:r>
            <w:r w:rsidRPr="00946949">
              <w:rPr>
                <w:rFonts w:eastAsia="Times New Roman" w:cs="Times New Roman"/>
                <w:sz w:val="24"/>
                <w:szCs w:val="24"/>
              </w:rPr>
              <w:tab/>
              <w:t>дефицит</w:t>
            </w:r>
          </w:p>
          <w:p w14:paraId="351F3B8E" w14:textId="77777777" w:rsidR="00946949" w:rsidRPr="00946949" w:rsidRDefault="00946949" w:rsidP="00946949">
            <w:pPr>
              <w:spacing w:after="0"/>
              <w:jc w:val="both"/>
              <w:rPr>
                <w:rFonts w:eastAsia="Times New Roman" w:cs="Times New Roman"/>
                <w:sz w:val="24"/>
                <w:szCs w:val="24"/>
              </w:rPr>
            </w:pPr>
            <w:r w:rsidRPr="00946949">
              <w:rPr>
                <w:rFonts w:eastAsia="Times New Roman" w:cs="Times New Roman"/>
                <w:sz w:val="24"/>
                <w:szCs w:val="24"/>
              </w:rPr>
              <w:t>лактазы, непереносимость лактозы,</w:t>
            </w:r>
            <w:r w:rsidRPr="00946949">
              <w:rPr>
                <w:rFonts w:eastAsia="Times New Roman" w:cs="Times New Roman"/>
                <w:sz w:val="24"/>
                <w:szCs w:val="24"/>
              </w:rPr>
              <w:tab/>
              <w:t>глюкозо-</w:t>
            </w:r>
          </w:p>
          <w:p w14:paraId="0A3C8171" w14:textId="77777777" w:rsidR="00946949" w:rsidRPr="00946949" w:rsidRDefault="00946949" w:rsidP="00946949">
            <w:pPr>
              <w:spacing w:after="0"/>
              <w:jc w:val="both"/>
              <w:rPr>
                <w:rFonts w:eastAsia="Times New Roman" w:cs="Times New Roman"/>
                <w:sz w:val="24"/>
                <w:szCs w:val="24"/>
              </w:rPr>
            </w:pPr>
            <w:r w:rsidRPr="00946949">
              <w:rPr>
                <w:rFonts w:eastAsia="Times New Roman" w:cs="Times New Roman"/>
                <w:sz w:val="24"/>
                <w:szCs w:val="24"/>
              </w:rPr>
              <w:t>галактозная мальабсорбция;</w:t>
            </w:r>
            <w:r w:rsidR="0066255F">
              <w:rPr>
                <w:rFonts w:eastAsia="Times New Roman" w:cs="Times New Roman"/>
                <w:sz w:val="24"/>
                <w:szCs w:val="24"/>
              </w:rPr>
              <w:t xml:space="preserve"> </w:t>
            </w:r>
            <w:r w:rsidRPr="00946949">
              <w:rPr>
                <w:rFonts w:eastAsia="Times New Roman" w:cs="Times New Roman"/>
                <w:sz w:val="24"/>
                <w:szCs w:val="24"/>
              </w:rPr>
              <w:t>прием</w:t>
            </w:r>
            <w:r w:rsidR="0066255F">
              <w:rPr>
                <w:rFonts w:eastAsia="Times New Roman" w:cs="Times New Roman"/>
                <w:sz w:val="24"/>
                <w:szCs w:val="24"/>
              </w:rPr>
              <w:t xml:space="preserve"> </w:t>
            </w:r>
            <w:r w:rsidRPr="00946949">
              <w:rPr>
                <w:rFonts w:eastAsia="Times New Roman" w:cs="Times New Roman"/>
                <w:sz w:val="24"/>
                <w:szCs w:val="24"/>
              </w:rPr>
              <w:t>трициклических антидепрессантов;</w:t>
            </w:r>
          </w:p>
        </w:tc>
      </w:tr>
      <w:tr w:rsidR="00946949" w:rsidRPr="00946949" w14:paraId="0A59A917" w14:textId="77777777" w:rsidTr="00946949">
        <w:trPr>
          <w:trHeight w:val="2506"/>
        </w:trPr>
        <w:tc>
          <w:tcPr>
            <w:tcW w:w="1915" w:type="dxa"/>
            <w:tcBorders>
              <w:top w:val="single" w:sz="4" w:space="0" w:color="auto"/>
              <w:left w:val="single" w:sz="4" w:space="0" w:color="auto"/>
              <w:bottom w:val="single" w:sz="4" w:space="0" w:color="auto"/>
              <w:right w:val="nil"/>
            </w:tcBorders>
          </w:tcPr>
          <w:p w14:paraId="5152B153" w14:textId="77777777" w:rsidR="00946949" w:rsidRPr="00946949" w:rsidRDefault="00946949" w:rsidP="0066255F">
            <w:pPr>
              <w:spacing w:after="0"/>
              <w:jc w:val="both"/>
              <w:rPr>
                <w:rFonts w:eastAsia="Times New Roman" w:cs="Times New Roman"/>
                <w:sz w:val="24"/>
                <w:szCs w:val="24"/>
              </w:rPr>
            </w:pPr>
            <w:r w:rsidRPr="00946949">
              <w:rPr>
                <w:rFonts w:eastAsia="Times New Roman" w:cs="Times New Roman"/>
                <w:sz w:val="24"/>
                <w:szCs w:val="24"/>
              </w:rPr>
              <w:lastRenderedPageBreak/>
              <w:t>Бета- адреноблокаторы</w:t>
            </w:r>
          </w:p>
        </w:tc>
        <w:tc>
          <w:tcPr>
            <w:tcW w:w="3830" w:type="dxa"/>
            <w:tcBorders>
              <w:top w:val="single" w:sz="4" w:space="0" w:color="auto"/>
              <w:left w:val="single" w:sz="4" w:space="0" w:color="auto"/>
              <w:bottom w:val="single" w:sz="4" w:space="0" w:color="auto"/>
              <w:right w:val="nil"/>
            </w:tcBorders>
          </w:tcPr>
          <w:p w14:paraId="6C698D2C" w14:textId="77777777" w:rsidR="00946949" w:rsidRPr="00946949" w:rsidRDefault="00946949" w:rsidP="0066255F">
            <w:pPr>
              <w:spacing w:after="0"/>
              <w:jc w:val="both"/>
              <w:rPr>
                <w:rFonts w:eastAsia="Times New Roman" w:cs="Times New Roman"/>
                <w:sz w:val="24"/>
                <w:szCs w:val="24"/>
              </w:rPr>
            </w:pPr>
            <w:r w:rsidRPr="00946949">
              <w:rPr>
                <w:rFonts w:eastAsia="Times New Roman" w:cs="Times New Roman"/>
                <w:sz w:val="24"/>
                <w:szCs w:val="24"/>
              </w:rPr>
              <w:t>Тяжелая бронхиальная астма</w:t>
            </w:r>
          </w:p>
          <w:p w14:paraId="2859D0E4" w14:textId="77777777" w:rsidR="00946949" w:rsidRPr="00946949" w:rsidRDefault="00946949" w:rsidP="0066255F">
            <w:pPr>
              <w:spacing w:after="0"/>
              <w:jc w:val="both"/>
              <w:rPr>
                <w:rFonts w:eastAsia="Times New Roman" w:cs="Times New Roman"/>
                <w:sz w:val="24"/>
                <w:szCs w:val="24"/>
              </w:rPr>
            </w:pPr>
            <w:r w:rsidRPr="00946949">
              <w:rPr>
                <w:rFonts w:eastAsia="Times New Roman" w:cs="Times New Roman"/>
                <w:sz w:val="24"/>
                <w:szCs w:val="24"/>
              </w:rPr>
              <w:t>Синоатриальная</w:t>
            </w:r>
            <w:r w:rsidRPr="00946949">
              <w:rPr>
                <w:rFonts w:eastAsia="Times New Roman" w:cs="Times New Roman"/>
                <w:sz w:val="24"/>
                <w:szCs w:val="24"/>
              </w:rPr>
              <w:tab/>
              <w:t>или</w:t>
            </w:r>
          </w:p>
          <w:p w14:paraId="18AF70B4" w14:textId="77777777" w:rsidR="00946949" w:rsidRPr="00946949" w:rsidRDefault="00946949" w:rsidP="0066255F">
            <w:pPr>
              <w:spacing w:after="0"/>
              <w:jc w:val="both"/>
              <w:rPr>
                <w:rFonts w:eastAsia="Times New Roman" w:cs="Times New Roman"/>
                <w:sz w:val="24"/>
                <w:szCs w:val="24"/>
              </w:rPr>
            </w:pPr>
            <w:r w:rsidRPr="00946949">
              <w:rPr>
                <w:rFonts w:eastAsia="Times New Roman" w:cs="Times New Roman"/>
                <w:sz w:val="24"/>
                <w:szCs w:val="24"/>
              </w:rPr>
              <w:t>атриовентрикулярная блокада 2–3- й степени</w:t>
            </w:r>
          </w:p>
          <w:p w14:paraId="1D8373DF" w14:textId="77777777" w:rsidR="00946949" w:rsidRPr="00946949" w:rsidRDefault="00946949" w:rsidP="0066255F">
            <w:pPr>
              <w:spacing w:after="0"/>
              <w:jc w:val="both"/>
              <w:rPr>
                <w:rFonts w:eastAsia="Times New Roman" w:cs="Times New Roman"/>
                <w:sz w:val="24"/>
                <w:szCs w:val="24"/>
              </w:rPr>
            </w:pPr>
            <w:r w:rsidRPr="00946949">
              <w:rPr>
                <w:rFonts w:eastAsia="Times New Roman" w:cs="Times New Roman"/>
                <w:sz w:val="24"/>
                <w:szCs w:val="24"/>
              </w:rPr>
              <w:t>Брадикардия (ЧСС &lt;60 в минуту)</w:t>
            </w:r>
          </w:p>
        </w:tc>
        <w:tc>
          <w:tcPr>
            <w:tcW w:w="3062" w:type="dxa"/>
            <w:tcBorders>
              <w:top w:val="single" w:sz="4" w:space="0" w:color="auto"/>
              <w:left w:val="single" w:sz="4" w:space="0" w:color="auto"/>
              <w:bottom w:val="single" w:sz="4" w:space="0" w:color="auto"/>
              <w:right w:val="single" w:sz="4" w:space="0" w:color="auto"/>
            </w:tcBorders>
            <w:vAlign w:val="bottom"/>
          </w:tcPr>
          <w:p w14:paraId="5700FA9E" w14:textId="77777777" w:rsidR="00946949" w:rsidRPr="00946949" w:rsidRDefault="00946949" w:rsidP="0066255F">
            <w:pPr>
              <w:spacing w:after="0"/>
              <w:jc w:val="both"/>
              <w:rPr>
                <w:rFonts w:eastAsia="Times New Roman" w:cs="Times New Roman"/>
                <w:sz w:val="24"/>
                <w:szCs w:val="24"/>
              </w:rPr>
            </w:pPr>
            <w:r w:rsidRPr="00946949">
              <w:rPr>
                <w:rFonts w:eastAsia="Times New Roman" w:cs="Times New Roman"/>
                <w:sz w:val="24"/>
                <w:szCs w:val="24"/>
              </w:rPr>
              <w:t>Бронхиальная астма Метаболический синдром Нарушение толерантности к глюкозе</w:t>
            </w:r>
          </w:p>
          <w:p w14:paraId="5B9B599C" w14:textId="77777777" w:rsidR="00946949" w:rsidRDefault="00946949" w:rsidP="0066255F">
            <w:pPr>
              <w:spacing w:after="0"/>
              <w:jc w:val="both"/>
              <w:rPr>
                <w:rFonts w:eastAsia="Times New Roman" w:cs="Times New Roman"/>
                <w:sz w:val="24"/>
                <w:szCs w:val="24"/>
              </w:rPr>
            </w:pPr>
            <w:r w:rsidRPr="00946949">
              <w:rPr>
                <w:rFonts w:eastAsia="Times New Roman" w:cs="Times New Roman"/>
                <w:sz w:val="24"/>
                <w:szCs w:val="24"/>
              </w:rPr>
              <w:t>Спортсмены и физически активные лица</w:t>
            </w:r>
          </w:p>
          <w:p w14:paraId="71C9AA2F" w14:textId="77777777" w:rsidR="00946949" w:rsidRDefault="00946949" w:rsidP="0066255F">
            <w:pPr>
              <w:spacing w:after="0"/>
              <w:jc w:val="both"/>
              <w:rPr>
                <w:rFonts w:eastAsia="Times New Roman" w:cs="Times New Roman"/>
                <w:sz w:val="24"/>
                <w:szCs w:val="24"/>
              </w:rPr>
            </w:pPr>
          </w:p>
          <w:p w14:paraId="6092B838" w14:textId="77777777" w:rsidR="00946949" w:rsidRDefault="00946949" w:rsidP="0066255F">
            <w:pPr>
              <w:spacing w:after="0"/>
              <w:jc w:val="both"/>
              <w:rPr>
                <w:rFonts w:eastAsia="Times New Roman" w:cs="Times New Roman"/>
                <w:sz w:val="24"/>
                <w:szCs w:val="24"/>
              </w:rPr>
            </w:pPr>
          </w:p>
          <w:p w14:paraId="77B232F4" w14:textId="77777777" w:rsidR="0066255F" w:rsidRPr="00946949" w:rsidRDefault="0066255F" w:rsidP="0066255F">
            <w:pPr>
              <w:spacing w:after="0"/>
              <w:jc w:val="both"/>
              <w:rPr>
                <w:rFonts w:eastAsia="Times New Roman" w:cs="Times New Roman"/>
                <w:sz w:val="24"/>
                <w:szCs w:val="24"/>
              </w:rPr>
            </w:pPr>
          </w:p>
        </w:tc>
      </w:tr>
      <w:tr w:rsidR="00946949" w:rsidRPr="00946949" w14:paraId="62BA1016" w14:textId="77777777" w:rsidTr="00946949">
        <w:trPr>
          <w:trHeight w:val="2506"/>
        </w:trPr>
        <w:tc>
          <w:tcPr>
            <w:tcW w:w="1915" w:type="dxa"/>
            <w:tcBorders>
              <w:top w:val="single" w:sz="4" w:space="0" w:color="auto"/>
              <w:left w:val="single" w:sz="4" w:space="0" w:color="auto"/>
              <w:bottom w:val="single" w:sz="4" w:space="0" w:color="auto"/>
              <w:right w:val="nil"/>
            </w:tcBorders>
          </w:tcPr>
          <w:p w14:paraId="2CB880F1" w14:textId="77777777" w:rsidR="00946949" w:rsidRPr="00946949" w:rsidRDefault="00946949" w:rsidP="0066255F">
            <w:pPr>
              <w:spacing w:after="0"/>
              <w:jc w:val="both"/>
              <w:rPr>
                <w:rFonts w:eastAsia="Times New Roman" w:cs="Times New Roman"/>
                <w:sz w:val="24"/>
                <w:szCs w:val="24"/>
              </w:rPr>
            </w:pPr>
            <w:r w:rsidRPr="00946949">
              <w:rPr>
                <w:rFonts w:eastAsia="Times New Roman" w:cs="Times New Roman"/>
                <w:sz w:val="24"/>
                <w:szCs w:val="24"/>
              </w:rPr>
              <w:t>Антагонисты кальция (производные дигидропириди на)</w:t>
            </w:r>
            <w:r w:rsidRPr="00946949">
              <w:rPr>
                <w:rFonts w:eastAsia="Times New Roman" w:cs="Times New Roman"/>
                <w:sz w:val="24"/>
                <w:szCs w:val="24"/>
              </w:rPr>
              <w:tab/>
              <w:t>(АТХ</w:t>
            </w:r>
          </w:p>
          <w:p w14:paraId="3D37701F" w14:textId="77777777" w:rsidR="00946949" w:rsidRPr="00946949" w:rsidRDefault="00946949" w:rsidP="0066255F">
            <w:pPr>
              <w:spacing w:after="0"/>
              <w:jc w:val="both"/>
              <w:rPr>
                <w:rFonts w:eastAsia="Times New Roman" w:cs="Times New Roman"/>
                <w:sz w:val="24"/>
                <w:szCs w:val="24"/>
              </w:rPr>
            </w:pPr>
            <w:r w:rsidRPr="00946949">
              <w:rPr>
                <w:rFonts w:eastAsia="Times New Roman" w:cs="Times New Roman"/>
                <w:sz w:val="24"/>
                <w:szCs w:val="24"/>
              </w:rPr>
              <w:t>«Селективные блокаторы кальциевых каналов</w:t>
            </w:r>
            <w:r w:rsidRPr="00946949">
              <w:rPr>
                <w:rFonts w:eastAsia="Times New Roman" w:cs="Times New Roman"/>
                <w:sz w:val="24"/>
                <w:szCs w:val="24"/>
              </w:rPr>
              <w:tab/>
              <w:t>с</w:t>
            </w:r>
          </w:p>
          <w:p w14:paraId="12D5358C" w14:textId="77777777" w:rsidR="00946949" w:rsidRPr="00946949" w:rsidRDefault="00946949" w:rsidP="0066255F">
            <w:pPr>
              <w:spacing w:after="0"/>
              <w:jc w:val="both"/>
              <w:rPr>
                <w:rFonts w:eastAsia="Times New Roman" w:cs="Times New Roman"/>
                <w:sz w:val="24"/>
                <w:szCs w:val="24"/>
              </w:rPr>
            </w:pPr>
            <w:r w:rsidRPr="00946949">
              <w:rPr>
                <w:rFonts w:eastAsia="Times New Roman" w:cs="Times New Roman"/>
                <w:sz w:val="24"/>
                <w:szCs w:val="24"/>
              </w:rPr>
              <w:t>преимуществен ным действием на сосуды»)</w:t>
            </w:r>
          </w:p>
        </w:tc>
        <w:tc>
          <w:tcPr>
            <w:tcW w:w="3830" w:type="dxa"/>
            <w:tcBorders>
              <w:top w:val="single" w:sz="4" w:space="0" w:color="auto"/>
              <w:left w:val="single" w:sz="4" w:space="0" w:color="auto"/>
              <w:bottom w:val="single" w:sz="4" w:space="0" w:color="auto"/>
              <w:right w:val="nil"/>
            </w:tcBorders>
          </w:tcPr>
          <w:p w14:paraId="1873FEFF" w14:textId="77777777" w:rsidR="00946949" w:rsidRPr="00946949" w:rsidRDefault="00946949" w:rsidP="0066255F">
            <w:pPr>
              <w:spacing w:after="0"/>
              <w:jc w:val="both"/>
              <w:rPr>
                <w:rFonts w:eastAsia="Times New Roman" w:cs="Times New Roman"/>
                <w:sz w:val="24"/>
                <w:szCs w:val="24"/>
              </w:rPr>
            </w:pPr>
          </w:p>
        </w:tc>
        <w:tc>
          <w:tcPr>
            <w:tcW w:w="3062" w:type="dxa"/>
            <w:tcBorders>
              <w:top w:val="single" w:sz="4" w:space="0" w:color="auto"/>
              <w:left w:val="single" w:sz="4" w:space="0" w:color="auto"/>
              <w:bottom w:val="single" w:sz="4" w:space="0" w:color="auto"/>
              <w:right w:val="single" w:sz="4" w:space="0" w:color="auto"/>
            </w:tcBorders>
            <w:vAlign w:val="bottom"/>
          </w:tcPr>
          <w:p w14:paraId="350A4CE3" w14:textId="77777777" w:rsidR="00946949" w:rsidRPr="00946949" w:rsidRDefault="00946949" w:rsidP="0066255F">
            <w:pPr>
              <w:spacing w:after="0"/>
              <w:jc w:val="both"/>
              <w:rPr>
                <w:rFonts w:eastAsia="Times New Roman" w:cs="Times New Roman"/>
                <w:sz w:val="24"/>
                <w:szCs w:val="24"/>
              </w:rPr>
            </w:pPr>
            <w:r w:rsidRPr="00946949">
              <w:rPr>
                <w:rFonts w:eastAsia="Times New Roman" w:cs="Times New Roman"/>
                <w:sz w:val="24"/>
                <w:szCs w:val="24"/>
              </w:rPr>
              <w:t>Тахиаритмии</w:t>
            </w:r>
          </w:p>
          <w:p w14:paraId="6734688B" w14:textId="77777777" w:rsidR="00946949" w:rsidRPr="00946949" w:rsidRDefault="00946949" w:rsidP="0066255F">
            <w:pPr>
              <w:spacing w:after="0"/>
              <w:jc w:val="both"/>
              <w:rPr>
                <w:rFonts w:eastAsia="Times New Roman" w:cs="Times New Roman"/>
                <w:sz w:val="24"/>
                <w:szCs w:val="24"/>
              </w:rPr>
            </w:pPr>
            <w:r w:rsidRPr="00946949">
              <w:rPr>
                <w:rFonts w:eastAsia="Times New Roman" w:cs="Times New Roman"/>
                <w:sz w:val="24"/>
                <w:szCs w:val="24"/>
              </w:rPr>
              <w:t>Сердечная недостаточность (с низкой ФВ, ФК III–IV) Ранее</w:t>
            </w:r>
            <w:r w:rsidRPr="00946949">
              <w:rPr>
                <w:rFonts w:eastAsia="Times New Roman" w:cs="Times New Roman"/>
                <w:sz w:val="24"/>
                <w:szCs w:val="24"/>
              </w:rPr>
              <w:tab/>
              <w:t>существующие</w:t>
            </w:r>
          </w:p>
          <w:p w14:paraId="609B92A8" w14:textId="77777777" w:rsidR="00946949" w:rsidRDefault="00946949" w:rsidP="0066255F">
            <w:pPr>
              <w:spacing w:after="0"/>
              <w:jc w:val="both"/>
              <w:rPr>
                <w:rFonts w:eastAsia="Times New Roman" w:cs="Times New Roman"/>
                <w:sz w:val="24"/>
                <w:szCs w:val="24"/>
              </w:rPr>
            </w:pPr>
            <w:r w:rsidRPr="00946949">
              <w:rPr>
                <w:rFonts w:eastAsia="Times New Roman" w:cs="Times New Roman"/>
                <w:sz w:val="24"/>
                <w:szCs w:val="24"/>
              </w:rPr>
              <w:t>выраженные отеки н/к</w:t>
            </w:r>
          </w:p>
          <w:p w14:paraId="4B562207" w14:textId="77777777" w:rsidR="00946949" w:rsidRDefault="00946949" w:rsidP="0066255F">
            <w:pPr>
              <w:spacing w:after="0"/>
              <w:jc w:val="both"/>
              <w:rPr>
                <w:rFonts w:eastAsia="Times New Roman" w:cs="Times New Roman"/>
                <w:sz w:val="24"/>
                <w:szCs w:val="24"/>
              </w:rPr>
            </w:pPr>
          </w:p>
          <w:p w14:paraId="42644F11" w14:textId="77777777" w:rsidR="00946949" w:rsidRDefault="00946949" w:rsidP="0066255F">
            <w:pPr>
              <w:spacing w:after="0"/>
              <w:jc w:val="both"/>
              <w:rPr>
                <w:rFonts w:eastAsia="Times New Roman" w:cs="Times New Roman"/>
                <w:sz w:val="24"/>
                <w:szCs w:val="24"/>
              </w:rPr>
            </w:pPr>
          </w:p>
          <w:p w14:paraId="1D3A27EE" w14:textId="77777777" w:rsidR="00946949" w:rsidRDefault="00946949" w:rsidP="0066255F">
            <w:pPr>
              <w:spacing w:after="0"/>
              <w:jc w:val="both"/>
              <w:rPr>
                <w:rFonts w:eastAsia="Times New Roman" w:cs="Times New Roman"/>
                <w:sz w:val="24"/>
                <w:szCs w:val="24"/>
              </w:rPr>
            </w:pPr>
          </w:p>
          <w:p w14:paraId="5B1A8663" w14:textId="77777777" w:rsidR="00946949" w:rsidRDefault="00946949" w:rsidP="0066255F">
            <w:pPr>
              <w:spacing w:after="0"/>
              <w:jc w:val="both"/>
              <w:rPr>
                <w:rFonts w:eastAsia="Times New Roman" w:cs="Times New Roman"/>
                <w:sz w:val="24"/>
                <w:szCs w:val="24"/>
              </w:rPr>
            </w:pPr>
          </w:p>
          <w:p w14:paraId="23A27542" w14:textId="77777777" w:rsidR="00946949" w:rsidRDefault="00946949" w:rsidP="0066255F">
            <w:pPr>
              <w:spacing w:after="0"/>
              <w:jc w:val="both"/>
              <w:rPr>
                <w:rFonts w:eastAsia="Times New Roman" w:cs="Times New Roman"/>
                <w:sz w:val="24"/>
                <w:szCs w:val="24"/>
              </w:rPr>
            </w:pPr>
          </w:p>
          <w:p w14:paraId="2A793108" w14:textId="77777777" w:rsidR="00946949" w:rsidRDefault="00946949" w:rsidP="0066255F">
            <w:pPr>
              <w:spacing w:after="0"/>
              <w:jc w:val="both"/>
              <w:rPr>
                <w:rFonts w:eastAsia="Times New Roman" w:cs="Times New Roman"/>
                <w:sz w:val="24"/>
                <w:szCs w:val="24"/>
              </w:rPr>
            </w:pPr>
          </w:p>
          <w:p w14:paraId="065AC166" w14:textId="77777777" w:rsidR="00946949" w:rsidRPr="00946949" w:rsidRDefault="00946949" w:rsidP="0066255F">
            <w:pPr>
              <w:spacing w:after="0"/>
              <w:jc w:val="both"/>
              <w:rPr>
                <w:rFonts w:eastAsia="Times New Roman" w:cs="Times New Roman"/>
                <w:sz w:val="24"/>
                <w:szCs w:val="24"/>
              </w:rPr>
            </w:pPr>
          </w:p>
        </w:tc>
      </w:tr>
      <w:tr w:rsidR="00946949" w:rsidRPr="00946949" w14:paraId="5F77F91A" w14:textId="77777777" w:rsidTr="00946949">
        <w:trPr>
          <w:trHeight w:val="2506"/>
        </w:trPr>
        <w:tc>
          <w:tcPr>
            <w:tcW w:w="1915" w:type="dxa"/>
            <w:tcBorders>
              <w:top w:val="single" w:sz="4" w:space="0" w:color="auto"/>
              <w:left w:val="single" w:sz="4" w:space="0" w:color="auto"/>
              <w:bottom w:val="single" w:sz="4" w:space="0" w:color="auto"/>
              <w:right w:val="nil"/>
            </w:tcBorders>
          </w:tcPr>
          <w:p w14:paraId="17081860" w14:textId="77777777" w:rsidR="00946949" w:rsidRPr="00946949" w:rsidRDefault="00946949" w:rsidP="0066255F">
            <w:pPr>
              <w:spacing w:after="0"/>
              <w:jc w:val="both"/>
              <w:rPr>
                <w:rFonts w:eastAsia="Times New Roman" w:cs="Times New Roman"/>
                <w:sz w:val="24"/>
                <w:szCs w:val="24"/>
              </w:rPr>
            </w:pPr>
            <w:r w:rsidRPr="00946949">
              <w:rPr>
                <w:rFonts w:eastAsia="Times New Roman" w:cs="Times New Roman"/>
                <w:sz w:val="24"/>
                <w:szCs w:val="24"/>
              </w:rPr>
              <w:t>Антагонисты кальция (верапамил**, дилтиазем)</w:t>
            </w:r>
          </w:p>
        </w:tc>
        <w:tc>
          <w:tcPr>
            <w:tcW w:w="3830" w:type="dxa"/>
            <w:tcBorders>
              <w:top w:val="single" w:sz="4" w:space="0" w:color="auto"/>
              <w:left w:val="single" w:sz="4" w:space="0" w:color="auto"/>
              <w:bottom w:val="single" w:sz="4" w:space="0" w:color="auto"/>
              <w:right w:val="nil"/>
            </w:tcBorders>
          </w:tcPr>
          <w:p w14:paraId="2C9BE26F" w14:textId="77777777" w:rsidR="00946949" w:rsidRPr="00946949" w:rsidRDefault="00946949" w:rsidP="0066255F">
            <w:pPr>
              <w:spacing w:after="0"/>
              <w:jc w:val="both"/>
              <w:rPr>
                <w:rFonts w:eastAsia="Times New Roman" w:cs="Times New Roman"/>
                <w:sz w:val="24"/>
                <w:szCs w:val="24"/>
              </w:rPr>
            </w:pPr>
            <w:r w:rsidRPr="00946949">
              <w:rPr>
                <w:rFonts w:eastAsia="Times New Roman" w:cs="Times New Roman"/>
                <w:sz w:val="24"/>
                <w:szCs w:val="24"/>
              </w:rPr>
              <w:t>Синоатриальная</w:t>
            </w:r>
            <w:r w:rsidRPr="00946949">
              <w:rPr>
                <w:rFonts w:eastAsia="Times New Roman" w:cs="Times New Roman"/>
                <w:sz w:val="24"/>
                <w:szCs w:val="24"/>
              </w:rPr>
              <w:tab/>
              <w:t>или</w:t>
            </w:r>
          </w:p>
          <w:p w14:paraId="734A81B4" w14:textId="77777777" w:rsidR="00946949" w:rsidRPr="00946949" w:rsidRDefault="00946949" w:rsidP="0066255F">
            <w:pPr>
              <w:spacing w:after="0"/>
              <w:jc w:val="both"/>
              <w:rPr>
                <w:rFonts w:eastAsia="Times New Roman" w:cs="Times New Roman"/>
                <w:sz w:val="24"/>
                <w:szCs w:val="24"/>
              </w:rPr>
            </w:pPr>
            <w:r w:rsidRPr="00946949">
              <w:rPr>
                <w:rFonts w:eastAsia="Times New Roman" w:cs="Times New Roman"/>
                <w:sz w:val="24"/>
                <w:szCs w:val="24"/>
              </w:rPr>
              <w:t>атриовентрикулярная</w:t>
            </w:r>
            <w:r w:rsidRPr="00946949">
              <w:rPr>
                <w:rFonts w:eastAsia="Times New Roman" w:cs="Times New Roman"/>
                <w:sz w:val="24"/>
                <w:szCs w:val="24"/>
              </w:rPr>
              <w:tab/>
              <w:t>блокада</w:t>
            </w:r>
          </w:p>
          <w:p w14:paraId="0C5EDE3D" w14:textId="77777777" w:rsidR="00946949" w:rsidRPr="00946949" w:rsidRDefault="00946949" w:rsidP="0066255F">
            <w:pPr>
              <w:spacing w:after="0"/>
              <w:jc w:val="both"/>
              <w:rPr>
                <w:rFonts w:eastAsia="Times New Roman" w:cs="Times New Roman"/>
                <w:sz w:val="24"/>
                <w:szCs w:val="24"/>
              </w:rPr>
            </w:pPr>
            <w:r w:rsidRPr="00946949">
              <w:rPr>
                <w:rFonts w:eastAsia="Times New Roman" w:cs="Times New Roman"/>
                <w:sz w:val="24"/>
                <w:szCs w:val="24"/>
              </w:rPr>
              <w:t>высокой степени</w:t>
            </w:r>
          </w:p>
          <w:p w14:paraId="2E8089C7" w14:textId="77777777" w:rsidR="00946949" w:rsidRPr="00946949" w:rsidRDefault="00946949" w:rsidP="0066255F">
            <w:pPr>
              <w:spacing w:after="0"/>
              <w:jc w:val="both"/>
              <w:rPr>
                <w:rFonts w:eastAsia="Times New Roman" w:cs="Times New Roman"/>
                <w:sz w:val="24"/>
                <w:szCs w:val="24"/>
              </w:rPr>
            </w:pPr>
            <w:r w:rsidRPr="00946949">
              <w:rPr>
                <w:rFonts w:eastAsia="Times New Roman" w:cs="Times New Roman"/>
                <w:sz w:val="24"/>
                <w:szCs w:val="24"/>
              </w:rPr>
              <w:t>Выраженная дисфункция ЛЖ (ФВ</w:t>
            </w:r>
          </w:p>
          <w:p w14:paraId="143252F0" w14:textId="77777777" w:rsidR="00946949" w:rsidRPr="00946949" w:rsidRDefault="00946949" w:rsidP="0066255F">
            <w:pPr>
              <w:spacing w:after="0"/>
              <w:jc w:val="both"/>
              <w:rPr>
                <w:rFonts w:eastAsia="Times New Roman" w:cs="Times New Roman"/>
                <w:sz w:val="24"/>
                <w:szCs w:val="24"/>
              </w:rPr>
            </w:pPr>
            <w:r w:rsidRPr="00946949">
              <w:rPr>
                <w:rFonts w:eastAsia="Times New Roman" w:cs="Times New Roman"/>
                <w:sz w:val="24"/>
                <w:szCs w:val="24"/>
              </w:rPr>
              <w:t>ЛЖ &lt;40%)</w:t>
            </w:r>
          </w:p>
          <w:p w14:paraId="69A48B24" w14:textId="77777777" w:rsidR="00946949" w:rsidRPr="00946949" w:rsidRDefault="00946949" w:rsidP="0066255F">
            <w:pPr>
              <w:spacing w:after="0"/>
              <w:jc w:val="both"/>
              <w:rPr>
                <w:rFonts w:eastAsia="Times New Roman" w:cs="Times New Roman"/>
                <w:sz w:val="24"/>
                <w:szCs w:val="24"/>
              </w:rPr>
            </w:pPr>
            <w:r w:rsidRPr="00946949">
              <w:rPr>
                <w:rFonts w:eastAsia="Times New Roman" w:cs="Times New Roman"/>
                <w:sz w:val="24"/>
                <w:szCs w:val="24"/>
              </w:rPr>
              <w:t>Брадикардия (ЧСС &lt;60 в минуту)</w:t>
            </w:r>
          </w:p>
          <w:p w14:paraId="687AC8A1" w14:textId="77777777" w:rsidR="00946949" w:rsidRPr="00946949" w:rsidRDefault="00946949" w:rsidP="0066255F">
            <w:pPr>
              <w:spacing w:after="0"/>
              <w:jc w:val="both"/>
              <w:rPr>
                <w:rFonts w:eastAsia="Times New Roman" w:cs="Times New Roman"/>
                <w:sz w:val="24"/>
                <w:szCs w:val="24"/>
              </w:rPr>
            </w:pPr>
            <w:r w:rsidRPr="00946949">
              <w:rPr>
                <w:rFonts w:eastAsia="Times New Roman" w:cs="Times New Roman"/>
                <w:sz w:val="24"/>
                <w:szCs w:val="24"/>
              </w:rPr>
              <w:t>Прием препаратов зависящих от гликопротеина Р или CYP3A4</w:t>
            </w:r>
          </w:p>
        </w:tc>
        <w:tc>
          <w:tcPr>
            <w:tcW w:w="3062" w:type="dxa"/>
            <w:tcBorders>
              <w:top w:val="single" w:sz="4" w:space="0" w:color="auto"/>
              <w:left w:val="single" w:sz="4" w:space="0" w:color="auto"/>
              <w:bottom w:val="single" w:sz="4" w:space="0" w:color="auto"/>
              <w:right w:val="single" w:sz="4" w:space="0" w:color="auto"/>
            </w:tcBorders>
            <w:vAlign w:val="bottom"/>
          </w:tcPr>
          <w:p w14:paraId="496FBF8D" w14:textId="77777777" w:rsidR="00946949" w:rsidRDefault="00946949" w:rsidP="0066255F">
            <w:pPr>
              <w:spacing w:after="0"/>
              <w:jc w:val="both"/>
              <w:rPr>
                <w:rFonts w:eastAsia="Times New Roman" w:cs="Times New Roman"/>
                <w:sz w:val="24"/>
                <w:szCs w:val="24"/>
              </w:rPr>
            </w:pPr>
            <w:r w:rsidRPr="00946949">
              <w:rPr>
                <w:rFonts w:eastAsia="Times New Roman" w:cs="Times New Roman"/>
                <w:sz w:val="24"/>
                <w:szCs w:val="24"/>
              </w:rPr>
              <w:t>Запоры</w:t>
            </w:r>
          </w:p>
          <w:p w14:paraId="5F144FC0" w14:textId="77777777" w:rsidR="0066255F" w:rsidRDefault="0066255F" w:rsidP="0066255F">
            <w:pPr>
              <w:spacing w:after="0"/>
              <w:jc w:val="both"/>
              <w:rPr>
                <w:rFonts w:eastAsia="Times New Roman" w:cs="Times New Roman"/>
                <w:sz w:val="24"/>
                <w:szCs w:val="24"/>
              </w:rPr>
            </w:pPr>
          </w:p>
          <w:p w14:paraId="29445630" w14:textId="77777777" w:rsidR="00946949" w:rsidRDefault="00946949" w:rsidP="0066255F">
            <w:pPr>
              <w:spacing w:after="0"/>
              <w:jc w:val="both"/>
              <w:rPr>
                <w:rFonts w:eastAsia="Times New Roman" w:cs="Times New Roman"/>
                <w:sz w:val="24"/>
                <w:szCs w:val="24"/>
              </w:rPr>
            </w:pPr>
          </w:p>
          <w:p w14:paraId="3DAB3652" w14:textId="77777777" w:rsidR="00946949" w:rsidRDefault="00946949" w:rsidP="0066255F">
            <w:pPr>
              <w:spacing w:after="0"/>
              <w:jc w:val="both"/>
              <w:rPr>
                <w:rFonts w:eastAsia="Times New Roman" w:cs="Times New Roman"/>
                <w:sz w:val="24"/>
                <w:szCs w:val="24"/>
              </w:rPr>
            </w:pPr>
          </w:p>
          <w:p w14:paraId="6C4FBB2F" w14:textId="77777777" w:rsidR="00946949" w:rsidRDefault="00946949" w:rsidP="0066255F">
            <w:pPr>
              <w:spacing w:after="0"/>
              <w:jc w:val="both"/>
              <w:rPr>
                <w:rFonts w:eastAsia="Times New Roman" w:cs="Times New Roman"/>
                <w:sz w:val="24"/>
                <w:szCs w:val="24"/>
              </w:rPr>
            </w:pPr>
          </w:p>
          <w:p w14:paraId="49CCDA48" w14:textId="77777777" w:rsidR="00946949" w:rsidRDefault="00946949" w:rsidP="0066255F">
            <w:pPr>
              <w:spacing w:after="0"/>
              <w:jc w:val="both"/>
              <w:rPr>
                <w:rFonts w:eastAsia="Times New Roman" w:cs="Times New Roman"/>
                <w:sz w:val="24"/>
                <w:szCs w:val="24"/>
              </w:rPr>
            </w:pPr>
          </w:p>
          <w:p w14:paraId="52DEDEB0" w14:textId="77777777" w:rsidR="00946949" w:rsidRDefault="00946949" w:rsidP="0066255F">
            <w:pPr>
              <w:spacing w:after="0"/>
              <w:jc w:val="both"/>
              <w:rPr>
                <w:rFonts w:eastAsia="Times New Roman" w:cs="Times New Roman"/>
                <w:sz w:val="24"/>
                <w:szCs w:val="24"/>
              </w:rPr>
            </w:pPr>
          </w:p>
          <w:p w14:paraId="4B11DA4E" w14:textId="77777777" w:rsidR="00946949" w:rsidRDefault="00946949" w:rsidP="0066255F">
            <w:pPr>
              <w:spacing w:after="0"/>
              <w:jc w:val="both"/>
              <w:rPr>
                <w:rFonts w:eastAsia="Times New Roman" w:cs="Times New Roman"/>
                <w:sz w:val="24"/>
                <w:szCs w:val="24"/>
              </w:rPr>
            </w:pPr>
          </w:p>
          <w:p w14:paraId="06F0D069" w14:textId="77777777" w:rsidR="00946949" w:rsidRPr="00946949" w:rsidRDefault="00946949" w:rsidP="0066255F">
            <w:pPr>
              <w:spacing w:after="0"/>
              <w:jc w:val="both"/>
              <w:rPr>
                <w:rFonts w:eastAsia="Times New Roman" w:cs="Times New Roman"/>
                <w:sz w:val="24"/>
                <w:szCs w:val="24"/>
              </w:rPr>
            </w:pPr>
          </w:p>
        </w:tc>
      </w:tr>
      <w:tr w:rsidR="00946949" w:rsidRPr="00946949" w14:paraId="7CD447B4" w14:textId="77777777" w:rsidTr="00946949">
        <w:trPr>
          <w:trHeight w:val="1591"/>
        </w:trPr>
        <w:tc>
          <w:tcPr>
            <w:tcW w:w="1915" w:type="dxa"/>
            <w:tcBorders>
              <w:top w:val="single" w:sz="4" w:space="0" w:color="auto"/>
              <w:left w:val="single" w:sz="4" w:space="0" w:color="auto"/>
              <w:bottom w:val="single" w:sz="4" w:space="0" w:color="auto"/>
              <w:right w:val="nil"/>
            </w:tcBorders>
          </w:tcPr>
          <w:p w14:paraId="189C33B0" w14:textId="77777777" w:rsidR="00946949" w:rsidRPr="00946949" w:rsidRDefault="00946949" w:rsidP="0066255F">
            <w:pPr>
              <w:spacing w:after="0"/>
              <w:jc w:val="both"/>
              <w:rPr>
                <w:rFonts w:eastAsia="Times New Roman" w:cs="Times New Roman"/>
                <w:sz w:val="24"/>
                <w:szCs w:val="24"/>
              </w:rPr>
            </w:pPr>
            <w:r w:rsidRPr="00946949">
              <w:rPr>
                <w:rFonts w:eastAsia="Times New Roman" w:cs="Times New Roman"/>
                <w:sz w:val="24"/>
                <w:szCs w:val="24"/>
              </w:rPr>
              <w:t>Ингибиторы АПФ</w:t>
            </w:r>
          </w:p>
        </w:tc>
        <w:tc>
          <w:tcPr>
            <w:tcW w:w="3830" w:type="dxa"/>
            <w:tcBorders>
              <w:top w:val="single" w:sz="4" w:space="0" w:color="auto"/>
              <w:left w:val="single" w:sz="4" w:space="0" w:color="auto"/>
              <w:bottom w:val="single" w:sz="4" w:space="0" w:color="auto"/>
              <w:right w:val="nil"/>
            </w:tcBorders>
          </w:tcPr>
          <w:p w14:paraId="3B77A73A" w14:textId="77777777" w:rsidR="00946949" w:rsidRPr="00946949" w:rsidRDefault="00946949" w:rsidP="0066255F">
            <w:pPr>
              <w:spacing w:after="0"/>
              <w:jc w:val="both"/>
              <w:rPr>
                <w:rFonts w:eastAsia="Times New Roman" w:cs="Times New Roman"/>
                <w:sz w:val="24"/>
                <w:szCs w:val="24"/>
              </w:rPr>
            </w:pPr>
            <w:r w:rsidRPr="00946949">
              <w:rPr>
                <w:rFonts w:eastAsia="Times New Roman" w:cs="Times New Roman"/>
                <w:sz w:val="24"/>
                <w:szCs w:val="24"/>
              </w:rPr>
              <w:t>Беременность</w:t>
            </w:r>
          </w:p>
          <w:p w14:paraId="78573010" w14:textId="77777777" w:rsidR="00946949" w:rsidRPr="00946949" w:rsidRDefault="00946949" w:rsidP="0066255F">
            <w:pPr>
              <w:spacing w:after="0"/>
              <w:jc w:val="both"/>
              <w:rPr>
                <w:rFonts w:eastAsia="Times New Roman" w:cs="Times New Roman"/>
                <w:sz w:val="24"/>
                <w:szCs w:val="24"/>
              </w:rPr>
            </w:pPr>
            <w:r w:rsidRPr="00946949">
              <w:rPr>
                <w:rFonts w:eastAsia="Times New Roman" w:cs="Times New Roman"/>
                <w:sz w:val="24"/>
                <w:szCs w:val="24"/>
              </w:rPr>
              <w:t>Ангионевротический</w:t>
            </w:r>
            <w:r w:rsidRPr="00946949">
              <w:rPr>
                <w:rFonts w:eastAsia="Times New Roman" w:cs="Times New Roman"/>
                <w:sz w:val="24"/>
                <w:szCs w:val="24"/>
              </w:rPr>
              <w:tab/>
              <w:t>отек</w:t>
            </w:r>
            <w:r w:rsidRPr="00946949">
              <w:rPr>
                <w:rFonts w:eastAsia="Times New Roman" w:cs="Times New Roman"/>
                <w:sz w:val="24"/>
                <w:szCs w:val="24"/>
              </w:rPr>
              <w:tab/>
              <w:t>в</w:t>
            </w:r>
          </w:p>
          <w:p w14:paraId="43DBC767" w14:textId="77777777" w:rsidR="00946949" w:rsidRPr="00946949" w:rsidRDefault="00946949" w:rsidP="0066255F">
            <w:pPr>
              <w:spacing w:after="0"/>
              <w:jc w:val="both"/>
              <w:rPr>
                <w:rFonts w:eastAsia="Times New Roman" w:cs="Times New Roman"/>
                <w:sz w:val="24"/>
                <w:szCs w:val="24"/>
              </w:rPr>
            </w:pPr>
            <w:r w:rsidRPr="00946949">
              <w:rPr>
                <w:rFonts w:eastAsia="Times New Roman" w:cs="Times New Roman"/>
                <w:sz w:val="24"/>
                <w:szCs w:val="24"/>
              </w:rPr>
              <w:t>анамнезе</w:t>
            </w:r>
          </w:p>
          <w:p w14:paraId="617DA257" w14:textId="77777777" w:rsidR="00946949" w:rsidRPr="00946949" w:rsidRDefault="00946949" w:rsidP="0066255F">
            <w:pPr>
              <w:spacing w:after="0"/>
              <w:jc w:val="both"/>
              <w:rPr>
                <w:rFonts w:eastAsia="Times New Roman" w:cs="Times New Roman"/>
                <w:sz w:val="24"/>
                <w:szCs w:val="24"/>
              </w:rPr>
            </w:pPr>
            <w:r w:rsidRPr="00946949">
              <w:rPr>
                <w:rFonts w:eastAsia="Times New Roman" w:cs="Times New Roman"/>
                <w:sz w:val="24"/>
                <w:szCs w:val="24"/>
              </w:rPr>
              <w:t>Гиперкалиемия (уровень калия</w:t>
            </w:r>
          </w:p>
          <w:p w14:paraId="2BC9E156" w14:textId="77777777" w:rsidR="00946949" w:rsidRPr="00946949" w:rsidRDefault="00946949" w:rsidP="0066255F">
            <w:pPr>
              <w:spacing w:after="0"/>
              <w:jc w:val="both"/>
              <w:rPr>
                <w:rFonts w:eastAsia="Times New Roman" w:cs="Times New Roman"/>
                <w:sz w:val="24"/>
                <w:szCs w:val="24"/>
              </w:rPr>
            </w:pPr>
            <w:r w:rsidRPr="00946949">
              <w:rPr>
                <w:rFonts w:eastAsia="Times New Roman" w:cs="Times New Roman"/>
                <w:sz w:val="24"/>
                <w:szCs w:val="24"/>
              </w:rPr>
              <w:t>&gt;5,5 ммоль/л)</w:t>
            </w:r>
          </w:p>
          <w:p w14:paraId="7AD67223" w14:textId="77777777" w:rsidR="00946949" w:rsidRPr="00946949" w:rsidRDefault="00946949" w:rsidP="0066255F">
            <w:pPr>
              <w:spacing w:after="0"/>
              <w:jc w:val="both"/>
              <w:rPr>
                <w:rFonts w:eastAsia="Times New Roman" w:cs="Times New Roman"/>
                <w:sz w:val="24"/>
                <w:szCs w:val="24"/>
              </w:rPr>
            </w:pPr>
            <w:r w:rsidRPr="00946949">
              <w:rPr>
                <w:rFonts w:eastAsia="Times New Roman" w:cs="Times New Roman"/>
                <w:sz w:val="24"/>
                <w:szCs w:val="24"/>
              </w:rPr>
              <w:t>Двусторонний стеноз почечных артерий</w:t>
            </w:r>
          </w:p>
        </w:tc>
        <w:tc>
          <w:tcPr>
            <w:tcW w:w="3062" w:type="dxa"/>
            <w:tcBorders>
              <w:top w:val="single" w:sz="4" w:space="0" w:color="auto"/>
              <w:left w:val="single" w:sz="4" w:space="0" w:color="auto"/>
              <w:bottom w:val="single" w:sz="4" w:space="0" w:color="auto"/>
              <w:right w:val="single" w:sz="4" w:space="0" w:color="auto"/>
            </w:tcBorders>
            <w:vAlign w:val="bottom"/>
          </w:tcPr>
          <w:p w14:paraId="0FE59703" w14:textId="77777777" w:rsidR="00946949" w:rsidRDefault="00946949" w:rsidP="0066255F">
            <w:pPr>
              <w:spacing w:after="0"/>
              <w:jc w:val="both"/>
              <w:rPr>
                <w:rFonts w:eastAsia="Times New Roman" w:cs="Times New Roman"/>
                <w:sz w:val="24"/>
                <w:szCs w:val="24"/>
              </w:rPr>
            </w:pPr>
            <w:r w:rsidRPr="00946949">
              <w:rPr>
                <w:rFonts w:eastAsia="Times New Roman" w:cs="Times New Roman"/>
                <w:sz w:val="24"/>
                <w:szCs w:val="24"/>
              </w:rPr>
              <w:t>Женщины детородного возраста, не получающие адекватную контрацепцию</w:t>
            </w:r>
          </w:p>
          <w:p w14:paraId="75DF0FF3" w14:textId="77777777" w:rsidR="00946949" w:rsidRDefault="00946949" w:rsidP="0066255F">
            <w:pPr>
              <w:spacing w:after="0"/>
              <w:jc w:val="both"/>
              <w:rPr>
                <w:rFonts w:eastAsia="Times New Roman" w:cs="Times New Roman"/>
                <w:sz w:val="24"/>
                <w:szCs w:val="24"/>
              </w:rPr>
            </w:pPr>
          </w:p>
          <w:p w14:paraId="0973D085" w14:textId="77777777" w:rsidR="00946949" w:rsidRDefault="00946949" w:rsidP="0066255F">
            <w:pPr>
              <w:spacing w:after="0"/>
              <w:jc w:val="both"/>
              <w:rPr>
                <w:rFonts w:eastAsia="Times New Roman" w:cs="Times New Roman"/>
                <w:sz w:val="24"/>
                <w:szCs w:val="24"/>
              </w:rPr>
            </w:pPr>
          </w:p>
          <w:p w14:paraId="3B133FE1" w14:textId="77777777" w:rsidR="00946949" w:rsidRDefault="00946949" w:rsidP="0066255F">
            <w:pPr>
              <w:spacing w:after="0"/>
              <w:jc w:val="both"/>
              <w:rPr>
                <w:rFonts w:eastAsia="Times New Roman" w:cs="Times New Roman"/>
                <w:sz w:val="24"/>
                <w:szCs w:val="24"/>
              </w:rPr>
            </w:pPr>
          </w:p>
          <w:p w14:paraId="6C86721A" w14:textId="77777777" w:rsidR="00946949" w:rsidRPr="00946949" w:rsidRDefault="00946949" w:rsidP="0066255F">
            <w:pPr>
              <w:spacing w:after="0"/>
              <w:jc w:val="both"/>
              <w:rPr>
                <w:rFonts w:eastAsia="Times New Roman" w:cs="Times New Roman"/>
                <w:sz w:val="24"/>
                <w:szCs w:val="24"/>
              </w:rPr>
            </w:pPr>
          </w:p>
        </w:tc>
      </w:tr>
      <w:tr w:rsidR="00946949" w:rsidRPr="00946949" w14:paraId="623F8990" w14:textId="77777777" w:rsidTr="00946949">
        <w:trPr>
          <w:trHeight w:val="904"/>
        </w:trPr>
        <w:tc>
          <w:tcPr>
            <w:tcW w:w="1915" w:type="dxa"/>
            <w:tcBorders>
              <w:top w:val="single" w:sz="4" w:space="0" w:color="auto"/>
              <w:left w:val="single" w:sz="4" w:space="0" w:color="auto"/>
              <w:bottom w:val="single" w:sz="4" w:space="0" w:color="auto"/>
              <w:right w:val="nil"/>
            </w:tcBorders>
          </w:tcPr>
          <w:p w14:paraId="76CFB2C2" w14:textId="77777777" w:rsidR="00946949" w:rsidRPr="00946949" w:rsidRDefault="00946949" w:rsidP="0066255F">
            <w:pPr>
              <w:spacing w:after="0"/>
              <w:jc w:val="both"/>
              <w:rPr>
                <w:rFonts w:eastAsia="Times New Roman" w:cs="Times New Roman"/>
                <w:sz w:val="24"/>
                <w:szCs w:val="24"/>
              </w:rPr>
            </w:pPr>
            <w:r w:rsidRPr="00946949">
              <w:rPr>
                <w:rFonts w:eastAsia="Times New Roman" w:cs="Times New Roman"/>
                <w:sz w:val="24"/>
                <w:szCs w:val="24"/>
              </w:rPr>
              <w:t>БРА</w:t>
            </w:r>
          </w:p>
        </w:tc>
        <w:tc>
          <w:tcPr>
            <w:tcW w:w="3830" w:type="dxa"/>
            <w:tcBorders>
              <w:top w:val="single" w:sz="4" w:space="0" w:color="auto"/>
              <w:left w:val="single" w:sz="4" w:space="0" w:color="auto"/>
              <w:bottom w:val="single" w:sz="4" w:space="0" w:color="auto"/>
              <w:right w:val="nil"/>
            </w:tcBorders>
          </w:tcPr>
          <w:p w14:paraId="1909ABBF" w14:textId="77777777" w:rsidR="00946949" w:rsidRPr="00946949" w:rsidRDefault="00946949" w:rsidP="0066255F">
            <w:pPr>
              <w:spacing w:after="0"/>
              <w:jc w:val="both"/>
              <w:rPr>
                <w:rFonts w:eastAsia="Times New Roman" w:cs="Times New Roman"/>
                <w:sz w:val="24"/>
                <w:szCs w:val="24"/>
              </w:rPr>
            </w:pPr>
            <w:r w:rsidRPr="00946949">
              <w:rPr>
                <w:rFonts w:eastAsia="Times New Roman" w:cs="Times New Roman"/>
                <w:sz w:val="24"/>
                <w:szCs w:val="24"/>
              </w:rPr>
              <w:t>Беременность</w:t>
            </w:r>
          </w:p>
          <w:p w14:paraId="230E8E30" w14:textId="77777777" w:rsidR="00946949" w:rsidRPr="00946949" w:rsidRDefault="00946949" w:rsidP="0066255F">
            <w:pPr>
              <w:spacing w:after="0"/>
              <w:jc w:val="both"/>
              <w:rPr>
                <w:rFonts w:eastAsia="Times New Roman" w:cs="Times New Roman"/>
                <w:sz w:val="24"/>
                <w:szCs w:val="24"/>
              </w:rPr>
            </w:pPr>
            <w:r w:rsidRPr="00946949">
              <w:rPr>
                <w:rFonts w:eastAsia="Times New Roman" w:cs="Times New Roman"/>
                <w:sz w:val="24"/>
                <w:szCs w:val="24"/>
              </w:rPr>
              <w:t>Гиперкалиемия (уровень калия</w:t>
            </w:r>
          </w:p>
          <w:p w14:paraId="00718C13" w14:textId="77777777" w:rsidR="00946949" w:rsidRPr="00946949" w:rsidRDefault="00946949" w:rsidP="0066255F">
            <w:pPr>
              <w:spacing w:after="0"/>
              <w:jc w:val="both"/>
              <w:rPr>
                <w:rFonts w:eastAsia="Times New Roman" w:cs="Times New Roman"/>
                <w:sz w:val="24"/>
                <w:szCs w:val="24"/>
              </w:rPr>
            </w:pPr>
            <w:r w:rsidRPr="00946949">
              <w:rPr>
                <w:rFonts w:eastAsia="Times New Roman" w:cs="Times New Roman"/>
                <w:sz w:val="24"/>
                <w:szCs w:val="24"/>
              </w:rPr>
              <w:t>&gt;5,5 ммоль/л)</w:t>
            </w:r>
          </w:p>
        </w:tc>
        <w:tc>
          <w:tcPr>
            <w:tcW w:w="3062" w:type="dxa"/>
            <w:tcBorders>
              <w:top w:val="single" w:sz="4" w:space="0" w:color="auto"/>
              <w:left w:val="single" w:sz="4" w:space="0" w:color="auto"/>
              <w:bottom w:val="single" w:sz="4" w:space="0" w:color="auto"/>
              <w:right w:val="single" w:sz="4" w:space="0" w:color="auto"/>
            </w:tcBorders>
            <w:vAlign w:val="bottom"/>
          </w:tcPr>
          <w:p w14:paraId="1F177711" w14:textId="77777777" w:rsidR="00946949" w:rsidRPr="00946949" w:rsidRDefault="00946949" w:rsidP="0066255F">
            <w:pPr>
              <w:spacing w:after="0"/>
              <w:jc w:val="both"/>
              <w:rPr>
                <w:rFonts w:eastAsia="Times New Roman" w:cs="Times New Roman"/>
                <w:sz w:val="24"/>
                <w:szCs w:val="24"/>
              </w:rPr>
            </w:pPr>
            <w:r w:rsidRPr="00946949">
              <w:rPr>
                <w:rFonts w:eastAsia="Times New Roman" w:cs="Times New Roman"/>
                <w:sz w:val="24"/>
                <w:szCs w:val="24"/>
              </w:rPr>
              <w:t>Женщины детородного возраста, не получающие адекватную контрацепцию</w:t>
            </w:r>
          </w:p>
        </w:tc>
      </w:tr>
    </w:tbl>
    <w:p w14:paraId="3A8D3C1B" w14:textId="77777777" w:rsidR="00973BB6" w:rsidRDefault="0066255F" w:rsidP="0066255F">
      <w:pPr>
        <w:spacing w:after="0" w:line="360" w:lineRule="auto"/>
        <w:jc w:val="both"/>
        <w:rPr>
          <w:rFonts w:eastAsia="Times New Roman" w:cs="Times New Roman"/>
          <w:b/>
          <w:bCs/>
          <w:sz w:val="24"/>
          <w:szCs w:val="24"/>
        </w:rPr>
      </w:pPr>
      <w:r>
        <w:rPr>
          <w:rFonts w:eastAsia="Times New Roman" w:cs="Times New Roman"/>
          <w:b/>
          <w:bCs/>
          <w:sz w:val="24"/>
          <w:szCs w:val="24"/>
        </w:rPr>
        <w:tab/>
      </w:r>
    </w:p>
    <w:p w14:paraId="7BC108D2" w14:textId="77777777" w:rsidR="008E4B86" w:rsidRDefault="008E4B86" w:rsidP="0066255F">
      <w:pPr>
        <w:spacing w:after="0" w:line="360" w:lineRule="auto"/>
        <w:jc w:val="both"/>
        <w:rPr>
          <w:rFonts w:eastAsia="Times New Roman" w:cs="Times New Roman"/>
          <w:b/>
          <w:bCs/>
          <w:sz w:val="24"/>
          <w:szCs w:val="24"/>
        </w:rPr>
      </w:pPr>
    </w:p>
    <w:p w14:paraId="02FAACF9" w14:textId="77777777" w:rsidR="001A12F4" w:rsidRDefault="001A12F4" w:rsidP="0066255F">
      <w:pPr>
        <w:spacing w:after="0" w:line="360" w:lineRule="auto"/>
        <w:jc w:val="both"/>
        <w:rPr>
          <w:rFonts w:eastAsia="Times New Roman" w:cs="Times New Roman"/>
          <w:b/>
          <w:bCs/>
          <w:sz w:val="24"/>
          <w:szCs w:val="24"/>
        </w:rPr>
      </w:pPr>
    </w:p>
    <w:p w14:paraId="25BD1870" w14:textId="77777777" w:rsidR="001A12F4" w:rsidRDefault="001A12F4" w:rsidP="0066255F">
      <w:pPr>
        <w:spacing w:after="0" w:line="360" w:lineRule="auto"/>
        <w:jc w:val="both"/>
        <w:rPr>
          <w:rFonts w:eastAsia="Times New Roman" w:cs="Times New Roman"/>
          <w:b/>
          <w:bCs/>
          <w:sz w:val="24"/>
          <w:szCs w:val="24"/>
        </w:rPr>
      </w:pPr>
    </w:p>
    <w:p w14:paraId="7D9F900B" w14:textId="77777777" w:rsidR="001A12F4" w:rsidRDefault="001A12F4" w:rsidP="0066255F">
      <w:pPr>
        <w:spacing w:after="0" w:line="360" w:lineRule="auto"/>
        <w:jc w:val="both"/>
        <w:rPr>
          <w:rFonts w:eastAsia="Times New Roman" w:cs="Times New Roman"/>
          <w:b/>
          <w:bCs/>
          <w:sz w:val="24"/>
          <w:szCs w:val="24"/>
        </w:rPr>
      </w:pPr>
    </w:p>
    <w:p w14:paraId="78167D23" w14:textId="77777777" w:rsidR="001A12F4" w:rsidRDefault="001A12F4" w:rsidP="0066255F">
      <w:pPr>
        <w:spacing w:after="0" w:line="360" w:lineRule="auto"/>
        <w:jc w:val="both"/>
        <w:rPr>
          <w:rFonts w:eastAsia="Times New Roman" w:cs="Times New Roman"/>
          <w:b/>
          <w:bCs/>
          <w:sz w:val="24"/>
          <w:szCs w:val="24"/>
        </w:rPr>
      </w:pPr>
    </w:p>
    <w:p w14:paraId="4DA22C5C" w14:textId="77777777" w:rsidR="001A12F4" w:rsidRDefault="001A12F4" w:rsidP="0066255F">
      <w:pPr>
        <w:spacing w:after="0" w:line="360" w:lineRule="auto"/>
        <w:jc w:val="both"/>
        <w:rPr>
          <w:rFonts w:eastAsia="Times New Roman" w:cs="Times New Roman"/>
          <w:b/>
          <w:bCs/>
          <w:sz w:val="24"/>
          <w:szCs w:val="24"/>
        </w:rPr>
      </w:pPr>
    </w:p>
    <w:p w14:paraId="06B63BAA" w14:textId="77777777" w:rsidR="00D403B6" w:rsidRDefault="0066255F" w:rsidP="00D403B6">
      <w:pPr>
        <w:spacing w:after="0" w:line="360" w:lineRule="auto"/>
        <w:jc w:val="right"/>
        <w:rPr>
          <w:rFonts w:eastAsia="Times New Roman" w:cs="Times New Roman"/>
          <w:b/>
          <w:bCs/>
          <w:sz w:val="24"/>
          <w:szCs w:val="24"/>
        </w:rPr>
      </w:pPr>
      <w:r w:rsidRPr="0066255F">
        <w:rPr>
          <w:rFonts w:eastAsia="Times New Roman" w:cs="Times New Roman"/>
          <w:b/>
          <w:bCs/>
          <w:sz w:val="24"/>
          <w:szCs w:val="24"/>
        </w:rPr>
        <w:lastRenderedPageBreak/>
        <w:t>Таблица П21/</w:t>
      </w:r>
      <w:r w:rsidR="00FB33EA">
        <w:rPr>
          <w:rFonts w:eastAsia="Times New Roman" w:cs="Times New Roman"/>
          <w:b/>
          <w:bCs/>
          <w:sz w:val="24"/>
          <w:szCs w:val="24"/>
        </w:rPr>
        <w:t>А2</w:t>
      </w:r>
      <w:r w:rsidRPr="0066255F">
        <w:rPr>
          <w:rFonts w:eastAsia="Times New Roman" w:cs="Times New Roman"/>
          <w:b/>
          <w:bCs/>
          <w:sz w:val="24"/>
          <w:szCs w:val="24"/>
        </w:rPr>
        <w:t xml:space="preserve">. </w:t>
      </w:r>
    </w:p>
    <w:p w14:paraId="377C69DC" w14:textId="0BB3AB10" w:rsidR="0066255F" w:rsidRDefault="0066255F" w:rsidP="0066255F">
      <w:pPr>
        <w:spacing w:after="0" w:line="360" w:lineRule="auto"/>
        <w:jc w:val="both"/>
        <w:rPr>
          <w:rFonts w:eastAsia="Times New Roman" w:cs="Times New Roman"/>
          <w:sz w:val="24"/>
          <w:szCs w:val="24"/>
        </w:rPr>
      </w:pPr>
      <w:r w:rsidRPr="0066255F">
        <w:rPr>
          <w:rFonts w:eastAsia="Times New Roman" w:cs="Times New Roman"/>
          <w:b/>
          <w:bCs/>
          <w:sz w:val="24"/>
          <w:szCs w:val="24"/>
        </w:rPr>
        <w:t>Алгоритм диспансерного наблюдения больных АГ с контролируемым артериальным давлением на фоне приема антигипертензивных лекарственных препаратов [</w:t>
      </w:r>
      <w:r w:rsidRPr="0066255F">
        <w:rPr>
          <w:rFonts w:eastAsia="Times New Roman" w:cs="Times New Roman"/>
          <w:sz w:val="24"/>
          <w:szCs w:val="24"/>
        </w:rPr>
        <w:t>292</w:t>
      </w:r>
      <w:r w:rsidRPr="0066255F">
        <w:rPr>
          <w:rFonts w:eastAsia="Times New Roman" w:cs="Times New Roman"/>
          <w:b/>
          <w:bCs/>
          <w:sz w:val="24"/>
          <w:szCs w:val="24"/>
        </w:rPr>
        <w:t>]</w:t>
      </w:r>
      <w:r w:rsidRPr="0066255F">
        <w:rPr>
          <w:rFonts w:eastAsia="Times New Roman" w:cs="Times New Roman"/>
          <w:sz w:val="24"/>
          <w:szCs w:val="24"/>
        </w:rPr>
        <w:t xml:space="preserve"> </w:t>
      </w:r>
    </w:p>
    <w:p w14:paraId="3AF5E348" w14:textId="77777777" w:rsidR="00973BB6" w:rsidRPr="0066255F" w:rsidRDefault="00973BB6" w:rsidP="0066255F">
      <w:pPr>
        <w:spacing w:after="0" w:line="360" w:lineRule="auto"/>
        <w:jc w:val="both"/>
        <w:rPr>
          <w:rFonts w:eastAsia="Times New Roman" w:cs="Times New Roman"/>
          <w:sz w:val="24"/>
          <w:szCs w:val="24"/>
        </w:rPr>
      </w:pPr>
    </w:p>
    <w:tbl>
      <w:tblPr>
        <w:tblW w:w="9360" w:type="dxa"/>
        <w:tblInd w:w="-5" w:type="dxa"/>
        <w:tblLayout w:type="fixed"/>
        <w:tblCellMar>
          <w:left w:w="0" w:type="dxa"/>
          <w:right w:w="0" w:type="dxa"/>
        </w:tblCellMar>
        <w:tblLook w:val="0000" w:firstRow="0" w:lastRow="0" w:firstColumn="0" w:lastColumn="0" w:noHBand="0" w:noVBand="0"/>
      </w:tblPr>
      <w:tblGrid>
        <w:gridCol w:w="1795"/>
        <w:gridCol w:w="2563"/>
        <w:gridCol w:w="5002"/>
      </w:tblGrid>
      <w:tr w:rsidR="0066255F" w:rsidRPr="0066255F" w14:paraId="7FF07CF4" w14:textId="77777777" w:rsidTr="0066255F">
        <w:trPr>
          <w:trHeight w:val="845"/>
        </w:trPr>
        <w:tc>
          <w:tcPr>
            <w:tcW w:w="1795" w:type="dxa"/>
            <w:tcBorders>
              <w:top w:val="single" w:sz="4" w:space="0" w:color="auto"/>
              <w:left w:val="single" w:sz="4" w:space="0" w:color="auto"/>
              <w:bottom w:val="nil"/>
              <w:right w:val="nil"/>
            </w:tcBorders>
          </w:tcPr>
          <w:p w14:paraId="061D0A24" w14:textId="77777777" w:rsidR="0066255F" w:rsidRPr="0066255F" w:rsidRDefault="0066255F" w:rsidP="0066255F">
            <w:pPr>
              <w:spacing w:after="0"/>
              <w:jc w:val="both"/>
              <w:rPr>
                <w:rFonts w:eastAsia="Times New Roman" w:cs="Times New Roman"/>
                <w:sz w:val="24"/>
                <w:szCs w:val="24"/>
              </w:rPr>
            </w:pPr>
            <w:r w:rsidRPr="0066255F">
              <w:rPr>
                <w:rFonts w:eastAsia="Times New Roman" w:cs="Times New Roman"/>
                <w:sz w:val="24"/>
                <w:szCs w:val="24"/>
              </w:rPr>
              <w:t>Заболевание, состояние</w:t>
            </w:r>
          </w:p>
        </w:tc>
        <w:tc>
          <w:tcPr>
            <w:tcW w:w="2563" w:type="dxa"/>
            <w:tcBorders>
              <w:top w:val="single" w:sz="4" w:space="0" w:color="auto"/>
              <w:left w:val="single" w:sz="4" w:space="0" w:color="auto"/>
              <w:bottom w:val="nil"/>
              <w:right w:val="nil"/>
            </w:tcBorders>
            <w:vAlign w:val="bottom"/>
          </w:tcPr>
          <w:p w14:paraId="231AB769" w14:textId="77777777" w:rsidR="0066255F" w:rsidRPr="0066255F" w:rsidRDefault="0066255F" w:rsidP="0066255F">
            <w:pPr>
              <w:spacing w:after="0"/>
              <w:jc w:val="both"/>
              <w:rPr>
                <w:rFonts w:eastAsia="Times New Roman" w:cs="Times New Roman"/>
                <w:sz w:val="24"/>
                <w:szCs w:val="24"/>
              </w:rPr>
            </w:pPr>
            <w:r w:rsidRPr="0066255F">
              <w:rPr>
                <w:rFonts w:eastAsia="Times New Roman" w:cs="Times New Roman"/>
                <w:sz w:val="24"/>
                <w:szCs w:val="24"/>
              </w:rPr>
              <w:t>Регулярность профилактических посещений</w:t>
            </w:r>
          </w:p>
        </w:tc>
        <w:tc>
          <w:tcPr>
            <w:tcW w:w="5002" w:type="dxa"/>
            <w:tcBorders>
              <w:top w:val="single" w:sz="4" w:space="0" w:color="auto"/>
              <w:left w:val="single" w:sz="4" w:space="0" w:color="auto"/>
              <w:bottom w:val="nil"/>
              <w:right w:val="single" w:sz="4" w:space="0" w:color="auto"/>
            </w:tcBorders>
            <w:vAlign w:val="bottom"/>
          </w:tcPr>
          <w:p w14:paraId="52FAF0B0" w14:textId="77777777" w:rsidR="0066255F" w:rsidRPr="0066255F" w:rsidRDefault="0066255F" w:rsidP="0066255F">
            <w:pPr>
              <w:spacing w:after="0"/>
              <w:jc w:val="both"/>
              <w:rPr>
                <w:rFonts w:eastAsia="Times New Roman" w:cs="Times New Roman"/>
                <w:sz w:val="24"/>
                <w:szCs w:val="24"/>
              </w:rPr>
            </w:pPr>
            <w:r w:rsidRPr="0066255F">
              <w:rPr>
                <w:rFonts w:eastAsia="Times New Roman" w:cs="Times New Roman"/>
                <w:sz w:val="24"/>
                <w:szCs w:val="24"/>
              </w:rPr>
              <w:t>Рекомендуемые вмешательства и методы исследования во время профилактических посещений</w:t>
            </w:r>
          </w:p>
        </w:tc>
      </w:tr>
      <w:tr w:rsidR="0066255F" w:rsidRPr="0066255F" w14:paraId="4535FC4F" w14:textId="77777777" w:rsidTr="0066255F">
        <w:trPr>
          <w:trHeight w:val="7469"/>
        </w:trPr>
        <w:tc>
          <w:tcPr>
            <w:tcW w:w="1795" w:type="dxa"/>
            <w:tcBorders>
              <w:top w:val="single" w:sz="4" w:space="0" w:color="auto"/>
              <w:left w:val="single" w:sz="4" w:space="0" w:color="auto"/>
              <w:bottom w:val="single" w:sz="4" w:space="0" w:color="auto"/>
              <w:right w:val="nil"/>
            </w:tcBorders>
          </w:tcPr>
          <w:p w14:paraId="47F6A7DB" w14:textId="77777777" w:rsidR="0066255F" w:rsidRPr="0066255F" w:rsidRDefault="0066255F" w:rsidP="0066255F">
            <w:pPr>
              <w:spacing w:after="0"/>
              <w:jc w:val="both"/>
              <w:rPr>
                <w:rFonts w:eastAsia="Times New Roman" w:cs="Times New Roman"/>
                <w:sz w:val="24"/>
                <w:szCs w:val="24"/>
              </w:rPr>
            </w:pPr>
            <w:r w:rsidRPr="0066255F">
              <w:rPr>
                <w:rFonts w:eastAsia="Times New Roman" w:cs="Times New Roman"/>
                <w:sz w:val="24"/>
                <w:szCs w:val="24"/>
              </w:rPr>
              <w:t>АГ без ПОМ, ССЗ, ЦВБ и ХБП</w:t>
            </w:r>
          </w:p>
        </w:tc>
        <w:tc>
          <w:tcPr>
            <w:tcW w:w="2563" w:type="dxa"/>
            <w:tcBorders>
              <w:top w:val="single" w:sz="4" w:space="0" w:color="auto"/>
              <w:left w:val="single" w:sz="4" w:space="0" w:color="auto"/>
              <w:bottom w:val="single" w:sz="4" w:space="0" w:color="auto"/>
              <w:right w:val="nil"/>
            </w:tcBorders>
          </w:tcPr>
          <w:p w14:paraId="5C926947" w14:textId="77777777" w:rsidR="0066255F" w:rsidRPr="0066255F" w:rsidRDefault="0066255F" w:rsidP="0066255F">
            <w:pPr>
              <w:spacing w:after="0"/>
              <w:jc w:val="both"/>
              <w:rPr>
                <w:rFonts w:eastAsia="Times New Roman" w:cs="Times New Roman"/>
                <w:sz w:val="24"/>
                <w:szCs w:val="24"/>
              </w:rPr>
            </w:pPr>
            <w:r w:rsidRPr="0066255F">
              <w:rPr>
                <w:rFonts w:eastAsia="Times New Roman" w:cs="Times New Roman"/>
                <w:sz w:val="24"/>
                <w:szCs w:val="24"/>
              </w:rPr>
              <w:t>Не менее 1 раза в год при контроле АД на уровне</w:t>
            </w:r>
            <w:r w:rsidRPr="0066255F">
              <w:rPr>
                <w:rFonts w:eastAsia="Times New Roman" w:cs="Times New Roman"/>
                <w:sz w:val="24"/>
                <w:szCs w:val="24"/>
              </w:rPr>
              <w:tab/>
              <w:t>целевых</w:t>
            </w:r>
          </w:p>
          <w:p w14:paraId="77DDB822" w14:textId="77777777" w:rsidR="0066255F" w:rsidRPr="0066255F" w:rsidRDefault="0066255F" w:rsidP="0066255F">
            <w:pPr>
              <w:spacing w:after="0"/>
              <w:jc w:val="both"/>
              <w:rPr>
                <w:rFonts w:eastAsia="Times New Roman" w:cs="Times New Roman"/>
                <w:sz w:val="24"/>
                <w:szCs w:val="24"/>
              </w:rPr>
            </w:pPr>
            <w:r w:rsidRPr="0066255F">
              <w:rPr>
                <w:rFonts w:eastAsia="Times New Roman" w:cs="Times New Roman"/>
                <w:sz w:val="24"/>
                <w:szCs w:val="24"/>
              </w:rPr>
              <w:t>значений.</w:t>
            </w:r>
            <w:r w:rsidRPr="0066255F">
              <w:rPr>
                <w:rFonts w:eastAsia="Times New Roman" w:cs="Times New Roman"/>
                <w:sz w:val="24"/>
                <w:szCs w:val="24"/>
              </w:rPr>
              <w:tab/>
              <w:t>При</w:t>
            </w:r>
          </w:p>
          <w:p w14:paraId="0FEDED69" w14:textId="77777777" w:rsidR="0066255F" w:rsidRPr="0066255F" w:rsidRDefault="0066255F" w:rsidP="0066255F">
            <w:pPr>
              <w:spacing w:after="0"/>
              <w:jc w:val="both"/>
              <w:rPr>
                <w:rFonts w:eastAsia="Times New Roman" w:cs="Times New Roman"/>
                <w:sz w:val="24"/>
                <w:szCs w:val="24"/>
              </w:rPr>
            </w:pPr>
            <w:r w:rsidRPr="0066255F">
              <w:rPr>
                <w:rFonts w:eastAsia="Times New Roman" w:cs="Times New Roman"/>
                <w:sz w:val="24"/>
                <w:szCs w:val="24"/>
              </w:rPr>
              <w:t>стабильном</w:t>
            </w:r>
            <w:r w:rsidRPr="0066255F">
              <w:rPr>
                <w:rFonts w:eastAsia="Times New Roman" w:cs="Times New Roman"/>
                <w:sz w:val="24"/>
                <w:szCs w:val="24"/>
              </w:rPr>
              <w:tab/>
              <w:t>течении</w:t>
            </w:r>
          </w:p>
          <w:p w14:paraId="35B98EC4" w14:textId="77777777" w:rsidR="0066255F" w:rsidRPr="0066255F" w:rsidRDefault="0066255F" w:rsidP="0066255F">
            <w:pPr>
              <w:spacing w:after="0"/>
              <w:jc w:val="both"/>
              <w:rPr>
                <w:rFonts w:eastAsia="Times New Roman" w:cs="Times New Roman"/>
                <w:sz w:val="24"/>
                <w:szCs w:val="24"/>
              </w:rPr>
            </w:pPr>
            <w:r w:rsidRPr="0066255F">
              <w:rPr>
                <w:rFonts w:eastAsia="Times New Roman" w:cs="Times New Roman"/>
                <w:sz w:val="24"/>
                <w:szCs w:val="24"/>
              </w:rPr>
              <w:t>возможно наблюдение в отделении/кабинете медицинской профилактики</w:t>
            </w:r>
          </w:p>
          <w:p w14:paraId="2AA6C2D5" w14:textId="77777777" w:rsidR="0066255F" w:rsidRPr="0066255F" w:rsidRDefault="0066255F" w:rsidP="0066255F">
            <w:pPr>
              <w:spacing w:after="0"/>
              <w:jc w:val="both"/>
              <w:rPr>
                <w:rFonts w:eastAsia="Times New Roman" w:cs="Times New Roman"/>
                <w:sz w:val="24"/>
                <w:szCs w:val="24"/>
              </w:rPr>
            </w:pPr>
            <w:r w:rsidRPr="0066255F">
              <w:rPr>
                <w:rFonts w:eastAsia="Times New Roman" w:cs="Times New Roman"/>
                <w:sz w:val="24"/>
                <w:szCs w:val="24"/>
              </w:rPr>
              <w:t xml:space="preserve">При резистентной АГ </w:t>
            </w:r>
            <w:r w:rsidRPr="0066255F">
              <w:rPr>
                <w:rFonts w:eastAsia="Times New Roman" w:cs="Times New Roman"/>
                <w:sz w:val="24"/>
                <w:szCs w:val="24"/>
                <w:lang w:val="en-US"/>
              </w:rPr>
              <w:t>I</w:t>
            </w:r>
            <w:r w:rsidRPr="0066255F">
              <w:rPr>
                <w:rFonts w:eastAsia="Times New Roman" w:cs="Times New Roman"/>
                <w:sz w:val="24"/>
                <w:szCs w:val="24"/>
              </w:rPr>
              <w:t>-</w:t>
            </w:r>
            <w:r w:rsidRPr="0066255F">
              <w:rPr>
                <w:rFonts w:eastAsia="Times New Roman" w:cs="Times New Roman"/>
                <w:sz w:val="24"/>
                <w:szCs w:val="24"/>
                <w:lang w:val="en-US"/>
              </w:rPr>
              <w:t>II</w:t>
            </w:r>
            <w:r w:rsidRPr="0066255F">
              <w:rPr>
                <w:rFonts w:eastAsia="Times New Roman" w:cs="Times New Roman"/>
                <w:sz w:val="24"/>
                <w:szCs w:val="24"/>
              </w:rPr>
              <w:tab/>
              <w:t>степени</w:t>
            </w:r>
          </w:p>
          <w:p w14:paraId="5A8D1FBF" w14:textId="77777777" w:rsidR="0066255F" w:rsidRPr="0066255F" w:rsidRDefault="0066255F" w:rsidP="0066255F">
            <w:pPr>
              <w:spacing w:after="0"/>
              <w:jc w:val="both"/>
              <w:rPr>
                <w:rFonts w:eastAsia="Times New Roman" w:cs="Times New Roman"/>
                <w:sz w:val="24"/>
                <w:szCs w:val="24"/>
              </w:rPr>
            </w:pPr>
            <w:r w:rsidRPr="0066255F">
              <w:rPr>
                <w:rFonts w:eastAsia="Times New Roman" w:cs="Times New Roman"/>
                <w:sz w:val="24"/>
                <w:szCs w:val="24"/>
              </w:rPr>
              <w:t>(медикаментозная коррекция)</w:t>
            </w:r>
            <w:r w:rsidRPr="0066255F">
              <w:rPr>
                <w:rFonts w:eastAsia="Times New Roman" w:cs="Times New Roman"/>
                <w:sz w:val="24"/>
                <w:szCs w:val="24"/>
              </w:rPr>
              <w:tab/>
              <w:t>пациент</w:t>
            </w:r>
          </w:p>
          <w:p w14:paraId="7307CF54" w14:textId="77777777" w:rsidR="0066255F" w:rsidRPr="0066255F" w:rsidRDefault="0066255F" w:rsidP="0066255F">
            <w:pPr>
              <w:spacing w:after="0"/>
              <w:jc w:val="both"/>
              <w:rPr>
                <w:rFonts w:eastAsia="Times New Roman" w:cs="Times New Roman"/>
                <w:sz w:val="24"/>
                <w:szCs w:val="24"/>
              </w:rPr>
            </w:pPr>
            <w:r w:rsidRPr="0066255F">
              <w:rPr>
                <w:rFonts w:eastAsia="Times New Roman" w:cs="Times New Roman"/>
                <w:sz w:val="24"/>
                <w:szCs w:val="24"/>
              </w:rPr>
              <w:t>наблюдается у врача- кардиолога;</w:t>
            </w:r>
            <w:r w:rsidRPr="0066255F">
              <w:rPr>
                <w:rFonts w:eastAsia="Times New Roman" w:cs="Times New Roman"/>
                <w:sz w:val="24"/>
                <w:szCs w:val="24"/>
              </w:rPr>
              <w:tab/>
              <w:t>при</w:t>
            </w:r>
          </w:p>
          <w:p w14:paraId="0DA9CDC4" w14:textId="77777777" w:rsidR="0066255F" w:rsidRPr="0066255F" w:rsidRDefault="0066255F" w:rsidP="0066255F">
            <w:pPr>
              <w:spacing w:after="0"/>
              <w:jc w:val="both"/>
              <w:rPr>
                <w:rFonts w:eastAsia="Times New Roman" w:cs="Times New Roman"/>
                <w:sz w:val="24"/>
                <w:szCs w:val="24"/>
              </w:rPr>
            </w:pPr>
            <w:r w:rsidRPr="0066255F">
              <w:rPr>
                <w:rFonts w:eastAsia="Times New Roman" w:cs="Times New Roman"/>
                <w:sz w:val="24"/>
                <w:szCs w:val="24"/>
              </w:rPr>
              <w:t>отсутствии возможности наблюдения у врача- кардиолога — у врача- терапевта/участкового врача.</w:t>
            </w:r>
          </w:p>
        </w:tc>
        <w:tc>
          <w:tcPr>
            <w:tcW w:w="5002" w:type="dxa"/>
            <w:tcBorders>
              <w:top w:val="single" w:sz="4" w:space="0" w:color="auto"/>
              <w:left w:val="single" w:sz="4" w:space="0" w:color="auto"/>
              <w:bottom w:val="single" w:sz="4" w:space="0" w:color="auto"/>
              <w:right w:val="single" w:sz="4" w:space="0" w:color="auto"/>
            </w:tcBorders>
            <w:vAlign w:val="bottom"/>
          </w:tcPr>
          <w:p w14:paraId="4647A29B" w14:textId="77777777" w:rsidR="0066255F" w:rsidRPr="0066255F" w:rsidRDefault="0066255F" w:rsidP="0066255F">
            <w:pPr>
              <w:spacing w:after="0"/>
              <w:jc w:val="both"/>
              <w:rPr>
                <w:rFonts w:eastAsia="Times New Roman" w:cs="Times New Roman"/>
                <w:sz w:val="24"/>
                <w:szCs w:val="24"/>
              </w:rPr>
            </w:pPr>
            <w:r w:rsidRPr="0066255F">
              <w:rPr>
                <w:rFonts w:eastAsia="Times New Roman" w:cs="Times New Roman"/>
                <w:sz w:val="24"/>
                <w:szCs w:val="24"/>
              </w:rPr>
              <w:t>- сбор жалоб и анамнеза, активный опрос на наличие, характер и выраженность боли в грудной клетке и одышки при физической нагрузке, эпизодов кратковременной слабости в конечностях, онемения половины лица или конечностей, об объеме диуреза — уточнение факта и характера приема АГП — уточнение факта приема гиполипидемических средств, антитромботических средств и гипогликемических препаратов, кроме инсулинов и их аналогов при наличии показаний — опрос и краткое консультирование по поводу курения, характера питания, физической активности — измерение АД на периферических артериях при каждом посещении — анализ данных ДМАД — общий осмотр и объективное обследование, включая пальпацию периферических сосудов и аускультацию подключичных, сонных, почечных и бедренных артерий, измерение индекса массы тела и окружности талии при каждом посещении — глюкоза плазмы крови натощак не реже 1 раза в год (допускается экспресс- метод) — общий холестерин не реже 1 раза в год (допускается экспресс-метод) — оценка суммарного сердечно-сосудистого риска по</w:t>
            </w:r>
          </w:p>
        </w:tc>
      </w:tr>
      <w:tr w:rsidR="0066255F" w:rsidRPr="0066255F" w14:paraId="1FA60727" w14:textId="77777777" w:rsidTr="0066255F">
        <w:trPr>
          <w:trHeight w:val="7469"/>
        </w:trPr>
        <w:tc>
          <w:tcPr>
            <w:tcW w:w="1795" w:type="dxa"/>
            <w:tcBorders>
              <w:top w:val="single" w:sz="4" w:space="0" w:color="auto"/>
              <w:left w:val="single" w:sz="4" w:space="0" w:color="auto"/>
              <w:bottom w:val="single" w:sz="4" w:space="0" w:color="auto"/>
              <w:right w:val="nil"/>
            </w:tcBorders>
          </w:tcPr>
          <w:p w14:paraId="431D4109" w14:textId="77777777" w:rsidR="0066255F" w:rsidRPr="0066255F" w:rsidRDefault="0066255F" w:rsidP="0066255F">
            <w:pPr>
              <w:spacing w:after="0"/>
              <w:jc w:val="both"/>
              <w:rPr>
                <w:rFonts w:eastAsia="Times New Roman" w:cs="Times New Roman"/>
                <w:sz w:val="24"/>
                <w:szCs w:val="24"/>
              </w:rPr>
            </w:pPr>
          </w:p>
        </w:tc>
        <w:tc>
          <w:tcPr>
            <w:tcW w:w="2563" w:type="dxa"/>
            <w:tcBorders>
              <w:top w:val="single" w:sz="4" w:space="0" w:color="auto"/>
              <w:left w:val="single" w:sz="4" w:space="0" w:color="auto"/>
              <w:bottom w:val="single" w:sz="4" w:space="0" w:color="auto"/>
              <w:right w:val="nil"/>
            </w:tcBorders>
          </w:tcPr>
          <w:p w14:paraId="5454C40B" w14:textId="77777777" w:rsidR="0066255F" w:rsidRPr="0066255F" w:rsidRDefault="0066255F" w:rsidP="0066255F">
            <w:pPr>
              <w:spacing w:after="0"/>
              <w:jc w:val="both"/>
              <w:rPr>
                <w:rFonts w:eastAsia="Times New Roman" w:cs="Times New Roman"/>
                <w:sz w:val="24"/>
                <w:szCs w:val="24"/>
              </w:rPr>
            </w:pPr>
          </w:p>
        </w:tc>
        <w:tc>
          <w:tcPr>
            <w:tcW w:w="5002" w:type="dxa"/>
            <w:tcBorders>
              <w:top w:val="single" w:sz="4" w:space="0" w:color="auto"/>
              <w:left w:val="single" w:sz="4" w:space="0" w:color="auto"/>
              <w:bottom w:val="single" w:sz="4" w:space="0" w:color="auto"/>
              <w:right w:val="single" w:sz="4" w:space="0" w:color="auto"/>
            </w:tcBorders>
            <w:vAlign w:val="bottom"/>
          </w:tcPr>
          <w:p w14:paraId="52F1C8AA" w14:textId="77777777" w:rsidR="0066255F" w:rsidRPr="0066255F" w:rsidRDefault="0066255F" w:rsidP="0066255F">
            <w:pPr>
              <w:spacing w:after="0"/>
              <w:jc w:val="both"/>
              <w:rPr>
                <w:rFonts w:eastAsia="Times New Roman" w:cs="Times New Roman"/>
                <w:sz w:val="24"/>
                <w:szCs w:val="24"/>
              </w:rPr>
            </w:pPr>
            <w:r w:rsidRPr="0066255F">
              <w:rPr>
                <w:rFonts w:eastAsia="Times New Roman" w:cs="Times New Roman"/>
                <w:sz w:val="24"/>
                <w:szCs w:val="24"/>
              </w:rPr>
              <w:t>шкале SCORE-2 для лиц в возрасте 40-69 лет и SCORE-2-OP для лиц в возрасте ≥ 70 лет — холестерин липопротеидов низкой плотности, холестерин липопротеидов высокой плотности, триглицериды в сыворотке при взятии под диспансерное наблюдение, далее по показаниям, но не реже 1 раза в 2 года — калий и натрий сыворотки при взятии под диспансерное наблюдение, далее по показаниям, но не реже 1 раза в 2 года — креатинин сыворотки (с расчетом СКФ) при взятии под диспансерное наблюдение, далее по показаниям, но не реже 1 раза в 2 года — анализ мочи на микроальбуминурию при взятии под диспансерное наблюдение, далее по показаниям, но не реже 1 раза в 2 года</w:t>
            </w:r>
          </w:p>
          <w:p w14:paraId="20AC0677" w14:textId="77777777" w:rsidR="0066255F" w:rsidRPr="0066255F" w:rsidRDefault="0066255F" w:rsidP="00424F51">
            <w:pPr>
              <w:numPr>
                <w:ilvl w:val="0"/>
                <w:numId w:val="49"/>
              </w:numPr>
              <w:tabs>
                <w:tab w:val="left" w:pos="235"/>
              </w:tabs>
              <w:spacing w:after="0"/>
              <w:rPr>
                <w:rFonts w:eastAsia="Times New Roman" w:cs="Times New Roman"/>
                <w:sz w:val="24"/>
                <w:szCs w:val="24"/>
              </w:rPr>
            </w:pPr>
            <w:r w:rsidRPr="0066255F">
              <w:rPr>
                <w:rFonts w:eastAsia="Times New Roman" w:cs="Times New Roman"/>
                <w:sz w:val="24"/>
                <w:szCs w:val="24"/>
              </w:rPr>
              <w:t>ЭКГ в 12 отведениях с расчетом индекса Соколова-Лайона и Корнельского показателя не реже 1 раза в год</w:t>
            </w:r>
          </w:p>
          <w:p w14:paraId="0280BB81" w14:textId="77777777" w:rsidR="0066255F" w:rsidRPr="0066255F" w:rsidRDefault="0066255F" w:rsidP="00424F51">
            <w:pPr>
              <w:numPr>
                <w:ilvl w:val="0"/>
                <w:numId w:val="49"/>
              </w:numPr>
              <w:tabs>
                <w:tab w:val="left" w:pos="235"/>
              </w:tabs>
              <w:spacing w:after="0"/>
              <w:rPr>
                <w:rFonts w:eastAsia="Times New Roman" w:cs="Times New Roman"/>
                <w:sz w:val="24"/>
                <w:szCs w:val="24"/>
              </w:rPr>
            </w:pPr>
            <w:r w:rsidRPr="0066255F">
              <w:rPr>
                <w:rFonts w:eastAsia="Times New Roman" w:cs="Times New Roman"/>
                <w:sz w:val="24"/>
                <w:szCs w:val="24"/>
              </w:rPr>
              <w:t>ЭхоКГ с определением ИММЛЖ и диастолической функции при взятии под диспансерное наблюдение, в последующем по показаниям, но не менее 1 раза в 2 года при отсутствии достижения целевых значений АД и наличии признаков прогрессирования гипертрофии левого желудочка по данным расчета индекса Соколова–Лайона и Корнелльского показателя — дуплексное сканирование сонных артерий у мужчин старше 40 лет, женщин старше 50 лет при ИМТ&gt;30 кг/м2 и более и общем холестерине &gt;5 ммоль/л и более при взятии под диспансерное наблюдение, далее по показаниям, но не реже 1 раз в 3 года с целью определения ТИМ и наличия атеросклеротических бляшек* — измерение скорости пульсовой волны на каротидно</w:t>
            </w:r>
            <w:r w:rsidRPr="0066255F">
              <w:rPr>
                <w:rFonts w:eastAsia="Times New Roman" w:cs="Times New Roman"/>
                <w:sz w:val="24"/>
                <w:szCs w:val="24"/>
              </w:rPr>
              <w:softHyphen/>
              <w:t>феморальном участке артериального русла при взятии под диспансерное наблюдение, в последующем по показаниям, но не реже 1 раза в 3 года при отсутствии достижения целевых значений АД* — корректировка терапии (при необходимости) — объяснение пациенту и/или обеспечение его памяткой по алгоритму неотложных действий при жизнеугрожающем состоянии, вероятность развития которого у пациента наиболее высокая</w:t>
            </w:r>
          </w:p>
        </w:tc>
      </w:tr>
      <w:tr w:rsidR="0066255F" w:rsidRPr="0066255F" w14:paraId="64A24213" w14:textId="77777777" w:rsidTr="0066255F">
        <w:trPr>
          <w:trHeight w:val="7469"/>
        </w:trPr>
        <w:tc>
          <w:tcPr>
            <w:tcW w:w="1795" w:type="dxa"/>
            <w:tcBorders>
              <w:top w:val="single" w:sz="4" w:space="0" w:color="auto"/>
              <w:left w:val="single" w:sz="4" w:space="0" w:color="auto"/>
              <w:bottom w:val="single" w:sz="4" w:space="0" w:color="auto"/>
              <w:right w:val="nil"/>
            </w:tcBorders>
          </w:tcPr>
          <w:p w14:paraId="3F6D1AFE" w14:textId="77777777" w:rsidR="0066255F" w:rsidRPr="0066255F" w:rsidRDefault="0066255F" w:rsidP="0066255F">
            <w:pPr>
              <w:spacing w:after="0"/>
              <w:jc w:val="both"/>
              <w:rPr>
                <w:rFonts w:eastAsia="Times New Roman" w:cs="Times New Roman"/>
                <w:sz w:val="24"/>
                <w:szCs w:val="24"/>
              </w:rPr>
            </w:pPr>
            <w:r w:rsidRPr="0066255F">
              <w:rPr>
                <w:rFonts w:eastAsia="Times New Roman" w:cs="Times New Roman"/>
                <w:sz w:val="24"/>
                <w:szCs w:val="24"/>
              </w:rPr>
              <w:lastRenderedPageBreak/>
              <w:t>АГ с ПОМ, но без ССЗ, ЦВБ и ХБП</w:t>
            </w:r>
          </w:p>
        </w:tc>
        <w:tc>
          <w:tcPr>
            <w:tcW w:w="2563" w:type="dxa"/>
            <w:tcBorders>
              <w:top w:val="single" w:sz="4" w:space="0" w:color="auto"/>
              <w:left w:val="single" w:sz="4" w:space="0" w:color="auto"/>
              <w:bottom w:val="single" w:sz="4" w:space="0" w:color="auto"/>
              <w:right w:val="nil"/>
            </w:tcBorders>
          </w:tcPr>
          <w:p w14:paraId="57B1591D" w14:textId="77777777" w:rsidR="0066255F" w:rsidRPr="0066255F" w:rsidRDefault="0066255F" w:rsidP="0066255F">
            <w:pPr>
              <w:spacing w:after="0"/>
              <w:jc w:val="both"/>
              <w:rPr>
                <w:rFonts w:eastAsia="Times New Roman" w:cs="Times New Roman"/>
                <w:sz w:val="24"/>
                <w:szCs w:val="24"/>
              </w:rPr>
            </w:pPr>
            <w:r w:rsidRPr="0066255F">
              <w:rPr>
                <w:rFonts w:eastAsia="Times New Roman" w:cs="Times New Roman"/>
                <w:sz w:val="24"/>
                <w:szCs w:val="24"/>
              </w:rPr>
              <w:t>Не менее 2 раз в год</w:t>
            </w:r>
          </w:p>
        </w:tc>
        <w:tc>
          <w:tcPr>
            <w:tcW w:w="5002" w:type="dxa"/>
            <w:tcBorders>
              <w:top w:val="single" w:sz="4" w:space="0" w:color="auto"/>
              <w:left w:val="single" w:sz="4" w:space="0" w:color="auto"/>
              <w:bottom w:val="single" w:sz="4" w:space="0" w:color="auto"/>
              <w:right w:val="single" w:sz="4" w:space="0" w:color="auto"/>
            </w:tcBorders>
            <w:vAlign w:val="bottom"/>
          </w:tcPr>
          <w:p w14:paraId="49B49B61" w14:textId="77777777" w:rsidR="0066255F" w:rsidRPr="0066255F" w:rsidRDefault="0066255F" w:rsidP="00424F51">
            <w:pPr>
              <w:numPr>
                <w:ilvl w:val="0"/>
                <w:numId w:val="49"/>
              </w:numPr>
              <w:tabs>
                <w:tab w:val="left" w:pos="206"/>
              </w:tabs>
              <w:spacing w:after="0"/>
              <w:rPr>
                <w:rFonts w:eastAsia="Times New Roman" w:cs="Times New Roman"/>
                <w:sz w:val="24"/>
                <w:szCs w:val="24"/>
              </w:rPr>
            </w:pPr>
            <w:r w:rsidRPr="0066255F">
              <w:rPr>
                <w:rFonts w:eastAsia="Times New Roman" w:cs="Times New Roman"/>
                <w:sz w:val="24"/>
                <w:szCs w:val="24"/>
              </w:rPr>
              <w:t>сбор жалоб и анамнеза, активный опрос на наличие, характер и выраженность боли в грудной клетке и одышки при физической нагрузке, эпизодов кратковременной слабости в конечностях, онемения половины лица или конечностей, об объеме диуреза</w:t>
            </w:r>
          </w:p>
          <w:p w14:paraId="30B9BD05" w14:textId="77777777" w:rsidR="0066255F" w:rsidRPr="0066255F" w:rsidRDefault="0066255F" w:rsidP="00424F51">
            <w:pPr>
              <w:numPr>
                <w:ilvl w:val="0"/>
                <w:numId w:val="49"/>
              </w:numPr>
              <w:tabs>
                <w:tab w:val="left" w:pos="206"/>
              </w:tabs>
              <w:spacing w:after="0"/>
              <w:rPr>
                <w:rFonts w:eastAsia="Times New Roman" w:cs="Times New Roman"/>
                <w:sz w:val="24"/>
                <w:szCs w:val="24"/>
              </w:rPr>
            </w:pPr>
            <w:r w:rsidRPr="0066255F">
              <w:rPr>
                <w:rFonts w:eastAsia="Times New Roman" w:cs="Times New Roman"/>
                <w:sz w:val="24"/>
                <w:szCs w:val="24"/>
              </w:rPr>
              <w:t>уточнение факта и характера приема АГП</w:t>
            </w:r>
          </w:p>
          <w:p w14:paraId="6095280E" w14:textId="77777777" w:rsidR="0066255F" w:rsidRPr="0066255F" w:rsidRDefault="0066255F" w:rsidP="00424F51">
            <w:pPr>
              <w:numPr>
                <w:ilvl w:val="0"/>
                <w:numId w:val="49"/>
              </w:numPr>
              <w:tabs>
                <w:tab w:val="left" w:pos="206"/>
              </w:tabs>
              <w:spacing w:after="0"/>
              <w:rPr>
                <w:rFonts w:eastAsia="Times New Roman" w:cs="Times New Roman"/>
                <w:sz w:val="24"/>
                <w:szCs w:val="24"/>
              </w:rPr>
            </w:pPr>
            <w:r w:rsidRPr="0066255F">
              <w:rPr>
                <w:rFonts w:eastAsia="Times New Roman" w:cs="Times New Roman"/>
                <w:sz w:val="24"/>
                <w:szCs w:val="24"/>
              </w:rPr>
              <w:t>уточнение факта приема гиполипидемических средств, антитромботических средств и гипогликемических препаратов, кроме инсулинов, при наличии показаний</w:t>
            </w:r>
          </w:p>
          <w:p w14:paraId="552E869D" w14:textId="77777777" w:rsidR="0066255F" w:rsidRPr="0066255F" w:rsidRDefault="0066255F" w:rsidP="00424F51">
            <w:pPr>
              <w:numPr>
                <w:ilvl w:val="0"/>
                <w:numId w:val="49"/>
              </w:numPr>
              <w:tabs>
                <w:tab w:val="left" w:pos="206"/>
              </w:tabs>
              <w:spacing w:after="0"/>
              <w:rPr>
                <w:rFonts w:eastAsia="Times New Roman" w:cs="Times New Roman"/>
                <w:sz w:val="24"/>
                <w:szCs w:val="24"/>
              </w:rPr>
            </w:pPr>
            <w:r w:rsidRPr="0066255F">
              <w:rPr>
                <w:rFonts w:eastAsia="Times New Roman" w:cs="Times New Roman"/>
                <w:sz w:val="24"/>
                <w:szCs w:val="24"/>
              </w:rPr>
              <w:t>опрос и краткое консультирование по поводу курения, характера питания, физической активности - измерение АД на периферических артериях при каждом посещении</w:t>
            </w:r>
          </w:p>
          <w:p w14:paraId="74EF1397" w14:textId="77777777" w:rsidR="0066255F" w:rsidRPr="0066255F" w:rsidRDefault="0066255F" w:rsidP="00424F51">
            <w:pPr>
              <w:numPr>
                <w:ilvl w:val="0"/>
                <w:numId w:val="49"/>
              </w:numPr>
              <w:tabs>
                <w:tab w:val="left" w:pos="206"/>
              </w:tabs>
              <w:spacing w:after="0"/>
              <w:rPr>
                <w:rFonts w:eastAsia="Times New Roman" w:cs="Times New Roman"/>
                <w:sz w:val="24"/>
                <w:szCs w:val="24"/>
              </w:rPr>
            </w:pPr>
            <w:r w:rsidRPr="0066255F">
              <w:rPr>
                <w:rFonts w:eastAsia="Times New Roman" w:cs="Times New Roman"/>
                <w:sz w:val="24"/>
                <w:szCs w:val="24"/>
              </w:rPr>
              <w:t>анализ данных ДМАД</w:t>
            </w:r>
          </w:p>
          <w:p w14:paraId="12CF90E7" w14:textId="77777777" w:rsidR="0066255F" w:rsidRPr="0066255F" w:rsidRDefault="0066255F" w:rsidP="00424F51">
            <w:pPr>
              <w:numPr>
                <w:ilvl w:val="0"/>
                <w:numId w:val="49"/>
              </w:numPr>
              <w:tabs>
                <w:tab w:val="left" w:pos="206"/>
              </w:tabs>
              <w:spacing w:after="0"/>
              <w:rPr>
                <w:rFonts w:eastAsia="Times New Roman" w:cs="Times New Roman"/>
                <w:sz w:val="24"/>
                <w:szCs w:val="24"/>
              </w:rPr>
            </w:pPr>
            <w:r w:rsidRPr="0066255F">
              <w:rPr>
                <w:rFonts w:eastAsia="Times New Roman" w:cs="Times New Roman"/>
                <w:sz w:val="24"/>
                <w:szCs w:val="24"/>
              </w:rPr>
              <w:t>общий осмотр и объективное обследование, включая пальпацию периферических сосудов и аускультацию подключичных, сонных, почечных и бедренных артерий, измерение индекса массы тела и окружности талии при каждом посещении</w:t>
            </w:r>
          </w:p>
          <w:p w14:paraId="3FF6A9F0" w14:textId="77777777" w:rsidR="0066255F" w:rsidRPr="0066255F" w:rsidRDefault="0066255F" w:rsidP="00424F51">
            <w:pPr>
              <w:numPr>
                <w:ilvl w:val="0"/>
                <w:numId w:val="49"/>
              </w:numPr>
              <w:tabs>
                <w:tab w:val="left" w:pos="206"/>
              </w:tabs>
              <w:spacing w:after="0"/>
              <w:rPr>
                <w:rFonts w:eastAsia="Times New Roman" w:cs="Times New Roman"/>
                <w:sz w:val="24"/>
                <w:szCs w:val="24"/>
              </w:rPr>
            </w:pPr>
            <w:r w:rsidRPr="0066255F">
              <w:rPr>
                <w:rFonts w:eastAsia="Times New Roman" w:cs="Times New Roman"/>
                <w:sz w:val="24"/>
                <w:szCs w:val="24"/>
              </w:rPr>
              <w:t>Исследование уровня общего гемоглобина и/или оценка гематокрита при взятии под диспансерное наблюдение, далее по показаниям, но не реже 1 раза в 2 года</w:t>
            </w:r>
          </w:p>
          <w:p w14:paraId="74E2229E" w14:textId="77777777" w:rsidR="0066255F" w:rsidRPr="0066255F" w:rsidRDefault="0066255F" w:rsidP="00424F51">
            <w:pPr>
              <w:numPr>
                <w:ilvl w:val="0"/>
                <w:numId w:val="49"/>
              </w:numPr>
              <w:tabs>
                <w:tab w:val="left" w:pos="206"/>
              </w:tabs>
              <w:spacing w:after="0"/>
              <w:rPr>
                <w:rFonts w:eastAsia="Times New Roman" w:cs="Times New Roman"/>
                <w:sz w:val="24"/>
                <w:szCs w:val="24"/>
              </w:rPr>
            </w:pPr>
            <w:r w:rsidRPr="0066255F">
              <w:rPr>
                <w:rFonts w:eastAsia="Times New Roman" w:cs="Times New Roman"/>
                <w:sz w:val="24"/>
                <w:szCs w:val="24"/>
              </w:rPr>
              <w:t>глюкоза плазмы натощак не реже 1 раза в год (допускается экспресс-метод)</w:t>
            </w:r>
          </w:p>
          <w:p w14:paraId="2256FDB6" w14:textId="77777777" w:rsidR="0066255F" w:rsidRPr="0066255F" w:rsidRDefault="0066255F" w:rsidP="00424F51">
            <w:pPr>
              <w:numPr>
                <w:ilvl w:val="0"/>
                <w:numId w:val="49"/>
              </w:numPr>
              <w:tabs>
                <w:tab w:val="left" w:pos="206"/>
              </w:tabs>
              <w:spacing w:after="0"/>
              <w:rPr>
                <w:rFonts w:eastAsia="Times New Roman" w:cs="Times New Roman"/>
                <w:sz w:val="24"/>
                <w:szCs w:val="24"/>
              </w:rPr>
            </w:pPr>
            <w:r w:rsidRPr="0066255F">
              <w:rPr>
                <w:rFonts w:eastAsia="Times New Roman" w:cs="Times New Roman"/>
                <w:sz w:val="24"/>
                <w:szCs w:val="24"/>
              </w:rPr>
              <w:t>общий холестерин не реже 1 раза в год (допускается экспресс-метод)</w:t>
            </w:r>
          </w:p>
          <w:p w14:paraId="7E5001C2" w14:textId="77777777" w:rsidR="0066255F" w:rsidRPr="0066255F" w:rsidRDefault="0066255F" w:rsidP="00424F51">
            <w:pPr>
              <w:numPr>
                <w:ilvl w:val="0"/>
                <w:numId w:val="49"/>
              </w:numPr>
              <w:tabs>
                <w:tab w:val="left" w:pos="206"/>
              </w:tabs>
              <w:spacing w:after="0"/>
              <w:rPr>
                <w:rFonts w:eastAsia="Times New Roman" w:cs="Times New Roman"/>
                <w:sz w:val="24"/>
                <w:szCs w:val="24"/>
              </w:rPr>
            </w:pPr>
            <w:r w:rsidRPr="0066255F">
              <w:rPr>
                <w:rFonts w:eastAsia="Times New Roman" w:cs="Times New Roman"/>
                <w:sz w:val="24"/>
                <w:szCs w:val="24"/>
              </w:rPr>
              <w:t>холестерин липопротеидов низкой плотности, холестерин липопротеидов высокой плотности, триглицериды в сыворотке при взятии под диспансерное наблюдение, далее по показаниям, но не реже 1 раза в 2 года</w:t>
            </w:r>
          </w:p>
          <w:p w14:paraId="5E607D17" w14:textId="77777777" w:rsidR="0066255F" w:rsidRPr="0066255F" w:rsidRDefault="0066255F" w:rsidP="00424F51">
            <w:pPr>
              <w:numPr>
                <w:ilvl w:val="0"/>
                <w:numId w:val="49"/>
              </w:numPr>
              <w:tabs>
                <w:tab w:val="left" w:pos="206"/>
              </w:tabs>
              <w:spacing w:after="0"/>
              <w:rPr>
                <w:rFonts w:eastAsia="Times New Roman" w:cs="Times New Roman"/>
                <w:sz w:val="24"/>
                <w:szCs w:val="24"/>
              </w:rPr>
            </w:pPr>
            <w:r w:rsidRPr="0066255F">
              <w:rPr>
                <w:rFonts w:eastAsia="Times New Roman" w:cs="Times New Roman"/>
                <w:sz w:val="24"/>
                <w:szCs w:val="24"/>
              </w:rPr>
              <w:t>калий и натрий сыворотки при взятии под диспансерное наблюдение, далее по показаниям, но не реже 1 раза в 2 года</w:t>
            </w:r>
          </w:p>
          <w:p w14:paraId="36ABC0E2" w14:textId="77777777" w:rsidR="0066255F" w:rsidRPr="0066255F" w:rsidRDefault="0066255F" w:rsidP="00424F51">
            <w:pPr>
              <w:numPr>
                <w:ilvl w:val="0"/>
                <w:numId w:val="49"/>
              </w:numPr>
              <w:tabs>
                <w:tab w:val="left" w:pos="206"/>
              </w:tabs>
              <w:spacing w:after="0"/>
              <w:rPr>
                <w:rFonts w:eastAsia="Times New Roman" w:cs="Times New Roman"/>
                <w:sz w:val="24"/>
                <w:szCs w:val="24"/>
              </w:rPr>
            </w:pPr>
            <w:r w:rsidRPr="0066255F">
              <w:rPr>
                <w:rFonts w:eastAsia="Times New Roman" w:cs="Times New Roman"/>
                <w:sz w:val="24"/>
                <w:szCs w:val="24"/>
              </w:rPr>
              <w:t>мочевая кислота сыворотки при взятии под диспансерное наблюдение, далее по показаниям</w:t>
            </w:r>
          </w:p>
          <w:p w14:paraId="76137CA8" w14:textId="77777777" w:rsidR="0066255F" w:rsidRPr="0066255F" w:rsidRDefault="0066255F" w:rsidP="00424F51">
            <w:pPr>
              <w:numPr>
                <w:ilvl w:val="0"/>
                <w:numId w:val="49"/>
              </w:numPr>
              <w:tabs>
                <w:tab w:val="left" w:pos="206"/>
              </w:tabs>
              <w:spacing w:after="0"/>
              <w:rPr>
                <w:rFonts w:eastAsia="Times New Roman" w:cs="Times New Roman"/>
                <w:sz w:val="24"/>
                <w:szCs w:val="24"/>
              </w:rPr>
            </w:pPr>
            <w:r w:rsidRPr="0066255F">
              <w:rPr>
                <w:rFonts w:eastAsia="Times New Roman" w:cs="Times New Roman"/>
                <w:sz w:val="24"/>
                <w:szCs w:val="24"/>
              </w:rPr>
              <w:t>креатинин сыворотки (с расчетом СКФ) при взятии под диспансерное наблюдение, далее по показаниям, но не реже 1 раза в 2 года</w:t>
            </w:r>
          </w:p>
        </w:tc>
      </w:tr>
      <w:tr w:rsidR="0066255F" w:rsidRPr="0066255F" w14:paraId="75EF9488" w14:textId="77777777" w:rsidTr="0066255F">
        <w:trPr>
          <w:trHeight w:val="7469"/>
        </w:trPr>
        <w:tc>
          <w:tcPr>
            <w:tcW w:w="1795" w:type="dxa"/>
            <w:tcBorders>
              <w:top w:val="single" w:sz="4" w:space="0" w:color="auto"/>
              <w:left w:val="single" w:sz="4" w:space="0" w:color="auto"/>
              <w:bottom w:val="single" w:sz="4" w:space="0" w:color="auto"/>
              <w:right w:val="nil"/>
            </w:tcBorders>
          </w:tcPr>
          <w:p w14:paraId="3FCDB549" w14:textId="77777777" w:rsidR="0066255F" w:rsidRPr="0066255F" w:rsidRDefault="0066255F" w:rsidP="0066255F">
            <w:pPr>
              <w:spacing w:after="0"/>
              <w:jc w:val="both"/>
              <w:rPr>
                <w:rFonts w:eastAsia="Times New Roman" w:cs="Times New Roman"/>
                <w:sz w:val="24"/>
                <w:szCs w:val="24"/>
              </w:rPr>
            </w:pPr>
          </w:p>
        </w:tc>
        <w:tc>
          <w:tcPr>
            <w:tcW w:w="2563" w:type="dxa"/>
            <w:tcBorders>
              <w:top w:val="single" w:sz="4" w:space="0" w:color="auto"/>
              <w:left w:val="single" w:sz="4" w:space="0" w:color="auto"/>
              <w:bottom w:val="single" w:sz="4" w:space="0" w:color="auto"/>
              <w:right w:val="nil"/>
            </w:tcBorders>
          </w:tcPr>
          <w:p w14:paraId="51B077F4" w14:textId="77777777" w:rsidR="0066255F" w:rsidRPr="0066255F" w:rsidRDefault="0066255F" w:rsidP="0066255F">
            <w:pPr>
              <w:spacing w:after="0"/>
              <w:jc w:val="both"/>
              <w:rPr>
                <w:rFonts w:eastAsia="Times New Roman" w:cs="Times New Roman"/>
                <w:sz w:val="24"/>
                <w:szCs w:val="24"/>
              </w:rPr>
            </w:pPr>
          </w:p>
        </w:tc>
        <w:tc>
          <w:tcPr>
            <w:tcW w:w="5002" w:type="dxa"/>
            <w:tcBorders>
              <w:top w:val="single" w:sz="4" w:space="0" w:color="auto"/>
              <w:left w:val="single" w:sz="4" w:space="0" w:color="auto"/>
              <w:bottom w:val="single" w:sz="4" w:space="0" w:color="auto"/>
              <w:right w:val="single" w:sz="4" w:space="0" w:color="auto"/>
            </w:tcBorders>
            <w:vAlign w:val="bottom"/>
          </w:tcPr>
          <w:p w14:paraId="79F69B96" w14:textId="77777777" w:rsidR="0066255F" w:rsidRPr="0066255F" w:rsidRDefault="0066255F" w:rsidP="00424F51">
            <w:pPr>
              <w:numPr>
                <w:ilvl w:val="0"/>
                <w:numId w:val="49"/>
              </w:numPr>
              <w:tabs>
                <w:tab w:val="left" w:pos="250"/>
              </w:tabs>
              <w:spacing w:after="0"/>
              <w:rPr>
                <w:rFonts w:eastAsia="Times New Roman" w:cs="Times New Roman"/>
                <w:sz w:val="24"/>
                <w:szCs w:val="24"/>
              </w:rPr>
            </w:pPr>
            <w:r w:rsidRPr="0066255F">
              <w:rPr>
                <w:rFonts w:eastAsia="Times New Roman" w:cs="Times New Roman"/>
                <w:sz w:val="24"/>
                <w:szCs w:val="24"/>
              </w:rPr>
              <w:t>анализ мочи на микроальбуминурию при взятии под диспансерное наблюдение, далее по показаниям, но не реже 1 раза в 2 года</w:t>
            </w:r>
          </w:p>
          <w:p w14:paraId="04BBC26E" w14:textId="77777777" w:rsidR="0066255F" w:rsidRPr="0066255F" w:rsidRDefault="0066255F" w:rsidP="00424F51">
            <w:pPr>
              <w:numPr>
                <w:ilvl w:val="0"/>
                <w:numId w:val="49"/>
              </w:numPr>
              <w:tabs>
                <w:tab w:val="left" w:pos="250"/>
              </w:tabs>
              <w:spacing w:after="0"/>
              <w:rPr>
                <w:rFonts w:eastAsia="Times New Roman" w:cs="Times New Roman"/>
                <w:sz w:val="24"/>
                <w:szCs w:val="24"/>
              </w:rPr>
            </w:pPr>
            <w:r w:rsidRPr="0066255F">
              <w:rPr>
                <w:rFonts w:eastAsia="Times New Roman" w:cs="Times New Roman"/>
                <w:sz w:val="24"/>
                <w:szCs w:val="24"/>
              </w:rPr>
              <w:t>ЭКГ в 12 отведениях с расчетом индекса Соколова–Лайона и Корнелльского показателя не реже 1 раза в год</w:t>
            </w:r>
          </w:p>
          <w:p w14:paraId="321EB008" w14:textId="77777777" w:rsidR="0066255F" w:rsidRPr="0066255F" w:rsidRDefault="0066255F" w:rsidP="00424F51">
            <w:pPr>
              <w:numPr>
                <w:ilvl w:val="0"/>
                <w:numId w:val="49"/>
              </w:numPr>
              <w:tabs>
                <w:tab w:val="left" w:pos="250"/>
                <w:tab w:val="left" w:pos="1147"/>
                <w:tab w:val="left" w:pos="3370"/>
              </w:tabs>
              <w:spacing w:after="0"/>
              <w:rPr>
                <w:rFonts w:eastAsia="Times New Roman" w:cs="Times New Roman"/>
                <w:sz w:val="24"/>
                <w:szCs w:val="24"/>
              </w:rPr>
            </w:pPr>
            <w:r w:rsidRPr="0066255F">
              <w:rPr>
                <w:rFonts w:eastAsia="Times New Roman" w:cs="Times New Roman"/>
                <w:sz w:val="24"/>
                <w:szCs w:val="24"/>
              </w:rPr>
              <w:t>при наличии изменений на ЭКГ - ЭхоКГ с определением ИММЛЖ и диастолической функции при взятии под диспансерное наблюдение, в последующем по показаниям, но не реже 1 раза в год при отсутствии достижения целевых значений АД и наличии признаков прогрессирования гипертрофии левого желудочка по данным расчета индекса Соколова–Лайона и Корнельского показателя -</w:t>
            </w:r>
            <w:r w:rsidRPr="0066255F">
              <w:rPr>
                <w:rFonts w:eastAsia="Times New Roman" w:cs="Times New Roman"/>
                <w:sz w:val="24"/>
                <w:szCs w:val="24"/>
              </w:rPr>
              <w:tab/>
              <w:t>дуплексное</w:t>
            </w:r>
            <w:r w:rsidRPr="0066255F">
              <w:rPr>
                <w:rFonts w:eastAsia="Times New Roman" w:cs="Times New Roman"/>
                <w:sz w:val="24"/>
                <w:szCs w:val="24"/>
              </w:rPr>
              <w:tab/>
              <w:t>сканирование</w:t>
            </w:r>
          </w:p>
          <w:p w14:paraId="5E53F3FA" w14:textId="77777777" w:rsidR="0066255F" w:rsidRPr="0066255F" w:rsidRDefault="0066255F" w:rsidP="0066255F">
            <w:pPr>
              <w:tabs>
                <w:tab w:val="left" w:pos="206"/>
              </w:tabs>
              <w:spacing w:after="0"/>
              <w:rPr>
                <w:rFonts w:eastAsia="Times New Roman" w:cs="Times New Roman"/>
                <w:sz w:val="24"/>
                <w:szCs w:val="24"/>
              </w:rPr>
            </w:pPr>
            <w:r w:rsidRPr="0066255F">
              <w:rPr>
                <w:rFonts w:eastAsia="Times New Roman" w:cs="Times New Roman"/>
                <w:sz w:val="24"/>
                <w:szCs w:val="24"/>
              </w:rPr>
              <w:t>экстракраниальных отделов брахиоцефальных артерий</w:t>
            </w:r>
            <w:r w:rsidRPr="0066255F">
              <w:rPr>
                <w:rFonts w:eastAsia="Times New Roman" w:cs="Times New Roman"/>
                <w:sz w:val="24"/>
                <w:szCs w:val="24"/>
              </w:rPr>
              <w:tab/>
              <w:t>с</w:t>
            </w:r>
            <w:r w:rsidRPr="0066255F">
              <w:rPr>
                <w:rFonts w:eastAsia="Times New Roman" w:cs="Times New Roman"/>
                <w:sz w:val="24"/>
                <w:szCs w:val="24"/>
              </w:rPr>
              <w:tab/>
              <w:t>цветным</w:t>
            </w:r>
            <w:r w:rsidRPr="0066255F">
              <w:rPr>
                <w:rFonts w:eastAsia="Times New Roman" w:cs="Times New Roman"/>
                <w:sz w:val="24"/>
                <w:szCs w:val="24"/>
              </w:rPr>
              <w:tab/>
              <w:t>доплеровским</w:t>
            </w:r>
          </w:p>
          <w:p w14:paraId="55C3AC30" w14:textId="77777777" w:rsidR="0066255F" w:rsidRPr="0066255F" w:rsidRDefault="0066255F" w:rsidP="0066255F">
            <w:pPr>
              <w:tabs>
                <w:tab w:val="left" w:pos="206"/>
              </w:tabs>
              <w:spacing w:after="0"/>
              <w:rPr>
                <w:rFonts w:eastAsia="Times New Roman" w:cs="Times New Roman"/>
                <w:sz w:val="24"/>
                <w:szCs w:val="24"/>
              </w:rPr>
            </w:pPr>
            <w:r w:rsidRPr="0066255F">
              <w:rPr>
                <w:rFonts w:eastAsia="Times New Roman" w:cs="Times New Roman"/>
                <w:sz w:val="24"/>
                <w:szCs w:val="24"/>
              </w:rPr>
              <w:t>картированием кровотока у мужчин старше 40 лет, женщин старше 50 лет при ИМТ&gt;30 кг/м2 и более и общем холестерине &gt;5 ммоль/л и более</w:t>
            </w:r>
            <w:r w:rsidRPr="0066255F">
              <w:rPr>
                <w:rFonts w:eastAsia="Times New Roman" w:cs="Times New Roman"/>
                <w:sz w:val="24"/>
                <w:szCs w:val="24"/>
              </w:rPr>
              <w:tab/>
              <w:t>при</w:t>
            </w:r>
            <w:r w:rsidRPr="0066255F">
              <w:rPr>
                <w:rFonts w:eastAsia="Times New Roman" w:cs="Times New Roman"/>
                <w:sz w:val="24"/>
                <w:szCs w:val="24"/>
              </w:rPr>
              <w:tab/>
              <w:t>взятии</w:t>
            </w:r>
            <w:r w:rsidRPr="0066255F">
              <w:rPr>
                <w:rFonts w:eastAsia="Times New Roman" w:cs="Times New Roman"/>
                <w:sz w:val="24"/>
                <w:szCs w:val="24"/>
              </w:rPr>
              <w:tab/>
              <w:t>под</w:t>
            </w:r>
            <w:r w:rsidRPr="0066255F">
              <w:rPr>
                <w:rFonts w:eastAsia="Times New Roman" w:cs="Times New Roman"/>
                <w:sz w:val="24"/>
                <w:szCs w:val="24"/>
              </w:rPr>
              <w:tab/>
              <w:t>диспансерное</w:t>
            </w:r>
          </w:p>
          <w:p w14:paraId="4EB19CA1" w14:textId="77777777" w:rsidR="0066255F" w:rsidRPr="0066255F" w:rsidRDefault="0066255F" w:rsidP="0066255F">
            <w:pPr>
              <w:tabs>
                <w:tab w:val="left" w:pos="206"/>
              </w:tabs>
              <w:spacing w:after="0"/>
              <w:rPr>
                <w:rFonts w:eastAsia="Times New Roman" w:cs="Times New Roman"/>
                <w:sz w:val="24"/>
                <w:szCs w:val="24"/>
              </w:rPr>
            </w:pPr>
            <w:r w:rsidRPr="0066255F">
              <w:rPr>
                <w:rFonts w:eastAsia="Times New Roman" w:cs="Times New Roman"/>
                <w:sz w:val="24"/>
                <w:szCs w:val="24"/>
              </w:rPr>
              <w:t>наблюдение, далее по показаниям, но не реже 1 раза в 2 года с целью определения ТИМ и наличия атеросклеротических бляшек*</w:t>
            </w:r>
          </w:p>
          <w:p w14:paraId="0ED2BB9C" w14:textId="77777777" w:rsidR="0066255F" w:rsidRPr="0066255F" w:rsidRDefault="0066255F" w:rsidP="00424F51">
            <w:pPr>
              <w:numPr>
                <w:ilvl w:val="0"/>
                <w:numId w:val="49"/>
              </w:numPr>
              <w:tabs>
                <w:tab w:val="left" w:pos="250"/>
              </w:tabs>
              <w:spacing w:after="0"/>
              <w:rPr>
                <w:rFonts w:eastAsia="Times New Roman" w:cs="Times New Roman"/>
                <w:sz w:val="24"/>
                <w:szCs w:val="24"/>
              </w:rPr>
            </w:pPr>
            <w:r w:rsidRPr="0066255F">
              <w:rPr>
                <w:rFonts w:eastAsia="Times New Roman" w:cs="Times New Roman"/>
                <w:sz w:val="24"/>
                <w:szCs w:val="24"/>
              </w:rPr>
              <w:t>УЗИ почек и дуплексное сканирование почечных артерий при наличии обоснованного подозрения на их патологию*</w:t>
            </w:r>
          </w:p>
          <w:p w14:paraId="45741175" w14:textId="77777777" w:rsidR="0066255F" w:rsidRPr="0066255F" w:rsidRDefault="0066255F" w:rsidP="00424F51">
            <w:pPr>
              <w:numPr>
                <w:ilvl w:val="0"/>
                <w:numId w:val="49"/>
              </w:numPr>
              <w:tabs>
                <w:tab w:val="left" w:pos="250"/>
              </w:tabs>
              <w:spacing w:after="0"/>
              <w:rPr>
                <w:rFonts w:eastAsia="Times New Roman" w:cs="Times New Roman"/>
                <w:sz w:val="24"/>
                <w:szCs w:val="24"/>
              </w:rPr>
            </w:pPr>
            <w:r w:rsidRPr="0066255F">
              <w:rPr>
                <w:rFonts w:eastAsia="Times New Roman" w:cs="Times New Roman"/>
                <w:sz w:val="24"/>
                <w:szCs w:val="24"/>
              </w:rPr>
              <w:t>лодыжечно-плечевой индекс при наличии обоснованного подозрения на стеноз сосудов нижних конечностей*</w:t>
            </w:r>
          </w:p>
          <w:p w14:paraId="10CEA1C7" w14:textId="77777777" w:rsidR="0066255F" w:rsidRPr="0066255F" w:rsidRDefault="0066255F" w:rsidP="00424F51">
            <w:pPr>
              <w:numPr>
                <w:ilvl w:val="0"/>
                <w:numId w:val="49"/>
              </w:numPr>
              <w:tabs>
                <w:tab w:val="left" w:pos="250"/>
              </w:tabs>
              <w:spacing w:after="0"/>
              <w:rPr>
                <w:rFonts w:eastAsia="Times New Roman" w:cs="Times New Roman"/>
                <w:sz w:val="24"/>
                <w:szCs w:val="24"/>
              </w:rPr>
            </w:pPr>
            <w:r w:rsidRPr="0066255F">
              <w:rPr>
                <w:rFonts w:eastAsia="Times New Roman" w:cs="Times New Roman"/>
                <w:sz w:val="24"/>
                <w:szCs w:val="24"/>
              </w:rPr>
              <w:t>консультация окулиста на предмет наличия кровоизлияний или экссудата на глазном дне, отека соска зрительного нерва при взятии под ДН и по показаниям</w:t>
            </w:r>
          </w:p>
          <w:p w14:paraId="622114D3" w14:textId="77777777" w:rsidR="0066255F" w:rsidRPr="0066255F" w:rsidRDefault="0066255F" w:rsidP="00424F51">
            <w:pPr>
              <w:numPr>
                <w:ilvl w:val="0"/>
                <w:numId w:val="49"/>
              </w:numPr>
              <w:tabs>
                <w:tab w:val="left" w:pos="250"/>
                <w:tab w:val="left" w:pos="1834"/>
                <w:tab w:val="left" w:pos="2832"/>
                <w:tab w:val="left" w:pos="3710"/>
              </w:tabs>
              <w:spacing w:after="0"/>
              <w:rPr>
                <w:rFonts w:eastAsia="Times New Roman" w:cs="Times New Roman"/>
                <w:sz w:val="24"/>
                <w:szCs w:val="24"/>
              </w:rPr>
            </w:pPr>
            <w:r w:rsidRPr="0066255F">
              <w:rPr>
                <w:rFonts w:eastAsia="Times New Roman" w:cs="Times New Roman"/>
                <w:sz w:val="24"/>
                <w:szCs w:val="24"/>
              </w:rPr>
              <w:t>оценка суммарного сердечно-сосудистого риска по таблице величины риска при АГ и по шкале SCORE-2 для лиц в возрасте 40-69 лет и SCORE-2-OP для лиц в возрасте ≥ 70 лет (при интерпретации</w:t>
            </w:r>
            <w:r w:rsidRPr="0066255F">
              <w:rPr>
                <w:rFonts w:eastAsia="Times New Roman" w:cs="Times New Roman"/>
                <w:sz w:val="24"/>
                <w:szCs w:val="24"/>
              </w:rPr>
              <w:tab/>
              <w:t>уровня</w:t>
            </w:r>
            <w:r w:rsidRPr="0066255F">
              <w:rPr>
                <w:rFonts w:eastAsia="Times New Roman" w:cs="Times New Roman"/>
                <w:sz w:val="24"/>
                <w:szCs w:val="24"/>
              </w:rPr>
              <w:tab/>
              <w:t>риска</w:t>
            </w:r>
            <w:r w:rsidRPr="0066255F">
              <w:rPr>
                <w:rFonts w:eastAsia="Times New Roman" w:cs="Times New Roman"/>
                <w:sz w:val="24"/>
                <w:szCs w:val="24"/>
              </w:rPr>
              <w:tab/>
              <w:t>приоритет</w:t>
            </w:r>
          </w:p>
          <w:p w14:paraId="2A28D213" w14:textId="77777777" w:rsidR="0066255F" w:rsidRPr="0066255F" w:rsidRDefault="0066255F" w:rsidP="0066255F">
            <w:pPr>
              <w:tabs>
                <w:tab w:val="left" w:pos="206"/>
              </w:tabs>
              <w:spacing w:after="0"/>
              <w:rPr>
                <w:rFonts w:eastAsia="Times New Roman" w:cs="Times New Roman"/>
                <w:sz w:val="24"/>
                <w:szCs w:val="24"/>
              </w:rPr>
            </w:pPr>
            <w:r w:rsidRPr="0066255F">
              <w:rPr>
                <w:rFonts w:eastAsia="Times New Roman" w:cs="Times New Roman"/>
                <w:sz w:val="24"/>
                <w:szCs w:val="24"/>
              </w:rPr>
              <w:t>отдается более высокому показателю)</w:t>
            </w:r>
          </w:p>
          <w:p w14:paraId="7B0FDA32" w14:textId="77777777" w:rsidR="0066255F" w:rsidRPr="0066255F" w:rsidRDefault="0066255F" w:rsidP="00424F51">
            <w:pPr>
              <w:numPr>
                <w:ilvl w:val="0"/>
                <w:numId w:val="49"/>
              </w:numPr>
              <w:tabs>
                <w:tab w:val="left" w:pos="250"/>
                <w:tab w:val="left" w:pos="1027"/>
                <w:tab w:val="left" w:pos="3658"/>
              </w:tabs>
              <w:spacing w:after="0"/>
              <w:rPr>
                <w:rFonts w:eastAsia="Times New Roman" w:cs="Times New Roman"/>
                <w:sz w:val="24"/>
                <w:szCs w:val="24"/>
              </w:rPr>
            </w:pPr>
            <w:r w:rsidRPr="0066255F">
              <w:rPr>
                <w:rFonts w:eastAsia="Times New Roman" w:cs="Times New Roman"/>
                <w:sz w:val="24"/>
                <w:szCs w:val="24"/>
              </w:rPr>
              <w:t>корректировка терапии (при необходимости) - объяснение пациенту и/или обеспечение его памяткой по алгоритму неотложных действий при</w:t>
            </w:r>
            <w:r w:rsidRPr="0066255F">
              <w:rPr>
                <w:rFonts w:eastAsia="Times New Roman" w:cs="Times New Roman"/>
                <w:sz w:val="24"/>
                <w:szCs w:val="24"/>
              </w:rPr>
              <w:tab/>
              <w:t>жизнеугрожающем</w:t>
            </w:r>
            <w:r w:rsidRPr="0066255F">
              <w:rPr>
                <w:rFonts w:eastAsia="Times New Roman" w:cs="Times New Roman"/>
                <w:sz w:val="24"/>
                <w:szCs w:val="24"/>
              </w:rPr>
              <w:tab/>
              <w:t>состоянии,</w:t>
            </w:r>
          </w:p>
          <w:p w14:paraId="2A32B251" w14:textId="77777777" w:rsidR="0066255F" w:rsidRPr="0066255F" w:rsidRDefault="0066255F" w:rsidP="0066255F">
            <w:pPr>
              <w:tabs>
                <w:tab w:val="left" w:pos="206"/>
              </w:tabs>
              <w:spacing w:after="0"/>
              <w:rPr>
                <w:rFonts w:eastAsia="Times New Roman" w:cs="Times New Roman"/>
                <w:sz w:val="24"/>
                <w:szCs w:val="24"/>
              </w:rPr>
            </w:pPr>
            <w:r w:rsidRPr="0066255F">
              <w:rPr>
                <w:rFonts w:eastAsia="Times New Roman" w:cs="Times New Roman"/>
                <w:sz w:val="24"/>
                <w:szCs w:val="24"/>
              </w:rPr>
              <w:t>вероятность развития которого у пациента наиболее высокая</w:t>
            </w:r>
          </w:p>
        </w:tc>
      </w:tr>
    </w:tbl>
    <w:p w14:paraId="03220DB6" w14:textId="77777777" w:rsidR="00973BB6" w:rsidRDefault="00973BB6" w:rsidP="00973BB6">
      <w:pPr>
        <w:spacing w:after="0" w:line="360" w:lineRule="auto"/>
        <w:jc w:val="both"/>
        <w:rPr>
          <w:rFonts w:eastAsia="Times New Roman" w:cs="Times New Roman"/>
          <w:b/>
          <w:bCs/>
          <w:sz w:val="24"/>
          <w:szCs w:val="24"/>
        </w:rPr>
      </w:pPr>
    </w:p>
    <w:p w14:paraId="4C74AC99" w14:textId="77777777" w:rsidR="00973BB6" w:rsidRDefault="00973BB6" w:rsidP="00973BB6">
      <w:pPr>
        <w:spacing w:after="0" w:line="360" w:lineRule="auto"/>
        <w:jc w:val="both"/>
        <w:rPr>
          <w:rFonts w:eastAsia="Times New Roman" w:cs="Times New Roman"/>
          <w:b/>
          <w:bCs/>
          <w:sz w:val="24"/>
          <w:szCs w:val="24"/>
        </w:rPr>
      </w:pPr>
    </w:p>
    <w:p w14:paraId="760BFE0D" w14:textId="77777777" w:rsidR="00D403B6" w:rsidRDefault="00973BB6" w:rsidP="00D403B6">
      <w:pPr>
        <w:spacing w:after="0" w:line="360" w:lineRule="auto"/>
        <w:jc w:val="right"/>
        <w:rPr>
          <w:rFonts w:eastAsia="Times New Roman" w:cs="Times New Roman"/>
          <w:b/>
          <w:bCs/>
          <w:sz w:val="24"/>
          <w:szCs w:val="24"/>
        </w:rPr>
      </w:pPr>
      <w:r w:rsidRPr="00973BB6">
        <w:rPr>
          <w:rFonts w:eastAsia="Times New Roman" w:cs="Times New Roman"/>
          <w:b/>
          <w:bCs/>
          <w:sz w:val="24"/>
          <w:szCs w:val="24"/>
        </w:rPr>
        <w:lastRenderedPageBreak/>
        <w:t>Таблица П22/</w:t>
      </w:r>
      <w:r w:rsidR="00FB33EA">
        <w:rPr>
          <w:rFonts w:eastAsia="Times New Roman" w:cs="Times New Roman"/>
          <w:b/>
          <w:bCs/>
          <w:sz w:val="24"/>
          <w:szCs w:val="24"/>
        </w:rPr>
        <w:t>А2</w:t>
      </w:r>
      <w:r w:rsidRPr="00973BB6">
        <w:rPr>
          <w:rFonts w:eastAsia="Times New Roman" w:cs="Times New Roman"/>
          <w:b/>
          <w:bCs/>
          <w:sz w:val="24"/>
          <w:szCs w:val="24"/>
        </w:rPr>
        <w:t xml:space="preserve">. </w:t>
      </w:r>
    </w:p>
    <w:p w14:paraId="330E4D3D" w14:textId="181B9ABD" w:rsidR="00973BB6" w:rsidRPr="00973BB6" w:rsidRDefault="00973BB6" w:rsidP="00973BB6">
      <w:pPr>
        <w:spacing w:after="0" w:line="360" w:lineRule="auto"/>
        <w:jc w:val="both"/>
        <w:rPr>
          <w:rFonts w:eastAsia="Times New Roman" w:cs="Times New Roman"/>
          <w:sz w:val="24"/>
          <w:szCs w:val="24"/>
        </w:rPr>
      </w:pPr>
      <w:r w:rsidRPr="00973BB6">
        <w:rPr>
          <w:rFonts w:eastAsia="Times New Roman" w:cs="Times New Roman"/>
          <w:b/>
          <w:bCs/>
          <w:sz w:val="24"/>
          <w:szCs w:val="24"/>
        </w:rPr>
        <w:t>Практические аспекты применения общих реабилитационных мероприятий и методов у пациентов с контролируемой АГ.</w:t>
      </w:r>
      <w:r w:rsidRPr="00973BB6">
        <w:rPr>
          <w:rFonts w:eastAsia="Times New Roman" w:cs="Times New Roman"/>
          <w:sz w:val="24"/>
          <w:szCs w:val="24"/>
        </w:rPr>
        <w:t xml:space="preserve"> </w:t>
      </w:r>
    </w:p>
    <w:tbl>
      <w:tblPr>
        <w:tblW w:w="9403" w:type="dxa"/>
        <w:tblInd w:w="-5" w:type="dxa"/>
        <w:tblLayout w:type="fixed"/>
        <w:tblCellMar>
          <w:left w:w="0" w:type="dxa"/>
          <w:right w:w="0" w:type="dxa"/>
        </w:tblCellMar>
        <w:tblLook w:val="0000" w:firstRow="0" w:lastRow="0" w:firstColumn="0" w:lastColumn="0" w:noHBand="0" w:noVBand="0"/>
      </w:tblPr>
      <w:tblGrid>
        <w:gridCol w:w="2040"/>
        <w:gridCol w:w="7363"/>
      </w:tblGrid>
      <w:tr w:rsidR="00973BB6" w:rsidRPr="00973BB6" w14:paraId="286C3176" w14:textId="77777777" w:rsidTr="00DE6989">
        <w:trPr>
          <w:trHeight w:val="566"/>
        </w:trPr>
        <w:tc>
          <w:tcPr>
            <w:tcW w:w="2040" w:type="dxa"/>
            <w:tcBorders>
              <w:top w:val="single" w:sz="4" w:space="0" w:color="auto"/>
              <w:left w:val="single" w:sz="4" w:space="0" w:color="auto"/>
              <w:bottom w:val="nil"/>
              <w:right w:val="nil"/>
            </w:tcBorders>
            <w:shd w:val="clear" w:color="auto" w:fill="E7E6E6" w:themeFill="background2"/>
            <w:vAlign w:val="bottom"/>
          </w:tcPr>
          <w:p w14:paraId="46B5FDF8" w14:textId="77777777" w:rsidR="00973BB6" w:rsidRPr="00973BB6" w:rsidRDefault="00973BB6" w:rsidP="00DE6989">
            <w:pPr>
              <w:spacing w:after="0"/>
              <w:jc w:val="center"/>
              <w:rPr>
                <w:rFonts w:eastAsia="Times New Roman" w:cs="Times New Roman"/>
                <w:sz w:val="24"/>
                <w:szCs w:val="24"/>
              </w:rPr>
            </w:pPr>
            <w:r w:rsidRPr="00973BB6">
              <w:rPr>
                <w:rFonts w:eastAsia="Times New Roman" w:cs="Times New Roman"/>
                <w:sz w:val="24"/>
                <w:szCs w:val="24"/>
              </w:rPr>
              <w:t>Метод</w:t>
            </w:r>
          </w:p>
          <w:p w14:paraId="4EDCE0A5" w14:textId="77777777" w:rsidR="00973BB6" w:rsidRPr="00973BB6" w:rsidRDefault="00973BB6" w:rsidP="00DE6989">
            <w:pPr>
              <w:spacing w:after="0"/>
              <w:jc w:val="center"/>
              <w:rPr>
                <w:rFonts w:eastAsia="Times New Roman" w:cs="Times New Roman"/>
                <w:sz w:val="24"/>
                <w:szCs w:val="24"/>
              </w:rPr>
            </w:pPr>
            <w:r w:rsidRPr="00973BB6">
              <w:rPr>
                <w:rFonts w:eastAsia="Times New Roman" w:cs="Times New Roman"/>
                <w:sz w:val="24"/>
                <w:szCs w:val="24"/>
              </w:rPr>
              <w:t>реабилитации</w:t>
            </w:r>
          </w:p>
        </w:tc>
        <w:tc>
          <w:tcPr>
            <w:tcW w:w="7363" w:type="dxa"/>
            <w:tcBorders>
              <w:top w:val="single" w:sz="4" w:space="0" w:color="auto"/>
              <w:left w:val="single" w:sz="4" w:space="0" w:color="auto"/>
              <w:bottom w:val="nil"/>
              <w:right w:val="single" w:sz="4" w:space="0" w:color="auto"/>
            </w:tcBorders>
            <w:shd w:val="clear" w:color="auto" w:fill="E7E6E6" w:themeFill="background2"/>
          </w:tcPr>
          <w:p w14:paraId="0AA2F3B6" w14:textId="77777777" w:rsidR="00973BB6" w:rsidRPr="00973BB6" w:rsidRDefault="00973BB6" w:rsidP="00DE6989">
            <w:pPr>
              <w:spacing w:after="0"/>
              <w:jc w:val="center"/>
              <w:rPr>
                <w:rFonts w:eastAsia="Times New Roman" w:cs="Times New Roman"/>
                <w:sz w:val="24"/>
                <w:szCs w:val="24"/>
              </w:rPr>
            </w:pPr>
            <w:r w:rsidRPr="00973BB6">
              <w:rPr>
                <w:rFonts w:eastAsia="Times New Roman" w:cs="Times New Roman"/>
                <w:sz w:val="24"/>
                <w:szCs w:val="24"/>
              </w:rPr>
              <w:t>Реабилитационные мероприятия</w:t>
            </w:r>
          </w:p>
        </w:tc>
      </w:tr>
      <w:tr w:rsidR="00973BB6" w:rsidRPr="00973BB6" w14:paraId="237C17C3" w14:textId="77777777" w:rsidTr="00DE6989">
        <w:trPr>
          <w:trHeight w:val="4694"/>
        </w:trPr>
        <w:tc>
          <w:tcPr>
            <w:tcW w:w="2040" w:type="dxa"/>
            <w:tcBorders>
              <w:top w:val="single" w:sz="4" w:space="0" w:color="auto"/>
              <w:left w:val="single" w:sz="4" w:space="0" w:color="auto"/>
              <w:bottom w:val="nil"/>
              <w:right w:val="nil"/>
            </w:tcBorders>
            <w:shd w:val="clear" w:color="auto" w:fill="E7E6E6" w:themeFill="background2"/>
          </w:tcPr>
          <w:p w14:paraId="59B23303" w14:textId="77777777" w:rsidR="00973BB6" w:rsidRPr="00973BB6" w:rsidRDefault="00973BB6" w:rsidP="00DE6989">
            <w:pPr>
              <w:spacing w:after="0"/>
              <w:jc w:val="both"/>
              <w:rPr>
                <w:rFonts w:eastAsia="Times New Roman" w:cs="Times New Roman"/>
                <w:sz w:val="24"/>
                <w:szCs w:val="24"/>
              </w:rPr>
            </w:pPr>
            <w:r w:rsidRPr="00973BB6">
              <w:rPr>
                <w:rFonts w:eastAsia="Times New Roman" w:cs="Times New Roman"/>
                <w:sz w:val="24"/>
                <w:szCs w:val="24"/>
              </w:rPr>
              <w:t>Физическая</w:t>
            </w:r>
          </w:p>
          <w:p w14:paraId="245BEE4E" w14:textId="77777777" w:rsidR="00973BB6" w:rsidRPr="00973BB6" w:rsidRDefault="00973BB6" w:rsidP="00DE6989">
            <w:pPr>
              <w:spacing w:after="0"/>
              <w:jc w:val="both"/>
              <w:rPr>
                <w:rFonts w:eastAsia="Times New Roman" w:cs="Times New Roman"/>
                <w:sz w:val="24"/>
                <w:szCs w:val="24"/>
              </w:rPr>
            </w:pPr>
            <w:r w:rsidRPr="00973BB6">
              <w:rPr>
                <w:rFonts w:eastAsia="Times New Roman" w:cs="Times New Roman"/>
                <w:sz w:val="24"/>
                <w:szCs w:val="24"/>
              </w:rPr>
              <w:t>реабилитация</w:t>
            </w:r>
          </w:p>
        </w:tc>
        <w:tc>
          <w:tcPr>
            <w:tcW w:w="7363" w:type="dxa"/>
            <w:tcBorders>
              <w:top w:val="single" w:sz="4" w:space="0" w:color="auto"/>
              <w:left w:val="single" w:sz="4" w:space="0" w:color="auto"/>
              <w:bottom w:val="nil"/>
              <w:right w:val="single" w:sz="4" w:space="0" w:color="auto"/>
            </w:tcBorders>
            <w:vAlign w:val="bottom"/>
          </w:tcPr>
          <w:p w14:paraId="75D1F59B" w14:textId="499ABA77" w:rsidR="00973BB6" w:rsidRPr="00973BB6" w:rsidRDefault="00973BB6" w:rsidP="00424F51">
            <w:pPr>
              <w:numPr>
                <w:ilvl w:val="0"/>
                <w:numId w:val="49"/>
              </w:numPr>
              <w:spacing w:after="0"/>
              <w:jc w:val="both"/>
              <w:rPr>
                <w:rFonts w:eastAsia="Times New Roman" w:cs="Times New Roman"/>
                <w:sz w:val="24"/>
                <w:szCs w:val="24"/>
              </w:rPr>
            </w:pPr>
            <w:r w:rsidRPr="00973BB6">
              <w:rPr>
                <w:rFonts w:eastAsia="Times New Roman" w:cs="Times New Roman"/>
                <w:sz w:val="24"/>
                <w:szCs w:val="24"/>
              </w:rPr>
              <w:t>Комплексы лечебной гимнастики с включением упражнений общеукрепляющих, на равновесие и координацию, на мелкие, средние и крупные групп мышц, на расслабление мышц верхних конечностей, плечевого пояса и грудной клетки, корригирующие их гипертонус; упражнения с поворотами головы и туловища следует выполнять с осторожностью.</w:t>
            </w:r>
          </w:p>
          <w:p w14:paraId="12C84242" w14:textId="77777777" w:rsidR="00973BB6" w:rsidRPr="00973BB6" w:rsidRDefault="00973BB6" w:rsidP="00424F51">
            <w:pPr>
              <w:numPr>
                <w:ilvl w:val="0"/>
                <w:numId w:val="49"/>
              </w:numPr>
              <w:spacing w:after="0"/>
              <w:jc w:val="both"/>
              <w:rPr>
                <w:rFonts w:eastAsia="Times New Roman" w:cs="Times New Roman"/>
                <w:sz w:val="24"/>
                <w:szCs w:val="24"/>
              </w:rPr>
            </w:pPr>
            <w:r w:rsidRPr="00973BB6">
              <w:rPr>
                <w:rFonts w:eastAsia="Times New Roman" w:cs="Times New Roman"/>
                <w:sz w:val="24"/>
                <w:szCs w:val="24"/>
              </w:rPr>
              <w:t>Дозированная ходьба по разным поверхностям, степ-тренировка, ходьба по лестнице.</w:t>
            </w:r>
          </w:p>
          <w:p w14:paraId="27A296B3" w14:textId="77777777" w:rsidR="00973BB6" w:rsidRPr="00973BB6" w:rsidRDefault="00973BB6" w:rsidP="00424F51">
            <w:pPr>
              <w:numPr>
                <w:ilvl w:val="0"/>
                <w:numId w:val="49"/>
              </w:numPr>
              <w:spacing w:after="0"/>
              <w:jc w:val="both"/>
              <w:rPr>
                <w:rFonts w:eastAsia="Times New Roman" w:cs="Times New Roman"/>
                <w:sz w:val="24"/>
                <w:szCs w:val="24"/>
              </w:rPr>
            </w:pPr>
            <w:r w:rsidRPr="00973BB6">
              <w:rPr>
                <w:rFonts w:eastAsia="Times New Roman" w:cs="Times New Roman"/>
                <w:sz w:val="24"/>
                <w:szCs w:val="24"/>
              </w:rPr>
              <w:t>Физические динамические тренировки на велотренажере (или тредмиле): при АГ 1 степени - умеренной интенсивности (60-70% от максимальной ЧСС, по шкале Борга 13-14/20 баллов); при АГ 2 степени - с интенсивностью 50-60% от максимальной ЧСС (по шкале Борга 12-13/20 баллов); при АГ III степени - с низкой интенсивностью (40-50% от максимальной ЧСС, по шкале Борга 11-12/20 баллов); при хорошей переносимости тренировки рассмотреть возможность увеличения ее интенсивности до умеренной; длительность тренировки не менее 30 минут и частота 3-5 раза в неделю.</w:t>
            </w:r>
          </w:p>
        </w:tc>
      </w:tr>
      <w:tr w:rsidR="00973BB6" w:rsidRPr="00973BB6" w14:paraId="49D20763" w14:textId="77777777" w:rsidTr="00DE6989">
        <w:trPr>
          <w:trHeight w:val="840"/>
        </w:trPr>
        <w:tc>
          <w:tcPr>
            <w:tcW w:w="2040" w:type="dxa"/>
            <w:tcBorders>
              <w:top w:val="single" w:sz="4" w:space="0" w:color="auto"/>
              <w:left w:val="single" w:sz="4" w:space="0" w:color="auto"/>
              <w:bottom w:val="nil"/>
              <w:right w:val="nil"/>
            </w:tcBorders>
            <w:shd w:val="clear" w:color="auto" w:fill="E7E6E6" w:themeFill="background2"/>
          </w:tcPr>
          <w:p w14:paraId="6AA8594C" w14:textId="77777777" w:rsidR="00973BB6" w:rsidRPr="00973BB6" w:rsidRDefault="00973BB6" w:rsidP="00DE6989">
            <w:pPr>
              <w:spacing w:after="0"/>
              <w:jc w:val="both"/>
              <w:rPr>
                <w:rFonts w:eastAsia="Times New Roman" w:cs="Times New Roman"/>
                <w:sz w:val="24"/>
                <w:szCs w:val="24"/>
              </w:rPr>
            </w:pPr>
            <w:r w:rsidRPr="00973BB6">
              <w:rPr>
                <w:rFonts w:eastAsia="Times New Roman" w:cs="Times New Roman"/>
                <w:sz w:val="24"/>
                <w:szCs w:val="24"/>
              </w:rPr>
              <w:t>Респираторная реабилитация</w:t>
            </w:r>
          </w:p>
        </w:tc>
        <w:tc>
          <w:tcPr>
            <w:tcW w:w="7363" w:type="dxa"/>
            <w:tcBorders>
              <w:top w:val="single" w:sz="4" w:space="0" w:color="auto"/>
              <w:left w:val="single" w:sz="4" w:space="0" w:color="auto"/>
              <w:bottom w:val="nil"/>
              <w:right w:val="single" w:sz="4" w:space="0" w:color="auto"/>
            </w:tcBorders>
            <w:vAlign w:val="bottom"/>
          </w:tcPr>
          <w:p w14:paraId="5776A10F" w14:textId="77777777" w:rsidR="00973BB6" w:rsidRPr="00973BB6" w:rsidRDefault="00973BB6" w:rsidP="00424F51">
            <w:pPr>
              <w:numPr>
                <w:ilvl w:val="0"/>
                <w:numId w:val="50"/>
              </w:numPr>
              <w:spacing w:after="0"/>
              <w:jc w:val="both"/>
              <w:rPr>
                <w:rFonts w:eastAsia="Times New Roman" w:cs="Times New Roman"/>
                <w:sz w:val="24"/>
                <w:szCs w:val="24"/>
              </w:rPr>
            </w:pPr>
            <w:r w:rsidRPr="00973BB6">
              <w:rPr>
                <w:rFonts w:eastAsia="Times New Roman" w:cs="Times New Roman"/>
                <w:sz w:val="24"/>
                <w:szCs w:val="24"/>
              </w:rPr>
              <w:t>Статические и динамические дыхательные упражнения.</w:t>
            </w:r>
          </w:p>
          <w:p w14:paraId="7D0D9E3A" w14:textId="77777777" w:rsidR="00973BB6" w:rsidRPr="00973BB6" w:rsidRDefault="00973BB6" w:rsidP="00424F51">
            <w:pPr>
              <w:numPr>
                <w:ilvl w:val="0"/>
                <w:numId w:val="50"/>
              </w:numPr>
              <w:spacing w:after="0"/>
              <w:jc w:val="both"/>
              <w:rPr>
                <w:rFonts w:eastAsia="Times New Roman" w:cs="Times New Roman"/>
                <w:sz w:val="24"/>
                <w:szCs w:val="24"/>
              </w:rPr>
            </w:pPr>
            <w:r w:rsidRPr="00973BB6">
              <w:rPr>
                <w:rFonts w:eastAsia="Times New Roman" w:cs="Times New Roman"/>
                <w:sz w:val="24"/>
                <w:szCs w:val="24"/>
              </w:rPr>
              <w:t>Активные дыхательные техники (</w:t>
            </w:r>
            <w:r w:rsidRPr="00973BB6">
              <w:rPr>
                <w:rFonts w:eastAsia="Times New Roman" w:cs="Times New Roman"/>
                <w:i/>
                <w:iCs/>
                <w:sz w:val="24"/>
                <w:szCs w:val="24"/>
              </w:rPr>
              <w:t>по показаниям</w:t>
            </w:r>
            <w:r w:rsidRPr="00973BB6">
              <w:rPr>
                <w:rFonts w:eastAsia="Times New Roman" w:cs="Times New Roman"/>
                <w:sz w:val="24"/>
                <w:szCs w:val="24"/>
              </w:rPr>
              <w:t>).</w:t>
            </w:r>
          </w:p>
          <w:p w14:paraId="0E7C18D9" w14:textId="77777777" w:rsidR="00973BB6" w:rsidRPr="00973BB6" w:rsidRDefault="00973BB6" w:rsidP="00424F51">
            <w:pPr>
              <w:numPr>
                <w:ilvl w:val="0"/>
                <w:numId w:val="50"/>
              </w:numPr>
              <w:spacing w:after="0"/>
              <w:jc w:val="both"/>
              <w:rPr>
                <w:rFonts w:eastAsia="Times New Roman" w:cs="Times New Roman"/>
                <w:sz w:val="24"/>
                <w:szCs w:val="24"/>
              </w:rPr>
            </w:pPr>
            <w:r w:rsidRPr="00973BB6">
              <w:rPr>
                <w:rFonts w:eastAsia="Times New Roman" w:cs="Times New Roman"/>
                <w:sz w:val="24"/>
                <w:szCs w:val="24"/>
              </w:rPr>
              <w:t>Коррекция нарушения дыхания во время сна (</w:t>
            </w:r>
            <w:r w:rsidRPr="00973BB6">
              <w:rPr>
                <w:rFonts w:eastAsia="Times New Roman" w:cs="Times New Roman"/>
                <w:i/>
                <w:iCs/>
                <w:sz w:val="24"/>
                <w:szCs w:val="24"/>
              </w:rPr>
              <w:t>по показаниям</w:t>
            </w:r>
            <w:r w:rsidRPr="00973BB6">
              <w:rPr>
                <w:rFonts w:eastAsia="Times New Roman" w:cs="Times New Roman"/>
                <w:sz w:val="24"/>
                <w:szCs w:val="24"/>
              </w:rPr>
              <w:t>).</w:t>
            </w:r>
          </w:p>
        </w:tc>
      </w:tr>
      <w:tr w:rsidR="00973BB6" w:rsidRPr="00973BB6" w14:paraId="6F4C65D8" w14:textId="77777777" w:rsidTr="00DE6989">
        <w:trPr>
          <w:trHeight w:val="1118"/>
        </w:trPr>
        <w:tc>
          <w:tcPr>
            <w:tcW w:w="2040" w:type="dxa"/>
            <w:tcBorders>
              <w:top w:val="single" w:sz="4" w:space="0" w:color="auto"/>
              <w:left w:val="single" w:sz="4" w:space="0" w:color="auto"/>
              <w:bottom w:val="nil"/>
              <w:right w:val="nil"/>
            </w:tcBorders>
            <w:shd w:val="clear" w:color="auto" w:fill="E7E6E6" w:themeFill="background2"/>
          </w:tcPr>
          <w:p w14:paraId="1972308B" w14:textId="77777777" w:rsidR="00973BB6" w:rsidRPr="00973BB6" w:rsidRDefault="00973BB6" w:rsidP="00DE6989">
            <w:pPr>
              <w:spacing w:after="0"/>
              <w:jc w:val="both"/>
              <w:rPr>
                <w:rFonts w:eastAsia="Times New Roman" w:cs="Times New Roman"/>
                <w:sz w:val="24"/>
                <w:szCs w:val="24"/>
              </w:rPr>
            </w:pPr>
            <w:r w:rsidRPr="00973BB6">
              <w:rPr>
                <w:rFonts w:eastAsia="Times New Roman" w:cs="Times New Roman"/>
                <w:sz w:val="24"/>
                <w:szCs w:val="24"/>
              </w:rPr>
              <w:t>Программа коррекции факторов риска</w:t>
            </w:r>
          </w:p>
        </w:tc>
        <w:tc>
          <w:tcPr>
            <w:tcW w:w="7363" w:type="dxa"/>
            <w:tcBorders>
              <w:top w:val="single" w:sz="4" w:space="0" w:color="auto"/>
              <w:left w:val="single" w:sz="4" w:space="0" w:color="auto"/>
              <w:bottom w:val="nil"/>
              <w:right w:val="single" w:sz="4" w:space="0" w:color="auto"/>
            </w:tcBorders>
            <w:vAlign w:val="bottom"/>
          </w:tcPr>
          <w:p w14:paraId="4CBCF43A" w14:textId="77777777" w:rsidR="00973BB6" w:rsidRPr="00973BB6" w:rsidRDefault="00973BB6" w:rsidP="00424F51">
            <w:pPr>
              <w:numPr>
                <w:ilvl w:val="0"/>
                <w:numId w:val="51"/>
              </w:numPr>
              <w:spacing w:after="0"/>
              <w:jc w:val="both"/>
              <w:rPr>
                <w:rFonts w:eastAsia="Times New Roman" w:cs="Times New Roman"/>
                <w:sz w:val="24"/>
                <w:szCs w:val="24"/>
              </w:rPr>
            </w:pPr>
            <w:r w:rsidRPr="00973BB6">
              <w:rPr>
                <w:rFonts w:eastAsia="Times New Roman" w:cs="Times New Roman"/>
                <w:sz w:val="24"/>
                <w:szCs w:val="24"/>
              </w:rPr>
              <w:t>Пациентам с АГ, страдающих избыточным весом или ожирением, рекомендуется включать в программу по снижению веса.</w:t>
            </w:r>
          </w:p>
          <w:p w14:paraId="07F22399" w14:textId="77777777" w:rsidR="00973BB6" w:rsidRPr="00973BB6" w:rsidRDefault="00973BB6" w:rsidP="00424F51">
            <w:pPr>
              <w:numPr>
                <w:ilvl w:val="0"/>
                <w:numId w:val="51"/>
              </w:numPr>
              <w:spacing w:after="0"/>
              <w:jc w:val="both"/>
              <w:rPr>
                <w:rFonts w:eastAsia="Times New Roman" w:cs="Times New Roman"/>
                <w:sz w:val="24"/>
                <w:szCs w:val="24"/>
              </w:rPr>
            </w:pPr>
            <w:r w:rsidRPr="00973BB6">
              <w:rPr>
                <w:rFonts w:eastAsia="Times New Roman" w:cs="Times New Roman"/>
                <w:sz w:val="24"/>
                <w:szCs w:val="24"/>
              </w:rPr>
              <w:t>Курящих пациентов с АГ рекомендуется включать в программу по отказу от курения.</w:t>
            </w:r>
          </w:p>
        </w:tc>
      </w:tr>
      <w:tr w:rsidR="00973BB6" w:rsidRPr="00973BB6" w14:paraId="49CA9CDE" w14:textId="77777777" w:rsidTr="00DE6989">
        <w:trPr>
          <w:trHeight w:val="1939"/>
        </w:trPr>
        <w:tc>
          <w:tcPr>
            <w:tcW w:w="2040" w:type="dxa"/>
            <w:vMerge w:val="restart"/>
            <w:tcBorders>
              <w:top w:val="single" w:sz="4" w:space="0" w:color="auto"/>
              <w:left w:val="single" w:sz="4" w:space="0" w:color="auto"/>
              <w:bottom w:val="nil"/>
              <w:right w:val="nil"/>
            </w:tcBorders>
            <w:shd w:val="clear" w:color="auto" w:fill="E7E6E6" w:themeFill="background2"/>
          </w:tcPr>
          <w:p w14:paraId="60EBF153" w14:textId="77777777" w:rsidR="00973BB6" w:rsidRPr="00973BB6" w:rsidRDefault="00973BB6" w:rsidP="00DE6989">
            <w:pPr>
              <w:spacing w:after="0"/>
              <w:jc w:val="both"/>
              <w:rPr>
                <w:rFonts w:eastAsia="Times New Roman" w:cs="Times New Roman"/>
                <w:sz w:val="24"/>
                <w:szCs w:val="24"/>
              </w:rPr>
            </w:pPr>
            <w:r w:rsidRPr="00973BB6">
              <w:rPr>
                <w:rFonts w:eastAsia="Times New Roman" w:cs="Times New Roman"/>
                <w:sz w:val="24"/>
                <w:szCs w:val="24"/>
              </w:rPr>
              <w:t>Образовательный аспект реабилитации</w:t>
            </w:r>
          </w:p>
        </w:tc>
        <w:tc>
          <w:tcPr>
            <w:tcW w:w="7363" w:type="dxa"/>
            <w:tcBorders>
              <w:top w:val="single" w:sz="4" w:space="0" w:color="auto"/>
              <w:left w:val="single" w:sz="4" w:space="0" w:color="auto"/>
              <w:bottom w:val="nil"/>
              <w:right w:val="single" w:sz="4" w:space="0" w:color="auto"/>
            </w:tcBorders>
            <w:vAlign w:val="bottom"/>
          </w:tcPr>
          <w:p w14:paraId="5695DFAF" w14:textId="77777777" w:rsidR="00973BB6" w:rsidRPr="00973BB6" w:rsidRDefault="00973BB6" w:rsidP="00DE6989">
            <w:pPr>
              <w:spacing w:after="0"/>
              <w:jc w:val="both"/>
              <w:rPr>
                <w:rFonts w:eastAsia="Times New Roman" w:cs="Times New Roman"/>
                <w:sz w:val="24"/>
                <w:szCs w:val="24"/>
              </w:rPr>
            </w:pPr>
            <w:r w:rsidRPr="00973BB6">
              <w:rPr>
                <w:rFonts w:eastAsia="Times New Roman" w:cs="Times New Roman"/>
                <w:i/>
                <w:iCs/>
                <w:sz w:val="24"/>
                <w:szCs w:val="24"/>
              </w:rPr>
              <w:t>Программа обучения пациента включает следующие аспекты:</w:t>
            </w:r>
          </w:p>
          <w:p w14:paraId="4EB310F1" w14:textId="77777777" w:rsidR="00973BB6" w:rsidRPr="00973BB6" w:rsidRDefault="00973BB6" w:rsidP="00424F51">
            <w:pPr>
              <w:numPr>
                <w:ilvl w:val="0"/>
                <w:numId w:val="52"/>
              </w:numPr>
              <w:spacing w:after="0"/>
              <w:jc w:val="both"/>
              <w:rPr>
                <w:rFonts w:eastAsia="Times New Roman" w:cs="Times New Roman"/>
                <w:sz w:val="24"/>
                <w:szCs w:val="24"/>
              </w:rPr>
            </w:pPr>
            <w:r w:rsidRPr="00973BB6">
              <w:rPr>
                <w:rFonts w:eastAsia="Times New Roman" w:cs="Times New Roman"/>
                <w:sz w:val="24"/>
                <w:szCs w:val="24"/>
              </w:rPr>
              <w:t>принципы здорового питания; режим бытовых нагрузок и отдыха; методы повышения ежедневной физической активности;</w:t>
            </w:r>
          </w:p>
          <w:p w14:paraId="469DDB9F" w14:textId="77777777" w:rsidR="00973BB6" w:rsidRPr="00973BB6" w:rsidRDefault="00973BB6" w:rsidP="00424F51">
            <w:pPr>
              <w:numPr>
                <w:ilvl w:val="0"/>
                <w:numId w:val="52"/>
              </w:numPr>
              <w:spacing w:after="0"/>
              <w:jc w:val="both"/>
              <w:rPr>
                <w:rFonts w:eastAsia="Times New Roman" w:cs="Times New Roman"/>
                <w:sz w:val="24"/>
                <w:szCs w:val="24"/>
              </w:rPr>
            </w:pPr>
            <w:r w:rsidRPr="00973BB6">
              <w:rPr>
                <w:rFonts w:eastAsia="Times New Roman" w:cs="Times New Roman"/>
                <w:sz w:val="24"/>
                <w:szCs w:val="24"/>
              </w:rPr>
              <w:t>методы самоконтроля состояния: ЧСС, веса тела, глюкозы крови (с помощью глюкометра при сахарном диабете), приступов стенокардии (</w:t>
            </w:r>
            <w:r w:rsidRPr="00973BB6">
              <w:rPr>
                <w:rFonts w:eastAsia="Times New Roman" w:cs="Times New Roman"/>
                <w:i/>
                <w:iCs/>
                <w:sz w:val="24"/>
                <w:szCs w:val="24"/>
              </w:rPr>
              <w:t>при их наличии</w:t>
            </w:r>
            <w:r w:rsidRPr="00973BB6">
              <w:rPr>
                <w:rFonts w:eastAsia="Times New Roman" w:cs="Times New Roman"/>
                <w:sz w:val="24"/>
                <w:szCs w:val="24"/>
              </w:rPr>
              <w:t>);</w:t>
            </w:r>
          </w:p>
          <w:p w14:paraId="30FF3615" w14:textId="77777777" w:rsidR="00973BB6" w:rsidRPr="00973BB6" w:rsidRDefault="00973BB6" w:rsidP="00424F51">
            <w:pPr>
              <w:numPr>
                <w:ilvl w:val="0"/>
                <w:numId w:val="52"/>
              </w:numPr>
              <w:spacing w:after="0"/>
              <w:jc w:val="both"/>
              <w:rPr>
                <w:rFonts w:eastAsia="Times New Roman" w:cs="Times New Roman"/>
                <w:sz w:val="24"/>
                <w:szCs w:val="24"/>
              </w:rPr>
            </w:pPr>
            <w:r w:rsidRPr="00973BB6">
              <w:rPr>
                <w:rFonts w:eastAsia="Times New Roman" w:cs="Times New Roman"/>
                <w:sz w:val="24"/>
                <w:szCs w:val="24"/>
              </w:rPr>
              <w:t>мониторинг АД в домашних условиях.</w:t>
            </w:r>
          </w:p>
        </w:tc>
      </w:tr>
      <w:tr w:rsidR="00973BB6" w:rsidRPr="00973BB6" w14:paraId="61AD8D65" w14:textId="77777777" w:rsidTr="00DE6989">
        <w:trPr>
          <w:trHeight w:val="1397"/>
        </w:trPr>
        <w:tc>
          <w:tcPr>
            <w:tcW w:w="2040" w:type="dxa"/>
            <w:vMerge/>
            <w:tcBorders>
              <w:top w:val="nil"/>
              <w:left w:val="single" w:sz="4" w:space="0" w:color="auto"/>
              <w:bottom w:val="single" w:sz="4" w:space="0" w:color="auto"/>
              <w:right w:val="nil"/>
            </w:tcBorders>
            <w:shd w:val="clear" w:color="auto" w:fill="E7E6E6" w:themeFill="background2"/>
          </w:tcPr>
          <w:p w14:paraId="7CF0D74C" w14:textId="77777777" w:rsidR="00973BB6" w:rsidRPr="00973BB6" w:rsidRDefault="00973BB6" w:rsidP="00424F51">
            <w:pPr>
              <w:numPr>
                <w:ilvl w:val="0"/>
                <w:numId w:val="52"/>
              </w:numPr>
              <w:spacing w:after="0"/>
              <w:jc w:val="both"/>
              <w:rPr>
                <w:rFonts w:eastAsia="Times New Roman" w:cs="Times New Roman"/>
                <w:sz w:val="24"/>
                <w:szCs w:val="24"/>
              </w:rPr>
            </w:pPr>
          </w:p>
        </w:tc>
        <w:tc>
          <w:tcPr>
            <w:tcW w:w="7363" w:type="dxa"/>
            <w:tcBorders>
              <w:top w:val="single" w:sz="4" w:space="0" w:color="auto"/>
              <w:left w:val="single" w:sz="4" w:space="0" w:color="auto"/>
              <w:bottom w:val="single" w:sz="4" w:space="0" w:color="auto"/>
              <w:right w:val="single" w:sz="4" w:space="0" w:color="auto"/>
            </w:tcBorders>
            <w:vAlign w:val="bottom"/>
          </w:tcPr>
          <w:p w14:paraId="3E8078F8" w14:textId="77777777" w:rsidR="00973BB6" w:rsidRPr="00973BB6" w:rsidRDefault="00973BB6" w:rsidP="00DE6989">
            <w:pPr>
              <w:spacing w:after="0"/>
              <w:jc w:val="both"/>
              <w:rPr>
                <w:rFonts w:eastAsia="Times New Roman" w:cs="Times New Roman"/>
                <w:sz w:val="24"/>
                <w:szCs w:val="24"/>
              </w:rPr>
            </w:pPr>
            <w:r w:rsidRPr="00973BB6">
              <w:rPr>
                <w:rFonts w:eastAsia="Times New Roman" w:cs="Times New Roman"/>
                <w:i/>
                <w:iCs/>
                <w:sz w:val="24"/>
                <w:szCs w:val="24"/>
              </w:rPr>
              <w:t>Информирование пациента:</w:t>
            </w:r>
            <w:r w:rsidRPr="00973BB6">
              <w:rPr>
                <w:rFonts w:eastAsia="Times New Roman" w:cs="Times New Roman"/>
                <w:sz w:val="24"/>
                <w:szCs w:val="24"/>
              </w:rPr>
              <w:t xml:space="preserve"> по вопросам, связанным с заболеванием, его лечением и профилактикой; приверженности сопутствующей терапии и тренировкам в домашних условиях (</w:t>
            </w:r>
            <w:r w:rsidRPr="00973BB6">
              <w:rPr>
                <w:rFonts w:eastAsia="Times New Roman" w:cs="Times New Roman"/>
                <w:i/>
                <w:iCs/>
                <w:sz w:val="24"/>
                <w:szCs w:val="24"/>
              </w:rPr>
              <w:t>желательно, чтобы устная информация дублировалась визуальной - текстом, схемой, рисунком</w:t>
            </w:r>
            <w:r w:rsidRPr="00973BB6">
              <w:rPr>
                <w:rFonts w:eastAsia="Times New Roman" w:cs="Times New Roman"/>
                <w:sz w:val="24"/>
                <w:szCs w:val="24"/>
              </w:rPr>
              <w:t>).</w:t>
            </w:r>
          </w:p>
        </w:tc>
      </w:tr>
      <w:tr w:rsidR="00DE6989" w:rsidRPr="00DE6989" w14:paraId="1A8C37EF" w14:textId="77777777" w:rsidTr="00DE6989">
        <w:trPr>
          <w:trHeight w:val="295"/>
        </w:trPr>
        <w:tc>
          <w:tcPr>
            <w:tcW w:w="2040" w:type="dxa"/>
            <w:vMerge/>
            <w:tcBorders>
              <w:top w:val="nil"/>
              <w:left w:val="single" w:sz="4" w:space="0" w:color="auto"/>
              <w:bottom w:val="single" w:sz="4" w:space="0" w:color="auto"/>
              <w:right w:val="nil"/>
            </w:tcBorders>
            <w:shd w:val="clear" w:color="auto" w:fill="E7E6E6" w:themeFill="background2"/>
          </w:tcPr>
          <w:p w14:paraId="5A164A96" w14:textId="77777777" w:rsidR="00DE6989" w:rsidRPr="00DE6989" w:rsidRDefault="00DE6989" w:rsidP="00DE6989">
            <w:pPr>
              <w:spacing w:after="0"/>
              <w:rPr>
                <w:rFonts w:ascii="Courier New" w:eastAsia="Times New Roman" w:hAnsi="Courier New" w:cs="Courier New"/>
                <w:kern w:val="0"/>
                <w:sz w:val="24"/>
                <w:szCs w:val="24"/>
                <w:lang w:eastAsia="ru-RU"/>
              </w:rPr>
            </w:pPr>
          </w:p>
        </w:tc>
        <w:tc>
          <w:tcPr>
            <w:tcW w:w="7363" w:type="dxa"/>
            <w:tcBorders>
              <w:top w:val="single" w:sz="4" w:space="0" w:color="auto"/>
              <w:left w:val="single" w:sz="4" w:space="0" w:color="auto"/>
              <w:bottom w:val="single" w:sz="4" w:space="0" w:color="auto"/>
              <w:right w:val="single" w:sz="4" w:space="0" w:color="auto"/>
            </w:tcBorders>
            <w:vAlign w:val="bottom"/>
          </w:tcPr>
          <w:p w14:paraId="24382FBD" w14:textId="77777777" w:rsidR="00DE6989" w:rsidRPr="00DE6989" w:rsidRDefault="00DE6989" w:rsidP="00DE6989">
            <w:pPr>
              <w:spacing w:after="0"/>
              <w:jc w:val="both"/>
              <w:rPr>
                <w:rFonts w:eastAsia="Times New Roman" w:cs="Times New Roman"/>
                <w:sz w:val="24"/>
                <w:szCs w:val="24"/>
              </w:rPr>
            </w:pPr>
            <w:r w:rsidRPr="00DE6989">
              <w:rPr>
                <w:rFonts w:eastAsia="Times New Roman" w:cs="Times New Roman"/>
                <w:sz w:val="24"/>
                <w:szCs w:val="24"/>
              </w:rPr>
              <w:t>- Рекомендации по сексуальной активности.</w:t>
            </w:r>
          </w:p>
        </w:tc>
      </w:tr>
      <w:tr w:rsidR="00DE6989" w:rsidRPr="00DE6989" w14:paraId="087C591C" w14:textId="77777777" w:rsidTr="00DE6989">
        <w:trPr>
          <w:trHeight w:val="1397"/>
        </w:trPr>
        <w:tc>
          <w:tcPr>
            <w:tcW w:w="2040" w:type="dxa"/>
            <w:vMerge/>
            <w:tcBorders>
              <w:top w:val="nil"/>
              <w:left w:val="single" w:sz="4" w:space="0" w:color="auto"/>
              <w:bottom w:val="single" w:sz="4" w:space="0" w:color="auto"/>
              <w:right w:val="nil"/>
            </w:tcBorders>
            <w:shd w:val="clear" w:color="auto" w:fill="E7E6E6" w:themeFill="background2"/>
          </w:tcPr>
          <w:p w14:paraId="104A903D" w14:textId="77777777" w:rsidR="00DE6989" w:rsidRPr="00DE6989" w:rsidRDefault="00DE6989" w:rsidP="00DE6989">
            <w:pPr>
              <w:spacing w:after="0"/>
              <w:rPr>
                <w:rFonts w:ascii="Courier New" w:eastAsia="Times New Roman" w:hAnsi="Courier New" w:cs="Courier New"/>
                <w:kern w:val="0"/>
                <w:sz w:val="24"/>
                <w:szCs w:val="24"/>
                <w:lang w:eastAsia="ru-RU"/>
              </w:rPr>
            </w:pPr>
          </w:p>
        </w:tc>
        <w:tc>
          <w:tcPr>
            <w:tcW w:w="7363" w:type="dxa"/>
            <w:tcBorders>
              <w:top w:val="single" w:sz="4" w:space="0" w:color="auto"/>
              <w:left w:val="single" w:sz="4" w:space="0" w:color="auto"/>
              <w:bottom w:val="single" w:sz="4" w:space="0" w:color="auto"/>
              <w:right w:val="single" w:sz="4" w:space="0" w:color="auto"/>
            </w:tcBorders>
            <w:vAlign w:val="bottom"/>
          </w:tcPr>
          <w:p w14:paraId="178C216B" w14:textId="77777777" w:rsidR="00DE6989" w:rsidRDefault="00DE6989" w:rsidP="00DE6989">
            <w:pPr>
              <w:spacing w:after="0"/>
              <w:jc w:val="both"/>
              <w:rPr>
                <w:rFonts w:eastAsia="Times New Roman" w:cs="Times New Roman"/>
                <w:sz w:val="24"/>
                <w:szCs w:val="24"/>
              </w:rPr>
            </w:pPr>
            <w:r w:rsidRPr="00DE6989">
              <w:rPr>
                <w:rFonts w:eastAsia="Times New Roman" w:cs="Times New Roman"/>
                <w:sz w:val="24"/>
                <w:szCs w:val="24"/>
              </w:rPr>
              <w:t>- Ведение дневника самоконтроля самочувствия и АД с указанием доз принимаемых АГП, выполнения физических занятий дома с фиксацией результатов.</w:t>
            </w:r>
          </w:p>
          <w:p w14:paraId="75EAD49E" w14:textId="77777777" w:rsidR="00DE6989" w:rsidRDefault="00DE6989" w:rsidP="00DE6989">
            <w:pPr>
              <w:spacing w:after="0"/>
              <w:jc w:val="both"/>
              <w:rPr>
                <w:rFonts w:eastAsia="Times New Roman" w:cs="Times New Roman"/>
                <w:sz w:val="24"/>
                <w:szCs w:val="24"/>
              </w:rPr>
            </w:pPr>
          </w:p>
          <w:p w14:paraId="4CEBADEE" w14:textId="77777777" w:rsidR="00DE6989" w:rsidRPr="00DE6989" w:rsidRDefault="00DE6989" w:rsidP="00DE6989">
            <w:pPr>
              <w:spacing w:after="0"/>
              <w:jc w:val="both"/>
              <w:rPr>
                <w:rFonts w:eastAsia="Times New Roman" w:cs="Times New Roman"/>
                <w:sz w:val="24"/>
                <w:szCs w:val="24"/>
              </w:rPr>
            </w:pPr>
          </w:p>
        </w:tc>
      </w:tr>
      <w:tr w:rsidR="00DE6989" w:rsidRPr="00DE6989" w14:paraId="2C5758E6" w14:textId="77777777" w:rsidTr="00DE6989">
        <w:trPr>
          <w:trHeight w:val="261"/>
        </w:trPr>
        <w:tc>
          <w:tcPr>
            <w:tcW w:w="2040" w:type="dxa"/>
            <w:vMerge/>
            <w:tcBorders>
              <w:top w:val="nil"/>
              <w:left w:val="single" w:sz="4" w:space="0" w:color="auto"/>
              <w:bottom w:val="single" w:sz="4" w:space="0" w:color="auto"/>
              <w:right w:val="nil"/>
            </w:tcBorders>
            <w:shd w:val="clear" w:color="auto" w:fill="E7E6E6" w:themeFill="background2"/>
          </w:tcPr>
          <w:p w14:paraId="25732BE4" w14:textId="77777777" w:rsidR="00DE6989" w:rsidRPr="00DE6989" w:rsidRDefault="00DE6989" w:rsidP="00DE6989">
            <w:pPr>
              <w:spacing w:after="0"/>
              <w:rPr>
                <w:rFonts w:ascii="Courier New" w:eastAsia="Times New Roman" w:hAnsi="Courier New" w:cs="Courier New"/>
                <w:kern w:val="0"/>
                <w:sz w:val="24"/>
                <w:szCs w:val="24"/>
                <w:lang w:eastAsia="ru-RU"/>
              </w:rPr>
            </w:pPr>
            <w:r w:rsidRPr="00DE6989">
              <w:rPr>
                <w:rFonts w:eastAsia="Times New Roman" w:cs="Times New Roman"/>
                <w:color w:val="000000"/>
                <w:kern w:val="0"/>
                <w:sz w:val="24"/>
                <w:szCs w:val="24"/>
                <w:lang w:eastAsia="ru-RU"/>
              </w:rPr>
              <w:t>Питание</w:t>
            </w:r>
          </w:p>
        </w:tc>
        <w:tc>
          <w:tcPr>
            <w:tcW w:w="7363" w:type="dxa"/>
            <w:tcBorders>
              <w:top w:val="single" w:sz="4" w:space="0" w:color="auto"/>
              <w:left w:val="single" w:sz="4" w:space="0" w:color="auto"/>
              <w:bottom w:val="single" w:sz="4" w:space="0" w:color="auto"/>
              <w:right w:val="single" w:sz="4" w:space="0" w:color="auto"/>
            </w:tcBorders>
            <w:vAlign w:val="bottom"/>
          </w:tcPr>
          <w:p w14:paraId="4E677D74" w14:textId="77777777" w:rsidR="00DE6989" w:rsidRPr="00DE6989" w:rsidRDefault="00DE6989" w:rsidP="00424F51">
            <w:pPr>
              <w:numPr>
                <w:ilvl w:val="0"/>
                <w:numId w:val="49"/>
              </w:numPr>
              <w:tabs>
                <w:tab w:val="left" w:pos="154"/>
              </w:tabs>
              <w:spacing w:after="0"/>
              <w:rPr>
                <w:rFonts w:eastAsia="Times New Roman" w:cs="Times New Roman"/>
                <w:sz w:val="24"/>
                <w:szCs w:val="24"/>
              </w:rPr>
            </w:pPr>
            <w:r w:rsidRPr="00DE6989">
              <w:rPr>
                <w:rFonts w:eastAsia="Times New Roman" w:cs="Times New Roman"/>
                <w:sz w:val="24"/>
                <w:szCs w:val="24"/>
              </w:rPr>
              <w:t xml:space="preserve">Сбалансированное по составу питание (богатое цельными зернами, фруктами, овощами, полиненасыщенными жирами и молочными </w:t>
            </w:r>
            <w:r w:rsidRPr="00DE6989">
              <w:rPr>
                <w:rFonts w:eastAsia="Times New Roman" w:cs="Times New Roman"/>
                <w:sz w:val="24"/>
                <w:szCs w:val="24"/>
              </w:rPr>
              <w:lastRenderedPageBreak/>
              <w:t>продуктами с низким содержанием жира, сокращение продуктов с высоким содержанием сахара, насыщенных жиров и транс-жиров).</w:t>
            </w:r>
          </w:p>
          <w:p w14:paraId="7344AABF" w14:textId="77777777" w:rsidR="00DE6989" w:rsidRPr="00DE6989" w:rsidRDefault="00DE6989" w:rsidP="00424F51">
            <w:pPr>
              <w:numPr>
                <w:ilvl w:val="0"/>
                <w:numId w:val="49"/>
              </w:numPr>
              <w:tabs>
                <w:tab w:val="left" w:pos="154"/>
              </w:tabs>
              <w:spacing w:after="0"/>
              <w:rPr>
                <w:rFonts w:eastAsia="Times New Roman" w:cs="Times New Roman"/>
                <w:sz w:val="24"/>
                <w:szCs w:val="24"/>
              </w:rPr>
            </w:pPr>
            <w:r w:rsidRPr="00DE6989">
              <w:rPr>
                <w:rFonts w:eastAsia="Times New Roman" w:cs="Times New Roman"/>
                <w:sz w:val="24"/>
                <w:szCs w:val="24"/>
              </w:rPr>
              <w:t xml:space="preserve">Контроль водно-солевого баланса (ограничение потребления </w:t>
            </w:r>
            <w:proofErr w:type="gramStart"/>
            <w:r w:rsidRPr="00DE6989">
              <w:rPr>
                <w:rFonts w:eastAsia="Times New Roman" w:cs="Times New Roman"/>
                <w:sz w:val="24"/>
                <w:szCs w:val="24"/>
              </w:rPr>
              <w:t>соли&lt;</w:t>
            </w:r>
            <w:proofErr w:type="gramEnd"/>
            <w:r w:rsidRPr="00DE6989">
              <w:rPr>
                <w:rFonts w:eastAsia="Times New Roman" w:cs="Times New Roman"/>
                <w:sz w:val="24"/>
                <w:szCs w:val="24"/>
              </w:rPr>
              <w:t>5 г в день, отказ от привычки досаливания готовой пищи).</w:t>
            </w:r>
          </w:p>
        </w:tc>
      </w:tr>
      <w:tr w:rsidR="00DE6989" w:rsidRPr="00DE6989" w14:paraId="0CBA406A" w14:textId="77777777" w:rsidTr="00DE6989">
        <w:trPr>
          <w:trHeight w:val="1397"/>
        </w:trPr>
        <w:tc>
          <w:tcPr>
            <w:tcW w:w="2040" w:type="dxa"/>
            <w:vMerge/>
            <w:tcBorders>
              <w:top w:val="nil"/>
              <w:left w:val="single" w:sz="4" w:space="0" w:color="auto"/>
              <w:bottom w:val="single" w:sz="4" w:space="0" w:color="auto"/>
              <w:right w:val="nil"/>
            </w:tcBorders>
            <w:shd w:val="clear" w:color="auto" w:fill="E7E6E6" w:themeFill="background2"/>
          </w:tcPr>
          <w:p w14:paraId="2DFA3E9B" w14:textId="77777777" w:rsidR="00DE6989" w:rsidRPr="00DE6989" w:rsidRDefault="00DE6989" w:rsidP="00DE6989">
            <w:pPr>
              <w:spacing w:after="0"/>
              <w:rPr>
                <w:rFonts w:ascii="Courier New" w:eastAsia="Times New Roman" w:hAnsi="Courier New" w:cs="Courier New"/>
                <w:kern w:val="0"/>
                <w:sz w:val="24"/>
                <w:szCs w:val="24"/>
                <w:lang w:eastAsia="ru-RU"/>
              </w:rPr>
            </w:pPr>
            <w:r w:rsidRPr="00DE6989">
              <w:rPr>
                <w:rFonts w:eastAsia="Times New Roman" w:cs="Times New Roman"/>
                <w:color w:val="000000"/>
                <w:kern w:val="0"/>
                <w:sz w:val="24"/>
                <w:szCs w:val="24"/>
                <w:lang w:eastAsia="ru-RU"/>
              </w:rPr>
              <w:t>Психологическая</w:t>
            </w:r>
          </w:p>
          <w:p w14:paraId="74408BFC" w14:textId="77777777" w:rsidR="00DE6989" w:rsidRPr="00DE6989" w:rsidRDefault="00DE6989" w:rsidP="00DE6989">
            <w:pPr>
              <w:spacing w:after="0"/>
              <w:rPr>
                <w:rFonts w:ascii="Courier New" w:eastAsia="Times New Roman" w:hAnsi="Courier New" w:cs="Courier New"/>
                <w:kern w:val="0"/>
                <w:sz w:val="24"/>
                <w:szCs w:val="24"/>
                <w:lang w:eastAsia="ru-RU"/>
              </w:rPr>
            </w:pPr>
            <w:r w:rsidRPr="00DE6989">
              <w:rPr>
                <w:rFonts w:eastAsia="Times New Roman" w:cs="Times New Roman"/>
                <w:color w:val="000000"/>
                <w:kern w:val="0"/>
                <w:sz w:val="24"/>
                <w:szCs w:val="24"/>
                <w:lang w:eastAsia="ru-RU"/>
              </w:rPr>
              <w:t>поддержка</w:t>
            </w:r>
          </w:p>
        </w:tc>
        <w:tc>
          <w:tcPr>
            <w:tcW w:w="7363" w:type="dxa"/>
            <w:tcBorders>
              <w:top w:val="single" w:sz="4" w:space="0" w:color="auto"/>
              <w:left w:val="single" w:sz="4" w:space="0" w:color="auto"/>
              <w:bottom w:val="single" w:sz="4" w:space="0" w:color="auto"/>
              <w:right w:val="single" w:sz="4" w:space="0" w:color="auto"/>
            </w:tcBorders>
            <w:vAlign w:val="bottom"/>
          </w:tcPr>
          <w:p w14:paraId="6B472DEB" w14:textId="77777777" w:rsidR="00DE6989" w:rsidRPr="00DE6989" w:rsidRDefault="00DE6989" w:rsidP="00424F51">
            <w:pPr>
              <w:numPr>
                <w:ilvl w:val="0"/>
                <w:numId w:val="50"/>
              </w:numPr>
              <w:tabs>
                <w:tab w:val="left" w:pos="139"/>
              </w:tabs>
              <w:spacing w:after="0"/>
              <w:rPr>
                <w:rFonts w:eastAsia="Times New Roman" w:cs="Times New Roman"/>
                <w:sz w:val="24"/>
                <w:szCs w:val="24"/>
              </w:rPr>
            </w:pPr>
            <w:r w:rsidRPr="00DE6989">
              <w:rPr>
                <w:rFonts w:eastAsia="Times New Roman" w:cs="Times New Roman"/>
                <w:sz w:val="24"/>
                <w:szCs w:val="24"/>
              </w:rPr>
              <w:t>Скрининг симптомов тревоги/депрессии (по показаниям).</w:t>
            </w:r>
          </w:p>
          <w:p w14:paraId="24B97574" w14:textId="77777777" w:rsidR="00DE6989" w:rsidRPr="00DE6989" w:rsidRDefault="00DE6989" w:rsidP="00424F51">
            <w:pPr>
              <w:numPr>
                <w:ilvl w:val="0"/>
                <w:numId w:val="50"/>
              </w:numPr>
              <w:tabs>
                <w:tab w:val="left" w:pos="139"/>
              </w:tabs>
              <w:spacing w:after="0"/>
              <w:rPr>
                <w:rFonts w:eastAsia="Times New Roman" w:cs="Times New Roman"/>
                <w:sz w:val="24"/>
                <w:szCs w:val="24"/>
              </w:rPr>
            </w:pPr>
            <w:r w:rsidRPr="00DE6989">
              <w:rPr>
                <w:rFonts w:eastAsia="Times New Roman" w:cs="Times New Roman"/>
                <w:sz w:val="24"/>
                <w:szCs w:val="24"/>
              </w:rPr>
              <w:t>Формирование позитивной мотивации на выздоровление.</w:t>
            </w:r>
          </w:p>
          <w:p w14:paraId="79DB97F6" w14:textId="77777777" w:rsidR="00DE6989" w:rsidRPr="00DE6989" w:rsidRDefault="00DE6989" w:rsidP="00424F51">
            <w:pPr>
              <w:numPr>
                <w:ilvl w:val="0"/>
                <w:numId w:val="50"/>
              </w:numPr>
              <w:tabs>
                <w:tab w:val="left" w:pos="139"/>
              </w:tabs>
              <w:spacing w:after="0"/>
              <w:rPr>
                <w:rFonts w:eastAsia="Times New Roman" w:cs="Times New Roman"/>
                <w:sz w:val="24"/>
                <w:szCs w:val="24"/>
              </w:rPr>
            </w:pPr>
            <w:r w:rsidRPr="00DE6989">
              <w:rPr>
                <w:rFonts w:eastAsia="Times New Roman" w:cs="Times New Roman"/>
                <w:sz w:val="24"/>
                <w:szCs w:val="24"/>
              </w:rPr>
              <w:t>Рациональная фармакотерапия (по показаниям).</w:t>
            </w:r>
          </w:p>
          <w:p w14:paraId="7861BABD" w14:textId="77777777" w:rsidR="00DE6989" w:rsidRPr="00DE6989" w:rsidRDefault="00DE6989" w:rsidP="00424F51">
            <w:pPr>
              <w:numPr>
                <w:ilvl w:val="0"/>
                <w:numId w:val="50"/>
              </w:numPr>
              <w:tabs>
                <w:tab w:val="left" w:pos="139"/>
              </w:tabs>
              <w:spacing w:after="0"/>
              <w:rPr>
                <w:rFonts w:eastAsia="Times New Roman" w:cs="Times New Roman"/>
                <w:sz w:val="24"/>
                <w:szCs w:val="24"/>
              </w:rPr>
            </w:pPr>
            <w:r w:rsidRPr="00DE6989">
              <w:rPr>
                <w:rFonts w:eastAsia="Times New Roman" w:cs="Times New Roman"/>
                <w:sz w:val="24"/>
                <w:szCs w:val="24"/>
              </w:rPr>
              <w:t>Коррекция нарушений сна (при наличии)</w:t>
            </w:r>
          </w:p>
          <w:p w14:paraId="5845E6F6" w14:textId="77777777" w:rsidR="00DE6989" w:rsidRPr="00DE6989" w:rsidRDefault="00DE6989" w:rsidP="00424F51">
            <w:pPr>
              <w:numPr>
                <w:ilvl w:val="0"/>
                <w:numId w:val="50"/>
              </w:numPr>
              <w:tabs>
                <w:tab w:val="left" w:pos="139"/>
              </w:tabs>
              <w:spacing w:after="0"/>
              <w:rPr>
                <w:rFonts w:eastAsia="Times New Roman" w:cs="Times New Roman"/>
                <w:sz w:val="24"/>
                <w:szCs w:val="24"/>
              </w:rPr>
            </w:pPr>
            <w:r w:rsidRPr="00DE6989">
              <w:rPr>
                <w:rFonts w:eastAsia="Times New Roman" w:cs="Times New Roman"/>
                <w:sz w:val="24"/>
                <w:szCs w:val="24"/>
              </w:rPr>
              <w:t>Консультация клинического психолога/психотерапевта (по показаниям, при выявлении клинических нарушений психологического статуса ).</w:t>
            </w:r>
          </w:p>
        </w:tc>
      </w:tr>
      <w:tr w:rsidR="00DE6989" w:rsidRPr="00DE6989" w14:paraId="4F7CF0A8" w14:textId="77777777" w:rsidTr="00DE6989">
        <w:trPr>
          <w:trHeight w:val="481"/>
        </w:trPr>
        <w:tc>
          <w:tcPr>
            <w:tcW w:w="2040" w:type="dxa"/>
            <w:vMerge/>
            <w:tcBorders>
              <w:top w:val="nil"/>
              <w:left w:val="single" w:sz="4" w:space="0" w:color="auto"/>
              <w:bottom w:val="single" w:sz="4" w:space="0" w:color="auto"/>
              <w:right w:val="nil"/>
            </w:tcBorders>
            <w:shd w:val="clear" w:color="auto" w:fill="E7E6E6" w:themeFill="background2"/>
          </w:tcPr>
          <w:p w14:paraId="6045DC33" w14:textId="77777777" w:rsidR="00DE6989" w:rsidRPr="00DE6989" w:rsidRDefault="00DE6989" w:rsidP="00DE6989">
            <w:pPr>
              <w:spacing w:after="0"/>
              <w:rPr>
                <w:rFonts w:ascii="Courier New" w:eastAsia="Times New Roman" w:hAnsi="Courier New" w:cs="Courier New"/>
                <w:kern w:val="0"/>
                <w:sz w:val="24"/>
                <w:szCs w:val="24"/>
                <w:lang w:eastAsia="ru-RU"/>
              </w:rPr>
            </w:pPr>
            <w:r w:rsidRPr="00DE6989">
              <w:rPr>
                <w:rFonts w:eastAsia="Times New Roman" w:cs="Times New Roman"/>
                <w:color w:val="000000"/>
                <w:kern w:val="0"/>
                <w:sz w:val="24"/>
                <w:szCs w:val="24"/>
                <w:lang w:eastAsia="ru-RU"/>
              </w:rPr>
              <w:t>Телетехнологии</w:t>
            </w:r>
          </w:p>
        </w:tc>
        <w:tc>
          <w:tcPr>
            <w:tcW w:w="7363" w:type="dxa"/>
            <w:tcBorders>
              <w:top w:val="single" w:sz="4" w:space="0" w:color="auto"/>
              <w:left w:val="single" w:sz="4" w:space="0" w:color="auto"/>
              <w:bottom w:val="single" w:sz="4" w:space="0" w:color="auto"/>
              <w:right w:val="single" w:sz="4" w:space="0" w:color="auto"/>
            </w:tcBorders>
            <w:vAlign w:val="bottom"/>
          </w:tcPr>
          <w:p w14:paraId="731D8B7B" w14:textId="77777777" w:rsidR="00DE6989" w:rsidRPr="00DE6989" w:rsidRDefault="00DE6989" w:rsidP="00DE6989">
            <w:pPr>
              <w:spacing w:after="0"/>
              <w:jc w:val="both"/>
              <w:rPr>
                <w:rFonts w:eastAsia="Times New Roman" w:cs="Times New Roman"/>
                <w:sz w:val="24"/>
                <w:szCs w:val="24"/>
              </w:rPr>
            </w:pPr>
            <w:r w:rsidRPr="00DE6989">
              <w:rPr>
                <w:rFonts w:eastAsia="Times New Roman" w:cs="Times New Roman"/>
                <w:sz w:val="24"/>
                <w:szCs w:val="24"/>
              </w:rPr>
              <w:t>- Применение дистанционных реабилитационных технологий.</w:t>
            </w:r>
          </w:p>
        </w:tc>
      </w:tr>
    </w:tbl>
    <w:p w14:paraId="07294A5B" w14:textId="77777777" w:rsidR="00B875F0" w:rsidRDefault="00B875F0" w:rsidP="00B875F0">
      <w:pPr>
        <w:spacing w:after="0" w:line="360" w:lineRule="auto"/>
        <w:jc w:val="both"/>
        <w:rPr>
          <w:rFonts w:eastAsia="Times New Roman" w:cs="Times New Roman"/>
          <w:b/>
          <w:bCs/>
          <w:sz w:val="24"/>
          <w:szCs w:val="24"/>
        </w:rPr>
      </w:pPr>
    </w:p>
    <w:p w14:paraId="3443E4CB" w14:textId="77777777" w:rsidR="00D403B6" w:rsidRDefault="00B875F0" w:rsidP="00D403B6">
      <w:pPr>
        <w:spacing w:after="0" w:line="360" w:lineRule="auto"/>
        <w:jc w:val="right"/>
        <w:rPr>
          <w:rFonts w:eastAsia="Times New Roman" w:cs="Times New Roman"/>
          <w:b/>
          <w:bCs/>
          <w:sz w:val="24"/>
          <w:szCs w:val="24"/>
        </w:rPr>
      </w:pPr>
      <w:r w:rsidRPr="00B875F0">
        <w:rPr>
          <w:rFonts w:eastAsia="Times New Roman" w:cs="Times New Roman"/>
          <w:b/>
          <w:bCs/>
          <w:sz w:val="24"/>
          <w:szCs w:val="24"/>
        </w:rPr>
        <w:t>Таблица П23/</w:t>
      </w:r>
      <w:r w:rsidR="00FB33EA">
        <w:rPr>
          <w:rFonts w:eastAsia="Times New Roman" w:cs="Times New Roman"/>
          <w:b/>
          <w:bCs/>
          <w:sz w:val="24"/>
          <w:szCs w:val="24"/>
        </w:rPr>
        <w:t>А2</w:t>
      </w:r>
      <w:r w:rsidRPr="00B875F0">
        <w:rPr>
          <w:rFonts w:eastAsia="Times New Roman" w:cs="Times New Roman"/>
          <w:b/>
          <w:bCs/>
          <w:sz w:val="24"/>
          <w:szCs w:val="24"/>
        </w:rPr>
        <w:t xml:space="preserve">. </w:t>
      </w:r>
    </w:p>
    <w:p w14:paraId="5616390F" w14:textId="451E3E2C" w:rsidR="00B875F0" w:rsidRDefault="00B875F0" w:rsidP="00B875F0">
      <w:pPr>
        <w:spacing w:after="0" w:line="360" w:lineRule="auto"/>
        <w:jc w:val="both"/>
        <w:rPr>
          <w:rFonts w:eastAsia="Times New Roman" w:cs="Times New Roman"/>
          <w:b/>
          <w:bCs/>
          <w:sz w:val="24"/>
          <w:szCs w:val="24"/>
        </w:rPr>
      </w:pPr>
      <w:r w:rsidRPr="00B875F0">
        <w:rPr>
          <w:rFonts w:eastAsia="Times New Roman" w:cs="Times New Roman"/>
          <w:b/>
          <w:bCs/>
          <w:sz w:val="24"/>
          <w:szCs w:val="24"/>
        </w:rPr>
        <w:t xml:space="preserve">Механизмы регуляции АД. Адаптировано из </w:t>
      </w:r>
      <w:r w:rsidRPr="00B875F0">
        <w:rPr>
          <w:rFonts w:eastAsia="Times New Roman" w:cs="Times New Roman"/>
          <w:sz w:val="24"/>
          <w:szCs w:val="24"/>
        </w:rPr>
        <w:t>[12]</w:t>
      </w:r>
      <w:r w:rsidRPr="00B875F0">
        <w:rPr>
          <w:rFonts w:eastAsia="Times New Roman" w:cs="Times New Roman"/>
          <w:b/>
          <w:bCs/>
          <w:sz w:val="24"/>
          <w:szCs w:val="24"/>
        </w:rPr>
        <w:t xml:space="preserve"> </w:t>
      </w:r>
    </w:p>
    <w:p w14:paraId="2D97D08A" w14:textId="77777777" w:rsidR="00B875F0" w:rsidRPr="00B875F0" w:rsidRDefault="00B875F0" w:rsidP="00B875F0">
      <w:pPr>
        <w:spacing w:after="0" w:line="360" w:lineRule="auto"/>
        <w:jc w:val="both"/>
        <w:rPr>
          <w:rFonts w:eastAsia="Times New Roman" w:cs="Times New Roman"/>
          <w:b/>
          <w:bCs/>
          <w:sz w:val="24"/>
          <w:szCs w:val="24"/>
        </w:rPr>
      </w:pPr>
      <w:r>
        <w:rPr>
          <w:noProof/>
          <w:lang w:eastAsia="ru-RU"/>
        </w:rPr>
        <w:drawing>
          <wp:inline distT="0" distB="0" distL="0" distR="0" wp14:anchorId="223AC9A6" wp14:editId="4456A645">
            <wp:extent cx="5936615" cy="3339465"/>
            <wp:effectExtent l="0" t="0" r="6985" b="0"/>
            <wp:docPr id="17752281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228113" name=""/>
                    <pic:cNvPicPr/>
                  </pic:nvPicPr>
                  <pic:blipFill>
                    <a:blip r:embed="rId41" cstate="print"/>
                    <a:stretch>
                      <a:fillRect/>
                    </a:stretch>
                  </pic:blipFill>
                  <pic:spPr>
                    <a:xfrm>
                      <a:off x="0" y="0"/>
                      <a:ext cx="5936615" cy="3339465"/>
                    </a:xfrm>
                    <a:prstGeom prst="rect">
                      <a:avLst/>
                    </a:prstGeom>
                  </pic:spPr>
                </pic:pic>
              </a:graphicData>
            </a:graphic>
          </wp:inline>
        </w:drawing>
      </w:r>
    </w:p>
    <w:p w14:paraId="28B8D851" w14:textId="77777777" w:rsidR="00D403B6" w:rsidRDefault="00B875F0" w:rsidP="00D403B6">
      <w:pPr>
        <w:spacing w:after="0" w:line="360" w:lineRule="auto"/>
        <w:jc w:val="right"/>
        <w:rPr>
          <w:rFonts w:eastAsia="Times New Roman" w:cs="Times New Roman"/>
          <w:b/>
          <w:bCs/>
          <w:sz w:val="24"/>
          <w:szCs w:val="24"/>
        </w:rPr>
      </w:pPr>
      <w:r w:rsidRPr="00B875F0">
        <w:rPr>
          <w:rFonts w:eastAsia="Times New Roman" w:cs="Times New Roman"/>
          <w:b/>
          <w:bCs/>
          <w:sz w:val="24"/>
          <w:szCs w:val="24"/>
        </w:rPr>
        <w:t>Таблица П24/</w:t>
      </w:r>
      <w:r w:rsidR="00FB33EA">
        <w:rPr>
          <w:rFonts w:eastAsia="Times New Roman" w:cs="Times New Roman"/>
          <w:b/>
          <w:bCs/>
          <w:sz w:val="24"/>
          <w:szCs w:val="24"/>
        </w:rPr>
        <w:t>А2</w:t>
      </w:r>
      <w:r w:rsidRPr="00B875F0">
        <w:rPr>
          <w:rFonts w:eastAsia="Times New Roman" w:cs="Times New Roman"/>
          <w:b/>
          <w:bCs/>
          <w:sz w:val="24"/>
          <w:szCs w:val="24"/>
        </w:rPr>
        <w:t xml:space="preserve">. </w:t>
      </w:r>
    </w:p>
    <w:p w14:paraId="3427FAAD" w14:textId="2BAD0C2D" w:rsidR="00B875F0" w:rsidRPr="00B875F0" w:rsidRDefault="00B875F0" w:rsidP="00B875F0">
      <w:pPr>
        <w:spacing w:after="0" w:line="360" w:lineRule="auto"/>
        <w:jc w:val="both"/>
        <w:rPr>
          <w:rFonts w:eastAsia="Times New Roman" w:cs="Times New Roman"/>
          <w:b/>
          <w:bCs/>
          <w:sz w:val="24"/>
          <w:szCs w:val="24"/>
        </w:rPr>
      </w:pPr>
      <w:r w:rsidRPr="00B875F0">
        <w:rPr>
          <w:rFonts w:eastAsia="Times New Roman" w:cs="Times New Roman"/>
          <w:b/>
          <w:bCs/>
          <w:sz w:val="24"/>
          <w:szCs w:val="24"/>
        </w:rPr>
        <w:t xml:space="preserve">Распространенность и типичные причины вторичных гипертензий в различных возрастных группах </w:t>
      </w:r>
    </w:p>
    <w:tbl>
      <w:tblPr>
        <w:tblW w:w="0" w:type="auto"/>
        <w:tblInd w:w="-5" w:type="dxa"/>
        <w:tblLayout w:type="fixed"/>
        <w:tblCellMar>
          <w:left w:w="0" w:type="dxa"/>
          <w:right w:w="0" w:type="dxa"/>
        </w:tblCellMar>
        <w:tblLook w:val="0000" w:firstRow="0" w:lastRow="0" w:firstColumn="0" w:lastColumn="0" w:noHBand="0" w:noVBand="0"/>
      </w:tblPr>
      <w:tblGrid>
        <w:gridCol w:w="2971"/>
        <w:gridCol w:w="1747"/>
        <w:gridCol w:w="4195"/>
      </w:tblGrid>
      <w:tr w:rsidR="00B875F0" w:rsidRPr="00B875F0" w14:paraId="0AB1DE73" w14:textId="77777777">
        <w:trPr>
          <w:trHeight w:val="288"/>
        </w:trPr>
        <w:tc>
          <w:tcPr>
            <w:tcW w:w="2971" w:type="dxa"/>
            <w:tcBorders>
              <w:top w:val="single" w:sz="4" w:space="0" w:color="auto"/>
              <w:left w:val="single" w:sz="4" w:space="0" w:color="auto"/>
              <w:bottom w:val="nil"/>
              <w:right w:val="nil"/>
            </w:tcBorders>
            <w:vAlign w:val="bottom"/>
          </w:tcPr>
          <w:p w14:paraId="7CC88FB1" w14:textId="77777777" w:rsidR="00B875F0" w:rsidRPr="00B875F0" w:rsidRDefault="00B875F0" w:rsidP="00B875F0">
            <w:pPr>
              <w:spacing w:after="0"/>
              <w:jc w:val="both"/>
              <w:rPr>
                <w:rFonts w:eastAsia="Times New Roman" w:cs="Times New Roman"/>
                <w:sz w:val="24"/>
                <w:szCs w:val="24"/>
              </w:rPr>
            </w:pPr>
            <w:r w:rsidRPr="00B875F0">
              <w:rPr>
                <w:rFonts w:eastAsia="Times New Roman" w:cs="Times New Roman"/>
                <w:b/>
                <w:bCs/>
                <w:sz w:val="24"/>
                <w:szCs w:val="24"/>
              </w:rPr>
              <w:t>Возрастная группа</w:t>
            </w:r>
          </w:p>
        </w:tc>
        <w:tc>
          <w:tcPr>
            <w:tcW w:w="1747" w:type="dxa"/>
            <w:tcBorders>
              <w:top w:val="single" w:sz="4" w:space="0" w:color="auto"/>
              <w:left w:val="single" w:sz="4" w:space="0" w:color="auto"/>
              <w:bottom w:val="nil"/>
              <w:right w:val="nil"/>
            </w:tcBorders>
            <w:vAlign w:val="bottom"/>
          </w:tcPr>
          <w:p w14:paraId="353D7921" w14:textId="77777777" w:rsidR="00B875F0" w:rsidRPr="00B875F0" w:rsidRDefault="00B875F0" w:rsidP="00B875F0">
            <w:pPr>
              <w:spacing w:after="0"/>
              <w:jc w:val="both"/>
              <w:rPr>
                <w:rFonts w:eastAsia="Times New Roman" w:cs="Times New Roman"/>
                <w:sz w:val="24"/>
                <w:szCs w:val="24"/>
              </w:rPr>
            </w:pPr>
            <w:r w:rsidRPr="00B875F0">
              <w:rPr>
                <w:rFonts w:eastAsia="Times New Roman" w:cs="Times New Roman"/>
                <w:b/>
                <w:bCs/>
                <w:sz w:val="24"/>
                <w:szCs w:val="24"/>
              </w:rPr>
              <w:t>Частота (%)</w:t>
            </w:r>
          </w:p>
        </w:tc>
        <w:tc>
          <w:tcPr>
            <w:tcW w:w="4195" w:type="dxa"/>
            <w:tcBorders>
              <w:top w:val="single" w:sz="4" w:space="0" w:color="auto"/>
              <w:left w:val="single" w:sz="4" w:space="0" w:color="auto"/>
              <w:bottom w:val="nil"/>
              <w:right w:val="single" w:sz="4" w:space="0" w:color="auto"/>
            </w:tcBorders>
            <w:vAlign w:val="bottom"/>
          </w:tcPr>
          <w:p w14:paraId="125CBC56" w14:textId="77777777" w:rsidR="00B875F0" w:rsidRPr="00B875F0" w:rsidRDefault="00B875F0" w:rsidP="00B875F0">
            <w:pPr>
              <w:spacing w:after="0"/>
              <w:jc w:val="both"/>
              <w:rPr>
                <w:rFonts w:eastAsia="Times New Roman" w:cs="Times New Roman"/>
                <w:sz w:val="24"/>
                <w:szCs w:val="24"/>
              </w:rPr>
            </w:pPr>
            <w:r w:rsidRPr="00B875F0">
              <w:rPr>
                <w:rFonts w:eastAsia="Times New Roman" w:cs="Times New Roman"/>
                <w:b/>
                <w:bCs/>
                <w:sz w:val="24"/>
                <w:szCs w:val="24"/>
              </w:rPr>
              <w:t>Типичные причины</w:t>
            </w:r>
          </w:p>
        </w:tc>
      </w:tr>
      <w:tr w:rsidR="00B875F0" w:rsidRPr="00B875F0" w14:paraId="4160E369" w14:textId="77777777">
        <w:trPr>
          <w:trHeight w:val="845"/>
        </w:trPr>
        <w:tc>
          <w:tcPr>
            <w:tcW w:w="2971" w:type="dxa"/>
            <w:tcBorders>
              <w:top w:val="single" w:sz="4" w:space="0" w:color="auto"/>
              <w:left w:val="single" w:sz="4" w:space="0" w:color="auto"/>
              <w:bottom w:val="single" w:sz="4" w:space="0" w:color="auto"/>
              <w:right w:val="nil"/>
            </w:tcBorders>
          </w:tcPr>
          <w:p w14:paraId="64AFA5E3" w14:textId="77777777" w:rsidR="00B875F0" w:rsidRPr="00B875F0" w:rsidRDefault="00B875F0" w:rsidP="00B875F0">
            <w:pPr>
              <w:spacing w:after="0"/>
              <w:jc w:val="both"/>
              <w:rPr>
                <w:rFonts w:eastAsia="Times New Roman" w:cs="Times New Roman"/>
                <w:sz w:val="24"/>
                <w:szCs w:val="24"/>
              </w:rPr>
            </w:pPr>
            <w:r w:rsidRPr="00B875F0">
              <w:rPr>
                <w:rFonts w:eastAsia="Times New Roman" w:cs="Times New Roman"/>
                <w:sz w:val="24"/>
                <w:szCs w:val="24"/>
              </w:rPr>
              <w:t>Дети (&lt;12 лет)</w:t>
            </w:r>
          </w:p>
        </w:tc>
        <w:tc>
          <w:tcPr>
            <w:tcW w:w="1747" w:type="dxa"/>
            <w:tcBorders>
              <w:top w:val="single" w:sz="4" w:space="0" w:color="auto"/>
              <w:left w:val="single" w:sz="4" w:space="0" w:color="auto"/>
              <w:bottom w:val="single" w:sz="4" w:space="0" w:color="auto"/>
              <w:right w:val="nil"/>
            </w:tcBorders>
          </w:tcPr>
          <w:p w14:paraId="417BD393" w14:textId="77777777" w:rsidR="00B875F0" w:rsidRPr="00B875F0" w:rsidRDefault="00B875F0" w:rsidP="00B875F0">
            <w:pPr>
              <w:spacing w:after="0"/>
              <w:jc w:val="both"/>
              <w:rPr>
                <w:rFonts w:eastAsia="Times New Roman" w:cs="Times New Roman"/>
                <w:sz w:val="24"/>
                <w:szCs w:val="24"/>
              </w:rPr>
            </w:pPr>
            <w:r w:rsidRPr="00B875F0">
              <w:rPr>
                <w:rFonts w:eastAsia="Times New Roman" w:cs="Times New Roman"/>
                <w:sz w:val="24"/>
                <w:szCs w:val="24"/>
              </w:rPr>
              <w:t>70-85</w:t>
            </w:r>
          </w:p>
        </w:tc>
        <w:tc>
          <w:tcPr>
            <w:tcW w:w="4195" w:type="dxa"/>
            <w:tcBorders>
              <w:top w:val="single" w:sz="4" w:space="0" w:color="auto"/>
              <w:left w:val="single" w:sz="4" w:space="0" w:color="auto"/>
              <w:bottom w:val="single" w:sz="4" w:space="0" w:color="auto"/>
              <w:right w:val="single" w:sz="4" w:space="0" w:color="auto"/>
            </w:tcBorders>
            <w:vAlign w:val="bottom"/>
          </w:tcPr>
          <w:p w14:paraId="46708DA3" w14:textId="77777777" w:rsidR="00B875F0" w:rsidRPr="00B875F0" w:rsidRDefault="00B875F0" w:rsidP="00B875F0">
            <w:pPr>
              <w:spacing w:after="0"/>
              <w:jc w:val="both"/>
              <w:rPr>
                <w:rFonts w:eastAsia="Times New Roman" w:cs="Times New Roman"/>
                <w:sz w:val="24"/>
                <w:szCs w:val="24"/>
              </w:rPr>
            </w:pPr>
            <w:r w:rsidRPr="00B875F0">
              <w:rPr>
                <w:rFonts w:eastAsia="Times New Roman" w:cs="Times New Roman"/>
                <w:sz w:val="24"/>
                <w:szCs w:val="24"/>
              </w:rPr>
              <w:t>Ренопаренхиматозные заболевания</w:t>
            </w:r>
          </w:p>
          <w:p w14:paraId="66F67AE2" w14:textId="77777777" w:rsidR="00B875F0" w:rsidRPr="00B875F0" w:rsidRDefault="00B875F0" w:rsidP="00B875F0">
            <w:pPr>
              <w:spacing w:after="0"/>
              <w:jc w:val="both"/>
              <w:rPr>
                <w:rFonts w:eastAsia="Times New Roman" w:cs="Times New Roman"/>
                <w:sz w:val="24"/>
                <w:szCs w:val="24"/>
              </w:rPr>
            </w:pPr>
            <w:r w:rsidRPr="00B875F0">
              <w:rPr>
                <w:rFonts w:eastAsia="Times New Roman" w:cs="Times New Roman"/>
                <w:sz w:val="24"/>
                <w:szCs w:val="24"/>
              </w:rPr>
              <w:t>Коарктация аорты</w:t>
            </w:r>
          </w:p>
          <w:p w14:paraId="18D513AF" w14:textId="77777777" w:rsidR="00B875F0" w:rsidRPr="00B875F0" w:rsidRDefault="00B875F0" w:rsidP="00B875F0">
            <w:pPr>
              <w:spacing w:after="0"/>
              <w:jc w:val="both"/>
              <w:rPr>
                <w:rFonts w:eastAsia="Times New Roman" w:cs="Times New Roman"/>
                <w:sz w:val="24"/>
                <w:szCs w:val="24"/>
              </w:rPr>
            </w:pPr>
            <w:r w:rsidRPr="00B875F0">
              <w:rPr>
                <w:rFonts w:eastAsia="Times New Roman" w:cs="Times New Roman"/>
                <w:sz w:val="24"/>
                <w:szCs w:val="24"/>
              </w:rPr>
              <w:t>Моногенные заболевания</w:t>
            </w:r>
          </w:p>
        </w:tc>
      </w:tr>
      <w:tr w:rsidR="00B875F0" w:rsidRPr="00B875F0" w14:paraId="3F379712" w14:textId="77777777" w:rsidTr="00B875F0">
        <w:trPr>
          <w:trHeight w:val="845"/>
        </w:trPr>
        <w:tc>
          <w:tcPr>
            <w:tcW w:w="2971" w:type="dxa"/>
            <w:tcBorders>
              <w:top w:val="single" w:sz="4" w:space="0" w:color="auto"/>
              <w:left w:val="single" w:sz="4" w:space="0" w:color="auto"/>
              <w:bottom w:val="single" w:sz="4" w:space="0" w:color="auto"/>
              <w:right w:val="nil"/>
            </w:tcBorders>
          </w:tcPr>
          <w:p w14:paraId="3D010DE2" w14:textId="77777777" w:rsidR="00B875F0" w:rsidRPr="00B875F0" w:rsidRDefault="00B875F0" w:rsidP="00B875F0">
            <w:pPr>
              <w:spacing w:after="0"/>
              <w:jc w:val="both"/>
              <w:rPr>
                <w:rFonts w:eastAsia="Times New Roman" w:cs="Times New Roman"/>
                <w:sz w:val="24"/>
                <w:szCs w:val="24"/>
              </w:rPr>
            </w:pPr>
            <w:r w:rsidRPr="00B875F0">
              <w:rPr>
                <w:rFonts w:eastAsia="Times New Roman" w:cs="Times New Roman"/>
                <w:sz w:val="24"/>
                <w:szCs w:val="24"/>
              </w:rPr>
              <w:t>Подростки (12–18 лет)</w:t>
            </w:r>
          </w:p>
        </w:tc>
        <w:tc>
          <w:tcPr>
            <w:tcW w:w="1747" w:type="dxa"/>
            <w:tcBorders>
              <w:top w:val="single" w:sz="4" w:space="0" w:color="auto"/>
              <w:left w:val="single" w:sz="4" w:space="0" w:color="auto"/>
              <w:bottom w:val="single" w:sz="4" w:space="0" w:color="auto"/>
              <w:right w:val="nil"/>
            </w:tcBorders>
          </w:tcPr>
          <w:p w14:paraId="6C7E6FAA" w14:textId="77777777" w:rsidR="00B875F0" w:rsidRPr="00B875F0" w:rsidRDefault="00B875F0" w:rsidP="00B875F0">
            <w:pPr>
              <w:spacing w:after="0"/>
              <w:jc w:val="both"/>
              <w:rPr>
                <w:rFonts w:eastAsia="Times New Roman" w:cs="Times New Roman"/>
                <w:sz w:val="24"/>
                <w:szCs w:val="24"/>
              </w:rPr>
            </w:pPr>
            <w:r w:rsidRPr="00B875F0">
              <w:rPr>
                <w:rFonts w:eastAsia="Times New Roman" w:cs="Times New Roman"/>
                <w:sz w:val="24"/>
                <w:szCs w:val="24"/>
              </w:rPr>
              <w:t>10–15</w:t>
            </w:r>
          </w:p>
        </w:tc>
        <w:tc>
          <w:tcPr>
            <w:tcW w:w="4195" w:type="dxa"/>
            <w:tcBorders>
              <w:top w:val="single" w:sz="4" w:space="0" w:color="auto"/>
              <w:left w:val="single" w:sz="4" w:space="0" w:color="auto"/>
              <w:bottom w:val="single" w:sz="4" w:space="0" w:color="auto"/>
              <w:right w:val="single" w:sz="4" w:space="0" w:color="auto"/>
            </w:tcBorders>
            <w:vAlign w:val="bottom"/>
          </w:tcPr>
          <w:p w14:paraId="498EC16C" w14:textId="77777777" w:rsidR="00B875F0" w:rsidRPr="00B875F0" w:rsidRDefault="00B875F0" w:rsidP="00B875F0">
            <w:pPr>
              <w:spacing w:after="0"/>
              <w:jc w:val="both"/>
              <w:rPr>
                <w:rFonts w:eastAsia="Times New Roman" w:cs="Times New Roman"/>
                <w:sz w:val="24"/>
                <w:szCs w:val="24"/>
              </w:rPr>
            </w:pPr>
            <w:r w:rsidRPr="00B875F0">
              <w:rPr>
                <w:rFonts w:eastAsia="Times New Roman" w:cs="Times New Roman"/>
                <w:sz w:val="24"/>
                <w:szCs w:val="24"/>
              </w:rPr>
              <w:t>Ренопаренхиматозные заболевания</w:t>
            </w:r>
          </w:p>
          <w:p w14:paraId="049F1F09" w14:textId="77777777" w:rsidR="00B875F0" w:rsidRPr="00B875F0" w:rsidRDefault="00B875F0" w:rsidP="00B875F0">
            <w:pPr>
              <w:spacing w:after="0"/>
              <w:jc w:val="both"/>
              <w:rPr>
                <w:rFonts w:eastAsia="Times New Roman" w:cs="Times New Roman"/>
                <w:sz w:val="24"/>
                <w:szCs w:val="24"/>
              </w:rPr>
            </w:pPr>
            <w:r w:rsidRPr="00B875F0">
              <w:rPr>
                <w:rFonts w:eastAsia="Times New Roman" w:cs="Times New Roman"/>
                <w:sz w:val="24"/>
                <w:szCs w:val="24"/>
              </w:rPr>
              <w:t>Коарктация аорты</w:t>
            </w:r>
          </w:p>
          <w:p w14:paraId="677644BB" w14:textId="77777777" w:rsidR="00B875F0" w:rsidRPr="00B875F0" w:rsidRDefault="00B875F0" w:rsidP="00B875F0">
            <w:pPr>
              <w:spacing w:after="0"/>
              <w:jc w:val="both"/>
              <w:rPr>
                <w:rFonts w:eastAsia="Times New Roman" w:cs="Times New Roman"/>
                <w:sz w:val="24"/>
                <w:szCs w:val="24"/>
              </w:rPr>
            </w:pPr>
            <w:r w:rsidRPr="00B875F0">
              <w:rPr>
                <w:rFonts w:eastAsia="Times New Roman" w:cs="Times New Roman"/>
                <w:sz w:val="24"/>
                <w:szCs w:val="24"/>
              </w:rPr>
              <w:t>Моногенные заболевания</w:t>
            </w:r>
          </w:p>
        </w:tc>
      </w:tr>
      <w:tr w:rsidR="00B875F0" w:rsidRPr="00B875F0" w14:paraId="2FCB1F44" w14:textId="77777777" w:rsidTr="00B875F0">
        <w:trPr>
          <w:trHeight w:val="845"/>
        </w:trPr>
        <w:tc>
          <w:tcPr>
            <w:tcW w:w="2971" w:type="dxa"/>
            <w:tcBorders>
              <w:top w:val="single" w:sz="4" w:space="0" w:color="auto"/>
              <w:left w:val="single" w:sz="4" w:space="0" w:color="auto"/>
              <w:bottom w:val="single" w:sz="4" w:space="0" w:color="auto"/>
              <w:right w:val="nil"/>
            </w:tcBorders>
          </w:tcPr>
          <w:p w14:paraId="52AB5EE9" w14:textId="77777777" w:rsidR="00B875F0" w:rsidRPr="00B875F0" w:rsidRDefault="00B875F0" w:rsidP="00B875F0">
            <w:pPr>
              <w:spacing w:after="0"/>
              <w:jc w:val="both"/>
              <w:rPr>
                <w:rFonts w:eastAsia="Times New Roman" w:cs="Times New Roman"/>
                <w:sz w:val="24"/>
                <w:szCs w:val="24"/>
              </w:rPr>
            </w:pPr>
            <w:r w:rsidRPr="00B875F0">
              <w:rPr>
                <w:rFonts w:eastAsia="Times New Roman" w:cs="Times New Roman"/>
                <w:sz w:val="24"/>
                <w:szCs w:val="24"/>
              </w:rPr>
              <w:lastRenderedPageBreak/>
              <w:t>Молодые (19–40 лет)</w:t>
            </w:r>
          </w:p>
        </w:tc>
        <w:tc>
          <w:tcPr>
            <w:tcW w:w="1747" w:type="dxa"/>
            <w:tcBorders>
              <w:top w:val="single" w:sz="4" w:space="0" w:color="auto"/>
              <w:left w:val="single" w:sz="4" w:space="0" w:color="auto"/>
              <w:bottom w:val="single" w:sz="4" w:space="0" w:color="auto"/>
              <w:right w:val="nil"/>
            </w:tcBorders>
          </w:tcPr>
          <w:p w14:paraId="1364F487" w14:textId="77777777" w:rsidR="00B875F0" w:rsidRPr="00B875F0" w:rsidRDefault="00B875F0" w:rsidP="00B875F0">
            <w:pPr>
              <w:spacing w:after="0"/>
              <w:jc w:val="both"/>
              <w:rPr>
                <w:rFonts w:eastAsia="Times New Roman" w:cs="Times New Roman"/>
                <w:sz w:val="24"/>
                <w:szCs w:val="24"/>
              </w:rPr>
            </w:pPr>
            <w:r w:rsidRPr="00B875F0">
              <w:rPr>
                <w:rFonts w:eastAsia="Times New Roman" w:cs="Times New Roman"/>
                <w:sz w:val="24"/>
                <w:szCs w:val="24"/>
              </w:rPr>
              <w:t>5–10</w:t>
            </w:r>
          </w:p>
        </w:tc>
        <w:tc>
          <w:tcPr>
            <w:tcW w:w="4195" w:type="dxa"/>
            <w:tcBorders>
              <w:top w:val="single" w:sz="4" w:space="0" w:color="auto"/>
              <w:left w:val="single" w:sz="4" w:space="0" w:color="auto"/>
              <w:bottom w:val="single" w:sz="4" w:space="0" w:color="auto"/>
              <w:right w:val="single" w:sz="4" w:space="0" w:color="auto"/>
            </w:tcBorders>
            <w:vAlign w:val="bottom"/>
          </w:tcPr>
          <w:p w14:paraId="23059764" w14:textId="77777777" w:rsidR="00B875F0" w:rsidRPr="00B875F0" w:rsidRDefault="00B875F0" w:rsidP="00B875F0">
            <w:pPr>
              <w:spacing w:after="0"/>
              <w:jc w:val="both"/>
              <w:rPr>
                <w:rFonts w:eastAsia="Times New Roman" w:cs="Times New Roman"/>
                <w:sz w:val="24"/>
                <w:szCs w:val="24"/>
              </w:rPr>
            </w:pPr>
            <w:r w:rsidRPr="00B875F0">
              <w:rPr>
                <w:rFonts w:eastAsia="Times New Roman" w:cs="Times New Roman"/>
                <w:sz w:val="24"/>
                <w:szCs w:val="24"/>
              </w:rPr>
              <w:t>Ренопаренхиматозные заболевания</w:t>
            </w:r>
          </w:p>
          <w:p w14:paraId="288DA195" w14:textId="77777777" w:rsidR="00B875F0" w:rsidRPr="00B875F0" w:rsidRDefault="00B875F0" w:rsidP="00B875F0">
            <w:pPr>
              <w:spacing w:after="0"/>
              <w:jc w:val="both"/>
              <w:rPr>
                <w:rFonts w:eastAsia="Times New Roman" w:cs="Times New Roman"/>
                <w:sz w:val="24"/>
                <w:szCs w:val="24"/>
              </w:rPr>
            </w:pPr>
            <w:r w:rsidRPr="00B875F0">
              <w:rPr>
                <w:rFonts w:eastAsia="Times New Roman" w:cs="Times New Roman"/>
                <w:sz w:val="24"/>
                <w:szCs w:val="24"/>
              </w:rPr>
              <w:t>Фибромускулярная дисплазия</w:t>
            </w:r>
          </w:p>
          <w:p w14:paraId="5C7CAB31" w14:textId="77777777" w:rsidR="00B875F0" w:rsidRPr="00B875F0" w:rsidRDefault="00B875F0" w:rsidP="00B875F0">
            <w:pPr>
              <w:spacing w:after="0"/>
              <w:jc w:val="both"/>
              <w:rPr>
                <w:rFonts w:eastAsia="Times New Roman" w:cs="Times New Roman"/>
                <w:sz w:val="24"/>
                <w:szCs w:val="24"/>
              </w:rPr>
            </w:pPr>
            <w:r w:rsidRPr="00B875F0">
              <w:rPr>
                <w:rFonts w:eastAsia="Times New Roman" w:cs="Times New Roman"/>
                <w:sz w:val="24"/>
                <w:szCs w:val="24"/>
              </w:rPr>
              <w:t>Недиагностированные</w:t>
            </w:r>
            <w:r w:rsidRPr="00B875F0">
              <w:rPr>
                <w:rFonts w:eastAsia="Times New Roman" w:cs="Times New Roman"/>
                <w:sz w:val="24"/>
                <w:szCs w:val="24"/>
              </w:rPr>
              <w:tab/>
              <w:t>моногенные</w:t>
            </w:r>
          </w:p>
          <w:p w14:paraId="35C05D61" w14:textId="77777777" w:rsidR="00B875F0" w:rsidRPr="00B875F0" w:rsidRDefault="00B875F0" w:rsidP="00B875F0">
            <w:pPr>
              <w:spacing w:after="0"/>
              <w:jc w:val="both"/>
              <w:rPr>
                <w:rFonts w:eastAsia="Times New Roman" w:cs="Times New Roman"/>
                <w:sz w:val="24"/>
                <w:szCs w:val="24"/>
              </w:rPr>
            </w:pPr>
            <w:r w:rsidRPr="00B875F0">
              <w:rPr>
                <w:rFonts w:eastAsia="Times New Roman" w:cs="Times New Roman"/>
                <w:sz w:val="24"/>
                <w:szCs w:val="24"/>
              </w:rPr>
              <w:t>заболевания</w:t>
            </w:r>
          </w:p>
        </w:tc>
      </w:tr>
      <w:tr w:rsidR="00B875F0" w:rsidRPr="00B875F0" w14:paraId="5138B1D0" w14:textId="77777777" w:rsidTr="00B875F0">
        <w:trPr>
          <w:trHeight w:val="845"/>
        </w:trPr>
        <w:tc>
          <w:tcPr>
            <w:tcW w:w="2971" w:type="dxa"/>
            <w:tcBorders>
              <w:top w:val="single" w:sz="4" w:space="0" w:color="auto"/>
              <w:left w:val="single" w:sz="4" w:space="0" w:color="auto"/>
              <w:bottom w:val="single" w:sz="4" w:space="0" w:color="auto"/>
              <w:right w:val="nil"/>
            </w:tcBorders>
          </w:tcPr>
          <w:p w14:paraId="1E7B430E" w14:textId="77777777" w:rsidR="00B875F0" w:rsidRPr="00B875F0" w:rsidRDefault="00B875F0" w:rsidP="00B875F0">
            <w:pPr>
              <w:spacing w:after="0"/>
              <w:jc w:val="both"/>
              <w:rPr>
                <w:rFonts w:eastAsia="Times New Roman" w:cs="Times New Roman"/>
                <w:sz w:val="24"/>
                <w:szCs w:val="24"/>
              </w:rPr>
            </w:pPr>
            <w:r w:rsidRPr="00B875F0">
              <w:rPr>
                <w:rFonts w:eastAsia="Times New Roman" w:cs="Times New Roman"/>
                <w:sz w:val="24"/>
                <w:szCs w:val="24"/>
              </w:rPr>
              <w:t>Средний возраст (41–59</w:t>
            </w:r>
          </w:p>
        </w:tc>
        <w:tc>
          <w:tcPr>
            <w:tcW w:w="1747" w:type="dxa"/>
            <w:tcBorders>
              <w:top w:val="single" w:sz="4" w:space="0" w:color="auto"/>
              <w:left w:val="single" w:sz="4" w:space="0" w:color="auto"/>
              <w:bottom w:val="single" w:sz="4" w:space="0" w:color="auto"/>
              <w:right w:val="nil"/>
            </w:tcBorders>
          </w:tcPr>
          <w:p w14:paraId="79C83145" w14:textId="77777777" w:rsidR="00B875F0" w:rsidRPr="00B875F0" w:rsidRDefault="00B875F0" w:rsidP="00B875F0">
            <w:pPr>
              <w:spacing w:after="0"/>
              <w:jc w:val="both"/>
              <w:rPr>
                <w:rFonts w:eastAsia="Times New Roman" w:cs="Times New Roman"/>
                <w:sz w:val="24"/>
                <w:szCs w:val="24"/>
              </w:rPr>
            </w:pPr>
            <w:r w:rsidRPr="00B875F0">
              <w:rPr>
                <w:rFonts w:eastAsia="Times New Roman" w:cs="Times New Roman"/>
                <w:sz w:val="24"/>
                <w:szCs w:val="24"/>
              </w:rPr>
              <w:t>5–15</w:t>
            </w:r>
          </w:p>
        </w:tc>
        <w:tc>
          <w:tcPr>
            <w:tcW w:w="4195" w:type="dxa"/>
            <w:tcBorders>
              <w:top w:val="single" w:sz="4" w:space="0" w:color="auto"/>
              <w:left w:val="single" w:sz="4" w:space="0" w:color="auto"/>
              <w:bottom w:val="single" w:sz="4" w:space="0" w:color="auto"/>
              <w:right w:val="single" w:sz="4" w:space="0" w:color="auto"/>
            </w:tcBorders>
            <w:vAlign w:val="bottom"/>
          </w:tcPr>
          <w:p w14:paraId="10172552" w14:textId="77777777" w:rsidR="00B875F0" w:rsidRPr="00B875F0" w:rsidRDefault="00B875F0" w:rsidP="00B875F0">
            <w:pPr>
              <w:spacing w:after="0"/>
              <w:jc w:val="both"/>
              <w:rPr>
                <w:rFonts w:eastAsia="Times New Roman" w:cs="Times New Roman"/>
                <w:sz w:val="24"/>
                <w:szCs w:val="24"/>
              </w:rPr>
            </w:pPr>
            <w:r w:rsidRPr="00B875F0">
              <w:rPr>
                <w:rFonts w:eastAsia="Times New Roman" w:cs="Times New Roman"/>
                <w:sz w:val="24"/>
                <w:szCs w:val="24"/>
              </w:rPr>
              <w:t>Первичный альдостеронизм</w:t>
            </w:r>
          </w:p>
          <w:p w14:paraId="62FF7B00" w14:textId="77777777" w:rsidR="00B875F0" w:rsidRPr="00B875F0" w:rsidRDefault="00B875F0" w:rsidP="00B875F0">
            <w:pPr>
              <w:spacing w:after="0"/>
              <w:jc w:val="both"/>
              <w:rPr>
                <w:rFonts w:eastAsia="Times New Roman" w:cs="Times New Roman"/>
                <w:sz w:val="24"/>
                <w:szCs w:val="24"/>
              </w:rPr>
            </w:pPr>
            <w:r w:rsidRPr="00B875F0">
              <w:rPr>
                <w:rFonts w:eastAsia="Times New Roman" w:cs="Times New Roman"/>
                <w:sz w:val="24"/>
                <w:szCs w:val="24"/>
              </w:rPr>
              <w:t>Обструктивное ночное апноэ</w:t>
            </w:r>
          </w:p>
          <w:p w14:paraId="7E1EA263" w14:textId="77777777" w:rsidR="00B875F0" w:rsidRPr="00B875F0" w:rsidRDefault="00B875F0" w:rsidP="00B875F0">
            <w:pPr>
              <w:spacing w:after="0"/>
              <w:jc w:val="both"/>
              <w:rPr>
                <w:rFonts w:eastAsia="Times New Roman" w:cs="Times New Roman"/>
                <w:sz w:val="24"/>
                <w:szCs w:val="24"/>
              </w:rPr>
            </w:pPr>
            <w:r w:rsidRPr="00B875F0">
              <w:rPr>
                <w:rFonts w:eastAsia="Times New Roman" w:cs="Times New Roman"/>
                <w:sz w:val="24"/>
                <w:szCs w:val="24"/>
              </w:rPr>
              <w:t>Синдром Кушинга</w:t>
            </w:r>
          </w:p>
          <w:p w14:paraId="7848A5AD" w14:textId="77777777" w:rsidR="00B875F0" w:rsidRPr="00B875F0" w:rsidRDefault="00B875F0" w:rsidP="00B875F0">
            <w:pPr>
              <w:spacing w:after="0"/>
              <w:jc w:val="both"/>
              <w:rPr>
                <w:rFonts w:eastAsia="Times New Roman" w:cs="Times New Roman"/>
                <w:sz w:val="24"/>
                <w:szCs w:val="24"/>
              </w:rPr>
            </w:pPr>
            <w:r w:rsidRPr="00B875F0">
              <w:rPr>
                <w:rFonts w:eastAsia="Times New Roman" w:cs="Times New Roman"/>
                <w:sz w:val="24"/>
                <w:szCs w:val="24"/>
              </w:rPr>
              <w:t>Феохромоцитома</w:t>
            </w:r>
          </w:p>
          <w:p w14:paraId="1608C57A" w14:textId="77777777" w:rsidR="00B875F0" w:rsidRPr="00B875F0" w:rsidRDefault="00B875F0" w:rsidP="00B875F0">
            <w:pPr>
              <w:spacing w:after="0"/>
              <w:jc w:val="both"/>
              <w:rPr>
                <w:rFonts w:eastAsia="Times New Roman" w:cs="Times New Roman"/>
                <w:sz w:val="24"/>
                <w:szCs w:val="24"/>
              </w:rPr>
            </w:pPr>
            <w:r w:rsidRPr="00B875F0">
              <w:rPr>
                <w:rFonts w:eastAsia="Times New Roman" w:cs="Times New Roman"/>
                <w:sz w:val="24"/>
                <w:szCs w:val="24"/>
              </w:rPr>
              <w:t>Ренопаренхиматозные заболевания</w:t>
            </w:r>
          </w:p>
          <w:p w14:paraId="698C94E3" w14:textId="77777777" w:rsidR="00B875F0" w:rsidRPr="00B875F0" w:rsidRDefault="00B875F0" w:rsidP="00B875F0">
            <w:pPr>
              <w:spacing w:after="0"/>
              <w:jc w:val="both"/>
              <w:rPr>
                <w:rFonts w:eastAsia="Times New Roman" w:cs="Times New Roman"/>
                <w:sz w:val="24"/>
                <w:szCs w:val="24"/>
              </w:rPr>
            </w:pPr>
            <w:r w:rsidRPr="00B875F0">
              <w:rPr>
                <w:rFonts w:eastAsia="Times New Roman" w:cs="Times New Roman"/>
                <w:sz w:val="24"/>
                <w:szCs w:val="24"/>
              </w:rPr>
              <w:t>Атеросклероз почечных артерий</w:t>
            </w:r>
          </w:p>
        </w:tc>
      </w:tr>
      <w:tr w:rsidR="00B875F0" w:rsidRPr="00B875F0" w14:paraId="1E87A1D6" w14:textId="77777777" w:rsidTr="00B875F0">
        <w:trPr>
          <w:trHeight w:val="845"/>
        </w:trPr>
        <w:tc>
          <w:tcPr>
            <w:tcW w:w="2971" w:type="dxa"/>
            <w:tcBorders>
              <w:top w:val="single" w:sz="4" w:space="0" w:color="auto"/>
              <w:left w:val="single" w:sz="4" w:space="0" w:color="auto"/>
              <w:bottom w:val="single" w:sz="4" w:space="0" w:color="auto"/>
              <w:right w:val="nil"/>
            </w:tcBorders>
          </w:tcPr>
          <w:p w14:paraId="070A613E" w14:textId="77777777" w:rsidR="00B875F0" w:rsidRPr="00B875F0" w:rsidRDefault="00B875F0" w:rsidP="00B875F0">
            <w:pPr>
              <w:spacing w:after="0"/>
              <w:jc w:val="both"/>
              <w:rPr>
                <w:rFonts w:eastAsia="Times New Roman" w:cs="Times New Roman"/>
                <w:sz w:val="24"/>
                <w:szCs w:val="24"/>
              </w:rPr>
            </w:pPr>
            <w:r w:rsidRPr="00B875F0">
              <w:rPr>
                <w:rFonts w:eastAsia="Times New Roman" w:cs="Times New Roman"/>
                <w:sz w:val="24"/>
                <w:szCs w:val="24"/>
              </w:rPr>
              <w:t>Пожилые (&gt;65 лет)</w:t>
            </w:r>
          </w:p>
        </w:tc>
        <w:tc>
          <w:tcPr>
            <w:tcW w:w="1747" w:type="dxa"/>
            <w:tcBorders>
              <w:top w:val="single" w:sz="4" w:space="0" w:color="auto"/>
              <w:left w:val="single" w:sz="4" w:space="0" w:color="auto"/>
              <w:bottom w:val="single" w:sz="4" w:space="0" w:color="auto"/>
              <w:right w:val="nil"/>
            </w:tcBorders>
          </w:tcPr>
          <w:p w14:paraId="3441317C" w14:textId="77777777" w:rsidR="00B875F0" w:rsidRPr="00B875F0" w:rsidRDefault="00B875F0" w:rsidP="00B875F0">
            <w:pPr>
              <w:spacing w:after="0"/>
              <w:jc w:val="both"/>
              <w:rPr>
                <w:rFonts w:eastAsia="Times New Roman" w:cs="Times New Roman"/>
                <w:sz w:val="24"/>
                <w:szCs w:val="24"/>
              </w:rPr>
            </w:pPr>
            <w:r w:rsidRPr="00B875F0">
              <w:rPr>
                <w:rFonts w:eastAsia="Times New Roman" w:cs="Times New Roman"/>
                <w:sz w:val="24"/>
                <w:szCs w:val="24"/>
              </w:rPr>
              <w:t>5–10</w:t>
            </w:r>
          </w:p>
        </w:tc>
        <w:tc>
          <w:tcPr>
            <w:tcW w:w="4195" w:type="dxa"/>
            <w:tcBorders>
              <w:top w:val="single" w:sz="4" w:space="0" w:color="auto"/>
              <w:left w:val="single" w:sz="4" w:space="0" w:color="auto"/>
              <w:bottom w:val="single" w:sz="4" w:space="0" w:color="auto"/>
              <w:right w:val="single" w:sz="4" w:space="0" w:color="auto"/>
            </w:tcBorders>
            <w:vAlign w:val="bottom"/>
          </w:tcPr>
          <w:p w14:paraId="44143119" w14:textId="77777777" w:rsidR="00B875F0" w:rsidRPr="00B875F0" w:rsidRDefault="00B875F0" w:rsidP="00B875F0">
            <w:pPr>
              <w:spacing w:after="0"/>
              <w:jc w:val="both"/>
              <w:rPr>
                <w:rFonts w:eastAsia="Times New Roman" w:cs="Times New Roman"/>
                <w:sz w:val="24"/>
                <w:szCs w:val="24"/>
              </w:rPr>
            </w:pPr>
            <w:r w:rsidRPr="00B875F0">
              <w:rPr>
                <w:rFonts w:eastAsia="Times New Roman" w:cs="Times New Roman"/>
                <w:sz w:val="24"/>
                <w:szCs w:val="24"/>
              </w:rPr>
              <w:t>Атеросклероз</w:t>
            </w:r>
            <w:r w:rsidRPr="00B875F0">
              <w:rPr>
                <w:rFonts w:eastAsia="Times New Roman" w:cs="Times New Roman"/>
                <w:sz w:val="24"/>
                <w:szCs w:val="24"/>
              </w:rPr>
              <w:tab/>
              <w:t>почечных</w:t>
            </w:r>
            <w:r w:rsidRPr="00B875F0">
              <w:rPr>
                <w:rFonts w:eastAsia="Times New Roman" w:cs="Times New Roman"/>
                <w:sz w:val="24"/>
                <w:szCs w:val="24"/>
              </w:rPr>
              <w:tab/>
              <w:t>артерий</w:t>
            </w:r>
          </w:p>
          <w:p w14:paraId="55AC57C2" w14:textId="77777777" w:rsidR="00B875F0" w:rsidRPr="00B875F0" w:rsidRDefault="00B875F0" w:rsidP="00B875F0">
            <w:pPr>
              <w:spacing w:after="0"/>
              <w:jc w:val="both"/>
              <w:rPr>
                <w:rFonts w:eastAsia="Times New Roman" w:cs="Times New Roman"/>
                <w:sz w:val="24"/>
                <w:szCs w:val="24"/>
              </w:rPr>
            </w:pPr>
            <w:r w:rsidRPr="00B875F0">
              <w:rPr>
                <w:rFonts w:eastAsia="Times New Roman" w:cs="Times New Roman"/>
                <w:sz w:val="24"/>
                <w:szCs w:val="24"/>
              </w:rPr>
              <w:t>Ренопаренхиматозные заболевания</w:t>
            </w:r>
          </w:p>
          <w:p w14:paraId="4FAF98D9" w14:textId="77777777" w:rsidR="00B875F0" w:rsidRPr="00B875F0" w:rsidRDefault="00B875F0" w:rsidP="00B875F0">
            <w:pPr>
              <w:spacing w:after="0"/>
              <w:jc w:val="both"/>
              <w:rPr>
                <w:rFonts w:eastAsia="Times New Roman" w:cs="Times New Roman"/>
                <w:sz w:val="24"/>
                <w:szCs w:val="24"/>
              </w:rPr>
            </w:pPr>
            <w:r w:rsidRPr="00B875F0">
              <w:rPr>
                <w:rFonts w:eastAsia="Times New Roman" w:cs="Times New Roman"/>
                <w:sz w:val="24"/>
                <w:szCs w:val="24"/>
              </w:rPr>
              <w:t>Заболевания щитовидной железы</w:t>
            </w:r>
          </w:p>
        </w:tc>
      </w:tr>
    </w:tbl>
    <w:p w14:paraId="545862E3" w14:textId="77777777" w:rsidR="003D19B1" w:rsidRDefault="003D19B1" w:rsidP="003D19B1">
      <w:pPr>
        <w:spacing w:after="0" w:line="360" w:lineRule="auto"/>
        <w:jc w:val="both"/>
        <w:rPr>
          <w:rFonts w:eastAsia="Times New Roman" w:cs="Times New Roman"/>
          <w:b/>
          <w:bCs/>
          <w:sz w:val="24"/>
          <w:szCs w:val="24"/>
        </w:rPr>
      </w:pPr>
    </w:p>
    <w:p w14:paraId="3CD1D73C" w14:textId="77777777" w:rsidR="00D403B6" w:rsidRDefault="003D19B1" w:rsidP="00D403B6">
      <w:pPr>
        <w:spacing w:after="0" w:line="360" w:lineRule="auto"/>
        <w:jc w:val="right"/>
        <w:rPr>
          <w:rFonts w:eastAsia="Times New Roman" w:cs="Times New Roman"/>
          <w:b/>
          <w:bCs/>
          <w:sz w:val="24"/>
          <w:szCs w:val="24"/>
        </w:rPr>
      </w:pPr>
      <w:r w:rsidRPr="003D19B1">
        <w:rPr>
          <w:rFonts w:eastAsia="Times New Roman" w:cs="Times New Roman"/>
          <w:b/>
          <w:bCs/>
          <w:sz w:val="24"/>
          <w:szCs w:val="24"/>
        </w:rPr>
        <w:t>Таблица П25/</w:t>
      </w:r>
      <w:r w:rsidR="00FB33EA">
        <w:rPr>
          <w:rFonts w:eastAsia="Times New Roman" w:cs="Times New Roman"/>
          <w:b/>
          <w:bCs/>
          <w:sz w:val="24"/>
          <w:szCs w:val="24"/>
        </w:rPr>
        <w:t>А2</w:t>
      </w:r>
      <w:r w:rsidRPr="003D19B1">
        <w:rPr>
          <w:rFonts w:eastAsia="Times New Roman" w:cs="Times New Roman"/>
          <w:b/>
          <w:bCs/>
          <w:sz w:val="24"/>
          <w:szCs w:val="24"/>
        </w:rPr>
        <w:t xml:space="preserve">. </w:t>
      </w:r>
    </w:p>
    <w:p w14:paraId="5DD677A1" w14:textId="564F5738" w:rsidR="003D19B1" w:rsidRPr="003D19B1" w:rsidRDefault="003D19B1" w:rsidP="003D19B1">
      <w:pPr>
        <w:spacing w:after="0" w:line="360" w:lineRule="auto"/>
        <w:jc w:val="both"/>
        <w:rPr>
          <w:rFonts w:eastAsia="Times New Roman" w:cs="Times New Roman"/>
          <w:b/>
          <w:bCs/>
          <w:sz w:val="24"/>
          <w:szCs w:val="24"/>
        </w:rPr>
      </w:pPr>
      <w:r w:rsidRPr="003D19B1">
        <w:rPr>
          <w:rFonts w:eastAsia="Times New Roman" w:cs="Times New Roman"/>
          <w:b/>
          <w:bCs/>
          <w:sz w:val="24"/>
          <w:szCs w:val="24"/>
        </w:rPr>
        <w:t xml:space="preserve">Редкие генетические причины вторичных артериальных гипертензий </w:t>
      </w:r>
    </w:p>
    <w:tbl>
      <w:tblPr>
        <w:tblW w:w="0" w:type="auto"/>
        <w:tblInd w:w="-5" w:type="dxa"/>
        <w:tblLayout w:type="fixed"/>
        <w:tblCellMar>
          <w:left w:w="0" w:type="dxa"/>
          <w:right w:w="0" w:type="dxa"/>
        </w:tblCellMar>
        <w:tblLook w:val="0000" w:firstRow="0" w:lastRow="0" w:firstColumn="0" w:lastColumn="0" w:noHBand="0" w:noVBand="0"/>
      </w:tblPr>
      <w:tblGrid>
        <w:gridCol w:w="2918"/>
        <w:gridCol w:w="2914"/>
        <w:gridCol w:w="2923"/>
      </w:tblGrid>
      <w:tr w:rsidR="003D19B1" w:rsidRPr="003D19B1" w14:paraId="4BEC560E" w14:textId="77777777">
        <w:trPr>
          <w:trHeight w:val="288"/>
        </w:trPr>
        <w:tc>
          <w:tcPr>
            <w:tcW w:w="2918" w:type="dxa"/>
            <w:tcBorders>
              <w:top w:val="single" w:sz="4" w:space="0" w:color="auto"/>
              <w:left w:val="single" w:sz="4" w:space="0" w:color="auto"/>
              <w:bottom w:val="nil"/>
              <w:right w:val="nil"/>
            </w:tcBorders>
            <w:vAlign w:val="bottom"/>
          </w:tcPr>
          <w:p w14:paraId="07B83B2D" w14:textId="77777777" w:rsidR="003D19B1" w:rsidRPr="003D19B1" w:rsidRDefault="003D19B1" w:rsidP="003D19B1">
            <w:pPr>
              <w:spacing w:after="0"/>
              <w:jc w:val="both"/>
              <w:rPr>
                <w:rFonts w:eastAsia="Times New Roman" w:cs="Times New Roman"/>
                <w:sz w:val="24"/>
                <w:szCs w:val="24"/>
              </w:rPr>
            </w:pPr>
            <w:r w:rsidRPr="003D19B1">
              <w:rPr>
                <w:rFonts w:eastAsia="Times New Roman" w:cs="Times New Roman"/>
                <w:sz w:val="24"/>
                <w:szCs w:val="24"/>
              </w:rPr>
              <w:t>Заболевание</w:t>
            </w:r>
          </w:p>
        </w:tc>
        <w:tc>
          <w:tcPr>
            <w:tcW w:w="2914" w:type="dxa"/>
            <w:tcBorders>
              <w:top w:val="single" w:sz="4" w:space="0" w:color="auto"/>
              <w:left w:val="single" w:sz="4" w:space="0" w:color="auto"/>
              <w:bottom w:val="nil"/>
              <w:right w:val="nil"/>
            </w:tcBorders>
            <w:vAlign w:val="bottom"/>
          </w:tcPr>
          <w:p w14:paraId="41C2DF1A" w14:textId="77777777" w:rsidR="003D19B1" w:rsidRPr="003D19B1" w:rsidRDefault="003D19B1" w:rsidP="003D19B1">
            <w:pPr>
              <w:spacing w:after="0"/>
              <w:jc w:val="both"/>
              <w:rPr>
                <w:rFonts w:eastAsia="Times New Roman" w:cs="Times New Roman"/>
                <w:sz w:val="24"/>
                <w:szCs w:val="24"/>
              </w:rPr>
            </w:pPr>
            <w:r w:rsidRPr="003D19B1">
              <w:rPr>
                <w:rFonts w:eastAsia="Times New Roman" w:cs="Times New Roman"/>
                <w:sz w:val="24"/>
                <w:szCs w:val="24"/>
              </w:rPr>
              <w:t>Фенотип</w:t>
            </w:r>
          </w:p>
        </w:tc>
        <w:tc>
          <w:tcPr>
            <w:tcW w:w="2923" w:type="dxa"/>
            <w:tcBorders>
              <w:top w:val="single" w:sz="4" w:space="0" w:color="auto"/>
              <w:left w:val="single" w:sz="4" w:space="0" w:color="auto"/>
              <w:bottom w:val="nil"/>
              <w:right w:val="single" w:sz="4" w:space="0" w:color="auto"/>
            </w:tcBorders>
            <w:vAlign w:val="bottom"/>
          </w:tcPr>
          <w:p w14:paraId="6BF5B34C" w14:textId="77777777" w:rsidR="003D19B1" w:rsidRPr="003D19B1" w:rsidRDefault="003D19B1" w:rsidP="003D19B1">
            <w:pPr>
              <w:spacing w:after="0"/>
              <w:jc w:val="both"/>
              <w:rPr>
                <w:rFonts w:eastAsia="Times New Roman" w:cs="Times New Roman"/>
                <w:sz w:val="24"/>
                <w:szCs w:val="24"/>
              </w:rPr>
            </w:pPr>
            <w:r w:rsidRPr="003D19B1">
              <w:rPr>
                <w:rFonts w:eastAsia="Times New Roman" w:cs="Times New Roman"/>
                <w:sz w:val="24"/>
                <w:szCs w:val="24"/>
              </w:rPr>
              <w:t>Механизм</w:t>
            </w:r>
          </w:p>
        </w:tc>
      </w:tr>
      <w:tr w:rsidR="003D19B1" w:rsidRPr="003D19B1" w14:paraId="02CAD549" w14:textId="77777777">
        <w:trPr>
          <w:trHeight w:val="1392"/>
        </w:trPr>
        <w:tc>
          <w:tcPr>
            <w:tcW w:w="2918" w:type="dxa"/>
            <w:tcBorders>
              <w:top w:val="single" w:sz="4" w:space="0" w:color="auto"/>
              <w:left w:val="single" w:sz="4" w:space="0" w:color="auto"/>
              <w:bottom w:val="nil"/>
              <w:right w:val="nil"/>
            </w:tcBorders>
          </w:tcPr>
          <w:p w14:paraId="44AE4335" w14:textId="77777777" w:rsidR="003D19B1" w:rsidRPr="003D19B1" w:rsidRDefault="003D19B1" w:rsidP="003D19B1">
            <w:pPr>
              <w:spacing w:after="0"/>
              <w:jc w:val="both"/>
              <w:rPr>
                <w:rFonts w:eastAsia="Times New Roman" w:cs="Times New Roman"/>
                <w:sz w:val="24"/>
                <w:szCs w:val="24"/>
              </w:rPr>
            </w:pPr>
            <w:r w:rsidRPr="003D19B1">
              <w:rPr>
                <w:rFonts w:eastAsia="Times New Roman" w:cs="Times New Roman"/>
                <w:sz w:val="24"/>
                <w:szCs w:val="24"/>
              </w:rPr>
              <w:t>Синдром Лиддла</w:t>
            </w:r>
          </w:p>
        </w:tc>
        <w:tc>
          <w:tcPr>
            <w:tcW w:w="2914" w:type="dxa"/>
            <w:tcBorders>
              <w:top w:val="single" w:sz="4" w:space="0" w:color="auto"/>
              <w:left w:val="single" w:sz="4" w:space="0" w:color="auto"/>
              <w:bottom w:val="nil"/>
              <w:right w:val="nil"/>
            </w:tcBorders>
          </w:tcPr>
          <w:p w14:paraId="6C552636" w14:textId="77777777" w:rsidR="003D19B1" w:rsidRPr="003D19B1" w:rsidRDefault="003D19B1" w:rsidP="003D19B1">
            <w:pPr>
              <w:spacing w:after="0"/>
              <w:jc w:val="both"/>
              <w:rPr>
                <w:rFonts w:eastAsia="Times New Roman" w:cs="Times New Roman"/>
                <w:sz w:val="24"/>
                <w:szCs w:val="24"/>
              </w:rPr>
            </w:pPr>
            <w:r w:rsidRPr="003D19B1">
              <w:rPr>
                <w:rFonts w:eastAsia="Times New Roman" w:cs="Times New Roman"/>
                <w:sz w:val="24"/>
                <w:szCs w:val="24"/>
              </w:rPr>
              <w:t>Гипокалиемия, метаболический алкалоз, низкие</w:t>
            </w:r>
            <w:r w:rsidRPr="003D19B1">
              <w:rPr>
                <w:rFonts w:eastAsia="Times New Roman" w:cs="Times New Roman"/>
                <w:sz w:val="24"/>
                <w:szCs w:val="24"/>
              </w:rPr>
              <w:tab/>
              <w:t>АРП</w:t>
            </w:r>
            <w:r w:rsidRPr="003D19B1">
              <w:rPr>
                <w:rFonts w:eastAsia="Times New Roman" w:cs="Times New Roman"/>
                <w:sz w:val="24"/>
                <w:szCs w:val="24"/>
              </w:rPr>
              <w:tab/>
              <w:t>и</w:t>
            </w:r>
            <w:r w:rsidRPr="003D19B1">
              <w:rPr>
                <w:rFonts w:eastAsia="Times New Roman" w:cs="Times New Roman"/>
                <w:sz w:val="24"/>
                <w:szCs w:val="24"/>
              </w:rPr>
              <w:tab/>
              <w:t>КРП,</w:t>
            </w:r>
          </w:p>
          <w:p w14:paraId="19A7DD48" w14:textId="77777777" w:rsidR="003D19B1" w:rsidRPr="003D19B1" w:rsidRDefault="003D19B1" w:rsidP="003D19B1">
            <w:pPr>
              <w:spacing w:after="0"/>
              <w:jc w:val="both"/>
              <w:rPr>
                <w:rFonts w:eastAsia="Times New Roman" w:cs="Times New Roman"/>
                <w:sz w:val="24"/>
                <w:szCs w:val="24"/>
              </w:rPr>
            </w:pPr>
            <w:r w:rsidRPr="003D19B1">
              <w:rPr>
                <w:rFonts w:eastAsia="Times New Roman" w:cs="Times New Roman"/>
                <w:sz w:val="24"/>
                <w:szCs w:val="24"/>
              </w:rPr>
              <w:t>низкая КАП</w:t>
            </w:r>
          </w:p>
        </w:tc>
        <w:tc>
          <w:tcPr>
            <w:tcW w:w="2923" w:type="dxa"/>
            <w:tcBorders>
              <w:top w:val="single" w:sz="4" w:space="0" w:color="auto"/>
              <w:left w:val="single" w:sz="4" w:space="0" w:color="auto"/>
              <w:bottom w:val="nil"/>
              <w:right w:val="single" w:sz="4" w:space="0" w:color="auto"/>
            </w:tcBorders>
            <w:vAlign w:val="bottom"/>
          </w:tcPr>
          <w:p w14:paraId="57E0C9C7" w14:textId="77777777" w:rsidR="003D19B1" w:rsidRPr="003D19B1" w:rsidRDefault="003D19B1" w:rsidP="003D19B1">
            <w:pPr>
              <w:spacing w:after="0"/>
              <w:jc w:val="both"/>
              <w:rPr>
                <w:rFonts w:eastAsia="Times New Roman" w:cs="Times New Roman"/>
                <w:sz w:val="24"/>
                <w:szCs w:val="24"/>
              </w:rPr>
            </w:pPr>
            <w:r w:rsidRPr="003D19B1">
              <w:rPr>
                <w:rFonts w:eastAsia="Times New Roman" w:cs="Times New Roman"/>
                <w:sz w:val="24"/>
                <w:szCs w:val="24"/>
              </w:rPr>
              <w:t>Повышение</w:t>
            </w:r>
            <w:r w:rsidRPr="003D19B1">
              <w:rPr>
                <w:rFonts w:eastAsia="Times New Roman" w:cs="Times New Roman"/>
                <w:sz w:val="24"/>
                <w:szCs w:val="24"/>
              </w:rPr>
              <w:tab/>
              <w:t>активности</w:t>
            </w:r>
          </w:p>
          <w:p w14:paraId="65A9C117" w14:textId="77777777" w:rsidR="003D19B1" w:rsidRPr="003D19B1" w:rsidRDefault="003D19B1" w:rsidP="003D19B1">
            <w:pPr>
              <w:spacing w:after="0"/>
              <w:jc w:val="both"/>
              <w:rPr>
                <w:rFonts w:eastAsia="Times New Roman" w:cs="Times New Roman"/>
                <w:sz w:val="24"/>
                <w:szCs w:val="24"/>
              </w:rPr>
            </w:pPr>
            <w:r w:rsidRPr="003D19B1">
              <w:rPr>
                <w:rFonts w:eastAsia="Times New Roman" w:cs="Times New Roman"/>
                <w:sz w:val="24"/>
                <w:szCs w:val="24"/>
              </w:rPr>
              <w:t>эпителиальных</w:t>
            </w:r>
          </w:p>
          <w:p w14:paraId="3C617B7A" w14:textId="77777777" w:rsidR="003D19B1" w:rsidRPr="003D19B1" w:rsidRDefault="003D19B1" w:rsidP="003D19B1">
            <w:pPr>
              <w:spacing w:after="0"/>
              <w:jc w:val="both"/>
              <w:rPr>
                <w:rFonts w:eastAsia="Times New Roman" w:cs="Times New Roman"/>
                <w:sz w:val="24"/>
                <w:szCs w:val="24"/>
              </w:rPr>
            </w:pPr>
            <w:r w:rsidRPr="003D19B1">
              <w:rPr>
                <w:rFonts w:eastAsia="Times New Roman" w:cs="Times New Roman"/>
                <w:sz w:val="24"/>
                <w:szCs w:val="24"/>
              </w:rPr>
              <w:t>натриевых каналов почек; эффект от применения амилорида</w:t>
            </w:r>
          </w:p>
        </w:tc>
      </w:tr>
      <w:tr w:rsidR="003D19B1" w:rsidRPr="003D19B1" w14:paraId="63DF69D2" w14:textId="77777777">
        <w:trPr>
          <w:trHeight w:val="1138"/>
        </w:trPr>
        <w:tc>
          <w:tcPr>
            <w:tcW w:w="2918" w:type="dxa"/>
            <w:tcBorders>
              <w:top w:val="single" w:sz="4" w:space="0" w:color="auto"/>
              <w:left w:val="single" w:sz="4" w:space="0" w:color="auto"/>
              <w:bottom w:val="nil"/>
              <w:right w:val="nil"/>
            </w:tcBorders>
          </w:tcPr>
          <w:p w14:paraId="3A64FC74" w14:textId="77777777" w:rsidR="003D19B1" w:rsidRPr="003D19B1" w:rsidRDefault="003D19B1" w:rsidP="003D19B1">
            <w:pPr>
              <w:spacing w:after="0"/>
              <w:jc w:val="both"/>
              <w:rPr>
                <w:rFonts w:eastAsia="Times New Roman" w:cs="Times New Roman"/>
                <w:sz w:val="24"/>
                <w:szCs w:val="24"/>
              </w:rPr>
            </w:pPr>
            <w:r w:rsidRPr="003D19B1">
              <w:rPr>
                <w:rFonts w:eastAsia="Times New Roman" w:cs="Times New Roman"/>
                <w:sz w:val="24"/>
                <w:szCs w:val="24"/>
              </w:rPr>
              <w:t>Синдром</w:t>
            </w:r>
            <w:r w:rsidRPr="003D19B1">
              <w:rPr>
                <w:rFonts w:eastAsia="Times New Roman" w:cs="Times New Roman"/>
                <w:sz w:val="24"/>
                <w:szCs w:val="24"/>
              </w:rPr>
              <w:tab/>
              <w:t>кажущегося</w:t>
            </w:r>
          </w:p>
          <w:p w14:paraId="4F35CB0E" w14:textId="77777777" w:rsidR="003D19B1" w:rsidRPr="003D19B1" w:rsidRDefault="003D19B1" w:rsidP="003D19B1">
            <w:pPr>
              <w:spacing w:after="0"/>
              <w:jc w:val="both"/>
              <w:rPr>
                <w:rFonts w:eastAsia="Times New Roman" w:cs="Times New Roman"/>
                <w:sz w:val="24"/>
                <w:szCs w:val="24"/>
              </w:rPr>
            </w:pPr>
            <w:r w:rsidRPr="003D19B1">
              <w:rPr>
                <w:rFonts w:eastAsia="Times New Roman" w:cs="Times New Roman"/>
                <w:sz w:val="24"/>
                <w:szCs w:val="24"/>
              </w:rPr>
              <w:t>избытка минералокортикоидов</w:t>
            </w:r>
          </w:p>
        </w:tc>
        <w:tc>
          <w:tcPr>
            <w:tcW w:w="2914" w:type="dxa"/>
            <w:tcBorders>
              <w:top w:val="single" w:sz="4" w:space="0" w:color="auto"/>
              <w:left w:val="single" w:sz="4" w:space="0" w:color="auto"/>
              <w:bottom w:val="nil"/>
              <w:right w:val="nil"/>
            </w:tcBorders>
            <w:vAlign w:val="center"/>
          </w:tcPr>
          <w:p w14:paraId="5DBBAB8E" w14:textId="77777777" w:rsidR="003D19B1" w:rsidRPr="003D19B1" w:rsidRDefault="003D19B1" w:rsidP="003D19B1">
            <w:pPr>
              <w:spacing w:after="0"/>
              <w:jc w:val="both"/>
              <w:rPr>
                <w:rFonts w:eastAsia="Times New Roman" w:cs="Times New Roman"/>
                <w:sz w:val="24"/>
                <w:szCs w:val="24"/>
              </w:rPr>
            </w:pPr>
            <w:r w:rsidRPr="003D19B1">
              <w:rPr>
                <w:rFonts w:eastAsia="Times New Roman" w:cs="Times New Roman"/>
                <w:sz w:val="24"/>
                <w:szCs w:val="24"/>
              </w:rPr>
              <w:t>Гипокалиемия, метаболический алкалоз, низкие</w:t>
            </w:r>
            <w:r w:rsidRPr="003D19B1">
              <w:rPr>
                <w:rFonts w:eastAsia="Times New Roman" w:cs="Times New Roman"/>
                <w:sz w:val="24"/>
                <w:szCs w:val="24"/>
              </w:rPr>
              <w:tab/>
              <w:t>АРП</w:t>
            </w:r>
            <w:r w:rsidRPr="003D19B1">
              <w:rPr>
                <w:rFonts w:eastAsia="Times New Roman" w:cs="Times New Roman"/>
                <w:sz w:val="24"/>
                <w:szCs w:val="24"/>
              </w:rPr>
              <w:tab/>
              <w:t>и</w:t>
            </w:r>
            <w:r w:rsidRPr="003D19B1">
              <w:rPr>
                <w:rFonts w:eastAsia="Times New Roman" w:cs="Times New Roman"/>
                <w:sz w:val="24"/>
                <w:szCs w:val="24"/>
              </w:rPr>
              <w:tab/>
              <w:t>КРП,</w:t>
            </w:r>
          </w:p>
          <w:p w14:paraId="03B14DC4" w14:textId="77777777" w:rsidR="003D19B1" w:rsidRPr="003D19B1" w:rsidRDefault="003D19B1" w:rsidP="003D19B1">
            <w:pPr>
              <w:spacing w:after="0"/>
              <w:jc w:val="both"/>
              <w:rPr>
                <w:rFonts w:eastAsia="Times New Roman" w:cs="Times New Roman"/>
                <w:sz w:val="24"/>
                <w:szCs w:val="24"/>
              </w:rPr>
            </w:pPr>
            <w:r w:rsidRPr="003D19B1">
              <w:rPr>
                <w:rFonts w:eastAsia="Times New Roman" w:cs="Times New Roman"/>
                <w:sz w:val="24"/>
                <w:szCs w:val="24"/>
              </w:rPr>
              <w:t>низкая КАП</w:t>
            </w:r>
          </w:p>
        </w:tc>
        <w:tc>
          <w:tcPr>
            <w:tcW w:w="2923" w:type="dxa"/>
            <w:tcBorders>
              <w:top w:val="single" w:sz="4" w:space="0" w:color="auto"/>
              <w:left w:val="single" w:sz="4" w:space="0" w:color="auto"/>
              <w:bottom w:val="nil"/>
              <w:right w:val="single" w:sz="4" w:space="0" w:color="auto"/>
            </w:tcBorders>
          </w:tcPr>
          <w:p w14:paraId="44011040" w14:textId="77777777" w:rsidR="003D19B1" w:rsidRPr="003D19B1" w:rsidRDefault="003D19B1" w:rsidP="003D19B1">
            <w:pPr>
              <w:spacing w:after="0"/>
              <w:jc w:val="both"/>
              <w:rPr>
                <w:rFonts w:eastAsia="Times New Roman" w:cs="Times New Roman"/>
                <w:sz w:val="24"/>
                <w:szCs w:val="24"/>
              </w:rPr>
            </w:pPr>
            <w:r w:rsidRPr="003D19B1">
              <w:rPr>
                <w:rFonts w:eastAsia="Times New Roman" w:cs="Times New Roman"/>
                <w:sz w:val="24"/>
                <w:szCs w:val="24"/>
              </w:rPr>
              <w:t>Снижение</w:t>
            </w:r>
            <w:r w:rsidRPr="003D19B1">
              <w:rPr>
                <w:rFonts w:eastAsia="Times New Roman" w:cs="Times New Roman"/>
                <w:sz w:val="24"/>
                <w:szCs w:val="24"/>
              </w:rPr>
              <w:tab/>
              <w:t>активности</w:t>
            </w:r>
          </w:p>
          <w:p w14:paraId="77D93BFE" w14:textId="77777777" w:rsidR="003D19B1" w:rsidRPr="003D19B1" w:rsidRDefault="003D19B1" w:rsidP="003D19B1">
            <w:pPr>
              <w:spacing w:after="0"/>
              <w:jc w:val="both"/>
              <w:rPr>
                <w:rFonts w:eastAsia="Times New Roman" w:cs="Times New Roman"/>
                <w:sz w:val="24"/>
                <w:szCs w:val="24"/>
              </w:rPr>
            </w:pPr>
            <w:r w:rsidRPr="003D19B1">
              <w:rPr>
                <w:rFonts w:eastAsia="Times New Roman" w:cs="Times New Roman"/>
                <w:sz w:val="24"/>
                <w:szCs w:val="24"/>
              </w:rPr>
              <w:t>11β-дегидрогеназы-2</w:t>
            </w:r>
          </w:p>
        </w:tc>
      </w:tr>
      <w:tr w:rsidR="003D19B1" w:rsidRPr="003D19B1" w14:paraId="14FB3456" w14:textId="77777777">
        <w:trPr>
          <w:trHeight w:val="1138"/>
        </w:trPr>
        <w:tc>
          <w:tcPr>
            <w:tcW w:w="2918" w:type="dxa"/>
            <w:tcBorders>
              <w:top w:val="single" w:sz="4" w:space="0" w:color="auto"/>
              <w:left w:val="single" w:sz="4" w:space="0" w:color="auto"/>
              <w:bottom w:val="nil"/>
              <w:right w:val="nil"/>
            </w:tcBorders>
          </w:tcPr>
          <w:p w14:paraId="0CEB8285" w14:textId="77777777" w:rsidR="003D19B1" w:rsidRPr="003D19B1" w:rsidRDefault="003D19B1" w:rsidP="003D19B1">
            <w:pPr>
              <w:spacing w:after="0"/>
              <w:jc w:val="both"/>
              <w:rPr>
                <w:rFonts w:eastAsia="Times New Roman" w:cs="Times New Roman"/>
                <w:sz w:val="24"/>
                <w:szCs w:val="24"/>
              </w:rPr>
            </w:pPr>
            <w:r w:rsidRPr="003D19B1">
              <w:rPr>
                <w:rFonts w:eastAsia="Times New Roman" w:cs="Times New Roman"/>
                <w:sz w:val="24"/>
                <w:szCs w:val="24"/>
              </w:rPr>
              <w:t>Синдром Гордона</w:t>
            </w:r>
          </w:p>
        </w:tc>
        <w:tc>
          <w:tcPr>
            <w:tcW w:w="2914" w:type="dxa"/>
            <w:tcBorders>
              <w:top w:val="single" w:sz="4" w:space="0" w:color="auto"/>
              <w:left w:val="single" w:sz="4" w:space="0" w:color="auto"/>
              <w:bottom w:val="nil"/>
              <w:right w:val="nil"/>
            </w:tcBorders>
            <w:vAlign w:val="center"/>
          </w:tcPr>
          <w:p w14:paraId="41FAEB01" w14:textId="77777777" w:rsidR="003D19B1" w:rsidRPr="003D19B1" w:rsidRDefault="003D19B1" w:rsidP="003D19B1">
            <w:pPr>
              <w:spacing w:after="0"/>
              <w:jc w:val="both"/>
              <w:rPr>
                <w:rFonts w:eastAsia="Times New Roman" w:cs="Times New Roman"/>
                <w:sz w:val="24"/>
                <w:szCs w:val="24"/>
              </w:rPr>
            </w:pPr>
            <w:r w:rsidRPr="003D19B1">
              <w:rPr>
                <w:rFonts w:eastAsia="Times New Roman" w:cs="Times New Roman"/>
                <w:sz w:val="24"/>
                <w:szCs w:val="24"/>
              </w:rPr>
              <w:t>Гипокалиемия, метаболический алкалоз, низкие</w:t>
            </w:r>
            <w:r w:rsidRPr="003D19B1">
              <w:rPr>
                <w:rFonts w:eastAsia="Times New Roman" w:cs="Times New Roman"/>
                <w:sz w:val="24"/>
                <w:szCs w:val="24"/>
              </w:rPr>
              <w:tab/>
              <w:t>АРП</w:t>
            </w:r>
            <w:r w:rsidRPr="003D19B1">
              <w:rPr>
                <w:rFonts w:eastAsia="Times New Roman" w:cs="Times New Roman"/>
                <w:sz w:val="24"/>
                <w:szCs w:val="24"/>
              </w:rPr>
              <w:tab/>
              <w:t>и</w:t>
            </w:r>
            <w:r w:rsidRPr="003D19B1">
              <w:rPr>
                <w:rFonts w:eastAsia="Times New Roman" w:cs="Times New Roman"/>
                <w:sz w:val="24"/>
                <w:szCs w:val="24"/>
              </w:rPr>
              <w:tab/>
              <w:t>КРП,</w:t>
            </w:r>
          </w:p>
          <w:p w14:paraId="5216522A" w14:textId="77777777" w:rsidR="003D19B1" w:rsidRPr="003D19B1" w:rsidRDefault="003D19B1" w:rsidP="003D19B1">
            <w:pPr>
              <w:spacing w:after="0"/>
              <w:jc w:val="both"/>
              <w:rPr>
                <w:rFonts w:eastAsia="Times New Roman" w:cs="Times New Roman"/>
                <w:sz w:val="24"/>
                <w:szCs w:val="24"/>
              </w:rPr>
            </w:pPr>
            <w:r w:rsidRPr="003D19B1">
              <w:rPr>
                <w:rFonts w:eastAsia="Times New Roman" w:cs="Times New Roman"/>
                <w:sz w:val="24"/>
                <w:szCs w:val="24"/>
              </w:rPr>
              <w:t>низкая КАП</w:t>
            </w:r>
          </w:p>
        </w:tc>
        <w:tc>
          <w:tcPr>
            <w:tcW w:w="2923" w:type="dxa"/>
            <w:tcBorders>
              <w:top w:val="single" w:sz="4" w:space="0" w:color="auto"/>
              <w:left w:val="single" w:sz="4" w:space="0" w:color="auto"/>
              <w:bottom w:val="nil"/>
              <w:right w:val="single" w:sz="4" w:space="0" w:color="auto"/>
            </w:tcBorders>
          </w:tcPr>
          <w:p w14:paraId="3D5AF611" w14:textId="77777777" w:rsidR="003D19B1" w:rsidRPr="003D19B1" w:rsidRDefault="003D19B1" w:rsidP="003D19B1">
            <w:pPr>
              <w:spacing w:after="0"/>
              <w:jc w:val="both"/>
              <w:rPr>
                <w:rFonts w:eastAsia="Times New Roman" w:cs="Times New Roman"/>
                <w:sz w:val="24"/>
                <w:szCs w:val="24"/>
              </w:rPr>
            </w:pPr>
            <w:r w:rsidRPr="003D19B1">
              <w:rPr>
                <w:rFonts w:eastAsia="Times New Roman" w:cs="Times New Roman"/>
                <w:sz w:val="24"/>
                <w:szCs w:val="24"/>
              </w:rPr>
              <w:t>Повышение</w:t>
            </w:r>
            <w:r w:rsidRPr="003D19B1">
              <w:rPr>
                <w:rFonts w:eastAsia="Times New Roman" w:cs="Times New Roman"/>
                <w:sz w:val="24"/>
                <w:szCs w:val="24"/>
              </w:rPr>
              <w:tab/>
              <w:t>активности</w:t>
            </w:r>
          </w:p>
          <w:p w14:paraId="659EB7B9" w14:textId="77777777" w:rsidR="003D19B1" w:rsidRPr="003D19B1" w:rsidRDefault="003D19B1" w:rsidP="003D19B1">
            <w:pPr>
              <w:spacing w:after="0"/>
              <w:jc w:val="both"/>
              <w:rPr>
                <w:rFonts w:eastAsia="Times New Roman" w:cs="Times New Roman"/>
                <w:sz w:val="24"/>
                <w:szCs w:val="24"/>
              </w:rPr>
            </w:pPr>
            <w:r w:rsidRPr="003D19B1">
              <w:rPr>
                <w:rFonts w:eastAsia="Times New Roman" w:cs="Times New Roman"/>
                <w:sz w:val="24"/>
                <w:szCs w:val="24"/>
              </w:rPr>
              <w:t>эпителиальных натриевых каналов</w:t>
            </w:r>
          </w:p>
        </w:tc>
      </w:tr>
      <w:tr w:rsidR="003D19B1" w:rsidRPr="003D19B1" w14:paraId="4463332D" w14:textId="77777777">
        <w:trPr>
          <w:trHeight w:val="1138"/>
        </w:trPr>
        <w:tc>
          <w:tcPr>
            <w:tcW w:w="2918" w:type="dxa"/>
            <w:tcBorders>
              <w:top w:val="single" w:sz="4" w:space="0" w:color="auto"/>
              <w:left w:val="single" w:sz="4" w:space="0" w:color="auto"/>
              <w:bottom w:val="nil"/>
              <w:right w:val="nil"/>
            </w:tcBorders>
          </w:tcPr>
          <w:p w14:paraId="041391F3" w14:textId="77777777" w:rsidR="003D19B1" w:rsidRPr="003D19B1" w:rsidRDefault="003D19B1" w:rsidP="003D19B1">
            <w:pPr>
              <w:spacing w:after="0"/>
              <w:jc w:val="both"/>
              <w:rPr>
                <w:rFonts w:eastAsia="Times New Roman" w:cs="Times New Roman"/>
                <w:sz w:val="24"/>
                <w:szCs w:val="24"/>
              </w:rPr>
            </w:pPr>
            <w:r w:rsidRPr="003D19B1">
              <w:rPr>
                <w:rFonts w:eastAsia="Times New Roman" w:cs="Times New Roman"/>
                <w:sz w:val="24"/>
                <w:szCs w:val="24"/>
              </w:rPr>
              <w:t>Синдром Геллера</w:t>
            </w:r>
          </w:p>
        </w:tc>
        <w:tc>
          <w:tcPr>
            <w:tcW w:w="2914" w:type="dxa"/>
            <w:tcBorders>
              <w:top w:val="single" w:sz="4" w:space="0" w:color="auto"/>
              <w:left w:val="single" w:sz="4" w:space="0" w:color="auto"/>
              <w:bottom w:val="nil"/>
              <w:right w:val="nil"/>
            </w:tcBorders>
            <w:vAlign w:val="bottom"/>
          </w:tcPr>
          <w:p w14:paraId="7DD2CE6C" w14:textId="77777777" w:rsidR="003D19B1" w:rsidRPr="003D19B1" w:rsidRDefault="003D19B1" w:rsidP="003D19B1">
            <w:pPr>
              <w:spacing w:after="0"/>
              <w:jc w:val="both"/>
              <w:rPr>
                <w:rFonts w:eastAsia="Times New Roman" w:cs="Times New Roman"/>
                <w:sz w:val="24"/>
                <w:szCs w:val="24"/>
              </w:rPr>
            </w:pPr>
            <w:r w:rsidRPr="003D19B1">
              <w:rPr>
                <w:rFonts w:eastAsia="Times New Roman" w:cs="Times New Roman"/>
                <w:sz w:val="24"/>
                <w:szCs w:val="24"/>
              </w:rPr>
              <w:t>Ухудшение АГ на фоне беременности, низкие АРП или КРП, низкая КАП</w:t>
            </w:r>
          </w:p>
        </w:tc>
        <w:tc>
          <w:tcPr>
            <w:tcW w:w="2923" w:type="dxa"/>
            <w:tcBorders>
              <w:top w:val="single" w:sz="4" w:space="0" w:color="auto"/>
              <w:left w:val="single" w:sz="4" w:space="0" w:color="auto"/>
              <w:bottom w:val="nil"/>
              <w:right w:val="single" w:sz="4" w:space="0" w:color="auto"/>
            </w:tcBorders>
            <w:vAlign w:val="bottom"/>
          </w:tcPr>
          <w:p w14:paraId="1B45F973" w14:textId="77777777" w:rsidR="003D19B1" w:rsidRPr="003D19B1" w:rsidRDefault="003D19B1" w:rsidP="003D19B1">
            <w:pPr>
              <w:spacing w:after="0"/>
              <w:jc w:val="both"/>
              <w:rPr>
                <w:rFonts w:eastAsia="Times New Roman" w:cs="Times New Roman"/>
                <w:sz w:val="24"/>
                <w:szCs w:val="24"/>
              </w:rPr>
            </w:pPr>
            <w:r w:rsidRPr="003D19B1">
              <w:rPr>
                <w:rFonts w:eastAsia="Times New Roman" w:cs="Times New Roman"/>
                <w:sz w:val="24"/>
                <w:szCs w:val="24"/>
              </w:rPr>
              <w:t>Агонистическое действие прогестерона</w:t>
            </w:r>
            <w:r w:rsidRPr="003D19B1">
              <w:rPr>
                <w:rFonts w:eastAsia="Times New Roman" w:cs="Times New Roman"/>
                <w:sz w:val="24"/>
                <w:szCs w:val="24"/>
              </w:rPr>
              <w:tab/>
              <w:t>на</w:t>
            </w:r>
          </w:p>
          <w:p w14:paraId="667F8020" w14:textId="77777777" w:rsidR="003D19B1" w:rsidRPr="003D19B1" w:rsidRDefault="003D19B1" w:rsidP="003D19B1">
            <w:pPr>
              <w:spacing w:after="0"/>
              <w:jc w:val="both"/>
              <w:rPr>
                <w:rFonts w:eastAsia="Times New Roman" w:cs="Times New Roman"/>
                <w:sz w:val="24"/>
                <w:szCs w:val="24"/>
              </w:rPr>
            </w:pPr>
            <w:r w:rsidRPr="003D19B1">
              <w:rPr>
                <w:rFonts w:eastAsia="Times New Roman" w:cs="Times New Roman"/>
                <w:sz w:val="24"/>
                <w:szCs w:val="24"/>
              </w:rPr>
              <w:t>минералокортикоидные рецепторы</w:t>
            </w:r>
          </w:p>
        </w:tc>
      </w:tr>
      <w:tr w:rsidR="003D19B1" w:rsidRPr="003D19B1" w14:paraId="2EA07CE0" w14:textId="77777777">
        <w:trPr>
          <w:trHeight w:val="1142"/>
        </w:trPr>
        <w:tc>
          <w:tcPr>
            <w:tcW w:w="2918" w:type="dxa"/>
            <w:tcBorders>
              <w:top w:val="single" w:sz="4" w:space="0" w:color="auto"/>
              <w:left w:val="single" w:sz="4" w:space="0" w:color="auto"/>
              <w:bottom w:val="single" w:sz="4" w:space="0" w:color="auto"/>
              <w:right w:val="nil"/>
            </w:tcBorders>
          </w:tcPr>
          <w:p w14:paraId="2CAF203D" w14:textId="77777777" w:rsidR="003D19B1" w:rsidRPr="003D19B1" w:rsidRDefault="003D19B1" w:rsidP="003D19B1">
            <w:pPr>
              <w:spacing w:after="0"/>
              <w:jc w:val="both"/>
              <w:rPr>
                <w:rFonts w:eastAsia="Times New Roman" w:cs="Times New Roman"/>
                <w:sz w:val="24"/>
                <w:szCs w:val="24"/>
              </w:rPr>
            </w:pPr>
            <w:r w:rsidRPr="003D19B1">
              <w:rPr>
                <w:rFonts w:eastAsia="Times New Roman" w:cs="Times New Roman"/>
                <w:sz w:val="24"/>
                <w:szCs w:val="24"/>
              </w:rPr>
              <w:t>Излечимый</w:t>
            </w:r>
          </w:p>
          <w:p w14:paraId="5574844C" w14:textId="77777777" w:rsidR="003D19B1" w:rsidRPr="003D19B1" w:rsidRDefault="003D19B1" w:rsidP="003D19B1">
            <w:pPr>
              <w:spacing w:after="0"/>
              <w:jc w:val="both"/>
              <w:rPr>
                <w:rFonts w:eastAsia="Times New Roman" w:cs="Times New Roman"/>
                <w:sz w:val="24"/>
                <w:szCs w:val="24"/>
              </w:rPr>
            </w:pPr>
            <w:r w:rsidRPr="003D19B1">
              <w:rPr>
                <w:rFonts w:eastAsia="Times New Roman" w:cs="Times New Roman"/>
                <w:sz w:val="24"/>
                <w:szCs w:val="24"/>
              </w:rPr>
              <w:t>глюкокортикоидами альдостеронизм</w:t>
            </w:r>
          </w:p>
        </w:tc>
        <w:tc>
          <w:tcPr>
            <w:tcW w:w="2914" w:type="dxa"/>
            <w:tcBorders>
              <w:top w:val="single" w:sz="4" w:space="0" w:color="auto"/>
              <w:left w:val="single" w:sz="4" w:space="0" w:color="auto"/>
              <w:bottom w:val="single" w:sz="4" w:space="0" w:color="auto"/>
              <w:right w:val="nil"/>
            </w:tcBorders>
            <w:vAlign w:val="bottom"/>
          </w:tcPr>
          <w:p w14:paraId="72044407" w14:textId="77777777" w:rsidR="003D19B1" w:rsidRPr="003D19B1" w:rsidRDefault="003D19B1" w:rsidP="003D19B1">
            <w:pPr>
              <w:spacing w:after="0"/>
              <w:jc w:val="both"/>
              <w:rPr>
                <w:rFonts w:eastAsia="Times New Roman" w:cs="Times New Roman"/>
                <w:sz w:val="24"/>
                <w:szCs w:val="24"/>
              </w:rPr>
            </w:pPr>
            <w:r w:rsidRPr="003D19B1">
              <w:rPr>
                <w:rFonts w:eastAsia="Times New Roman" w:cs="Times New Roman"/>
                <w:sz w:val="24"/>
                <w:szCs w:val="24"/>
              </w:rPr>
              <w:t>Гипокалиемия, метаболический алкалоз, низкие АРП или КРП, повышенная КАП</w:t>
            </w:r>
          </w:p>
        </w:tc>
        <w:tc>
          <w:tcPr>
            <w:tcW w:w="2923" w:type="dxa"/>
            <w:tcBorders>
              <w:top w:val="single" w:sz="4" w:space="0" w:color="auto"/>
              <w:left w:val="single" w:sz="4" w:space="0" w:color="auto"/>
              <w:bottom w:val="single" w:sz="4" w:space="0" w:color="auto"/>
              <w:right w:val="single" w:sz="4" w:space="0" w:color="auto"/>
            </w:tcBorders>
            <w:vAlign w:val="bottom"/>
          </w:tcPr>
          <w:p w14:paraId="28B2BA61" w14:textId="77777777" w:rsidR="003D19B1" w:rsidRPr="003D19B1" w:rsidRDefault="003D19B1" w:rsidP="003D19B1">
            <w:pPr>
              <w:spacing w:after="0"/>
              <w:jc w:val="both"/>
              <w:rPr>
                <w:rFonts w:eastAsia="Times New Roman" w:cs="Times New Roman"/>
                <w:sz w:val="24"/>
                <w:szCs w:val="24"/>
              </w:rPr>
            </w:pPr>
            <w:r w:rsidRPr="003D19B1">
              <w:rPr>
                <w:rFonts w:eastAsia="Times New Roman" w:cs="Times New Roman"/>
                <w:sz w:val="24"/>
                <w:szCs w:val="24"/>
              </w:rPr>
              <w:t>Химеризация гена</w:t>
            </w:r>
          </w:p>
          <w:p w14:paraId="6BA4DC33" w14:textId="77777777" w:rsidR="003D19B1" w:rsidRPr="003D19B1" w:rsidRDefault="003D19B1" w:rsidP="003D19B1">
            <w:pPr>
              <w:spacing w:after="0"/>
              <w:jc w:val="both"/>
              <w:rPr>
                <w:rFonts w:eastAsia="Times New Roman" w:cs="Times New Roman"/>
                <w:sz w:val="24"/>
                <w:szCs w:val="24"/>
              </w:rPr>
            </w:pPr>
            <w:r w:rsidRPr="003D19B1">
              <w:rPr>
                <w:rFonts w:eastAsia="Times New Roman" w:cs="Times New Roman"/>
                <w:sz w:val="24"/>
                <w:szCs w:val="24"/>
              </w:rPr>
              <w:t>CYP11β1 — CYP11β2; эффект от применения глюкокортикоидов</w:t>
            </w:r>
          </w:p>
        </w:tc>
      </w:tr>
    </w:tbl>
    <w:p w14:paraId="1814EF57" w14:textId="77777777" w:rsidR="00D403B6" w:rsidRDefault="00D403B6" w:rsidP="00D403B6">
      <w:pPr>
        <w:spacing w:after="0" w:line="360" w:lineRule="auto"/>
        <w:jc w:val="right"/>
        <w:rPr>
          <w:rFonts w:eastAsia="Times New Roman" w:cs="Times New Roman"/>
          <w:b/>
          <w:bCs/>
          <w:sz w:val="24"/>
          <w:szCs w:val="24"/>
        </w:rPr>
      </w:pPr>
    </w:p>
    <w:p w14:paraId="79AFBDF2" w14:textId="6616E9D1" w:rsidR="00D403B6" w:rsidRDefault="0032374A" w:rsidP="00D403B6">
      <w:pPr>
        <w:spacing w:after="0" w:line="360" w:lineRule="auto"/>
        <w:jc w:val="right"/>
        <w:rPr>
          <w:rFonts w:eastAsia="Times New Roman" w:cs="Times New Roman"/>
          <w:b/>
          <w:bCs/>
          <w:sz w:val="24"/>
          <w:szCs w:val="24"/>
        </w:rPr>
      </w:pPr>
      <w:r w:rsidRPr="0032374A">
        <w:rPr>
          <w:rFonts w:eastAsia="Times New Roman" w:cs="Times New Roman"/>
          <w:b/>
          <w:bCs/>
          <w:sz w:val="24"/>
          <w:szCs w:val="24"/>
        </w:rPr>
        <w:t>Таблица П26/</w:t>
      </w:r>
      <w:r w:rsidR="00FB33EA">
        <w:rPr>
          <w:rFonts w:eastAsia="Times New Roman" w:cs="Times New Roman"/>
          <w:b/>
          <w:bCs/>
          <w:sz w:val="24"/>
          <w:szCs w:val="24"/>
        </w:rPr>
        <w:t>А2</w:t>
      </w:r>
      <w:r w:rsidRPr="0032374A">
        <w:rPr>
          <w:rFonts w:eastAsia="Times New Roman" w:cs="Times New Roman"/>
          <w:b/>
          <w:bCs/>
          <w:sz w:val="24"/>
          <w:szCs w:val="24"/>
        </w:rPr>
        <w:t xml:space="preserve">. </w:t>
      </w:r>
    </w:p>
    <w:p w14:paraId="5DE36A06" w14:textId="2F12A77A" w:rsidR="0032374A" w:rsidRPr="0032374A" w:rsidRDefault="0032374A" w:rsidP="0032374A">
      <w:pPr>
        <w:spacing w:after="0" w:line="360" w:lineRule="auto"/>
        <w:jc w:val="both"/>
        <w:rPr>
          <w:rFonts w:eastAsia="Times New Roman" w:cs="Times New Roman"/>
          <w:b/>
          <w:bCs/>
          <w:sz w:val="24"/>
          <w:szCs w:val="24"/>
        </w:rPr>
      </w:pPr>
      <w:r w:rsidRPr="0032374A">
        <w:rPr>
          <w:rFonts w:eastAsia="Times New Roman" w:cs="Times New Roman"/>
          <w:b/>
          <w:bCs/>
          <w:sz w:val="24"/>
          <w:szCs w:val="24"/>
        </w:rPr>
        <w:t xml:space="preserve">Лекарственные препараты и другие субстанции, приводящие к повышению артериального давления </w:t>
      </w:r>
    </w:p>
    <w:tbl>
      <w:tblPr>
        <w:tblW w:w="0" w:type="auto"/>
        <w:tblInd w:w="-5" w:type="dxa"/>
        <w:tblLayout w:type="fixed"/>
        <w:tblCellMar>
          <w:left w:w="0" w:type="dxa"/>
          <w:right w:w="0" w:type="dxa"/>
        </w:tblCellMar>
        <w:tblLook w:val="0000" w:firstRow="0" w:lastRow="0" w:firstColumn="0" w:lastColumn="0" w:noHBand="0" w:noVBand="0"/>
      </w:tblPr>
      <w:tblGrid>
        <w:gridCol w:w="3259"/>
        <w:gridCol w:w="5626"/>
      </w:tblGrid>
      <w:tr w:rsidR="0032374A" w:rsidRPr="0032374A" w14:paraId="729F640F" w14:textId="77777777" w:rsidTr="0032374A">
        <w:trPr>
          <w:trHeight w:val="322"/>
        </w:trPr>
        <w:tc>
          <w:tcPr>
            <w:tcW w:w="3259" w:type="dxa"/>
            <w:tcBorders>
              <w:top w:val="single" w:sz="4" w:space="0" w:color="auto"/>
              <w:left w:val="single" w:sz="4" w:space="0" w:color="auto"/>
              <w:bottom w:val="nil"/>
              <w:right w:val="nil"/>
            </w:tcBorders>
            <w:shd w:val="clear" w:color="auto" w:fill="E7E6E6" w:themeFill="background2"/>
            <w:vAlign w:val="bottom"/>
          </w:tcPr>
          <w:p w14:paraId="78676169"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b/>
                <w:bCs/>
                <w:sz w:val="24"/>
                <w:szCs w:val="24"/>
              </w:rPr>
              <w:t>Препарат/субстанция</w:t>
            </w:r>
          </w:p>
        </w:tc>
        <w:tc>
          <w:tcPr>
            <w:tcW w:w="5626" w:type="dxa"/>
            <w:tcBorders>
              <w:top w:val="single" w:sz="4" w:space="0" w:color="auto"/>
              <w:left w:val="single" w:sz="4" w:space="0" w:color="auto"/>
              <w:bottom w:val="nil"/>
              <w:right w:val="single" w:sz="4" w:space="0" w:color="auto"/>
            </w:tcBorders>
            <w:shd w:val="clear" w:color="auto" w:fill="E7E6E6" w:themeFill="background2"/>
            <w:vAlign w:val="bottom"/>
          </w:tcPr>
          <w:p w14:paraId="3110F54D"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b/>
                <w:bCs/>
                <w:sz w:val="24"/>
                <w:szCs w:val="24"/>
              </w:rPr>
              <w:t>Примечания</w:t>
            </w:r>
          </w:p>
        </w:tc>
      </w:tr>
      <w:tr w:rsidR="0032374A" w:rsidRPr="0032374A" w14:paraId="15BCE2F9" w14:textId="77777777">
        <w:trPr>
          <w:trHeight w:val="1114"/>
        </w:trPr>
        <w:tc>
          <w:tcPr>
            <w:tcW w:w="3259" w:type="dxa"/>
            <w:tcBorders>
              <w:top w:val="single" w:sz="4" w:space="0" w:color="auto"/>
              <w:left w:val="single" w:sz="4" w:space="0" w:color="auto"/>
              <w:bottom w:val="nil"/>
              <w:right w:val="nil"/>
            </w:tcBorders>
            <w:vAlign w:val="bottom"/>
          </w:tcPr>
          <w:p w14:paraId="67CE9287"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t>Нестероидные противовоспалительные</w:t>
            </w:r>
            <w:r w:rsidRPr="0032374A">
              <w:rPr>
                <w:rFonts w:eastAsia="Times New Roman" w:cs="Times New Roman"/>
                <w:sz w:val="24"/>
                <w:szCs w:val="24"/>
              </w:rPr>
              <w:tab/>
              <w:t>и</w:t>
            </w:r>
          </w:p>
          <w:p w14:paraId="7AD82147"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t>противоревматические препараты</w:t>
            </w:r>
          </w:p>
        </w:tc>
        <w:tc>
          <w:tcPr>
            <w:tcW w:w="5626" w:type="dxa"/>
            <w:tcBorders>
              <w:top w:val="single" w:sz="4" w:space="0" w:color="auto"/>
              <w:left w:val="single" w:sz="4" w:space="0" w:color="auto"/>
              <w:bottom w:val="nil"/>
              <w:right w:val="single" w:sz="4" w:space="0" w:color="auto"/>
            </w:tcBorders>
          </w:tcPr>
          <w:p w14:paraId="508191A2" w14:textId="77777777" w:rsidR="0032374A" w:rsidRPr="0032374A" w:rsidRDefault="0032374A" w:rsidP="0032374A">
            <w:pPr>
              <w:spacing w:after="0"/>
              <w:jc w:val="both"/>
              <w:rPr>
                <w:rFonts w:eastAsia="Times New Roman" w:cs="Times New Roman"/>
                <w:sz w:val="24"/>
                <w:szCs w:val="24"/>
              </w:rPr>
            </w:pPr>
          </w:p>
        </w:tc>
      </w:tr>
      <w:tr w:rsidR="0032374A" w:rsidRPr="0032374A" w14:paraId="57495FFF" w14:textId="77777777" w:rsidTr="0032374A">
        <w:trPr>
          <w:trHeight w:val="467"/>
        </w:trPr>
        <w:tc>
          <w:tcPr>
            <w:tcW w:w="3259" w:type="dxa"/>
            <w:tcBorders>
              <w:top w:val="single" w:sz="4" w:space="0" w:color="auto"/>
              <w:left w:val="single" w:sz="4" w:space="0" w:color="auto"/>
              <w:bottom w:val="nil"/>
              <w:right w:val="nil"/>
            </w:tcBorders>
            <w:vAlign w:val="bottom"/>
          </w:tcPr>
          <w:p w14:paraId="0A5C2C3F" w14:textId="77777777" w:rsid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lastRenderedPageBreak/>
              <w:t>Гормональные контрацептивы</w:t>
            </w:r>
            <w:r>
              <w:rPr>
                <w:rFonts w:eastAsia="Times New Roman" w:cs="Times New Roman"/>
                <w:sz w:val="24"/>
                <w:szCs w:val="24"/>
              </w:rPr>
              <w:t xml:space="preserve"> </w:t>
            </w:r>
            <w:r w:rsidRPr="0032374A">
              <w:rPr>
                <w:rFonts w:eastAsia="Times New Roman" w:cs="Times New Roman"/>
                <w:sz w:val="24"/>
                <w:szCs w:val="24"/>
              </w:rPr>
              <w:t>системного</w:t>
            </w:r>
            <w:r>
              <w:rPr>
                <w:rFonts w:eastAsia="Times New Roman" w:cs="Times New Roman"/>
                <w:sz w:val="24"/>
                <w:szCs w:val="24"/>
              </w:rPr>
              <w:t xml:space="preserve"> </w:t>
            </w:r>
            <w:r w:rsidRPr="0032374A">
              <w:rPr>
                <w:rFonts w:eastAsia="Times New Roman" w:cs="Times New Roman"/>
                <w:sz w:val="24"/>
                <w:szCs w:val="24"/>
              </w:rPr>
              <w:t>действия</w:t>
            </w:r>
          </w:p>
          <w:p w14:paraId="0D1A32CC" w14:textId="77777777" w:rsidR="0032374A" w:rsidRPr="0032374A" w:rsidRDefault="0032374A" w:rsidP="0032374A">
            <w:pPr>
              <w:spacing w:after="0"/>
              <w:jc w:val="both"/>
              <w:rPr>
                <w:rFonts w:eastAsia="Times New Roman" w:cs="Times New Roman"/>
                <w:sz w:val="24"/>
                <w:szCs w:val="24"/>
              </w:rPr>
            </w:pPr>
          </w:p>
        </w:tc>
        <w:tc>
          <w:tcPr>
            <w:tcW w:w="5626" w:type="dxa"/>
            <w:tcBorders>
              <w:top w:val="single" w:sz="4" w:space="0" w:color="auto"/>
              <w:left w:val="single" w:sz="4" w:space="0" w:color="auto"/>
              <w:bottom w:val="nil"/>
              <w:right w:val="single" w:sz="4" w:space="0" w:color="auto"/>
            </w:tcBorders>
            <w:vAlign w:val="bottom"/>
          </w:tcPr>
          <w:p w14:paraId="411B81A5"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t xml:space="preserve">Особенно с содержанием эстрогенов; вызывают АГ </w:t>
            </w:r>
            <w:r w:rsidRPr="0032374A">
              <w:rPr>
                <w:rFonts w:ascii="Cambria Math" w:eastAsia="Times New Roman" w:hAnsi="Cambria Math" w:cs="Cambria Math"/>
                <w:sz w:val="24"/>
                <w:szCs w:val="24"/>
              </w:rPr>
              <w:t>∼</w:t>
            </w:r>
            <w:r w:rsidRPr="0032374A">
              <w:rPr>
                <w:rFonts w:eastAsia="Times New Roman" w:cs="Times New Roman"/>
                <w:sz w:val="24"/>
                <w:szCs w:val="24"/>
              </w:rPr>
              <w:t xml:space="preserve"> у 5% женщин (обычно легкая, но возможна и тяжелая гипертензия)</w:t>
            </w:r>
          </w:p>
        </w:tc>
      </w:tr>
      <w:tr w:rsidR="0032374A" w:rsidRPr="0032374A" w14:paraId="5CCA8216" w14:textId="77777777">
        <w:trPr>
          <w:trHeight w:val="562"/>
        </w:trPr>
        <w:tc>
          <w:tcPr>
            <w:tcW w:w="3259" w:type="dxa"/>
            <w:tcBorders>
              <w:top w:val="single" w:sz="4" w:space="0" w:color="auto"/>
              <w:left w:val="single" w:sz="4" w:space="0" w:color="auto"/>
              <w:bottom w:val="nil"/>
              <w:right w:val="nil"/>
            </w:tcBorders>
          </w:tcPr>
          <w:p w14:paraId="34F4974C"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t>Назальные симпатомиметики</w:t>
            </w:r>
          </w:p>
        </w:tc>
        <w:tc>
          <w:tcPr>
            <w:tcW w:w="5626" w:type="dxa"/>
            <w:tcBorders>
              <w:top w:val="single" w:sz="4" w:space="0" w:color="auto"/>
              <w:left w:val="single" w:sz="4" w:space="0" w:color="auto"/>
              <w:bottom w:val="nil"/>
              <w:right w:val="single" w:sz="4" w:space="0" w:color="auto"/>
            </w:tcBorders>
          </w:tcPr>
          <w:p w14:paraId="265D1A66" w14:textId="77777777" w:rsidR="0032374A" w:rsidRPr="0032374A" w:rsidRDefault="0032374A" w:rsidP="0032374A">
            <w:pPr>
              <w:spacing w:after="0"/>
              <w:jc w:val="both"/>
              <w:rPr>
                <w:rFonts w:eastAsia="Times New Roman" w:cs="Times New Roman"/>
                <w:sz w:val="24"/>
                <w:szCs w:val="24"/>
              </w:rPr>
            </w:pPr>
          </w:p>
        </w:tc>
      </w:tr>
      <w:tr w:rsidR="0032374A" w:rsidRPr="0032374A" w14:paraId="2361692E" w14:textId="77777777">
        <w:trPr>
          <w:trHeight w:val="840"/>
        </w:trPr>
        <w:tc>
          <w:tcPr>
            <w:tcW w:w="3259" w:type="dxa"/>
            <w:tcBorders>
              <w:top w:val="single" w:sz="4" w:space="0" w:color="auto"/>
              <w:left w:val="single" w:sz="4" w:space="0" w:color="auto"/>
              <w:bottom w:val="nil"/>
              <w:right w:val="nil"/>
            </w:tcBorders>
            <w:vAlign w:val="bottom"/>
          </w:tcPr>
          <w:p w14:paraId="5FED6753"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t>Препараты для лечения ожирения (исключая диетические продукты)</w:t>
            </w:r>
          </w:p>
        </w:tc>
        <w:tc>
          <w:tcPr>
            <w:tcW w:w="5626" w:type="dxa"/>
            <w:tcBorders>
              <w:top w:val="single" w:sz="4" w:space="0" w:color="auto"/>
              <w:left w:val="single" w:sz="4" w:space="0" w:color="auto"/>
              <w:bottom w:val="nil"/>
              <w:right w:val="single" w:sz="4" w:space="0" w:color="auto"/>
            </w:tcBorders>
          </w:tcPr>
          <w:p w14:paraId="31A1B31F"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t>Например, сибутрамин</w:t>
            </w:r>
          </w:p>
        </w:tc>
      </w:tr>
      <w:tr w:rsidR="0032374A" w:rsidRPr="0032374A" w14:paraId="7E363BE9" w14:textId="77777777">
        <w:trPr>
          <w:trHeight w:val="830"/>
        </w:trPr>
        <w:tc>
          <w:tcPr>
            <w:tcW w:w="3259" w:type="dxa"/>
            <w:tcBorders>
              <w:top w:val="single" w:sz="4" w:space="0" w:color="auto"/>
              <w:left w:val="single" w:sz="4" w:space="0" w:color="auto"/>
              <w:bottom w:val="nil"/>
              <w:right w:val="nil"/>
            </w:tcBorders>
            <w:vAlign w:val="bottom"/>
          </w:tcPr>
          <w:p w14:paraId="6B0CD709"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t>Деконгестанты и другие препараты для местного применения</w:t>
            </w:r>
          </w:p>
        </w:tc>
        <w:tc>
          <w:tcPr>
            <w:tcW w:w="5626" w:type="dxa"/>
            <w:tcBorders>
              <w:top w:val="single" w:sz="4" w:space="0" w:color="auto"/>
              <w:left w:val="single" w:sz="4" w:space="0" w:color="auto"/>
              <w:bottom w:val="nil"/>
              <w:right w:val="single" w:sz="4" w:space="0" w:color="auto"/>
            </w:tcBorders>
          </w:tcPr>
          <w:p w14:paraId="66A25F7D"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t>Например, фенилэфрин и нафазолин</w:t>
            </w:r>
          </w:p>
        </w:tc>
      </w:tr>
      <w:tr w:rsidR="0032374A" w:rsidRPr="0032374A" w14:paraId="2ED8951C" w14:textId="77777777">
        <w:trPr>
          <w:trHeight w:val="576"/>
        </w:trPr>
        <w:tc>
          <w:tcPr>
            <w:tcW w:w="3259" w:type="dxa"/>
            <w:tcBorders>
              <w:top w:val="single" w:sz="4" w:space="0" w:color="auto"/>
              <w:left w:val="single" w:sz="4" w:space="0" w:color="auto"/>
              <w:bottom w:val="nil"/>
              <w:right w:val="nil"/>
            </w:tcBorders>
          </w:tcPr>
          <w:p w14:paraId="01A5635E"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t>Стимуляторы</w:t>
            </w:r>
          </w:p>
        </w:tc>
        <w:tc>
          <w:tcPr>
            <w:tcW w:w="5626" w:type="dxa"/>
            <w:tcBorders>
              <w:top w:val="single" w:sz="4" w:space="0" w:color="auto"/>
              <w:left w:val="single" w:sz="4" w:space="0" w:color="auto"/>
              <w:bottom w:val="nil"/>
              <w:right w:val="single" w:sz="4" w:space="0" w:color="auto"/>
            </w:tcBorders>
            <w:vAlign w:val="bottom"/>
          </w:tcPr>
          <w:p w14:paraId="40E1BB3B"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t>Амфетамины, кокаин, экстази; обычно вызывают острый подъем АД, а не хроническую АГ</w:t>
            </w:r>
          </w:p>
        </w:tc>
      </w:tr>
      <w:tr w:rsidR="0032374A" w:rsidRPr="0032374A" w14:paraId="5BFBA806" w14:textId="77777777">
        <w:trPr>
          <w:trHeight w:val="1387"/>
        </w:trPr>
        <w:tc>
          <w:tcPr>
            <w:tcW w:w="3259" w:type="dxa"/>
            <w:tcBorders>
              <w:top w:val="single" w:sz="4" w:space="0" w:color="auto"/>
              <w:left w:val="single" w:sz="4" w:space="0" w:color="auto"/>
              <w:bottom w:val="nil"/>
              <w:right w:val="nil"/>
            </w:tcBorders>
          </w:tcPr>
          <w:p w14:paraId="45DD2DD6"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t>Лакрица</w:t>
            </w:r>
          </w:p>
        </w:tc>
        <w:tc>
          <w:tcPr>
            <w:tcW w:w="5626" w:type="dxa"/>
            <w:tcBorders>
              <w:top w:val="single" w:sz="4" w:space="0" w:color="auto"/>
              <w:left w:val="single" w:sz="4" w:space="0" w:color="auto"/>
              <w:bottom w:val="nil"/>
              <w:right w:val="single" w:sz="4" w:space="0" w:color="auto"/>
            </w:tcBorders>
            <w:vAlign w:val="bottom"/>
          </w:tcPr>
          <w:p w14:paraId="51343C57"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t>Хроническое избыточное употребление лакрицы приводит к проявлениям, похожим на гиперальдостеронизм за счет стимуляции минералокортикоидных рецепторов и угнетения метаболизма кортизола</w:t>
            </w:r>
          </w:p>
        </w:tc>
      </w:tr>
      <w:tr w:rsidR="0032374A" w:rsidRPr="0032374A" w14:paraId="6F9BB4C0" w14:textId="77777777">
        <w:trPr>
          <w:trHeight w:val="1118"/>
        </w:trPr>
        <w:tc>
          <w:tcPr>
            <w:tcW w:w="3259" w:type="dxa"/>
            <w:tcBorders>
              <w:top w:val="single" w:sz="4" w:space="0" w:color="auto"/>
              <w:left w:val="single" w:sz="4" w:space="0" w:color="auto"/>
              <w:bottom w:val="nil"/>
              <w:right w:val="nil"/>
            </w:tcBorders>
          </w:tcPr>
          <w:p w14:paraId="6069E6E3"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t>Иммунодепрессанты</w:t>
            </w:r>
          </w:p>
        </w:tc>
        <w:tc>
          <w:tcPr>
            <w:tcW w:w="5626" w:type="dxa"/>
            <w:tcBorders>
              <w:top w:val="single" w:sz="4" w:space="0" w:color="auto"/>
              <w:left w:val="single" w:sz="4" w:space="0" w:color="auto"/>
              <w:bottom w:val="nil"/>
              <w:right w:val="single" w:sz="4" w:space="0" w:color="auto"/>
            </w:tcBorders>
            <w:vAlign w:val="bottom"/>
          </w:tcPr>
          <w:p w14:paraId="59CB8434"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t>Например, циклоспорин** (такролимус** оказывает меньшее действие на АД, а сиролимус практически его не имеет) и кортикостероиды системного действия (ГКС)</w:t>
            </w:r>
          </w:p>
        </w:tc>
      </w:tr>
      <w:tr w:rsidR="0032374A" w:rsidRPr="0032374A" w14:paraId="0B277B17" w14:textId="77777777">
        <w:trPr>
          <w:trHeight w:val="835"/>
        </w:trPr>
        <w:tc>
          <w:tcPr>
            <w:tcW w:w="3259" w:type="dxa"/>
            <w:tcBorders>
              <w:top w:val="single" w:sz="4" w:space="0" w:color="auto"/>
              <w:left w:val="single" w:sz="4" w:space="0" w:color="auto"/>
              <w:bottom w:val="nil"/>
              <w:right w:val="nil"/>
            </w:tcBorders>
          </w:tcPr>
          <w:p w14:paraId="43721F3D"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t>Противоопухолевые препараты</w:t>
            </w:r>
          </w:p>
        </w:tc>
        <w:tc>
          <w:tcPr>
            <w:tcW w:w="5626" w:type="dxa"/>
            <w:tcBorders>
              <w:top w:val="single" w:sz="4" w:space="0" w:color="auto"/>
              <w:left w:val="single" w:sz="4" w:space="0" w:color="auto"/>
              <w:bottom w:val="nil"/>
              <w:right w:val="single" w:sz="4" w:space="0" w:color="auto"/>
            </w:tcBorders>
            <w:vAlign w:val="bottom"/>
          </w:tcPr>
          <w:p w14:paraId="0C2539CF"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t xml:space="preserve">Например, ингибиторы </w:t>
            </w:r>
            <w:r w:rsidRPr="0032374A">
              <w:rPr>
                <w:rFonts w:eastAsia="Times New Roman" w:cs="Times New Roman"/>
                <w:sz w:val="24"/>
                <w:szCs w:val="24"/>
                <w:lang w:val="en-US"/>
              </w:rPr>
              <w:t>VEGFR</w:t>
            </w:r>
            <w:r w:rsidRPr="0032374A">
              <w:rPr>
                <w:rFonts w:eastAsia="Times New Roman" w:cs="Times New Roman"/>
                <w:sz w:val="24"/>
                <w:szCs w:val="24"/>
              </w:rPr>
              <w:t xml:space="preserve"> (бевацизумаб**), ингибиторы тирозинкиназы </w:t>
            </w:r>
            <w:r w:rsidRPr="0032374A">
              <w:rPr>
                <w:rFonts w:eastAsia="Times New Roman" w:cs="Times New Roman"/>
                <w:sz w:val="24"/>
                <w:szCs w:val="24"/>
                <w:lang w:val="en-US"/>
              </w:rPr>
              <w:t>BCR</w:t>
            </w:r>
            <w:r w:rsidRPr="0032374A">
              <w:rPr>
                <w:rFonts w:eastAsia="Times New Roman" w:cs="Times New Roman"/>
                <w:sz w:val="24"/>
                <w:szCs w:val="24"/>
              </w:rPr>
              <w:t>-</w:t>
            </w:r>
            <w:r w:rsidRPr="0032374A">
              <w:rPr>
                <w:rFonts w:eastAsia="Times New Roman" w:cs="Times New Roman"/>
                <w:sz w:val="24"/>
                <w:szCs w:val="24"/>
                <w:lang w:val="en-US"/>
              </w:rPr>
              <w:t>ABL</w:t>
            </w:r>
            <w:r w:rsidRPr="0032374A">
              <w:rPr>
                <w:rFonts w:eastAsia="Times New Roman" w:cs="Times New Roman"/>
                <w:sz w:val="24"/>
                <w:szCs w:val="24"/>
              </w:rPr>
              <w:t xml:space="preserve"> (сунитиниб**) и сорафениб**</w:t>
            </w:r>
          </w:p>
        </w:tc>
      </w:tr>
      <w:tr w:rsidR="0032374A" w:rsidRPr="0032374A" w14:paraId="322CA9DD" w14:textId="77777777">
        <w:trPr>
          <w:trHeight w:val="850"/>
        </w:trPr>
        <w:tc>
          <w:tcPr>
            <w:tcW w:w="3259" w:type="dxa"/>
            <w:tcBorders>
              <w:top w:val="single" w:sz="4" w:space="0" w:color="auto"/>
              <w:left w:val="single" w:sz="4" w:space="0" w:color="auto"/>
              <w:bottom w:val="single" w:sz="4" w:space="0" w:color="auto"/>
              <w:right w:val="nil"/>
            </w:tcBorders>
            <w:vAlign w:val="bottom"/>
          </w:tcPr>
          <w:p w14:paraId="04A9E060"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t>Другие</w:t>
            </w:r>
            <w:r w:rsidRPr="0032374A">
              <w:rPr>
                <w:rFonts w:eastAsia="Times New Roman" w:cs="Times New Roman"/>
                <w:sz w:val="24"/>
                <w:szCs w:val="24"/>
              </w:rPr>
              <w:tab/>
              <w:t>препараты</w:t>
            </w:r>
            <w:r w:rsidRPr="0032374A">
              <w:rPr>
                <w:rFonts w:eastAsia="Times New Roman" w:cs="Times New Roman"/>
                <w:sz w:val="24"/>
                <w:szCs w:val="24"/>
              </w:rPr>
              <w:tab/>
              <w:t>и</w:t>
            </w:r>
          </w:p>
          <w:p w14:paraId="04116D23"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t>субстанции,</w:t>
            </w:r>
            <w:r w:rsidRPr="0032374A">
              <w:rPr>
                <w:rFonts w:eastAsia="Times New Roman" w:cs="Times New Roman"/>
                <w:sz w:val="24"/>
                <w:szCs w:val="24"/>
              </w:rPr>
              <w:tab/>
              <w:t>способные</w:t>
            </w:r>
          </w:p>
          <w:p w14:paraId="2B949C47"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t>повышать АД</w:t>
            </w:r>
          </w:p>
        </w:tc>
        <w:tc>
          <w:tcPr>
            <w:tcW w:w="5626" w:type="dxa"/>
            <w:tcBorders>
              <w:top w:val="single" w:sz="4" w:space="0" w:color="auto"/>
              <w:left w:val="single" w:sz="4" w:space="0" w:color="auto"/>
              <w:bottom w:val="single" w:sz="4" w:space="0" w:color="auto"/>
              <w:right w:val="single" w:sz="4" w:space="0" w:color="auto"/>
            </w:tcBorders>
          </w:tcPr>
          <w:p w14:paraId="7F3C0AFC"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t>Анаболические</w:t>
            </w:r>
            <w:r w:rsidRPr="0032374A">
              <w:rPr>
                <w:rFonts w:eastAsia="Times New Roman" w:cs="Times New Roman"/>
                <w:sz w:val="24"/>
                <w:szCs w:val="24"/>
              </w:rPr>
              <w:tab/>
              <w:t>стероиды,</w:t>
            </w:r>
            <w:r w:rsidRPr="0032374A">
              <w:rPr>
                <w:rFonts w:eastAsia="Times New Roman" w:cs="Times New Roman"/>
                <w:sz w:val="24"/>
                <w:szCs w:val="24"/>
              </w:rPr>
              <w:tab/>
              <w:t>эритропоэтин,</w:t>
            </w:r>
          </w:p>
          <w:p w14:paraId="3D7E526B"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t>растительные препараты (эфедра и марихуана)</w:t>
            </w:r>
          </w:p>
        </w:tc>
      </w:tr>
    </w:tbl>
    <w:p w14:paraId="72C1EE27" w14:textId="77777777" w:rsidR="00D403B6" w:rsidRDefault="00D403B6" w:rsidP="0032374A">
      <w:pPr>
        <w:spacing w:after="0" w:line="360" w:lineRule="auto"/>
        <w:jc w:val="both"/>
        <w:rPr>
          <w:rFonts w:eastAsia="Times New Roman" w:cs="Times New Roman"/>
          <w:b/>
          <w:bCs/>
          <w:sz w:val="24"/>
          <w:szCs w:val="24"/>
        </w:rPr>
      </w:pPr>
    </w:p>
    <w:p w14:paraId="142BB936" w14:textId="77777777" w:rsidR="00D403B6" w:rsidRDefault="0032374A" w:rsidP="00D403B6">
      <w:pPr>
        <w:spacing w:after="0" w:line="360" w:lineRule="auto"/>
        <w:jc w:val="right"/>
        <w:rPr>
          <w:rFonts w:eastAsia="Times New Roman" w:cs="Times New Roman"/>
          <w:b/>
          <w:bCs/>
          <w:sz w:val="24"/>
          <w:szCs w:val="24"/>
        </w:rPr>
      </w:pPr>
      <w:r w:rsidRPr="0032374A">
        <w:rPr>
          <w:rFonts w:eastAsia="Times New Roman" w:cs="Times New Roman"/>
          <w:b/>
          <w:bCs/>
          <w:sz w:val="24"/>
          <w:szCs w:val="24"/>
        </w:rPr>
        <w:t>Таблица П27/</w:t>
      </w:r>
      <w:r w:rsidR="00FB33EA">
        <w:rPr>
          <w:rFonts w:eastAsia="Times New Roman" w:cs="Times New Roman"/>
          <w:b/>
          <w:bCs/>
          <w:sz w:val="24"/>
          <w:szCs w:val="24"/>
        </w:rPr>
        <w:t>А2</w:t>
      </w:r>
      <w:r w:rsidRPr="0032374A">
        <w:rPr>
          <w:rFonts w:eastAsia="Times New Roman" w:cs="Times New Roman"/>
          <w:b/>
          <w:bCs/>
          <w:sz w:val="24"/>
          <w:szCs w:val="24"/>
        </w:rPr>
        <w:t xml:space="preserve">. </w:t>
      </w:r>
    </w:p>
    <w:p w14:paraId="767D58B3" w14:textId="14DA423C" w:rsidR="0032374A" w:rsidRPr="0032374A" w:rsidRDefault="0032374A" w:rsidP="0032374A">
      <w:pPr>
        <w:spacing w:after="0" w:line="360" w:lineRule="auto"/>
        <w:jc w:val="both"/>
        <w:rPr>
          <w:rFonts w:eastAsia="Times New Roman" w:cs="Times New Roman"/>
          <w:b/>
          <w:bCs/>
          <w:sz w:val="24"/>
          <w:szCs w:val="24"/>
        </w:rPr>
      </w:pPr>
      <w:r w:rsidRPr="0032374A">
        <w:rPr>
          <w:rFonts w:eastAsia="Times New Roman" w:cs="Times New Roman"/>
          <w:b/>
          <w:bCs/>
          <w:sz w:val="24"/>
          <w:szCs w:val="24"/>
        </w:rPr>
        <w:t xml:space="preserve">Мероприятия, которые могут повысить приверженность пациентов с артериальной гипертензией к лекарственной терапии </w:t>
      </w:r>
    </w:p>
    <w:tbl>
      <w:tblPr>
        <w:tblW w:w="0" w:type="auto"/>
        <w:tblInd w:w="-5" w:type="dxa"/>
        <w:tblLayout w:type="fixed"/>
        <w:tblCellMar>
          <w:left w:w="0" w:type="dxa"/>
          <w:right w:w="0" w:type="dxa"/>
        </w:tblCellMar>
        <w:tblLook w:val="0000" w:firstRow="0" w:lastRow="0" w:firstColumn="0" w:lastColumn="0" w:noHBand="0" w:noVBand="0"/>
      </w:tblPr>
      <w:tblGrid>
        <w:gridCol w:w="8866"/>
      </w:tblGrid>
      <w:tr w:rsidR="0032374A" w:rsidRPr="0032374A" w14:paraId="1CA8E387" w14:textId="77777777" w:rsidTr="0032374A">
        <w:trPr>
          <w:trHeight w:val="432"/>
        </w:trPr>
        <w:tc>
          <w:tcPr>
            <w:tcW w:w="8866" w:type="dxa"/>
            <w:tcBorders>
              <w:top w:val="single" w:sz="4" w:space="0" w:color="auto"/>
              <w:left w:val="single" w:sz="4" w:space="0" w:color="auto"/>
              <w:bottom w:val="nil"/>
              <w:right w:val="single" w:sz="4" w:space="0" w:color="auto"/>
            </w:tcBorders>
            <w:shd w:val="clear" w:color="auto" w:fill="E7E6E6" w:themeFill="background2"/>
            <w:vAlign w:val="center"/>
          </w:tcPr>
          <w:p w14:paraId="41C0CDED"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b/>
                <w:bCs/>
                <w:sz w:val="24"/>
                <w:szCs w:val="24"/>
              </w:rPr>
              <w:t>На уровне врача</w:t>
            </w:r>
          </w:p>
        </w:tc>
      </w:tr>
      <w:tr w:rsidR="0032374A" w:rsidRPr="0032374A" w14:paraId="6859FCF1" w14:textId="77777777">
        <w:trPr>
          <w:trHeight w:val="336"/>
        </w:trPr>
        <w:tc>
          <w:tcPr>
            <w:tcW w:w="8866" w:type="dxa"/>
            <w:tcBorders>
              <w:top w:val="single" w:sz="4" w:space="0" w:color="auto"/>
              <w:left w:val="single" w:sz="4" w:space="0" w:color="auto"/>
              <w:bottom w:val="nil"/>
              <w:right w:val="single" w:sz="4" w:space="0" w:color="auto"/>
            </w:tcBorders>
            <w:vAlign w:val="bottom"/>
          </w:tcPr>
          <w:p w14:paraId="162D7123"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t>Предоставление пациенту информации о рисках при АГ и преимуществах терапии,</w:t>
            </w:r>
          </w:p>
        </w:tc>
      </w:tr>
      <w:tr w:rsidR="0032374A" w:rsidRPr="0032374A" w14:paraId="2433AEA1" w14:textId="77777777">
        <w:trPr>
          <w:trHeight w:val="264"/>
        </w:trPr>
        <w:tc>
          <w:tcPr>
            <w:tcW w:w="8866" w:type="dxa"/>
            <w:tcBorders>
              <w:top w:val="nil"/>
              <w:left w:val="single" w:sz="4" w:space="0" w:color="auto"/>
              <w:bottom w:val="nil"/>
              <w:right w:val="single" w:sz="4" w:space="0" w:color="auto"/>
            </w:tcBorders>
          </w:tcPr>
          <w:p w14:paraId="5F49905A"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t>согласование стратегии лечения, направленной на поддержание нормального АД с</w:t>
            </w:r>
          </w:p>
        </w:tc>
      </w:tr>
      <w:tr w:rsidR="0032374A" w:rsidRPr="0032374A" w14:paraId="57411FA1" w14:textId="77777777">
        <w:trPr>
          <w:trHeight w:val="259"/>
        </w:trPr>
        <w:tc>
          <w:tcPr>
            <w:tcW w:w="8866" w:type="dxa"/>
            <w:tcBorders>
              <w:top w:val="nil"/>
              <w:left w:val="single" w:sz="4" w:space="0" w:color="auto"/>
              <w:bottom w:val="nil"/>
              <w:right w:val="single" w:sz="4" w:space="0" w:color="auto"/>
            </w:tcBorders>
          </w:tcPr>
          <w:p w14:paraId="6DBF1979"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t>использованием рекомендаций по изменению образа жизни и назначения</w:t>
            </w:r>
          </w:p>
        </w:tc>
      </w:tr>
      <w:tr w:rsidR="0032374A" w:rsidRPr="0032374A" w14:paraId="2FFE1F45" w14:textId="77777777">
        <w:trPr>
          <w:trHeight w:val="293"/>
        </w:trPr>
        <w:tc>
          <w:tcPr>
            <w:tcW w:w="8866" w:type="dxa"/>
            <w:tcBorders>
              <w:top w:val="nil"/>
              <w:left w:val="single" w:sz="4" w:space="0" w:color="auto"/>
              <w:bottom w:val="nil"/>
              <w:right w:val="single" w:sz="4" w:space="0" w:color="auto"/>
            </w:tcBorders>
          </w:tcPr>
          <w:p w14:paraId="78675A3F"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t>фиксированных комбинаций;</w:t>
            </w:r>
            <w:r w:rsidRPr="0032374A">
              <w:rPr>
                <w:rFonts w:eastAsia="Times New Roman" w:cs="Times New Roman"/>
                <w:sz w:val="24"/>
                <w:szCs w:val="24"/>
              </w:rPr>
              <w:tab/>
              <w:t>использование информационных материалов,</w:t>
            </w:r>
          </w:p>
        </w:tc>
      </w:tr>
      <w:tr w:rsidR="0032374A" w:rsidRPr="0032374A" w14:paraId="4D67FC82" w14:textId="77777777">
        <w:trPr>
          <w:trHeight w:val="408"/>
        </w:trPr>
        <w:tc>
          <w:tcPr>
            <w:tcW w:w="8866" w:type="dxa"/>
            <w:tcBorders>
              <w:top w:val="nil"/>
              <w:left w:val="single" w:sz="4" w:space="0" w:color="auto"/>
              <w:bottom w:val="single" w:sz="4" w:space="0" w:color="auto"/>
              <w:right w:val="single" w:sz="4" w:space="0" w:color="auto"/>
            </w:tcBorders>
          </w:tcPr>
          <w:p w14:paraId="430261A0"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t>программ обучения, консультирование с помощью компьютерных технологий</w:t>
            </w:r>
          </w:p>
        </w:tc>
      </w:tr>
      <w:tr w:rsidR="0032374A" w:rsidRPr="0032374A" w14:paraId="53424DA8" w14:textId="77777777" w:rsidTr="0032374A">
        <w:trPr>
          <w:trHeight w:val="408"/>
        </w:trPr>
        <w:tc>
          <w:tcPr>
            <w:tcW w:w="8866" w:type="dxa"/>
            <w:tcBorders>
              <w:top w:val="nil"/>
              <w:left w:val="single" w:sz="4" w:space="0" w:color="auto"/>
              <w:bottom w:val="single" w:sz="4" w:space="0" w:color="auto"/>
              <w:right w:val="single" w:sz="4" w:space="0" w:color="auto"/>
            </w:tcBorders>
          </w:tcPr>
          <w:p w14:paraId="294EE8B6"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t>Получение обратной связи в отношении соблюдения рекомендаций и наличия улучшения</w:t>
            </w:r>
          </w:p>
        </w:tc>
      </w:tr>
      <w:tr w:rsidR="0032374A" w:rsidRPr="0032374A" w14:paraId="61F7DD9D" w14:textId="77777777" w:rsidTr="0032374A">
        <w:trPr>
          <w:trHeight w:val="408"/>
        </w:trPr>
        <w:tc>
          <w:tcPr>
            <w:tcW w:w="8866" w:type="dxa"/>
            <w:tcBorders>
              <w:top w:val="nil"/>
              <w:left w:val="single" w:sz="4" w:space="0" w:color="auto"/>
              <w:bottom w:val="single" w:sz="4" w:space="0" w:color="auto"/>
              <w:right w:val="single" w:sz="4" w:space="0" w:color="auto"/>
            </w:tcBorders>
          </w:tcPr>
          <w:p w14:paraId="31AA0112"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t>Оценка и разрешение индивидуальных проблем, препятствующих высокой приверженности к лечению</w:t>
            </w:r>
          </w:p>
        </w:tc>
      </w:tr>
      <w:tr w:rsidR="0032374A" w:rsidRPr="0032374A" w14:paraId="2BF77634" w14:textId="77777777" w:rsidTr="0032374A">
        <w:trPr>
          <w:trHeight w:val="408"/>
        </w:trPr>
        <w:tc>
          <w:tcPr>
            <w:tcW w:w="8866" w:type="dxa"/>
            <w:tcBorders>
              <w:top w:val="nil"/>
              <w:left w:val="single" w:sz="4" w:space="0" w:color="auto"/>
              <w:bottom w:val="single" w:sz="4" w:space="0" w:color="auto"/>
              <w:right w:val="single" w:sz="4" w:space="0" w:color="auto"/>
            </w:tcBorders>
          </w:tcPr>
          <w:p w14:paraId="7CFDB436"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t>Сотрудничество с другими медицинскими сотрудниками</w:t>
            </w:r>
          </w:p>
        </w:tc>
      </w:tr>
      <w:tr w:rsidR="0032374A" w:rsidRPr="0032374A" w14:paraId="3E9BC8F5" w14:textId="77777777" w:rsidTr="0032374A">
        <w:trPr>
          <w:trHeight w:val="408"/>
        </w:trPr>
        <w:tc>
          <w:tcPr>
            <w:tcW w:w="8866" w:type="dxa"/>
            <w:tcBorders>
              <w:top w:val="nil"/>
              <w:left w:val="single" w:sz="4" w:space="0" w:color="auto"/>
              <w:bottom w:val="single" w:sz="4" w:space="0" w:color="auto"/>
              <w:right w:val="single" w:sz="4" w:space="0" w:color="auto"/>
            </w:tcBorders>
            <w:shd w:val="clear" w:color="auto" w:fill="E7E6E6" w:themeFill="background2"/>
          </w:tcPr>
          <w:p w14:paraId="4F7E62A9" w14:textId="77777777" w:rsidR="0032374A" w:rsidRPr="0032374A" w:rsidRDefault="0032374A" w:rsidP="0032374A">
            <w:pPr>
              <w:spacing w:after="0"/>
              <w:jc w:val="both"/>
              <w:rPr>
                <w:rFonts w:eastAsia="Times New Roman" w:cs="Times New Roman"/>
                <w:b/>
                <w:bCs/>
                <w:sz w:val="24"/>
                <w:szCs w:val="24"/>
              </w:rPr>
            </w:pPr>
            <w:r w:rsidRPr="0032374A">
              <w:rPr>
                <w:rFonts w:eastAsia="Times New Roman" w:cs="Times New Roman"/>
                <w:b/>
                <w:bCs/>
                <w:sz w:val="24"/>
                <w:szCs w:val="24"/>
              </w:rPr>
              <w:t>На уровне пациента</w:t>
            </w:r>
          </w:p>
        </w:tc>
      </w:tr>
      <w:tr w:rsidR="0032374A" w:rsidRPr="0032374A" w14:paraId="3A52CA78" w14:textId="77777777" w:rsidTr="0032374A">
        <w:trPr>
          <w:trHeight w:val="408"/>
        </w:trPr>
        <w:tc>
          <w:tcPr>
            <w:tcW w:w="8866" w:type="dxa"/>
            <w:tcBorders>
              <w:top w:val="nil"/>
              <w:left w:val="single" w:sz="4" w:space="0" w:color="auto"/>
              <w:bottom w:val="single" w:sz="4" w:space="0" w:color="auto"/>
              <w:right w:val="single" w:sz="4" w:space="0" w:color="auto"/>
            </w:tcBorders>
          </w:tcPr>
          <w:p w14:paraId="7979377E"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t>Самоконтроль АД (в том числе телемониторирование)</w:t>
            </w:r>
          </w:p>
        </w:tc>
      </w:tr>
      <w:tr w:rsidR="0032374A" w:rsidRPr="0032374A" w14:paraId="289E742C" w14:textId="77777777" w:rsidTr="0032374A">
        <w:trPr>
          <w:trHeight w:val="408"/>
        </w:trPr>
        <w:tc>
          <w:tcPr>
            <w:tcW w:w="8866" w:type="dxa"/>
            <w:tcBorders>
              <w:top w:val="nil"/>
              <w:left w:val="single" w:sz="4" w:space="0" w:color="auto"/>
              <w:bottom w:val="single" w:sz="4" w:space="0" w:color="auto"/>
              <w:right w:val="single" w:sz="4" w:space="0" w:color="auto"/>
            </w:tcBorders>
          </w:tcPr>
          <w:p w14:paraId="152E3470"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lastRenderedPageBreak/>
              <w:t>Групповые занятия и тренинги</w:t>
            </w:r>
          </w:p>
        </w:tc>
      </w:tr>
      <w:tr w:rsidR="0032374A" w:rsidRPr="0032374A" w14:paraId="3BF380A8" w14:textId="77777777" w:rsidTr="0032374A">
        <w:trPr>
          <w:trHeight w:val="408"/>
        </w:trPr>
        <w:tc>
          <w:tcPr>
            <w:tcW w:w="8866" w:type="dxa"/>
            <w:tcBorders>
              <w:top w:val="nil"/>
              <w:left w:val="single" w:sz="4" w:space="0" w:color="auto"/>
              <w:bottom w:val="single" w:sz="4" w:space="0" w:color="auto"/>
              <w:right w:val="single" w:sz="4" w:space="0" w:color="auto"/>
            </w:tcBorders>
          </w:tcPr>
          <w:p w14:paraId="61DB7A66"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t>Рекомендации в сочетании с мотивационными стратегиями</w:t>
            </w:r>
          </w:p>
        </w:tc>
      </w:tr>
      <w:tr w:rsidR="0032374A" w:rsidRPr="0032374A" w14:paraId="76525681" w14:textId="77777777" w:rsidTr="0032374A">
        <w:trPr>
          <w:trHeight w:val="408"/>
        </w:trPr>
        <w:tc>
          <w:tcPr>
            <w:tcW w:w="8866" w:type="dxa"/>
            <w:tcBorders>
              <w:top w:val="nil"/>
              <w:left w:val="single" w:sz="4" w:space="0" w:color="auto"/>
              <w:bottom w:val="single" w:sz="4" w:space="0" w:color="auto"/>
              <w:right w:val="single" w:sz="4" w:space="0" w:color="auto"/>
            </w:tcBorders>
          </w:tcPr>
          <w:p w14:paraId="079B9290"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t>Использование систем напоминания</w:t>
            </w:r>
          </w:p>
        </w:tc>
      </w:tr>
      <w:tr w:rsidR="0032374A" w:rsidRPr="0032374A" w14:paraId="1DE2F5AA" w14:textId="77777777" w:rsidTr="0032374A">
        <w:trPr>
          <w:trHeight w:val="408"/>
        </w:trPr>
        <w:tc>
          <w:tcPr>
            <w:tcW w:w="8866" w:type="dxa"/>
            <w:tcBorders>
              <w:top w:val="nil"/>
              <w:left w:val="single" w:sz="4" w:space="0" w:color="auto"/>
              <w:bottom w:val="single" w:sz="4" w:space="0" w:color="auto"/>
              <w:right w:val="single" w:sz="4" w:space="0" w:color="auto"/>
            </w:tcBorders>
          </w:tcPr>
          <w:p w14:paraId="4FCD9BE8"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t>Получение поддержки семьи и общества</w:t>
            </w:r>
          </w:p>
        </w:tc>
      </w:tr>
      <w:tr w:rsidR="0032374A" w:rsidRPr="0032374A" w14:paraId="768CC4BF" w14:textId="77777777" w:rsidTr="0032374A">
        <w:trPr>
          <w:trHeight w:val="408"/>
        </w:trPr>
        <w:tc>
          <w:tcPr>
            <w:tcW w:w="8866" w:type="dxa"/>
            <w:tcBorders>
              <w:top w:val="nil"/>
              <w:left w:val="single" w:sz="4" w:space="0" w:color="auto"/>
              <w:bottom w:val="single" w:sz="4" w:space="0" w:color="auto"/>
              <w:right w:val="single" w:sz="4" w:space="0" w:color="auto"/>
            </w:tcBorders>
          </w:tcPr>
          <w:p w14:paraId="26F74131"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t>Обеспечение лекарственными препаратами на рабочем месте</w:t>
            </w:r>
          </w:p>
        </w:tc>
      </w:tr>
      <w:tr w:rsidR="0032374A" w:rsidRPr="0032374A" w14:paraId="62FF4638" w14:textId="77777777" w:rsidTr="0032374A">
        <w:trPr>
          <w:trHeight w:val="408"/>
        </w:trPr>
        <w:tc>
          <w:tcPr>
            <w:tcW w:w="8866" w:type="dxa"/>
            <w:tcBorders>
              <w:top w:val="nil"/>
              <w:left w:val="single" w:sz="4" w:space="0" w:color="auto"/>
              <w:bottom w:val="single" w:sz="4" w:space="0" w:color="auto"/>
              <w:right w:val="single" w:sz="4" w:space="0" w:color="auto"/>
            </w:tcBorders>
            <w:shd w:val="clear" w:color="auto" w:fill="E7E6E6" w:themeFill="background2"/>
          </w:tcPr>
          <w:p w14:paraId="1164CC53" w14:textId="77777777" w:rsidR="0032374A" w:rsidRPr="0032374A" w:rsidRDefault="0032374A" w:rsidP="0032374A">
            <w:pPr>
              <w:spacing w:after="0"/>
              <w:jc w:val="both"/>
              <w:rPr>
                <w:rFonts w:eastAsia="Times New Roman" w:cs="Times New Roman"/>
                <w:b/>
                <w:bCs/>
                <w:sz w:val="24"/>
                <w:szCs w:val="24"/>
              </w:rPr>
            </w:pPr>
            <w:r w:rsidRPr="0032374A">
              <w:rPr>
                <w:rFonts w:eastAsia="Times New Roman" w:cs="Times New Roman"/>
                <w:b/>
                <w:bCs/>
                <w:sz w:val="24"/>
                <w:szCs w:val="24"/>
              </w:rPr>
              <w:t>На уровне лекарственной терапии</w:t>
            </w:r>
          </w:p>
        </w:tc>
      </w:tr>
      <w:tr w:rsidR="0032374A" w:rsidRPr="0032374A" w14:paraId="088AC5AB" w14:textId="77777777" w:rsidTr="0032374A">
        <w:trPr>
          <w:trHeight w:val="408"/>
        </w:trPr>
        <w:tc>
          <w:tcPr>
            <w:tcW w:w="8866" w:type="dxa"/>
            <w:tcBorders>
              <w:top w:val="nil"/>
              <w:left w:val="single" w:sz="4" w:space="0" w:color="auto"/>
              <w:bottom w:val="single" w:sz="4" w:space="0" w:color="auto"/>
              <w:right w:val="single" w:sz="4" w:space="0" w:color="auto"/>
            </w:tcBorders>
          </w:tcPr>
          <w:p w14:paraId="7635C9C7"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t>Упрощение схем приема препарата, предпочтение — фиксированным комбинациям и стратегии «одной таблетки»</w:t>
            </w:r>
          </w:p>
        </w:tc>
      </w:tr>
      <w:tr w:rsidR="0032374A" w:rsidRPr="0032374A" w14:paraId="493DF07B" w14:textId="77777777" w:rsidTr="0032374A">
        <w:trPr>
          <w:trHeight w:val="408"/>
        </w:trPr>
        <w:tc>
          <w:tcPr>
            <w:tcW w:w="8866" w:type="dxa"/>
            <w:tcBorders>
              <w:top w:val="nil"/>
              <w:left w:val="single" w:sz="4" w:space="0" w:color="auto"/>
              <w:bottom w:val="single" w:sz="4" w:space="0" w:color="auto"/>
              <w:right w:val="single" w:sz="4" w:space="0" w:color="auto"/>
            </w:tcBorders>
          </w:tcPr>
          <w:p w14:paraId="4ECDD3AA"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t>Упаковки лекрственный средств с системой напоминаний</w:t>
            </w:r>
          </w:p>
        </w:tc>
      </w:tr>
      <w:tr w:rsidR="0032374A" w:rsidRPr="0032374A" w14:paraId="67866CC3" w14:textId="77777777" w:rsidTr="0032374A">
        <w:trPr>
          <w:trHeight w:val="408"/>
        </w:trPr>
        <w:tc>
          <w:tcPr>
            <w:tcW w:w="8866" w:type="dxa"/>
            <w:tcBorders>
              <w:top w:val="nil"/>
              <w:left w:val="single" w:sz="4" w:space="0" w:color="auto"/>
              <w:bottom w:val="single" w:sz="4" w:space="0" w:color="auto"/>
              <w:right w:val="single" w:sz="4" w:space="0" w:color="auto"/>
            </w:tcBorders>
            <w:shd w:val="clear" w:color="auto" w:fill="E7E6E6" w:themeFill="background2"/>
          </w:tcPr>
          <w:p w14:paraId="683F82B6" w14:textId="77777777" w:rsidR="0032374A" w:rsidRPr="0032374A" w:rsidRDefault="0032374A" w:rsidP="0032374A">
            <w:pPr>
              <w:spacing w:after="0"/>
              <w:jc w:val="both"/>
              <w:rPr>
                <w:rFonts w:eastAsia="Times New Roman" w:cs="Times New Roman"/>
                <w:b/>
                <w:bCs/>
                <w:sz w:val="24"/>
                <w:szCs w:val="24"/>
              </w:rPr>
            </w:pPr>
            <w:r w:rsidRPr="0032374A">
              <w:rPr>
                <w:rFonts w:eastAsia="Times New Roman" w:cs="Times New Roman"/>
                <w:b/>
                <w:bCs/>
                <w:sz w:val="24"/>
                <w:szCs w:val="24"/>
              </w:rPr>
              <w:t>На уровне системы здравоохранения</w:t>
            </w:r>
          </w:p>
        </w:tc>
      </w:tr>
      <w:tr w:rsidR="0032374A" w:rsidRPr="0032374A" w14:paraId="548FE1CB" w14:textId="77777777" w:rsidTr="0032374A">
        <w:trPr>
          <w:trHeight w:val="408"/>
        </w:trPr>
        <w:tc>
          <w:tcPr>
            <w:tcW w:w="8866" w:type="dxa"/>
            <w:tcBorders>
              <w:top w:val="nil"/>
              <w:left w:val="single" w:sz="4" w:space="0" w:color="auto"/>
              <w:bottom w:val="single" w:sz="4" w:space="0" w:color="auto"/>
              <w:right w:val="single" w:sz="4" w:space="0" w:color="auto"/>
            </w:tcBorders>
          </w:tcPr>
          <w:p w14:paraId="2B075D37"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t>Поддержка развития систем мониторирования (телефонные контакты, посещения на дому, телемониторинг результатов домашнего контроля АД)</w:t>
            </w:r>
          </w:p>
        </w:tc>
      </w:tr>
      <w:tr w:rsidR="0032374A" w:rsidRPr="0032374A" w14:paraId="64087C55" w14:textId="77777777" w:rsidTr="0032374A">
        <w:trPr>
          <w:trHeight w:val="408"/>
        </w:trPr>
        <w:tc>
          <w:tcPr>
            <w:tcW w:w="8866" w:type="dxa"/>
            <w:tcBorders>
              <w:top w:val="nil"/>
              <w:left w:val="single" w:sz="4" w:space="0" w:color="auto"/>
              <w:bottom w:val="single" w:sz="4" w:space="0" w:color="auto"/>
              <w:right w:val="single" w:sz="4" w:space="0" w:color="auto"/>
            </w:tcBorders>
          </w:tcPr>
          <w:p w14:paraId="2ED60848"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t>Финансовая поддержка системы взаимодействия между различными представителями системы здравоохранения (например, фармацевты и медицинские сестры)</w:t>
            </w:r>
          </w:p>
        </w:tc>
      </w:tr>
      <w:tr w:rsidR="0032374A" w:rsidRPr="0032374A" w14:paraId="16AA47F1" w14:textId="77777777" w:rsidTr="0032374A">
        <w:trPr>
          <w:trHeight w:val="408"/>
        </w:trPr>
        <w:tc>
          <w:tcPr>
            <w:tcW w:w="8866" w:type="dxa"/>
            <w:tcBorders>
              <w:top w:val="nil"/>
              <w:left w:val="single" w:sz="4" w:space="0" w:color="auto"/>
              <w:bottom w:val="single" w:sz="4" w:space="0" w:color="auto"/>
              <w:right w:val="single" w:sz="4" w:space="0" w:color="auto"/>
            </w:tcBorders>
          </w:tcPr>
          <w:p w14:paraId="3496C257"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t>Система компенсации стратегии «одной таблетки»</w:t>
            </w:r>
          </w:p>
        </w:tc>
      </w:tr>
      <w:tr w:rsidR="0032374A" w:rsidRPr="0032374A" w14:paraId="39B25EC3" w14:textId="77777777" w:rsidTr="0032374A">
        <w:trPr>
          <w:trHeight w:val="408"/>
        </w:trPr>
        <w:tc>
          <w:tcPr>
            <w:tcW w:w="8866" w:type="dxa"/>
            <w:tcBorders>
              <w:top w:val="nil"/>
              <w:left w:val="single" w:sz="4" w:space="0" w:color="auto"/>
              <w:bottom w:val="single" w:sz="4" w:space="0" w:color="auto"/>
              <w:right w:val="single" w:sz="4" w:space="0" w:color="auto"/>
            </w:tcBorders>
          </w:tcPr>
          <w:p w14:paraId="1D96B534"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t>Развитие национальных баз данных, включая данные о назначении лекарственных препаратов, доступных для врачей и фармацевтов</w:t>
            </w:r>
          </w:p>
        </w:tc>
      </w:tr>
      <w:tr w:rsidR="0032374A" w:rsidRPr="0032374A" w14:paraId="55F203DE" w14:textId="77777777" w:rsidTr="0032374A">
        <w:trPr>
          <w:trHeight w:val="408"/>
        </w:trPr>
        <w:tc>
          <w:tcPr>
            <w:tcW w:w="8866" w:type="dxa"/>
            <w:tcBorders>
              <w:top w:val="nil"/>
              <w:left w:val="single" w:sz="4" w:space="0" w:color="auto"/>
              <w:bottom w:val="single" w:sz="4" w:space="0" w:color="auto"/>
              <w:right w:val="single" w:sz="4" w:space="0" w:color="auto"/>
            </w:tcBorders>
          </w:tcPr>
          <w:p w14:paraId="0AEA34A3" w14:textId="77777777" w:rsidR="0032374A" w:rsidRPr="0032374A" w:rsidRDefault="0032374A" w:rsidP="0032374A">
            <w:pPr>
              <w:spacing w:after="0"/>
              <w:jc w:val="both"/>
              <w:rPr>
                <w:rFonts w:eastAsia="Times New Roman" w:cs="Times New Roman"/>
                <w:sz w:val="24"/>
                <w:szCs w:val="24"/>
              </w:rPr>
            </w:pPr>
            <w:r w:rsidRPr="0032374A">
              <w:rPr>
                <w:rFonts w:eastAsia="Times New Roman" w:cs="Times New Roman"/>
                <w:sz w:val="24"/>
                <w:szCs w:val="24"/>
              </w:rPr>
              <w:t>Доступность препаратов</w:t>
            </w:r>
          </w:p>
        </w:tc>
      </w:tr>
    </w:tbl>
    <w:p w14:paraId="408B2D65" w14:textId="77777777" w:rsidR="003B0E24" w:rsidRDefault="003B0E24" w:rsidP="00786288">
      <w:pPr>
        <w:spacing w:after="0" w:line="360" w:lineRule="auto"/>
        <w:jc w:val="center"/>
        <w:rPr>
          <w:rFonts w:eastAsia="Times New Roman" w:cs="Times New Roman"/>
          <w:b/>
          <w:bCs/>
          <w:szCs w:val="28"/>
        </w:rPr>
      </w:pPr>
    </w:p>
    <w:p w14:paraId="36595C0D" w14:textId="77777777" w:rsidR="003B0E24" w:rsidRDefault="003B0E24" w:rsidP="00786288">
      <w:pPr>
        <w:spacing w:after="0" w:line="360" w:lineRule="auto"/>
        <w:jc w:val="center"/>
        <w:rPr>
          <w:rFonts w:eastAsia="Times New Roman" w:cs="Times New Roman"/>
          <w:b/>
          <w:bCs/>
          <w:szCs w:val="28"/>
        </w:rPr>
      </w:pPr>
    </w:p>
    <w:p w14:paraId="1D2D28D4" w14:textId="77777777" w:rsidR="003B0E24" w:rsidRDefault="003B0E24" w:rsidP="00786288">
      <w:pPr>
        <w:spacing w:after="0" w:line="360" w:lineRule="auto"/>
        <w:jc w:val="center"/>
        <w:rPr>
          <w:rFonts w:eastAsia="Times New Roman" w:cs="Times New Roman"/>
          <w:b/>
          <w:bCs/>
          <w:szCs w:val="28"/>
        </w:rPr>
      </w:pPr>
    </w:p>
    <w:p w14:paraId="68841924" w14:textId="77777777" w:rsidR="003B0E24" w:rsidRDefault="003B0E24" w:rsidP="00786288">
      <w:pPr>
        <w:spacing w:after="0" w:line="360" w:lineRule="auto"/>
        <w:jc w:val="center"/>
        <w:rPr>
          <w:rFonts w:eastAsia="Times New Roman" w:cs="Times New Roman"/>
          <w:b/>
          <w:bCs/>
          <w:szCs w:val="28"/>
        </w:rPr>
      </w:pPr>
    </w:p>
    <w:p w14:paraId="2EC568E6" w14:textId="77777777" w:rsidR="003B0E24" w:rsidRDefault="003B0E24" w:rsidP="00786288">
      <w:pPr>
        <w:spacing w:after="0" w:line="360" w:lineRule="auto"/>
        <w:jc w:val="center"/>
        <w:rPr>
          <w:rFonts w:eastAsia="Times New Roman" w:cs="Times New Roman"/>
          <w:b/>
          <w:bCs/>
          <w:szCs w:val="28"/>
        </w:rPr>
      </w:pPr>
    </w:p>
    <w:p w14:paraId="66560BD4" w14:textId="77777777" w:rsidR="003B0E24" w:rsidRDefault="003B0E24" w:rsidP="00786288">
      <w:pPr>
        <w:spacing w:after="0" w:line="360" w:lineRule="auto"/>
        <w:jc w:val="center"/>
        <w:rPr>
          <w:rFonts w:eastAsia="Times New Roman" w:cs="Times New Roman"/>
          <w:b/>
          <w:bCs/>
          <w:szCs w:val="28"/>
        </w:rPr>
      </w:pPr>
    </w:p>
    <w:p w14:paraId="0E10C0C6" w14:textId="77777777" w:rsidR="003B0E24" w:rsidRDefault="003B0E24" w:rsidP="00786288">
      <w:pPr>
        <w:spacing w:after="0" w:line="360" w:lineRule="auto"/>
        <w:jc w:val="center"/>
        <w:rPr>
          <w:rFonts w:eastAsia="Times New Roman" w:cs="Times New Roman"/>
          <w:b/>
          <w:bCs/>
          <w:szCs w:val="28"/>
        </w:rPr>
      </w:pPr>
    </w:p>
    <w:p w14:paraId="33C02FF7" w14:textId="77777777" w:rsidR="003B0E24" w:rsidRDefault="003B0E24" w:rsidP="00786288">
      <w:pPr>
        <w:spacing w:after="0" w:line="360" w:lineRule="auto"/>
        <w:jc w:val="center"/>
        <w:rPr>
          <w:rFonts w:eastAsia="Times New Roman" w:cs="Times New Roman"/>
          <w:b/>
          <w:bCs/>
          <w:szCs w:val="28"/>
        </w:rPr>
      </w:pPr>
    </w:p>
    <w:p w14:paraId="6EFCEDDF" w14:textId="77777777" w:rsidR="003B0E24" w:rsidRDefault="003B0E24" w:rsidP="00786288">
      <w:pPr>
        <w:spacing w:after="0" w:line="360" w:lineRule="auto"/>
        <w:jc w:val="center"/>
        <w:rPr>
          <w:rFonts w:eastAsia="Times New Roman" w:cs="Times New Roman"/>
          <w:b/>
          <w:bCs/>
          <w:szCs w:val="28"/>
        </w:rPr>
      </w:pPr>
    </w:p>
    <w:p w14:paraId="783E675D" w14:textId="77777777" w:rsidR="003B0E24" w:rsidRDefault="003B0E24" w:rsidP="00786288">
      <w:pPr>
        <w:spacing w:after="0" w:line="360" w:lineRule="auto"/>
        <w:jc w:val="center"/>
        <w:rPr>
          <w:rFonts w:eastAsia="Times New Roman" w:cs="Times New Roman"/>
          <w:b/>
          <w:bCs/>
          <w:szCs w:val="28"/>
        </w:rPr>
      </w:pPr>
    </w:p>
    <w:p w14:paraId="1006E291" w14:textId="77777777" w:rsidR="00E7280B" w:rsidRDefault="00E7280B" w:rsidP="00786288">
      <w:pPr>
        <w:spacing w:after="0" w:line="360" w:lineRule="auto"/>
        <w:jc w:val="center"/>
        <w:rPr>
          <w:rFonts w:eastAsia="Times New Roman" w:cs="Times New Roman"/>
          <w:b/>
          <w:bCs/>
          <w:szCs w:val="28"/>
        </w:rPr>
      </w:pPr>
    </w:p>
    <w:p w14:paraId="7A48E62D" w14:textId="77777777" w:rsidR="00914E85" w:rsidRDefault="00914E85" w:rsidP="00786288">
      <w:pPr>
        <w:spacing w:after="0" w:line="360" w:lineRule="auto"/>
        <w:jc w:val="center"/>
        <w:rPr>
          <w:rFonts w:eastAsia="Times New Roman" w:cs="Times New Roman"/>
          <w:b/>
          <w:bCs/>
          <w:szCs w:val="28"/>
        </w:rPr>
      </w:pPr>
    </w:p>
    <w:p w14:paraId="61F243E5" w14:textId="77777777" w:rsidR="003B0E24" w:rsidRDefault="003B0E24" w:rsidP="00BB6816">
      <w:pPr>
        <w:spacing w:after="0" w:line="360" w:lineRule="auto"/>
        <w:rPr>
          <w:rFonts w:eastAsia="Times New Roman" w:cs="Times New Roman"/>
          <w:b/>
          <w:bCs/>
          <w:szCs w:val="28"/>
        </w:rPr>
      </w:pPr>
    </w:p>
    <w:p w14:paraId="5D4C3944" w14:textId="77777777" w:rsidR="00E7280B" w:rsidRDefault="00786288" w:rsidP="00E7280B">
      <w:pPr>
        <w:pStyle w:val="1"/>
        <w:jc w:val="right"/>
        <w:rPr>
          <w:rFonts w:ascii="Times New Roman" w:eastAsia="Times New Roman" w:hAnsi="Times New Roman" w:cs="Times New Roman"/>
          <w:b/>
          <w:bCs/>
          <w:color w:val="000000" w:themeColor="text1"/>
          <w:sz w:val="28"/>
          <w:szCs w:val="28"/>
        </w:rPr>
      </w:pPr>
      <w:bookmarkStart w:id="85" w:name="_Toc202877452"/>
      <w:r w:rsidRPr="00786288">
        <w:rPr>
          <w:rFonts w:ascii="Times New Roman" w:eastAsia="Times New Roman" w:hAnsi="Times New Roman" w:cs="Times New Roman"/>
          <w:b/>
          <w:bCs/>
          <w:color w:val="000000" w:themeColor="text1"/>
          <w:sz w:val="28"/>
          <w:szCs w:val="28"/>
        </w:rPr>
        <w:lastRenderedPageBreak/>
        <w:t xml:space="preserve">Приложение Б. </w:t>
      </w:r>
    </w:p>
    <w:p w14:paraId="2623A27A" w14:textId="732E9663" w:rsidR="00786288" w:rsidRPr="00350B76" w:rsidRDefault="00786288" w:rsidP="00350B76">
      <w:pPr>
        <w:pStyle w:val="1"/>
        <w:jc w:val="center"/>
        <w:rPr>
          <w:rFonts w:ascii="Times New Roman" w:eastAsia="Times New Roman" w:hAnsi="Times New Roman" w:cs="Times New Roman"/>
          <w:b/>
          <w:bCs/>
          <w:color w:val="000000" w:themeColor="text1"/>
          <w:szCs w:val="28"/>
        </w:rPr>
      </w:pPr>
      <w:r w:rsidRPr="00786288">
        <w:rPr>
          <w:rFonts w:ascii="Times New Roman" w:eastAsia="Times New Roman" w:hAnsi="Times New Roman" w:cs="Times New Roman"/>
          <w:b/>
          <w:bCs/>
          <w:color w:val="000000" w:themeColor="text1"/>
          <w:sz w:val="28"/>
          <w:szCs w:val="28"/>
        </w:rPr>
        <w:t>Алгоритмы действий врача</w:t>
      </w:r>
      <w:bookmarkEnd w:id="85"/>
    </w:p>
    <w:p w14:paraId="2FC6A7D0" w14:textId="4D094D06" w:rsidR="00786288" w:rsidRPr="00803F2F" w:rsidRDefault="00893E83" w:rsidP="00893E83">
      <w:pPr>
        <w:spacing w:before="240" w:after="240" w:line="360" w:lineRule="auto"/>
        <w:jc w:val="center"/>
        <w:rPr>
          <w:rFonts w:eastAsia="Times New Roman" w:cs="Times New Roman"/>
          <w:b/>
          <w:bCs/>
          <w:sz w:val="24"/>
          <w:szCs w:val="24"/>
        </w:rPr>
      </w:pPr>
      <w:r w:rsidRPr="001A12F4">
        <w:rPr>
          <w:rFonts w:eastAsia="Times New Roman" w:cs="Times New Roman"/>
          <w:b/>
          <w:bCs/>
          <w:sz w:val="24"/>
          <w:szCs w:val="24"/>
        </w:rPr>
        <w:t>Глава 1</w:t>
      </w:r>
      <w:r w:rsidR="00803F2F" w:rsidRPr="001A12F4">
        <w:rPr>
          <w:rFonts w:eastAsia="Times New Roman" w:cs="Times New Roman"/>
          <w:b/>
          <w:bCs/>
          <w:sz w:val="24"/>
          <w:szCs w:val="24"/>
        </w:rPr>
        <w:t>.</w:t>
      </w:r>
      <w:r w:rsidRPr="001A12F4">
        <w:rPr>
          <w:rFonts w:eastAsia="Times New Roman" w:cs="Times New Roman"/>
          <w:b/>
          <w:bCs/>
          <w:sz w:val="24"/>
          <w:szCs w:val="24"/>
        </w:rPr>
        <w:t xml:space="preserve"> </w:t>
      </w:r>
      <w:r w:rsidR="00786288" w:rsidRPr="001A12F4">
        <w:rPr>
          <w:rFonts w:eastAsia="Times New Roman" w:cs="Times New Roman"/>
          <w:b/>
          <w:bCs/>
          <w:sz w:val="24"/>
          <w:szCs w:val="24"/>
        </w:rPr>
        <w:t>Тактика</w:t>
      </w:r>
      <w:r w:rsidR="00786288" w:rsidRPr="00786288">
        <w:rPr>
          <w:rFonts w:eastAsia="Times New Roman" w:cs="Times New Roman"/>
          <w:b/>
          <w:bCs/>
          <w:sz w:val="24"/>
          <w:szCs w:val="24"/>
        </w:rPr>
        <w:t xml:space="preserve"> ведения пациентов</w:t>
      </w:r>
    </w:p>
    <w:p w14:paraId="7320AD8D" w14:textId="77777777" w:rsidR="00786288" w:rsidRPr="00786288" w:rsidRDefault="00786288" w:rsidP="00786288">
      <w:pPr>
        <w:spacing w:after="0" w:line="360" w:lineRule="auto"/>
        <w:jc w:val="center"/>
        <w:rPr>
          <w:rFonts w:eastAsia="Times New Roman" w:cs="Times New Roman"/>
          <w:b/>
          <w:bCs/>
          <w:szCs w:val="28"/>
        </w:rPr>
      </w:pPr>
      <w:r>
        <w:rPr>
          <w:noProof/>
          <w:lang w:eastAsia="ru-RU"/>
        </w:rPr>
        <w:drawing>
          <wp:inline distT="0" distB="0" distL="0" distR="0" wp14:anchorId="4B356B0D" wp14:editId="5B589E39">
            <wp:extent cx="5715000" cy="4286250"/>
            <wp:effectExtent l="0" t="0" r="0" b="0"/>
            <wp:docPr id="1163553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55305" name=""/>
                    <pic:cNvPicPr/>
                  </pic:nvPicPr>
                  <pic:blipFill>
                    <a:blip r:embed="rId42" cstate="print"/>
                    <a:stretch>
                      <a:fillRect/>
                    </a:stretch>
                  </pic:blipFill>
                  <pic:spPr>
                    <a:xfrm>
                      <a:off x="0" y="0"/>
                      <a:ext cx="5715000" cy="4286250"/>
                    </a:xfrm>
                    <a:prstGeom prst="rect">
                      <a:avLst/>
                    </a:prstGeom>
                  </pic:spPr>
                </pic:pic>
              </a:graphicData>
            </a:graphic>
          </wp:inline>
        </w:drawing>
      </w:r>
    </w:p>
    <w:p w14:paraId="47AEF601" w14:textId="77777777" w:rsidR="00786288" w:rsidRPr="00786288" w:rsidRDefault="00786288" w:rsidP="00786288">
      <w:pPr>
        <w:spacing w:after="0" w:line="360" w:lineRule="auto"/>
        <w:jc w:val="center"/>
        <w:rPr>
          <w:rFonts w:eastAsia="Times New Roman" w:cs="Times New Roman"/>
          <w:b/>
          <w:bCs/>
          <w:szCs w:val="28"/>
        </w:rPr>
      </w:pPr>
    </w:p>
    <w:p w14:paraId="1E2060E7" w14:textId="77777777" w:rsidR="003B0E24" w:rsidRDefault="003B0E24" w:rsidP="00AD19F5">
      <w:pPr>
        <w:spacing w:after="0" w:line="360" w:lineRule="auto"/>
        <w:jc w:val="both"/>
        <w:rPr>
          <w:rFonts w:eastAsia="Times New Roman" w:cs="Times New Roman"/>
          <w:b/>
          <w:bCs/>
          <w:sz w:val="24"/>
          <w:szCs w:val="24"/>
          <w:u w:val="single"/>
        </w:rPr>
      </w:pPr>
    </w:p>
    <w:p w14:paraId="5B323DE8" w14:textId="77777777" w:rsidR="003B0E24" w:rsidRDefault="003B0E24" w:rsidP="00AD19F5">
      <w:pPr>
        <w:spacing w:after="0" w:line="360" w:lineRule="auto"/>
        <w:jc w:val="both"/>
        <w:rPr>
          <w:rFonts w:eastAsia="Times New Roman" w:cs="Times New Roman"/>
          <w:b/>
          <w:bCs/>
          <w:sz w:val="24"/>
          <w:szCs w:val="24"/>
          <w:u w:val="single"/>
        </w:rPr>
      </w:pPr>
    </w:p>
    <w:p w14:paraId="317DCBC4" w14:textId="77777777" w:rsidR="003B0E24" w:rsidRDefault="003B0E24" w:rsidP="00AD19F5">
      <w:pPr>
        <w:spacing w:after="0" w:line="360" w:lineRule="auto"/>
        <w:jc w:val="both"/>
        <w:rPr>
          <w:rFonts w:eastAsia="Times New Roman" w:cs="Times New Roman"/>
          <w:b/>
          <w:bCs/>
          <w:sz w:val="24"/>
          <w:szCs w:val="24"/>
          <w:u w:val="single"/>
        </w:rPr>
      </w:pPr>
    </w:p>
    <w:p w14:paraId="41FEF9EA" w14:textId="77777777" w:rsidR="003B0E24" w:rsidRDefault="003B0E24" w:rsidP="00AD19F5">
      <w:pPr>
        <w:spacing w:after="0" w:line="360" w:lineRule="auto"/>
        <w:jc w:val="both"/>
        <w:rPr>
          <w:rFonts w:eastAsia="Times New Roman" w:cs="Times New Roman"/>
          <w:b/>
          <w:bCs/>
          <w:sz w:val="24"/>
          <w:szCs w:val="24"/>
          <w:u w:val="single"/>
        </w:rPr>
      </w:pPr>
    </w:p>
    <w:p w14:paraId="6DC66C6F" w14:textId="77777777" w:rsidR="003B0E24" w:rsidRDefault="003B0E24" w:rsidP="00AD19F5">
      <w:pPr>
        <w:spacing w:after="0" w:line="360" w:lineRule="auto"/>
        <w:jc w:val="both"/>
        <w:rPr>
          <w:rFonts w:eastAsia="Times New Roman" w:cs="Times New Roman"/>
          <w:b/>
          <w:bCs/>
          <w:sz w:val="24"/>
          <w:szCs w:val="24"/>
          <w:u w:val="single"/>
        </w:rPr>
      </w:pPr>
    </w:p>
    <w:p w14:paraId="703AC3C6" w14:textId="77777777" w:rsidR="003B0E24" w:rsidRDefault="003B0E24" w:rsidP="00AD19F5">
      <w:pPr>
        <w:spacing w:after="0" w:line="360" w:lineRule="auto"/>
        <w:jc w:val="both"/>
        <w:rPr>
          <w:rFonts w:eastAsia="Times New Roman" w:cs="Times New Roman"/>
          <w:b/>
          <w:bCs/>
          <w:sz w:val="24"/>
          <w:szCs w:val="24"/>
          <w:u w:val="single"/>
        </w:rPr>
      </w:pPr>
    </w:p>
    <w:p w14:paraId="19758109" w14:textId="77777777" w:rsidR="003B0E24" w:rsidRDefault="003B0E24" w:rsidP="00AD19F5">
      <w:pPr>
        <w:spacing w:after="0" w:line="360" w:lineRule="auto"/>
        <w:jc w:val="both"/>
        <w:rPr>
          <w:rFonts w:eastAsia="Times New Roman" w:cs="Times New Roman"/>
          <w:b/>
          <w:bCs/>
          <w:sz w:val="24"/>
          <w:szCs w:val="24"/>
          <w:u w:val="single"/>
        </w:rPr>
      </w:pPr>
    </w:p>
    <w:p w14:paraId="4BE404B8" w14:textId="7BC272C8" w:rsidR="003B0E24" w:rsidRDefault="003B0E24" w:rsidP="00AD19F5">
      <w:pPr>
        <w:spacing w:after="0" w:line="360" w:lineRule="auto"/>
        <w:jc w:val="both"/>
        <w:rPr>
          <w:rFonts w:eastAsia="Times New Roman" w:cs="Times New Roman"/>
          <w:b/>
          <w:bCs/>
          <w:sz w:val="24"/>
          <w:szCs w:val="24"/>
          <w:u w:val="single"/>
        </w:rPr>
      </w:pPr>
    </w:p>
    <w:p w14:paraId="6DBA5F69" w14:textId="77777777" w:rsidR="00BB6816" w:rsidRDefault="00BB6816" w:rsidP="00AD19F5">
      <w:pPr>
        <w:spacing w:after="0" w:line="360" w:lineRule="auto"/>
        <w:jc w:val="both"/>
        <w:rPr>
          <w:rFonts w:eastAsia="Times New Roman" w:cs="Times New Roman"/>
          <w:b/>
          <w:bCs/>
          <w:sz w:val="24"/>
          <w:szCs w:val="24"/>
          <w:u w:val="single"/>
        </w:rPr>
      </w:pPr>
    </w:p>
    <w:p w14:paraId="0595E781" w14:textId="77777777" w:rsidR="003B0E24" w:rsidRDefault="003B0E24" w:rsidP="00AD19F5">
      <w:pPr>
        <w:spacing w:after="0" w:line="360" w:lineRule="auto"/>
        <w:jc w:val="both"/>
        <w:rPr>
          <w:rFonts w:eastAsia="Times New Roman" w:cs="Times New Roman"/>
          <w:b/>
          <w:bCs/>
          <w:sz w:val="24"/>
          <w:szCs w:val="24"/>
          <w:u w:val="single"/>
        </w:rPr>
      </w:pPr>
    </w:p>
    <w:p w14:paraId="62DEFF7A" w14:textId="77777777" w:rsidR="003B0E24" w:rsidRDefault="003B0E24" w:rsidP="00AD19F5">
      <w:pPr>
        <w:spacing w:after="0" w:line="360" w:lineRule="auto"/>
        <w:jc w:val="both"/>
        <w:rPr>
          <w:rFonts w:eastAsia="Times New Roman" w:cs="Times New Roman"/>
          <w:b/>
          <w:bCs/>
          <w:sz w:val="24"/>
          <w:szCs w:val="24"/>
          <w:u w:val="single"/>
        </w:rPr>
      </w:pPr>
    </w:p>
    <w:p w14:paraId="62A86EAB" w14:textId="77777777" w:rsidR="00E7280B" w:rsidRDefault="00E7280B" w:rsidP="00AD19F5">
      <w:pPr>
        <w:spacing w:after="0" w:line="360" w:lineRule="auto"/>
        <w:jc w:val="both"/>
        <w:rPr>
          <w:rFonts w:eastAsia="Times New Roman" w:cs="Times New Roman"/>
          <w:b/>
          <w:bCs/>
          <w:sz w:val="24"/>
          <w:szCs w:val="24"/>
          <w:u w:val="single"/>
        </w:rPr>
      </w:pPr>
    </w:p>
    <w:p w14:paraId="5DBD6A29" w14:textId="0E08B99E" w:rsidR="00AD19F5" w:rsidRPr="00AD19F5" w:rsidRDefault="00893E83" w:rsidP="00893E83">
      <w:pPr>
        <w:spacing w:after="0" w:line="360" w:lineRule="auto"/>
        <w:jc w:val="center"/>
        <w:rPr>
          <w:rFonts w:eastAsia="Times New Roman" w:cs="Times New Roman"/>
          <w:b/>
          <w:bCs/>
          <w:sz w:val="24"/>
          <w:szCs w:val="24"/>
        </w:rPr>
      </w:pPr>
      <w:r w:rsidRPr="001A12F4">
        <w:rPr>
          <w:rFonts w:eastAsia="Times New Roman" w:cs="Times New Roman"/>
          <w:b/>
          <w:bCs/>
          <w:sz w:val="24"/>
          <w:szCs w:val="24"/>
        </w:rPr>
        <w:lastRenderedPageBreak/>
        <w:t xml:space="preserve">Глава </w:t>
      </w:r>
      <w:r w:rsidR="00803F2F" w:rsidRPr="001A12F4">
        <w:rPr>
          <w:rFonts w:eastAsia="Times New Roman" w:cs="Times New Roman"/>
          <w:b/>
          <w:bCs/>
          <w:sz w:val="24"/>
          <w:szCs w:val="24"/>
        </w:rPr>
        <w:t>2</w:t>
      </w:r>
      <w:r w:rsidRPr="001A12F4">
        <w:rPr>
          <w:rFonts w:eastAsia="Times New Roman" w:cs="Times New Roman"/>
          <w:b/>
          <w:bCs/>
          <w:sz w:val="24"/>
          <w:szCs w:val="24"/>
        </w:rPr>
        <w:t xml:space="preserve">. </w:t>
      </w:r>
      <w:r w:rsidR="00AD19F5" w:rsidRPr="001A12F4">
        <w:rPr>
          <w:rFonts w:eastAsia="Times New Roman" w:cs="Times New Roman"/>
          <w:b/>
          <w:bCs/>
          <w:sz w:val="24"/>
          <w:szCs w:val="24"/>
        </w:rPr>
        <w:t>Алгоритм</w:t>
      </w:r>
      <w:r w:rsidR="00AD19F5" w:rsidRPr="00AD19F5">
        <w:rPr>
          <w:rFonts w:eastAsia="Times New Roman" w:cs="Times New Roman"/>
          <w:b/>
          <w:bCs/>
          <w:sz w:val="24"/>
          <w:szCs w:val="24"/>
        </w:rPr>
        <w:t xml:space="preserve"> стандартного лечения АГ I–II стадий</w:t>
      </w:r>
    </w:p>
    <w:p w14:paraId="469E8142" w14:textId="77777777" w:rsidR="00AD19F5" w:rsidRDefault="00AD19F5" w:rsidP="00AD19F5">
      <w:pPr>
        <w:spacing w:after="0" w:line="360" w:lineRule="auto"/>
        <w:jc w:val="both"/>
        <w:rPr>
          <w:rFonts w:eastAsia="Times New Roman" w:cs="Times New Roman"/>
          <w:sz w:val="24"/>
          <w:szCs w:val="24"/>
        </w:rPr>
      </w:pPr>
      <w:r w:rsidRPr="00AD19F5">
        <w:rPr>
          <w:rFonts w:eastAsia="Times New Roman" w:cs="Times New Roman"/>
          <w:sz w:val="24"/>
          <w:szCs w:val="24"/>
        </w:rPr>
        <w:t xml:space="preserve">Этот алгоритм подходит для большинства пациентов с ПОМ, а также может быть использован при лечении пациентов с цереброваскулярной болезнью, СД или заболеваниями периферических артерий. </w:t>
      </w:r>
    </w:p>
    <w:p w14:paraId="49D19D10" w14:textId="77777777" w:rsidR="00AD19F5" w:rsidRPr="00AD19F5" w:rsidRDefault="00AD19F5" w:rsidP="00AD19F5">
      <w:pPr>
        <w:spacing w:after="0" w:line="360" w:lineRule="auto"/>
        <w:jc w:val="both"/>
        <w:rPr>
          <w:rFonts w:eastAsia="Times New Roman" w:cs="Times New Roman"/>
          <w:sz w:val="24"/>
          <w:szCs w:val="24"/>
        </w:rPr>
      </w:pPr>
      <w:r>
        <w:rPr>
          <w:noProof/>
          <w:lang w:eastAsia="ru-RU"/>
        </w:rPr>
        <w:drawing>
          <wp:inline distT="0" distB="0" distL="0" distR="0" wp14:anchorId="71BADC00" wp14:editId="2896F066">
            <wp:extent cx="5715000" cy="4286250"/>
            <wp:effectExtent l="0" t="0" r="0" b="0"/>
            <wp:docPr id="5370687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068758" name=""/>
                    <pic:cNvPicPr/>
                  </pic:nvPicPr>
                  <pic:blipFill>
                    <a:blip r:embed="rId43" cstate="print"/>
                    <a:stretch>
                      <a:fillRect/>
                    </a:stretch>
                  </pic:blipFill>
                  <pic:spPr>
                    <a:xfrm>
                      <a:off x="0" y="0"/>
                      <a:ext cx="5715000" cy="4286250"/>
                    </a:xfrm>
                    <a:prstGeom prst="rect">
                      <a:avLst/>
                    </a:prstGeom>
                  </pic:spPr>
                </pic:pic>
              </a:graphicData>
            </a:graphic>
          </wp:inline>
        </w:drawing>
      </w:r>
    </w:p>
    <w:p w14:paraId="098351B9" w14:textId="77777777" w:rsidR="003B0E24" w:rsidRDefault="003B0E24" w:rsidP="00AD19F5">
      <w:pPr>
        <w:spacing w:after="0" w:line="360" w:lineRule="auto"/>
        <w:jc w:val="both"/>
        <w:rPr>
          <w:rFonts w:eastAsia="Times New Roman" w:cs="Times New Roman"/>
          <w:b/>
          <w:bCs/>
          <w:sz w:val="24"/>
          <w:szCs w:val="24"/>
          <w:u w:val="single"/>
        </w:rPr>
      </w:pPr>
    </w:p>
    <w:p w14:paraId="0DE2D0B2" w14:textId="77777777" w:rsidR="003B0E24" w:rsidRDefault="003B0E24" w:rsidP="00AD19F5">
      <w:pPr>
        <w:spacing w:after="0" w:line="360" w:lineRule="auto"/>
        <w:jc w:val="both"/>
        <w:rPr>
          <w:rFonts w:eastAsia="Times New Roman" w:cs="Times New Roman"/>
          <w:b/>
          <w:bCs/>
          <w:sz w:val="24"/>
          <w:szCs w:val="24"/>
          <w:u w:val="single"/>
        </w:rPr>
      </w:pPr>
    </w:p>
    <w:p w14:paraId="516CEFC4" w14:textId="77777777" w:rsidR="003B0E24" w:rsidRDefault="003B0E24" w:rsidP="00AD19F5">
      <w:pPr>
        <w:spacing w:after="0" w:line="360" w:lineRule="auto"/>
        <w:jc w:val="both"/>
        <w:rPr>
          <w:rFonts w:eastAsia="Times New Roman" w:cs="Times New Roman"/>
          <w:b/>
          <w:bCs/>
          <w:sz w:val="24"/>
          <w:szCs w:val="24"/>
          <w:u w:val="single"/>
        </w:rPr>
      </w:pPr>
    </w:p>
    <w:p w14:paraId="5B370765" w14:textId="77777777" w:rsidR="003B0E24" w:rsidRDefault="003B0E24" w:rsidP="00AD19F5">
      <w:pPr>
        <w:spacing w:after="0" w:line="360" w:lineRule="auto"/>
        <w:jc w:val="both"/>
        <w:rPr>
          <w:rFonts w:eastAsia="Times New Roman" w:cs="Times New Roman"/>
          <w:b/>
          <w:bCs/>
          <w:sz w:val="24"/>
          <w:szCs w:val="24"/>
          <w:u w:val="single"/>
        </w:rPr>
      </w:pPr>
    </w:p>
    <w:p w14:paraId="69239BAF" w14:textId="21EB299F" w:rsidR="003B0E24" w:rsidRDefault="003B0E24" w:rsidP="00AD19F5">
      <w:pPr>
        <w:spacing w:after="0" w:line="360" w:lineRule="auto"/>
        <w:jc w:val="both"/>
        <w:rPr>
          <w:rFonts w:eastAsia="Times New Roman" w:cs="Times New Roman"/>
          <w:b/>
          <w:bCs/>
          <w:sz w:val="24"/>
          <w:szCs w:val="24"/>
          <w:u w:val="single"/>
        </w:rPr>
      </w:pPr>
    </w:p>
    <w:p w14:paraId="55A87095" w14:textId="39F3EA55" w:rsidR="00BB6816" w:rsidRDefault="00BB6816" w:rsidP="00AD19F5">
      <w:pPr>
        <w:spacing w:after="0" w:line="360" w:lineRule="auto"/>
        <w:jc w:val="both"/>
        <w:rPr>
          <w:rFonts w:eastAsia="Times New Roman" w:cs="Times New Roman"/>
          <w:b/>
          <w:bCs/>
          <w:sz w:val="24"/>
          <w:szCs w:val="24"/>
          <w:u w:val="single"/>
        </w:rPr>
      </w:pPr>
    </w:p>
    <w:p w14:paraId="5D718F6D" w14:textId="68982C8D" w:rsidR="00BB6816" w:rsidRDefault="00BB6816" w:rsidP="00AD19F5">
      <w:pPr>
        <w:spacing w:after="0" w:line="360" w:lineRule="auto"/>
        <w:jc w:val="both"/>
        <w:rPr>
          <w:rFonts w:eastAsia="Times New Roman" w:cs="Times New Roman"/>
          <w:b/>
          <w:bCs/>
          <w:sz w:val="24"/>
          <w:szCs w:val="24"/>
          <w:u w:val="single"/>
        </w:rPr>
      </w:pPr>
    </w:p>
    <w:p w14:paraId="30F202E7" w14:textId="4F661E0D" w:rsidR="00BB6816" w:rsidRDefault="00BB6816" w:rsidP="00AD19F5">
      <w:pPr>
        <w:spacing w:after="0" w:line="360" w:lineRule="auto"/>
        <w:jc w:val="both"/>
        <w:rPr>
          <w:rFonts w:eastAsia="Times New Roman" w:cs="Times New Roman"/>
          <w:b/>
          <w:bCs/>
          <w:sz w:val="24"/>
          <w:szCs w:val="24"/>
          <w:u w:val="single"/>
        </w:rPr>
      </w:pPr>
    </w:p>
    <w:p w14:paraId="1B9BB32A" w14:textId="3F350EF3" w:rsidR="00BB6816" w:rsidRDefault="00BB6816" w:rsidP="00AD19F5">
      <w:pPr>
        <w:spacing w:after="0" w:line="360" w:lineRule="auto"/>
        <w:jc w:val="both"/>
        <w:rPr>
          <w:rFonts w:eastAsia="Times New Roman" w:cs="Times New Roman"/>
          <w:b/>
          <w:bCs/>
          <w:sz w:val="24"/>
          <w:szCs w:val="24"/>
          <w:u w:val="single"/>
        </w:rPr>
      </w:pPr>
    </w:p>
    <w:p w14:paraId="718B5F0F" w14:textId="0ACABA0A" w:rsidR="00BB6816" w:rsidRDefault="00BB6816" w:rsidP="00AD19F5">
      <w:pPr>
        <w:spacing w:after="0" w:line="360" w:lineRule="auto"/>
        <w:jc w:val="both"/>
        <w:rPr>
          <w:rFonts w:eastAsia="Times New Roman" w:cs="Times New Roman"/>
          <w:b/>
          <w:bCs/>
          <w:sz w:val="24"/>
          <w:szCs w:val="24"/>
          <w:u w:val="single"/>
        </w:rPr>
      </w:pPr>
    </w:p>
    <w:p w14:paraId="7F979C8C" w14:textId="77777777" w:rsidR="00E7280B" w:rsidRDefault="00E7280B" w:rsidP="00AD19F5">
      <w:pPr>
        <w:spacing w:after="0" w:line="360" w:lineRule="auto"/>
        <w:jc w:val="both"/>
        <w:rPr>
          <w:rFonts w:eastAsia="Times New Roman" w:cs="Times New Roman"/>
          <w:b/>
          <w:bCs/>
          <w:sz w:val="24"/>
          <w:szCs w:val="24"/>
          <w:u w:val="single"/>
        </w:rPr>
      </w:pPr>
    </w:p>
    <w:p w14:paraId="03C1CCD6" w14:textId="77777777" w:rsidR="00E7280B" w:rsidRDefault="00E7280B" w:rsidP="00AD19F5">
      <w:pPr>
        <w:spacing w:after="0" w:line="360" w:lineRule="auto"/>
        <w:jc w:val="both"/>
        <w:rPr>
          <w:rFonts w:eastAsia="Times New Roman" w:cs="Times New Roman"/>
          <w:b/>
          <w:bCs/>
          <w:sz w:val="24"/>
          <w:szCs w:val="24"/>
          <w:u w:val="single"/>
        </w:rPr>
      </w:pPr>
    </w:p>
    <w:p w14:paraId="5B13EABD" w14:textId="77777777" w:rsidR="00E7280B" w:rsidRDefault="00E7280B" w:rsidP="00AD19F5">
      <w:pPr>
        <w:spacing w:after="0" w:line="360" w:lineRule="auto"/>
        <w:jc w:val="both"/>
        <w:rPr>
          <w:rFonts w:eastAsia="Times New Roman" w:cs="Times New Roman"/>
          <w:b/>
          <w:bCs/>
          <w:sz w:val="24"/>
          <w:szCs w:val="24"/>
          <w:u w:val="single"/>
        </w:rPr>
      </w:pPr>
    </w:p>
    <w:p w14:paraId="1E4FC137" w14:textId="77777777" w:rsidR="00BB6816" w:rsidRDefault="00BB6816" w:rsidP="00AD19F5">
      <w:pPr>
        <w:spacing w:after="0" w:line="360" w:lineRule="auto"/>
        <w:jc w:val="both"/>
        <w:rPr>
          <w:rFonts w:eastAsia="Times New Roman" w:cs="Times New Roman"/>
          <w:b/>
          <w:bCs/>
          <w:sz w:val="24"/>
          <w:szCs w:val="24"/>
          <w:u w:val="single"/>
        </w:rPr>
      </w:pPr>
    </w:p>
    <w:p w14:paraId="0BC0FDD7" w14:textId="7C80143F" w:rsidR="00AD19F5" w:rsidRPr="00AD19F5" w:rsidRDefault="0075205E" w:rsidP="0075205E">
      <w:pPr>
        <w:spacing w:after="0" w:line="360" w:lineRule="auto"/>
        <w:jc w:val="center"/>
        <w:rPr>
          <w:rFonts w:eastAsia="Times New Roman" w:cs="Times New Roman"/>
          <w:b/>
          <w:bCs/>
          <w:sz w:val="24"/>
          <w:szCs w:val="24"/>
        </w:rPr>
      </w:pPr>
      <w:r w:rsidRPr="001A12F4">
        <w:rPr>
          <w:rFonts w:eastAsia="Times New Roman" w:cs="Times New Roman"/>
          <w:b/>
          <w:bCs/>
          <w:sz w:val="24"/>
          <w:szCs w:val="24"/>
        </w:rPr>
        <w:lastRenderedPageBreak/>
        <w:t xml:space="preserve">Глава 3. </w:t>
      </w:r>
      <w:r w:rsidR="00AD19F5" w:rsidRPr="001A12F4">
        <w:rPr>
          <w:rFonts w:eastAsia="Times New Roman" w:cs="Times New Roman"/>
          <w:b/>
          <w:bCs/>
          <w:sz w:val="24"/>
          <w:szCs w:val="24"/>
        </w:rPr>
        <w:t>Стр</w:t>
      </w:r>
      <w:r w:rsidR="00AD19F5" w:rsidRPr="00AD19F5">
        <w:rPr>
          <w:rFonts w:eastAsia="Times New Roman" w:cs="Times New Roman"/>
          <w:b/>
          <w:bCs/>
          <w:sz w:val="24"/>
          <w:szCs w:val="24"/>
        </w:rPr>
        <w:t>атегия лекарственной терапии при сочетании АГ и ХБП</w:t>
      </w:r>
    </w:p>
    <w:p w14:paraId="05D6EA2A" w14:textId="77777777" w:rsidR="00344A59" w:rsidRDefault="00AD19F5" w:rsidP="0066255F">
      <w:pPr>
        <w:spacing w:after="0" w:line="360" w:lineRule="auto"/>
        <w:jc w:val="both"/>
        <w:rPr>
          <w:rFonts w:eastAsia="Times New Roman" w:cs="Times New Roman"/>
          <w:sz w:val="24"/>
          <w:szCs w:val="24"/>
        </w:rPr>
      </w:pPr>
      <w:r>
        <w:rPr>
          <w:noProof/>
          <w:lang w:eastAsia="ru-RU"/>
        </w:rPr>
        <w:drawing>
          <wp:inline distT="0" distB="0" distL="0" distR="0" wp14:anchorId="41915165" wp14:editId="7EEC6F72">
            <wp:extent cx="5715000" cy="4286250"/>
            <wp:effectExtent l="0" t="0" r="0" b="0"/>
            <wp:docPr id="5497780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778032" name=""/>
                    <pic:cNvPicPr/>
                  </pic:nvPicPr>
                  <pic:blipFill>
                    <a:blip r:embed="rId44" cstate="print"/>
                    <a:stretch>
                      <a:fillRect/>
                    </a:stretch>
                  </pic:blipFill>
                  <pic:spPr>
                    <a:xfrm>
                      <a:off x="0" y="0"/>
                      <a:ext cx="5715000" cy="4286250"/>
                    </a:xfrm>
                    <a:prstGeom prst="rect">
                      <a:avLst/>
                    </a:prstGeom>
                  </pic:spPr>
                </pic:pic>
              </a:graphicData>
            </a:graphic>
          </wp:inline>
        </w:drawing>
      </w:r>
    </w:p>
    <w:p w14:paraId="20E2048F" w14:textId="77777777" w:rsidR="00AD19F5" w:rsidRDefault="00AD19F5" w:rsidP="00AD19F5">
      <w:pPr>
        <w:spacing w:after="0" w:line="360" w:lineRule="auto"/>
        <w:jc w:val="both"/>
        <w:rPr>
          <w:bCs/>
          <w:sz w:val="24"/>
          <w:szCs w:val="24"/>
        </w:rPr>
      </w:pPr>
      <w:r>
        <w:rPr>
          <w:bCs/>
          <w:sz w:val="24"/>
          <w:szCs w:val="24"/>
          <w:vertAlign w:val="superscript"/>
        </w:rPr>
        <w:tab/>
      </w:r>
      <w:r w:rsidRPr="00AD19F5">
        <w:rPr>
          <w:bCs/>
          <w:sz w:val="24"/>
          <w:szCs w:val="24"/>
          <w:vertAlign w:val="superscript"/>
        </w:rPr>
        <w:t>1</w:t>
      </w:r>
      <w:r w:rsidRPr="00AD19F5">
        <w:rPr>
          <w:bCs/>
          <w:sz w:val="24"/>
          <w:szCs w:val="24"/>
        </w:rPr>
        <w:t>У пациентов с ХБП, получающих антигипертензивную терапию, особенно ИАПФ или БРА, можно ожидать повышения уровня креатинина. Значительное повышение уровня креатинина на фоне назначения иРААС требует обследования пациента для исключения реноваскулярного заболевания.</w:t>
      </w:r>
    </w:p>
    <w:p w14:paraId="19D59760" w14:textId="77777777" w:rsidR="00AD19F5" w:rsidRDefault="00AD19F5" w:rsidP="00AD19F5">
      <w:pPr>
        <w:spacing w:after="0" w:line="360" w:lineRule="auto"/>
        <w:jc w:val="both"/>
        <w:rPr>
          <w:bCs/>
          <w:sz w:val="24"/>
          <w:szCs w:val="24"/>
        </w:rPr>
      </w:pPr>
      <w:r w:rsidRPr="00AD19F5">
        <w:rPr>
          <w:bCs/>
          <w:sz w:val="24"/>
          <w:szCs w:val="24"/>
        </w:rPr>
        <w:t xml:space="preserve"> </w:t>
      </w:r>
      <w:r>
        <w:rPr>
          <w:bCs/>
          <w:sz w:val="24"/>
          <w:szCs w:val="24"/>
        </w:rPr>
        <w:tab/>
      </w:r>
      <w:r w:rsidRPr="00AD19F5">
        <w:rPr>
          <w:bCs/>
          <w:sz w:val="24"/>
          <w:szCs w:val="24"/>
        </w:rPr>
        <w:t xml:space="preserve">²Т/ТП — тиазидный или тиазидоподобный диуретик. </w:t>
      </w:r>
    </w:p>
    <w:p w14:paraId="321D04E8" w14:textId="77777777" w:rsidR="00AD19F5" w:rsidRPr="00AD19F5" w:rsidRDefault="00AD19F5" w:rsidP="00AD19F5">
      <w:pPr>
        <w:spacing w:after="0" w:line="360" w:lineRule="auto"/>
        <w:jc w:val="both"/>
        <w:rPr>
          <w:bCs/>
          <w:sz w:val="24"/>
          <w:szCs w:val="24"/>
        </w:rPr>
      </w:pPr>
      <w:r>
        <w:rPr>
          <w:bCs/>
          <w:sz w:val="24"/>
          <w:szCs w:val="24"/>
          <w:vertAlign w:val="superscript"/>
        </w:rPr>
        <w:tab/>
      </w:r>
      <w:r w:rsidRPr="00AD19F5">
        <w:rPr>
          <w:bCs/>
          <w:sz w:val="24"/>
          <w:szCs w:val="24"/>
          <w:vertAlign w:val="superscript"/>
        </w:rPr>
        <w:t>3</w:t>
      </w:r>
      <w:r w:rsidRPr="00AD19F5">
        <w:rPr>
          <w:bCs/>
          <w:sz w:val="24"/>
          <w:szCs w:val="24"/>
        </w:rPr>
        <w:t>Риск гиперкалиемии при назначении спиронолактона**, особенно при исходной СКФ &lt;45 мл/мин/1,73 м</w:t>
      </w:r>
      <w:r w:rsidRPr="00AD19F5">
        <w:rPr>
          <w:bCs/>
          <w:sz w:val="24"/>
          <w:szCs w:val="24"/>
          <w:vertAlign w:val="superscript"/>
        </w:rPr>
        <w:t>2</w:t>
      </w:r>
      <w:r w:rsidRPr="00AD19F5">
        <w:rPr>
          <w:bCs/>
          <w:sz w:val="24"/>
          <w:szCs w:val="24"/>
        </w:rPr>
        <w:t xml:space="preserve"> и уровне калия 4,5 ммоль/л. </w:t>
      </w:r>
    </w:p>
    <w:p w14:paraId="1E52199E" w14:textId="74B41B91" w:rsidR="00AD19F5" w:rsidRDefault="00AD19F5" w:rsidP="00AD19F5">
      <w:pPr>
        <w:spacing w:after="0" w:line="360" w:lineRule="auto"/>
        <w:jc w:val="both"/>
        <w:rPr>
          <w:bCs/>
          <w:sz w:val="24"/>
          <w:szCs w:val="24"/>
        </w:rPr>
      </w:pPr>
      <w:r w:rsidRPr="00AD19F5">
        <w:rPr>
          <w:bCs/>
          <w:sz w:val="24"/>
          <w:szCs w:val="24"/>
        </w:rPr>
        <w:t xml:space="preserve">Во всех случаях титровать до полной дозировки при переносимости. </w:t>
      </w:r>
    </w:p>
    <w:p w14:paraId="3C92798B" w14:textId="5A4DAAAD" w:rsidR="00BB6816" w:rsidRDefault="00BB6816" w:rsidP="00AD19F5">
      <w:pPr>
        <w:spacing w:after="0" w:line="360" w:lineRule="auto"/>
        <w:jc w:val="both"/>
        <w:rPr>
          <w:bCs/>
          <w:sz w:val="24"/>
          <w:szCs w:val="24"/>
        </w:rPr>
      </w:pPr>
    </w:p>
    <w:p w14:paraId="70999F3D" w14:textId="507ED2AE" w:rsidR="00BB6816" w:rsidRDefault="00BB6816" w:rsidP="00AD19F5">
      <w:pPr>
        <w:spacing w:after="0" w:line="360" w:lineRule="auto"/>
        <w:jc w:val="both"/>
        <w:rPr>
          <w:bCs/>
          <w:sz w:val="24"/>
          <w:szCs w:val="24"/>
        </w:rPr>
      </w:pPr>
    </w:p>
    <w:p w14:paraId="2C65503A" w14:textId="45C393F1" w:rsidR="00BB6816" w:rsidRDefault="00BB6816" w:rsidP="00AD19F5">
      <w:pPr>
        <w:spacing w:after="0" w:line="360" w:lineRule="auto"/>
        <w:jc w:val="both"/>
        <w:rPr>
          <w:bCs/>
          <w:sz w:val="24"/>
          <w:szCs w:val="24"/>
        </w:rPr>
      </w:pPr>
    </w:p>
    <w:p w14:paraId="7B0F5A57" w14:textId="1709BAFD" w:rsidR="00BB6816" w:rsidRDefault="00BB6816" w:rsidP="00AD19F5">
      <w:pPr>
        <w:spacing w:after="0" w:line="360" w:lineRule="auto"/>
        <w:jc w:val="both"/>
        <w:rPr>
          <w:bCs/>
          <w:sz w:val="24"/>
          <w:szCs w:val="24"/>
        </w:rPr>
      </w:pPr>
    </w:p>
    <w:p w14:paraId="6B57274B" w14:textId="098B489C" w:rsidR="00BB6816" w:rsidRDefault="00BB6816" w:rsidP="00AD19F5">
      <w:pPr>
        <w:spacing w:after="0" w:line="360" w:lineRule="auto"/>
        <w:jc w:val="both"/>
        <w:rPr>
          <w:bCs/>
          <w:sz w:val="24"/>
          <w:szCs w:val="24"/>
        </w:rPr>
      </w:pPr>
    </w:p>
    <w:p w14:paraId="3F6D2C90" w14:textId="5A536A60" w:rsidR="00BB6816" w:rsidRDefault="00BB6816" w:rsidP="00AD19F5">
      <w:pPr>
        <w:spacing w:after="0" w:line="360" w:lineRule="auto"/>
        <w:jc w:val="both"/>
        <w:rPr>
          <w:bCs/>
          <w:sz w:val="24"/>
          <w:szCs w:val="24"/>
        </w:rPr>
      </w:pPr>
    </w:p>
    <w:p w14:paraId="4E92E5E8" w14:textId="77777777" w:rsidR="00E7280B" w:rsidRDefault="00E7280B" w:rsidP="00AD19F5">
      <w:pPr>
        <w:spacing w:after="0" w:line="360" w:lineRule="auto"/>
        <w:jc w:val="both"/>
        <w:rPr>
          <w:bCs/>
          <w:sz w:val="24"/>
          <w:szCs w:val="24"/>
        </w:rPr>
      </w:pPr>
    </w:p>
    <w:p w14:paraId="0F43A6E4" w14:textId="77777777" w:rsidR="00E7280B" w:rsidRDefault="00E7280B" w:rsidP="00AD19F5">
      <w:pPr>
        <w:spacing w:after="0" w:line="360" w:lineRule="auto"/>
        <w:jc w:val="both"/>
        <w:rPr>
          <w:bCs/>
          <w:sz w:val="24"/>
          <w:szCs w:val="24"/>
        </w:rPr>
      </w:pPr>
    </w:p>
    <w:p w14:paraId="370C4607" w14:textId="77777777" w:rsidR="00E7280B" w:rsidRDefault="00E7280B" w:rsidP="00AD19F5">
      <w:pPr>
        <w:spacing w:after="0" w:line="360" w:lineRule="auto"/>
        <w:jc w:val="both"/>
        <w:rPr>
          <w:bCs/>
          <w:sz w:val="24"/>
          <w:szCs w:val="24"/>
        </w:rPr>
      </w:pPr>
    </w:p>
    <w:p w14:paraId="72693574" w14:textId="50112383" w:rsidR="00AD19F5" w:rsidRPr="007F584D" w:rsidRDefault="00535F5B" w:rsidP="007F584D">
      <w:pPr>
        <w:spacing w:after="0" w:line="360" w:lineRule="auto"/>
        <w:jc w:val="center"/>
        <w:rPr>
          <w:b/>
          <w:bCs/>
          <w:sz w:val="24"/>
          <w:szCs w:val="24"/>
        </w:rPr>
      </w:pPr>
      <w:r w:rsidRPr="001A12F4">
        <w:rPr>
          <w:b/>
          <w:bCs/>
          <w:sz w:val="24"/>
          <w:szCs w:val="24"/>
        </w:rPr>
        <w:lastRenderedPageBreak/>
        <w:t xml:space="preserve">Глава </w:t>
      </w:r>
      <w:r w:rsidR="00803F2F" w:rsidRPr="001A12F4">
        <w:rPr>
          <w:b/>
          <w:bCs/>
          <w:sz w:val="24"/>
          <w:szCs w:val="24"/>
        </w:rPr>
        <w:t>4</w:t>
      </w:r>
      <w:r w:rsidRPr="001A12F4">
        <w:rPr>
          <w:b/>
          <w:bCs/>
          <w:sz w:val="24"/>
          <w:szCs w:val="24"/>
        </w:rPr>
        <w:t xml:space="preserve">. </w:t>
      </w:r>
      <w:r w:rsidR="00AD19F5" w:rsidRPr="001A12F4">
        <w:rPr>
          <w:b/>
          <w:bCs/>
          <w:sz w:val="24"/>
          <w:szCs w:val="24"/>
        </w:rPr>
        <w:t>Стратегия лекарственной</w:t>
      </w:r>
      <w:r w:rsidR="00AD19F5" w:rsidRPr="007F584D">
        <w:rPr>
          <w:b/>
          <w:bCs/>
          <w:sz w:val="24"/>
          <w:szCs w:val="24"/>
        </w:rPr>
        <w:t xml:space="preserve"> терапии при сочетании АГ и ИБС</w:t>
      </w:r>
    </w:p>
    <w:p w14:paraId="49349E8C" w14:textId="77777777" w:rsidR="00AD19F5" w:rsidRPr="00AD19F5" w:rsidRDefault="00AD19F5" w:rsidP="00AD19F5">
      <w:pPr>
        <w:spacing w:after="0" w:line="360" w:lineRule="auto"/>
        <w:jc w:val="both"/>
        <w:rPr>
          <w:bCs/>
          <w:sz w:val="24"/>
          <w:szCs w:val="24"/>
        </w:rPr>
      </w:pPr>
      <w:r>
        <w:rPr>
          <w:noProof/>
          <w:lang w:eastAsia="ru-RU"/>
        </w:rPr>
        <w:drawing>
          <wp:inline distT="0" distB="0" distL="0" distR="0" wp14:anchorId="4F7C6DDC" wp14:editId="738F7E17">
            <wp:extent cx="5715000" cy="4286250"/>
            <wp:effectExtent l="0" t="0" r="0" b="0"/>
            <wp:docPr id="17640444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044426" name=""/>
                    <pic:cNvPicPr/>
                  </pic:nvPicPr>
                  <pic:blipFill>
                    <a:blip r:embed="rId45" cstate="print"/>
                    <a:stretch>
                      <a:fillRect/>
                    </a:stretch>
                  </pic:blipFill>
                  <pic:spPr>
                    <a:xfrm>
                      <a:off x="0" y="0"/>
                      <a:ext cx="5715000" cy="4286250"/>
                    </a:xfrm>
                    <a:prstGeom prst="rect">
                      <a:avLst/>
                    </a:prstGeom>
                  </pic:spPr>
                </pic:pic>
              </a:graphicData>
            </a:graphic>
          </wp:inline>
        </w:drawing>
      </w:r>
    </w:p>
    <w:p w14:paraId="02B340FF" w14:textId="77777777" w:rsidR="003B0E24" w:rsidRDefault="002D1F92" w:rsidP="003B0E24">
      <w:pPr>
        <w:spacing w:after="0" w:line="360" w:lineRule="auto"/>
        <w:jc w:val="both"/>
        <w:rPr>
          <w:bCs/>
          <w:sz w:val="24"/>
          <w:szCs w:val="24"/>
        </w:rPr>
      </w:pPr>
      <w:r w:rsidRPr="002D1F92">
        <w:rPr>
          <w:bCs/>
          <w:sz w:val="24"/>
          <w:szCs w:val="24"/>
        </w:rPr>
        <w:t xml:space="preserve">Целевое ЧСС &lt;80 уд/мин. При непереносимости или противопоказаниях рассмотреть назначение недигидропиридиновых АК на любой стадии. </w:t>
      </w:r>
    </w:p>
    <w:p w14:paraId="31D12BD6" w14:textId="77777777" w:rsidR="003B0E24" w:rsidRDefault="003B0E24" w:rsidP="003B0E24">
      <w:pPr>
        <w:spacing w:after="0" w:line="360" w:lineRule="auto"/>
        <w:jc w:val="both"/>
        <w:rPr>
          <w:bCs/>
          <w:sz w:val="24"/>
          <w:szCs w:val="24"/>
        </w:rPr>
      </w:pPr>
    </w:p>
    <w:p w14:paraId="408B893C" w14:textId="77777777" w:rsidR="003B0E24" w:rsidRDefault="003B0E24" w:rsidP="003B0E24">
      <w:pPr>
        <w:spacing w:after="0" w:line="360" w:lineRule="auto"/>
        <w:jc w:val="both"/>
        <w:rPr>
          <w:bCs/>
          <w:sz w:val="24"/>
          <w:szCs w:val="24"/>
        </w:rPr>
      </w:pPr>
    </w:p>
    <w:p w14:paraId="441CA122" w14:textId="77777777" w:rsidR="003B0E24" w:rsidRDefault="003B0E24" w:rsidP="003B0E24">
      <w:pPr>
        <w:spacing w:after="0" w:line="360" w:lineRule="auto"/>
        <w:jc w:val="both"/>
        <w:rPr>
          <w:bCs/>
          <w:sz w:val="24"/>
          <w:szCs w:val="24"/>
        </w:rPr>
      </w:pPr>
    </w:p>
    <w:p w14:paraId="195E6321" w14:textId="77777777" w:rsidR="003B0E24" w:rsidRDefault="003B0E24" w:rsidP="003B0E24">
      <w:pPr>
        <w:spacing w:after="0" w:line="360" w:lineRule="auto"/>
        <w:jc w:val="both"/>
        <w:rPr>
          <w:bCs/>
          <w:sz w:val="24"/>
          <w:szCs w:val="24"/>
        </w:rPr>
      </w:pPr>
    </w:p>
    <w:p w14:paraId="550DB14B" w14:textId="77777777" w:rsidR="003B0E24" w:rsidRDefault="003B0E24" w:rsidP="003B0E24">
      <w:pPr>
        <w:spacing w:after="0" w:line="360" w:lineRule="auto"/>
        <w:jc w:val="both"/>
        <w:rPr>
          <w:bCs/>
          <w:sz w:val="24"/>
          <w:szCs w:val="24"/>
        </w:rPr>
      </w:pPr>
    </w:p>
    <w:p w14:paraId="09576EF4" w14:textId="77777777" w:rsidR="003B0E24" w:rsidRDefault="003B0E24" w:rsidP="003B0E24">
      <w:pPr>
        <w:spacing w:after="0" w:line="360" w:lineRule="auto"/>
        <w:jc w:val="both"/>
        <w:rPr>
          <w:bCs/>
          <w:sz w:val="24"/>
          <w:szCs w:val="24"/>
        </w:rPr>
      </w:pPr>
    </w:p>
    <w:p w14:paraId="7A483EE9" w14:textId="77777777" w:rsidR="003B0E24" w:rsidRDefault="003B0E24" w:rsidP="003B0E24">
      <w:pPr>
        <w:spacing w:after="0" w:line="360" w:lineRule="auto"/>
        <w:jc w:val="both"/>
        <w:rPr>
          <w:bCs/>
          <w:sz w:val="24"/>
          <w:szCs w:val="24"/>
        </w:rPr>
      </w:pPr>
    </w:p>
    <w:p w14:paraId="40A25A4B" w14:textId="77777777" w:rsidR="003B0E24" w:rsidRDefault="003B0E24" w:rsidP="003B0E24">
      <w:pPr>
        <w:spacing w:after="0" w:line="360" w:lineRule="auto"/>
        <w:jc w:val="both"/>
        <w:rPr>
          <w:bCs/>
          <w:sz w:val="24"/>
          <w:szCs w:val="24"/>
        </w:rPr>
      </w:pPr>
    </w:p>
    <w:p w14:paraId="2F6ECD95" w14:textId="77777777" w:rsidR="003B0E24" w:rsidRDefault="003B0E24" w:rsidP="003B0E24">
      <w:pPr>
        <w:spacing w:after="0" w:line="360" w:lineRule="auto"/>
        <w:jc w:val="both"/>
        <w:rPr>
          <w:bCs/>
          <w:sz w:val="24"/>
          <w:szCs w:val="24"/>
        </w:rPr>
      </w:pPr>
    </w:p>
    <w:p w14:paraId="48D19AE7" w14:textId="77777777" w:rsidR="003B0E24" w:rsidRDefault="003B0E24" w:rsidP="003B0E24">
      <w:pPr>
        <w:spacing w:after="0" w:line="360" w:lineRule="auto"/>
        <w:jc w:val="both"/>
        <w:rPr>
          <w:bCs/>
          <w:sz w:val="24"/>
          <w:szCs w:val="24"/>
        </w:rPr>
      </w:pPr>
    </w:p>
    <w:p w14:paraId="412F15B0" w14:textId="77777777" w:rsidR="00E7280B" w:rsidRDefault="00E7280B" w:rsidP="003B0E24">
      <w:pPr>
        <w:spacing w:after="0" w:line="360" w:lineRule="auto"/>
        <w:jc w:val="both"/>
        <w:rPr>
          <w:bCs/>
          <w:sz w:val="24"/>
          <w:szCs w:val="24"/>
        </w:rPr>
      </w:pPr>
    </w:p>
    <w:p w14:paraId="6758AA74" w14:textId="77777777" w:rsidR="00E7280B" w:rsidRDefault="00E7280B" w:rsidP="003B0E24">
      <w:pPr>
        <w:spacing w:after="0" w:line="360" w:lineRule="auto"/>
        <w:jc w:val="both"/>
        <w:rPr>
          <w:bCs/>
          <w:sz w:val="24"/>
          <w:szCs w:val="24"/>
        </w:rPr>
      </w:pPr>
    </w:p>
    <w:p w14:paraId="6484DB88" w14:textId="77777777" w:rsidR="00E7280B" w:rsidRDefault="00E7280B" w:rsidP="003B0E24">
      <w:pPr>
        <w:spacing w:after="0" w:line="360" w:lineRule="auto"/>
        <w:jc w:val="both"/>
        <w:rPr>
          <w:bCs/>
          <w:sz w:val="24"/>
          <w:szCs w:val="24"/>
        </w:rPr>
      </w:pPr>
    </w:p>
    <w:p w14:paraId="2C307E97" w14:textId="77777777" w:rsidR="003B0E24" w:rsidRDefault="003B0E24" w:rsidP="003B0E24">
      <w:pPr>
        <w:spacing w:after="0" w:line="360" w:lineRule="auto"/>
        <w:jc w:val="both"/>
        <w:rPr>
          <w:bCs/>
          <w:sz w:val="24"/>
          <w:szCs w:val="24"/>
        </w:rPr>
      </w:pPr>
    </w:p>
    <w:p w14:paraId="5B752532" w14:textId="77777777" w:rsidR="003B0E24" w:rsidRDefault="003B0E24" w:rsidP="003B0E24">
      <w:pPr>
        <w:spacing w:after="0" w:line="360" w:lineRule="auto"/>
        <w:jc w:val="both"/>
        <w:rPr>
          <w:bCs/>
          <w:sz w:val="24"/>
          <w:szCs w:val="24"/>
        </w:rPr>
      </w:pPr>
    </w:p>
    <w:p w14:paraId="16C0FD99" w14:textId="48C17226" w:rsidR="002D1F92" w:rsidRPr="002D1F92" w:rsidRDefault="00665677" w:rsidP="00665677">
      <w:pPr>
        <w:spacing w:after="0" w:line="360" w:lineRule="auto"/>
        <w:jc w:val="center"/>
        <w:rPr>
          <w:b/>
          <w:sz w:val="24"/>
          <w:szCs w:val="24"/>
        </w:rPr>
      </w:pPr>
      <w:r w:rsidRPr="001A12F4">
        <w:rPr>
          <w:b/>
          <w:sz w:val="24"/>
          <w:szCs w:val="24"/>
        </w:rPr>
        <w:lastRenderedPageBreak/>
        <w:t xml:space="preserve">Глава </w:t>
      </w:r>
      <w:r w:rsidR="00803F2F" w:rsidRPr="001A12F4">
        <w:rPr>
          <w:b/>
          <w:sz w:val="24"/>
          <w:szCs w:val="24"/>
        </w:rPr>
        <w:t>5</w:t>
      </w:r>
      <w:r w:rsidRPr="001A12F4">
        <w:rPr>
          <w:b/>
          <w:sz w:val="24"/>
          <w:szCs w:val="24"/>
        </w:rPr>
        <w:t xml:space="preserve">. </w:t>
      </w:r>
      <w:r w:rsidR="002D1F92" w:rsidRPr="001A12F4">
        <w:rPr>
          <w:b/>
          <w:sz w:val="24"/>
          <w:szCs w:val="24"/>
        </w:rPr>
        <w:t>Стратегия</w:t>
      </w:r>
      <w:r w:rsidR="002D1F92" w:rsidRPr="002D1F92">
        <w:rPr>
          <w:b/>
          <w:sz w:val="24"/>
          <w:szCs w:val="24"/>
        </w:rPr>
        <w:t xml:space="preserve"> лекарственной терапии при сочетании АГ и ФП</w:t>
      </w:r>
    </w:p>
    <w:p w14:paraId="04CDA722" w14:textId="77777777" w:rsidR="00AD19F5" w:rsidRDefault="002D1F92" w:rsidP="00AD19F5">
      <w:pPr>
        <w:spacing w:after="0" w:line="360" w:lineRule="auto"/>
        <w:jc w:val="center"/>
        <w:rPr>
          <w:b/>
          <w:szCs w:val="28"/>
        </w:rPr>
      </w:pPr>
      <w:r>
        <w:rPr>
          <w:noProof/>
          <w:lang w:eastAsia="ru-RU"/>
        </w:rPr>
        <w:drawing>
          <wp:inline distT="0" distB="0" distL="0" distR="0" wp14:anchorId="62E52B25" wp14:editId="0CB50EC6">
            <wp:extent cx="5715000" cy="4286250"/>
            <wp:effectExtent l="0" t="0" r="0" b="0"/>
            <wp:docPr id="189476728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767282" name=""/>
                    <pic:cNvPicPr/>
                  </pic:nvPicPr>
                  <pic:blipFill>
                    <a:blip r:embed="rId46" cstate="print"/>
                    <a:stretch>
                      <a:fillRect/>
                    </a:stretch>
                  </pic:blipFill>
                  <pic:spPr>
                    <a:xfrm>
                      <a:off x="0" y="0"/>
                      <a:ext cx="5715000" cy="4286250"/>
                    </a:xfrm>
                    <a:prstGeom prst="rect">
                      <a:avLst/>
                    </a:prstGeom>
                  </pic:spPr>
                </pic:pic>
              </a:graphicData>
            </a:graphic>
          </wp:inline>
        </w:drawing>
      </w:r>
    </w:p>
    <w:p w14:paraId="609180F1" w14:textId="77777777" w:rsidR="003B0E24" w:rsidRDefault="002D1F92" w:rsidP="003B0E24">
      <w:pPr>
        <w:spacing w:after="0" w:line="360" w:lineRule="auto"/>
        <w:jc w:val="both"/>
        <w:rPr>
          <w:bCs/>
          <w:sz w:val="24"/>
          <w:szCs w:val="24"/>
        </w:rPr>
      </w:pPr>
      <w:r w:rsidRPr="002D1F92">
        <w:rPr>
          <w:bCs/>
          <w:sz w:val="24"/>
          <w:szCs w:val="24"/>
        </w:rPr>
        <w:t xml:space="preserve">ПОАК должны быть назначены по показаниям в соответствии с оценкой риска по CHA2DS2Vasc при отсутствии противопоказаний. </w:t>
      </w:r>
    </w:p>
    <w:p w14:paraId="490C833A" w14:textId="77777777" w:rsidR="003B0E24" w:rsidRDefault="003B0E24" w:rsidP="003B0E24">
      <w:pPr>
        <w:spacing w:after="0" w:line="360" w:lineRule="auto"/>
        <w:jc w:val="both"/>
        <w:rPr>
          <w:bCs/>
          <w:sz w:val="24"/>
          <w:szCs w:val="24"/>
        </w:rPr>
      </w:pPr>
    </w:p>
    <w:p w14:paraId="00133492" w14:textId="77777777" w:rsidR="003B0E24" w:rsidRDefault="003B0E24" w:rsidP="003B0E24">
      <w:pPr>
        <w:spacing w:after="0" w:line="360" w:lineRule="auto"/>
        <w:jc w:val="both"/>
        <w:rPr>
          <w:bCs/>
          <w:sz w:val="24"/>
          <w:szCs w:val="24"/>
        </w:rPr>
      </w:pPr>
    </w:p>
    <w:p w14:paraId="7BD4791C" w14:textId="77777777" w:rsidR="003B0E24" w:rsidRDefault="003B0E24" w:rsidP="003B0E24">
      <w:pPr>
        <w:spacing w:after="0" w:line="360" w:lineRule="auto"/>
        <w:jc w:val="both"/>
        <w:rPr>
          <w:bCs/>
          <w:sz w:val="24"/>
          <w:szCs w:val="24"/>
        </w:rPr>
      </w:pPr>
    </w:p>
    <w:p w14:paraId="21373098" w14:textId="77777777" w:rsidR="003B0E24" w:rsidRDefault="003B0E24" w:rsidP="003B0E24">
      <w:pPr>
        <w:spacing w:after="0" w:line="360" w:lineRule="auto"/>
        <w:jc w:val="both"/>
        <w:rPr>
          <w:bCs/>
          <w:sz w:val="24"/>
          <w:szCs w:val="24"/>
        </w:rPr>
      </w:pPr>
    </w:p>
    <w:p w14:paraId="5D4FFD6D" w14:textId="77777777" w:rsidR="003B0E24" w:rsidRDefault="003B0E24" w:rsidP="003B0E24">
      <w:pPr>
        <w:spacing w:after="0" w:line="360" w:lineRule="auto"/>
        <w:jc w:val="both"/>
        <w:rPr>
          <w:bCs/>
          <w:sz w:val="24"/>
          <w:szCs w:val="24"/>
        </w:rPr>
      </w:pPr>
    </w:p>
    <w:p w14:paraId="60BA2001" w14:textId="77777777" w:rsidR="003B0E24" w:rsidRDefault="003B0E24" w:rsidP="003B0E24">
      <w:pPr>
        <w:spacing w:after="0" w:line="360" w:lineRule="auto"/>
        <w:jc w:val="both"/>
        <w:rPr>
          <w:bCs/>
          <w:sz w:val="24"/>
          <w:szCs w:val="24"/>
        </w:rPr>
      </w:pPr>
    </w:p>
    <w:p w14:paraId="5F6AA54C" w14:textId="77777777" w:rsidR="003B0E24" w:rsidRDefault="003B0E24" w:rsidP="003B0E24">
      <w:pPr>
        <w:spacing w:after="0" w:line="360" w:lineRule="auto"/>
        <w:jc w:val="both"/>
        <w:rPr>
          <w:bCs/>
          <w:sz w:val="24"/>
          <w:szCs w:val="24"/>
        </w:rPr>
      </w:pPr>
    </w:p>
    <w:p w14:paraId="195433C5" w14:textId="77777777" w:rsidR="003B0E24" w:rsidRDefault="003B0E24" w:rsidP="003B0E24">
      <w:pPr>
        <w:spacing w:after="0" w:line="360" w:lineRule="auto"/>
        <w:jc w:val="both"/>
        <w:rPr>
          <w:bCs/>
          <w:sz w:val="24"/>
          <w:szCs w:val="24"/>
        </w:rPr>
      </w:pPr>
    </w:p>
    <w:p w14:paraId="4E52DA44" w14:textId="77777777" w:rsidR="003B0E24" w:rsidRDefault="003B0E24" w:rsidP="003B0E24">
      <w:pPr>
        <w:spacing w:after="0" w:line="360" w:lineRule="auto"/>
        <w:jc w:val="both"/>
        <w:rPr>
          <w:bCs/>
          <w:sz w:val="24"/>
          <w:szCs w:val="24"/>
        </w:rPr>
      </w:pPr>
    </w:p>
    <w:p w14:paraId="5B8C4A67" w14:textId="77777777" w:rsidR="003B0E24" w:rsidRDefault="003B0E24" w:rsidP="003B0E24">
      <w:pPr>
        <w:spacing w:after="0" w:line="360" w:lineRule="auto"/>
        <w:jc w:val="both"/>
        <w:rPr>
          <w:bCs/>
          <w:sz w:val="24"/>
          <w:szCs w:val="24"/>
        </w:rPr>
      </w:pPr>
    </w:p>
    <w:p w14:paraId="300F3A3E" w14:textId="77777777" w:rsidR="003B0E24" w:rsidRDefault="003B0E24" w:rsidP="003B0E24">
      <w:pPr>
        <w:spacing w:after="0" w:line="360" w:lineRule="auto"/>
        <w:jc w:val="both"/>
        <w:rPr>
          <w:bCs/>
          <w:sz w:val="24"/>
          <w:szCs w:val="24"/>
        </w:rPr>
      </w:pPr>
    </w:p>
    <w:p w14:paraId="7657E9DF" w14:textId="77777777" w:rsidR="00E7280B" w:rsidRDefault="00E7280B" w:rsidP="003B0E24">
      <w:pPr>
        <w:spacing w:after="0" w:line="360" w:lineRule="auto"/>
        <w:jc w:val="both"/>
        <w:rPr>
          <w:bCs/>
          <w:sz w:val="24"/>
          <w:szCs w:val="24"/>
        </w:rPr>
      </w:pPr>
    </w:p>
    <w:p w14:paraId="07ED3F02" w14:textId="77777777" w:rsidR="00E7280B" w:rsidRDefault="00E7280B" w:rsidP="003B0E24">
      <w:pPr>
        <w:spacing w:after="0" w:line="360" w:lineRule="auto"/>
        <w:jc w:val="both"/>
        <w:rPr>
          <w:bCs/>
          <w:sz w:val="24"/>
          <w:szCs w:val="24"/>
        </w:rPr>
      </w:pPr>
    </w:p>
    <w:p w14:paraId="533A3AC8" w14:textId="77777777" w:rsidR="003B0E24" w:rsidRDefault="003B0E24" w:rsidP="003B0E24">
      <w:pPr>
        <w:spacing w:after="0" w:line="360" w:lineRule="auto"/>
        <w:jc w:val="both"/>
        <w:rPr>
          <w:bCs/>
          <w:sz w:val="24"/>
          <w:szCs w:val="24"/>
        </w:rPr>
      </w:pPr>
    </w:p>
    <w:p w14:paraId="7BEDF7D3" w14:textId="77777777" w:rsidR="003B0E24" w:rsidRDefault="003B0E24" w:rsidP="003B0E24">
      <w:pPr>
        <w:spacing w:after="0" w:line="360" w:lineRule="auto"/>
        <w:jc w:val="both"/>
        <w:rPr>
          <w:bCs/>
          <w:sz w:val="24"/>
          <w:szCs w:val="24"/>
        </w:rPr>
      </w:pPr>
    </w:p>
    <w:p w14:paraId="37EBBE78" w14:textId="3631E58C" w:rsidR="00EB241A" w:rsidRPr="00EB241A" w:rsidRDefault="00BD330B" w:rsidP="00BD330B">
      <w:pPr>
        <w:spacing w:after="0" w:line="360" w:lineRule="auto"/>
        <w:jc w:val="center"/>
        <w:rPr>
          <w:bCs/>
          <w:sz w:val="24"/>
          <w:szCs w:val="24"/>
        </w:rPr>
      </w:pPr>
      <w:r w:rsidRPr="001A12F4">
        <w:rPr>
          <w:b/>
          <w:bCs/>
          <w:sz w:val="24"/>
          <w:szCs w:val="24"/>
        </w:rPr>
        <w:lastRenderedPageBreak/>
        <w:t xml:space="preserve">Глава </w:t>
      </w:r>
      <w:r w:rsidR="00803F2F" w:rsidRPr="001A12F4">
        <w:rPr>
          <w:b/>
          <w:bCs/>
          <w:sz w:val="24"/>
          <w:szCs w:val="24"/>
        </w:rPr>
        <w:t>6</w:t>
      </w:r>
      <w:r w:rsidRPr="001A12F4">
        <w:rPr>
          <w:b/>
          <w:bCs/>
          <w:sz w:val="24"/>
          <w:szCs w:val="24"/>
        </w:rPr>
        <w:t xml:space="preserve">. </w:t>
      </w:r>
      <w:r w:rsidR="00EB241A" w:rsidRPr="001A12F4">
        <w:rPr>
          <w:b/>
          <w:bCs/>
          <w:sz w:val="24"/>
          <w:szCs w:val="24"/>
        </w:rPr>
        <w:t>Стратегия</w:t>
      </w:r>
      <w:r w:rsidR="00EB241A" w:rsidRPr="00EB241A">
        <w:rPr>
          <w:b/>
          <w:bCs/>
          <w:sz w:val="24"/>
          <w:szCs w:val="24"/>
        </w:rPr>
        <w:t xml:space="preserve"> лекарственной терапии при резистентной АГ.</w:t>
      </w:r>
    </w:p>
    <w:p w14:paraId="69F6E073" w14:textId="77777777" w:rsidR="002D1F92" w:rsidRDefault="00EB241A" w:rsidP="00AD19F5">
      <w:pPr>
        <w:spacing w:after="0" w:line="360" w:lineRule="auto"/>
        <w:jc w:val="center"/>
        <w:rPr>
          <w:b/>
          <w:szCs w:val="28"/>
        </w:rPr>
      </w:pPr>
      <w:r>
        <w:rPr>
          <w:noProof/>
          <w:lang w:eastAsia="ru-RU"/>
        </w:rPr>
        <w:drawing>
          <wp:inline distT="0" distB="0" distL="0" distR="0" wp14:anchorId="19047DBA" wp14:editId="5C57FA19">
            <wp:extent cx="5715000" cy="4286250"/>
            <wp:effectExtent l="0" t="0" r="0" b="0"/>
            <wp:docPr id="5829238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923846" name=""/>
                    <pic:cNvPicPr/>
                  </pic:nvPicPr>
                  <pic:blipFill>
                    <a:blip r:embed="rId47" cstate="print"/>
                    <a:stretch>
                      <a:fillRect/>
                    </a:stretch>
                  </pic:blipFill>
                  <pic:spPr>
                    <a:xfrm>
                      <a:off x="0" y="0"/>
                      <a:ext cx="5715000" cy="4286250"/>
                    </a:xfrm>
                    <a:prstGeom prst="rect">
                      <a:avLst/>
                    </a:prstGeom>
                  </pic:spPr>
                </pic:pic>
              </a:graphicData>
            </a:graphic>
          </wp:inline>
        </w:drawing>
      </w:r>
    </w:p>
    <w:p w14:paraId="3F0D9A55" w14:textId="77777777" w:rsidR="00EB241A" w:rsidRDefault="00EB241A" w:rsidP="00EB241A">
      <w:pPr>
        <w:spacing w:after="0" w:line="360" w:lineRule="auto"/>
        <w:jc w:val="both"/>
        <w:rPr>
          <w:bCs/>
          <w:sz w:val="24"/>
          <w:szCs w:val="24"/>
        </w:rPr>
      </w:pPr>
      <w:r w:rsidRPr="00EB241A">
        <w:rPr>
          <w:bCs/>
          <w:sz w:val="24"/>
          <w:szCs w:val="24"/>
          <w:vertAlign w:val="superscript"/>
        </w:rPr>
        <w:t>1</w:t>
      </w:r>
      <w:r w:rsidRPr="00EB241A">
        <w:rPr>
          <w:bCs/>
          <w:sz w:val="24"/>
          <w:szCs w:val="24"/>
        </w:rPr>
        <w:t>Выбор диуретиков: при СКФ &gt;45 мл/мин/1,73 м2 тиазидные или тиазидоподобные, при СКФ 30-45 мл/мин/1,73 м2 рассмотреть замену на петлевой, при СКФ &lt;30 мл/мин/1,73 м2 – петлевой.</w:t>
      </w:r>
    </w:p>
    <w:p w14:paraId="07E680B4" w14:textId="77777777" w:rsidR="00EB241A" w:rsidRDefault="00EB241A" w:rsidP="00EB241A">
      <w:pPr>
        <w:spacing w:after="0" w:line="360" w:lineRule="auto"/>
        <w:jc w:val="both"/>
        <w:rPr>
          <w:bCs/>
          <w:sz w:val="24"/>
          <w:szCs w:val="24"/>
        </w:rPr>
      </w:pPr>
      <w:r w:rsidRPr="00EB241A">
        <w:rPr>
          <w:bCs/>
          <w:sz w:val="24"/>
          <w:szCs w:val="24"/>
        </w:rPr>
        <w:t xml:space="preserve"> </w:t>
      </w:r>
      <w:r w:rsidRPr="00EB241A">
        <w:rPr>
          <w:bCs/>
          <w:sz w:val="24"/>
          <w:szCs w:val="24"/>
          <w:vertAlign w:val="superscript"/>
        </w:rPr>
        <w:t>2</w:t>
      </w:r>
      <w:r w:rsidRPr="00EB241A">
        <w:rPr>
          <w:bCs/>
          <w:sz w:val="24"/>
          <w:szCs w:val="24"/>
        </w:rPr>
        <w:t>АМКР противопоказаны</w:t>
      </w:r>
    </w:p>
    <w:p w14:paraId="30E43A5B" w14:textId="77777777" w:rsidR="00EB241A" w:rsidRPr="00EB241A" w:rsidRDefault="00EB241A" w:rsidP="00EB241A">
      <w:pPr>
        <w:spacing w:after="0" w:line="360" w:lineRule="auto"/>
        <w:jc w:val="both"/>
        <w:rPr>
          <w:bCs/>
          <w:sz w:val="24"/>
          <w:szCs w:val="24"/>
        </w:rPr>
      </w:pPr>
      <w:r w:rsidRPr="00EB241A">
        <w:rPr>
          <w:bCs/>
          <w:sz w:val="24"/>
          <w:szCs w:val="24"/>
        </w:rPr>
        <w:t xml:space="preserve"> </w:t>
      </w:r>
      <w:r w:rsidRPr="00EB241A">
        <w:rPr>
          <w:bCs/>
          <w:sz w:val="24"/>
          <w:szCs w:val="24"/>
          <w:vertAlign w:val="superscript"/>
        </w:rPr>
        <w:t>3</w:t>
      </w:r>
      <w:r w:rsidRPr="00EB241A">
        <w:rPr>
          <w:bCs/>
          <w:sz w:val="24"/>
          <w:szCs w:val="24"/>
        </w:rPr>
        <w:t xml:space="preserve">С осторожностью при СКФ &lt;45 мл/мин/1,73 м2 и значениях калия сыворотки &gt;4,5 ммоль/л. </w:t>
      </w:r>
    </w:p>
    <w:p w14:paraId="3E9F7B0B" w14:textId="77777777" w:rsidR="003B0E24" w:rsidRDefault="003B0E24" w:rsidP="00EB241A">
      <w:pPr>
        <w:spacing w:after="0" w:line="360" w:lineRule="auto"/>
        <w:jc w:val="center"/>
        <w:rPr>
          <w:b/>
          <w:bCs/>
          <w:szCs w:val="28"/>
        </w:rPr>
      </w:pPr>
    </w:p>
    <w:p w14:paraId="07402180" w14:textId="77777777" w:rsidR="003B0E24" w:rsidRDefault="003B0E24" w:rsidP="00EB241A">
      <w:pPr>
        <w:spacing w:after="0" w:line="360" w:lineRule="auto"/>
        <w:jc w:val="center"/>
        <w:rPr>
          <w:b/>
          <w:bCs/>
          <w:szCs w:val="28"/>
        </w:rPr>
      </w:pPr>
    </w:p>
    <w:p w14:paraId="4251F06F" w14:textId="77777777" w:rsidR="003B0E24" w:rsidRDefault="003B0E24" w:rsidP="00EB241A">
      <w:pPr>
        <w:spacing w:after="0" w:line="360" w:lineRule="auto"/>
        <w:jc w:val="center"/>
        <w:rPr>
          <w:b/>
          <w:bCs/>
          <w:szCs w:val="28"/>
        </w:rPr>
      </w:pPr>
    </w:p>
    <w:p w14:paraId="5C81B05C" w14:textId="77777777" w:rsidR="003B0E24" w:rsidRDefault="003B0E24" w:rsidP="00EB241A">
      <w:pPr>
        <w:spacing w:after="0" w:line="360" w:lineRule="auto"/>
        <w:jc w:val="center"/>
        <w:rPr>
          <w:b/>
          <w:bCs/>
          <w:szCs w:val="28"/>
        </w:rPr>
      </w:pPr>
    </w:p>
    <w:p w14:paraId="765791AF" w14:textId="77777777" w:rsidR="003B0E24" w:rsidRDefault="003B0E24" w:rsidP="00EB241A">
      <w:pPr>
        <w:spacing w:after="0" w:line="360" w:lineRule="auto"/>
        <w:jc w:val="center"/>
        <w:rPr>
          <w:b/>
          <w:bCs/>
          <w:szCs w:val="28"/>
        </w:rPr>
      </w:pPr>
    </w:p>
    <w:p w14:paraId="187CE5BB" w14:textId="77777777" w:rsidR="003B0E24" w:rsidRDefault="003B0E24" w:rsidP="00EB241A">
      <w:pPr>
        <w:spacing w:after="0" w:line="360" w:lineRule="auto"/>
        <w:jc w:val="center"/>
        <w:rPr>
          <w:b/>
          <w:bCs/>
          <w:szCs w:val="28"/>
        </w:rPr>
      </w:pPr>
    </w:p>
    <w:p w14:paraId="0A85F3DB" w14:textId="77777777" w:rsidR="003B0E24" w:rsidRDefault="003B0E24" w:rsidP="00EB241A">
      <w:pPr>
        <w:spacing w:after="0" w:line="360" w:lineRule="auto"/>
        <w:jc w:val="center"/>
        <w:rPr>
          <w:b/>
          <w:bCs/>
          <w:szCs w:val="28"/>
        </w:rPr>
      </w:pPr>
    </w:p>
    <w:p w14:paraId="40FF6975" w14:textId="77777777" w:rsidR="00FA2C6B" w:rsidRDefault="00EB241A" w:rsidP="00FA2C6B">
      <w:pPr>
        <w:pStyle w:val="1"/>
        <w:jc w:val="right"/>
        <w:rPr>
          <w:rFonts w:ascii="Times New Roman" w:hAnsi="Times New Roman" w:cs="Times New Roman"/>
          <w:b/>
          <w:bCs/>
          <w:color w:val="000000" w:themeColor="text1"/>
          <w:sz w:val="28"/>
          <w:szCs w:val="28"/>
        </w:rPr>
      </w:pPr>
      <w:bookmarkStart w:id="86" w:name="_Toc202877453"/>
      <w:r w:rsidRPr="00EB241A">
        <w:rPr>
          <w:rFonts w:ascii="Times New Roman" w:hAnsi="Times New Roman" w:cs="Times New Roman"/>
          <w:b/>
          <w:bCs/>
          <w:color w:val="000000" w:themeColor="text1"/>
          <w:sz w:val="28"/>
          <w:szCs w:val="28"/>
        </w:rPr>
        <w:lastRenderedPageBreak/>
        <w:t>Приложение В.</w:t>
      </w:r>
    </w:p>
    <w:p w14:paraId="6A075132" w14:textId="217D9282" w:rsidR="00EB241A" w:rsidRDefault="00EB241A" w:rsidP="00350B76">
      <w:pPr>
        <w:pStyle w:val="1"/>
        <w:jc w:val="center"/>
        <w:rPr>
          <w:rFonts w:ascii="Times New Roman" w:hAnsi="Times New Roman" w:cs="Times New Roman"/>
          <w:b/>
          <w:bCs/>
          <w:color w:val="000000" w:themeColor="text1"/>
          <w:sz w:val="28"/>
          <w:szCs w:val="28"/>
        </w:rPr>
      </w:pPr>
      <w:r w:rsidRPr="00EB241A">
        <w:rPr>
          <w:rFonts w:ascii="Times New Roman" w:hAnsi="Times New Roman" w:cs="Times New Roman"/>
          <w:b/>
          <w:bCs/>
          <w:color w:val="000000" w:themeColor="text1"/>
          <w:sz w:val="28"/>
          <w:szCs w:val="28"/>
        </w:rPr>
        <w:t>Информация для пациента</w:t>
      </w:r>
      <w:bookmarkEnd w:id="86"/>
    </w:p>
    <w:p w14:paraId="1181C1E7" w14:textId="77777777" w:rsidR="00FA2C6B" w:rsidRPr="00FA2C6B" w:rsidRDefault="00FA2C6B" w:rsidP="00FA2C6B"/>
    <w:p w14:paraId="35C2EDEA" w14:textId="77777777" w:rsidR="00EB241A" w:rsidRPr="00EB241A" w:rsidRDefault="00EB241A" w:rsidP="00EB241A">
      <w:pPr>
        <w:spacing w:after="0" w:line="360" w:lineRule="auto"/>
        <w:jc w:val="both"/>
        <w:rPr>
          <w:sz w:val="24"/>
          <w:szCs w:val="24"/>
        </w:rPr>
      </w:pPr>
      <w:r>
        <w:rPr>
          <w:sz w:val="24"/>
          <w:szCs w:val="24"/>
        </w:rPr>
        <w:tab/>
      </w:r>
      <w:r w:rsidRPr="00EB241A">
        <w:rPr>
          <w:sz w:val="24"/>
          <w:szCs w:val="24"/>
        </w:rPr>
        <w:t xml:space="preserve">Гипертоническая болезнь — заболевание, основным симптомом которого является повышение артериального давления выше 140/90 мм рт. ст., что приводит к поражению мозга, сердца, почек. </w:t>
      </w:r>
    </w:p>
    <w:p w14:paraId="122E026D" w14:textId="77777777" w:rsidR="00EB241A" w:rsidRPr="00EB241A" w:rsidRDefault="00EB241A" w:rsidP="00EB241A">
      <w:pPr>
        <w:spacing w:after="0" w:line="360" w:lineRule="auto"/>
        <w:jc w:val="both"/>
        <w:rPr>
          <w:sz w:val="24"/>
          <w:szCs w:val="24"/>
        </w:rPr>
      </w:pPr>
      <w:r>
        <w:rPr>
          <w:sz w:val="24"/>
          <w:szCs w:val="24"/>
        </w:rPr>
        <w:tab/>
      </w:r>
      <w:r w:rsidRPr="00EB241A">
        <w:rPr>
          <w:sz w:val="24"/>
          <w:szCs w:val="24"/>
        </w:rPr>
        <w:t xml:space="preserve">Только 50% людей̆ с повышенным артериальным давлением знают, что больны, из них систематически лечатся далеко не все. Нелеченная гипертоническая болезнь опасна осложнениями, главные из которых — инсульт, инфаркт миокарда, сердечная недостаточность, почечная недостаточность. </w:t>
      </w:r>
    </w:p>
    <w:p w14:paraId="0A1FCFF7" w14:textId="77777777" w:rsidR="00EB241A" w:rsidRPr="00EB241A" w:rsidRDefault="00EB241A" w:rsidP="00EB241A">
      <w:pPr>
        <w:spacing w:after="0" w:line="360" w:lineRule="auto"/>
        <w:jc w:val="both"/>
        <w:rPr>
          <w:sz w:val="24"/>
          <w:szCs w:val="24"/>
        </w:rPr>
      </w:pPr>
      <w:r>
        <w:rPr>
          <w:sz w:val="24"/>
          <w:szCs w:val="24"/>
        </w:rPr>
        <w:tab/>
      </w:r>
      <w:r w:rsidRPr="00EB241A">
        <w:rPr>
          <w:sz w:val="24"/>
          <w:szCs w:val="24"/>
        </w:rPr>
        <w:t xml:space="preserve">Главным фактором снижения риска смерти, инсульта и инфаркта миокарда является контроль АД и поддержание его на уровне как минимум &lt;140/90 мм рт. ст., поэтому важен самоконтроль АД в домашних условиях с использованием сертифицированных аппаратов для измерения АД. При этом необходимо выполнение следующих правил: </w:t>
      </w:r>
    </w:p>
    <w:p w14:paraId="0179EB56" w14:textId="77777777" w:rsidR="00EB241A" w:rsidRPr="00EB241A" w:rsidRDefault="00EB241A" w:rsidP="00EB241A">
      <w:pPr>
        <w:spacing w:after="0" w:line="360" w:lineRule="auto"/>
        <w:jc w:val="both"/>
        <w:rPr>
          <w:sz w:val="24"/>
          <w:szCs w:val="24"/>
        </w:rPr>
      </w:pPr>
      <w:r w:rsidRPr="00EB241A">
        <w:rPr>
          <w:sz w:val="24"/>
          <w:szCs w:val="24"/>
        </w:rPr>
        <w:t xml:space="preserve">• перед измерением АД необходимы минимум 5 мин отдыха в положении сидя; </w:t>
      </w:r>
    </w:p>
    <w:p w14:paraId="3D45E2FD" w14:textId="77777777" w:rsidR="00EB241A" w:rsidRPr="00EB241A" w:rsidRDefault="00EB241A" w:rsidP="00EB241A">
      <w:pPr>
        <w:spacing w:after="0" w:line="360" w:lineRule="auto"/>
        <w:jc w:val="both"/>
        <w:rPr>
          <w:sz w:val="24"/>
          <w:szCs w:val="24"/>
        </w:rPr>
      </w:pPr>
      <w:r w:rsidRPr="00EB241A">
        <w:rPr>
          <w:sz w:val="24"/>
          <w:szCs w:val="24"/>
        </w:rPr>
        <w:t xml:space="preserve">• сидеть во время измерения АД нужно с полной опорой стоп на пол, не перекрещивая и не поджимая ноги, положив руку на стол так, чтобы наложенная на плечо манжета была на уровне сердца, спина и рука с манжетой должны быть расслаблены; </w:t>
      </w:r>
    </w:p>
    <w:p w14:paraId="3D21C5D9" w14:textId="77777777" w:rsidR="00EB241A" w:rsidRPr="00EB241A" w:rsidRDefault="00EB241A" w:rsidP="00EB241A">
      <w:pPr>
        <w:spacing w:after="0" w:line="360" w:lineRule="auto"/>
        <w:jc w:val="both"/>
        <w:rPr>
          <w:sz w:val="24"/>
          <w:szCs w:val="24"/>
        </w:rPr>
      </w:pPr>
      <w:r w:rsidRPr="00EB241A">
        <w:rPr>
          <w:sz w:val="24"/>
          <w:szCs w:val="24"/>
        </w:rPr>
        <w:t xml:space="preserve">• необходимо выполнять минимум 2 последовательных измерения АД утром и вечером до или спустя 2 часа после приема пищи ежедневно, хотя бы за 7 дней до планового визита к врачу или после изменения терапии; следует записывать результаты измерений в дневник самоконтроля; </w:t>
      </w:r>
    </w:p>
    <w:p w14:paraId="53AFF524" w14:textId="77777777" w:rsidR="00EB241A" w:rsidRPr="00EB241A" w:rsidRDefault="00EB241A" w:rsidP="00EB241A">
      <w:pPr>
        <w:spacing w:after="0" w:line="360" w:lineRule="auto"/>
        <w:jc w:val="both"/>
        <w:rPr>
          <w:sz w:val="24"/>
          <w:szCs w:val="24"/>
        </w:rPr>
      </w:pPr>
      <w:r w:rsidRPr="00EB241A">
        <w:rPr>
          <w:sz w:val="24"/>
          <w:szCs w:val="24"/>
        </w:rPr>
        <w:t xml:space="preserve">• необходимо выполнять минимум 2 последовательных измерения АД утром (после посещения туалета, но до приема терапии) и вечером «до» или «спустя 2 часа» после приема пищи и до приема терапии ежедневно, хотя бы в течение 7 дней до планового визита к врачу или после изменения терапии; следует записывать результаты измерений в дневник самоконтроля; </w:t>
      </w:r>
    </w:p>
    <w:p w14:paraId="205C41B8" w14:textId="77777777" w:rsidR="00EB241A" w:rsidRPr="00EB241A" w:rsidRDefault="00EB241A" w:rsidP="00EB241A">
      <w:pPr>
        <w:spacing w:after="0" w:line="360" w:lineRule="auto"/>
        <w:jc w:val="both"/>
        <w:rPr>
          <w:sz w:val="24"/>
          <w:szCs w:val="24"/>
        </w:rPr>
      </w:pPr>
      <w:r w:rsidRPr="00EB241A">
        <w:rPr>
          <w:sz w:val="24"/>
          <w:szCs w:val="24"/>
        </w:rPr>
        <w:t xml:space="preserve">• минимум за 30 мин до измерения АД не следует курить и употреблять кофеинсодержащие напитки; </w:t>
      </w:r>
    </w:p>
    <w:p w14:paraId="0E51E8F1" w14:textId="77777777" w:rsidR="00EB241A" w:rsidRPr="00EB241A" w:rsidRDefault="00EB241A" w:rsidP="00EB241A">
      <w:pPr>
        <w:spacing w:after="0" w:line="360" w:lineRule="auto"/>
        <w:jc w:val="both"/>
        <w:rPr>
          <w:sz w:val="24"/>
          <w:szCs w:val="24"/>
        </w:rPr>
      </w:pPr>
      <w:r w:rsidRPr="00EB241A">
        <w:rPr>
          <w:sz w:val="24"/>
          <w:szCs w:val="24"/>
        </w:rPr>
        <w:t xml:space="preserve">• во время измерения АД одежда не должна плотно охватывать плечо, создавая складки и дополнительную компрессию. </w:t>
      </w:r>
    </w:p>
    <w:p w14:paraId="776228C2" w14:textId="77777777" w:rsidR="00EB241A" w:rsidRPr="00EB241A" w:rsidRDefault="00EB241A" w:rsidP="00EB241A">
      <w:pPr>
        <w:spacing w:after="0" w:line="360" w:lineRule="auto"/>
        <w:jc w:val="both"/>
        <w:rPr>
          <w:sz w:val="24"/>
          <w:szCs w:val="24"/>
        </w:rPr>
      </w:pPr>
      <w:r>
        <w:rPr>
          <w:sz w:val="24"/>
          <w:szCs w:val="24"/>
        </w:rPr>
        <w:tab/>
      </w:r>
      <w:r w:rsidRPr="00EB241A">
        <w:rPr>
          <w:sz w:val="24"/>
          <w:szCs w:val="24"/>
        </w:rPr>
        <w:t xml:space="preserve">Пациент и члены его семьи должны владеть методикой измерения АД, уметь вести дневник АД с записью цифр. </w:t>
      </w:r>
    </w:p>
    <w:p w14:paraId="0BC2980F" w14:textId="77777777" w:rsidR="00EB241A" w:rsidRPr="00EB241A" w:rsidRDefault="00EB241A" w:rsidP="00EB241A">
      <w:pPr>
        <w:spacing w:after="0" w:line="360" w:lineRule="auto"/>
        <w:jc w:val="both"/>
        <w:rPr>
          <w:sz w:val="24"/>
          <w:szCs w:val="24"/>
        </w:rPr>
      </w:pPr>
      <w:r>
        <w:rPr>
          <w:sz w:val="24"/>
          <w:szCs w:val="24"/>
        </w:rPr>
        <w:lastRenderedPageBreak/>
        <w:tab/>
      </w:r>
      <w:r w:rsidRPr="00EB241A">
        <w:rPr>
          <w:sz w:val="24"/>
          <w:szCs w:val="24"/>
        </w:rPr>
        <w:t xml:space="preserve">Если пациент получает АГП, он должен быть осведомлен об ожидаемом эффекте, изменениях самочувствия и качестве жизни в ходе терапии, возможных побочных эффектах и способах их устранения. </w:t>
      </w:r>
    </w:p>
    <w:p w14:paraId="43503B69" w14:textId="77777777" w:rsidR="00EB241A" w:rsidRPr="00EB241A" w:rsidRDefault="00EB241A" w:rsidP="00EB241A">
      <w:pPr>
        <w:spacing w:after="0" w:line="360" w:lineRule="auto"/>
        <w:jc w:val="both"/>
        <w:rPr>
          <w:sz w:val="24"/>
          <w:szCs w:val="24"/>
        </w:rPr>
      </w:pPr>
      <w:r>
        <w:rPr>
          <w:sz w:val="24"/>
          <w:szCs w:val="24"/>
        </w:rPr>
        <w:tab/>
      </w:r>
      <w:r w:rsidRPr="00EB241A">
        <w:rPr>
          <w:sz w:val="24"/>
          <w:szCs w:val="24"/>
        </w:rPr>
        <w:t xml:space="preserve">Пациент должен знать об имеющихся у него и членов его семьи сердечно-сосудистых факторах риска — это курение, избыточная масса тела, психоэмоциональный стресс, малоподвижный образ жизни, повышенный уровень холестерина. Влияние указанных факторов риска может быть снижено. Особенно важна коррекция изменяемых факторов риска при наличии у пациента и членов его семьи некорригируемых факторов риска, к которым относятся: наличие в семейном анамнезе ранних мозговых инсультов, инфарктов миокарда, сахарного диабета; мужской пол; пожилой возраст; физиологическая или хирургическая менопауза у женщин. </w:t>
      </w:r>
    </w:p>
    <w:p w14:paraId="7803FB51" w14:textId="77777777" w:rsidR="00EB241A" w:rsidRPr="00EB241A" w:rsidRDefault="00EB241A" w:rsidP="00EB241A">
      <w:pPr>
        <w:spacing w:after="0" w:line="360" w:lineRule="auto"/>
        <w:jc w:val="both"/>
        <w:rPr>
          <w:sz w:val="24"/>
          <w:szCs w:val="24"/>
        </w:rPr>
      </w:pPr>
      <w:r>
        <w:rPr>
          <w:sz w:val="24"/>
          <w:szCs w:val="24"/>
        </w:rPr>
        <w:tab/>
      </w:r>
      <w:r w:rsidRPr="00EB241A">
        <w:rPr>
          <w:sz w:val="24"/>
          <w:szCs w:val="24"/>
        </w:rPr>
        <w:t xml:space="preserve">Коррекцию факторов риска требуется проводить не только пациенту, но и членам его семьи. Она осуществляется путем реализации программ семейной первичной профилактики и воспитания, составленных врачом. </w:t>
      </w:r>
    </w:p>
    <w:p w14:paraId="4BCD39E7" w14:textId="77777777" w:rsidR="00EB241A" w:rsidRPr="00EB241A" w:rsidRDefault="00EB241A" w:rsidP="00EB241A">
      <w:pPr>
        <w:spacing w:after="0" w:line="360" w:lineRule="auto"/>
        <w:jc w:val="both"/>
        <w:rPr>
          <w:sz w:val="24"/>
          <w:szCs w:val="24"/>
        </w:rPr>
      </w:pPr>
      <w:r w:rsidRPr="00EB241A">
        <w:rPr>
          <w:sz w:val="24"/>
          <w:szCs w:val="24"/>
        </w:rPr>
        <w:t xml:space="preserve">• индекс массы тела (Кетле) = масса тела в килограммах/(рост в м2) 15–19,9 кг/м2 — недостаточная масса тела; 20–24,9 кг/м2 — нормальная масса тела (целевой уровень); 25–29,9 кг/м2- избыточная масса тела; 30,0-34,9 кг/м2 - Ожирение I степени 35,0-39,9 кг/м2 - Ожирение II степени &gt;= 40 кг/м2 - Ожирение III степени </w:t>
      </w:r>
    </w:p>
    <w:p w14:paraId="1B3326EA" w14:textId="77777777" w:rsidR="00EB241A" w:rsidRPr="00EB241A" w:rsidRDefault="00EB241A" w:rsidP="00EB241A">
      <w:pPr>
        <w:spacing w:after="0" w:line="360" w:lineRule="auto"/>
        <w:jc w:val="both"/>
        <w:rPr>
          <w:sz w:val="24"/>
          <w:szCs w:val="24"/>
        </w:rPr>
      </w:pPr>
      <w:r w:rsidRPr="00EB241A">
        <w:rPr>
          <w:sz w:val="24"/>
          <w:szCs w:val="24"/>
        </w:rPr>
        <w:t xml:space="preserve">• индекс талия/бедра (ИТБ): ИТБ = ОТ/ОБ, где ОТ (окружность талии) — наименьшая окружность, измеренная над пупком; ОБ (окружность бедер) — наибольшая окружность, измеренная на уровне ягодиц. _ 0,8–0,9 — промежуточный тип распределения жировой ткани, _ </w:t>
      </w:r>
      <w:proofErr w:type="gramStart"/>
      <w:r w:rsidRPr="00EB241A">
        <w:rPr>
          <w:sz w:val="24"/>
          <w:szCs w:val="24"/>
        </w:rPr>
        <w:t>&lt; 0</w:t>
      </w:r>
      <w:proofErr w:type="gramEnd"/>
      <w:r w:rsidRPr="00EB241A">
        <w:rPr>
          <w:sz w:val="24"/>
          <w:szCs w:val="24"/>
        </w:rPr>
        <w:t xml:space="preserve">,8 — гиноидный (бедренно-ягодичный), _ &gt;0,9 — андроидный (абдоминальный); </w:t>
      </w:r>
    </w:p>
    <w:p w14:paraId="1468AA3D" w14:textId="77777777" w:rsidR="00EB241A" w:rsidRPr="00EB241A" w:rsidRDefault="00EB241A" w:rsidP="00EB241A">
      <w:pPr>
        <w:spacing w:after="0" w:line="360" w:lineRule="auto"/>
        <w:jc w:val="both"/>
        <w:rPr>
          <w:sz w:val="24"/>
          <w:szCs w:val="24"/>
        </w:rPr>
      </w:pPr>
      <w:r w:rsidRPr="00EB241A">
        <w:rPr>
          <w:sz w:val="24"/>
          <w:szCs w:val="24"/>
        </w:rPr>
        <w:t xml:space="preserve">• Интерпретация уровня холестерина плазмы: </w:t>
      </w:r>
    </w:p>
    <w:p w14:paraId="0E57A7BA" w14:textId="77777777" w:rsidR="00EB241A" w:rsidRPr="00EB241A" w:rsidRDefault="00EB241A" w:rsidP="00EB241A">
      <w:pPr>
        <w:spacing w:after="0" w:line="360" w:lineRule="auto"/>
        <w:jc w:val="both"/>
        <w:rPr>
          <w:sz w:val="24"/>
          <w:szCs w:val="24"/>
        </w:rPr>
      </w:pPr>
      <w:r w:rsidRPr="00EB241A">
        <w:rPr>
          <w:sz w:val="24"/>
          <w:szCs w:val="24"/>
        </w:rPr>
        <w:t xml:space="preserve">• целевой уровень ХС ЛНП для пациентов с очень высоким риском </w:t>
      </w:r>
      <w:proofErr w:type="gramStart"/>
      <w:r w:rsidRPr="00EB241A">
        <w:rPr>
          <w:sz w:val="24"/>
          <w:szCs w:val="24"/>
        </w:rPr>
        <w:t>&lt; 1</w:t>
      </w:r>
      <w:proofErr w:type="gramEnd"/>
      <w:r w:rsidRPr="00EB241A">
        <w:rPr>
          <w:sz w:val="24"/>
          <w:szCs w:val="24"/>
        </w:rPr>
        <w:t xml:space="preserve">,4 ммоль/л или его снижение не менее чем на 50% от исходного уровня. </w:t>
      </w:r>
    </w:p>
    <w:p w14:paraId="53CA3B93" w14:textId="77777777" w:rsidR="00EB241A" w:rsidRPr="00EB241A" w:rsidRDefault="00EB241A" w:rsidP="00EB241A">
      <w:pPr>
        <w:spacing w:after="0" w:line="360" w:lineRule="auto"/>
        <w:jc w:val="both"/>
        <w:rPr>
          <w:sz w:val="24"/>
          <w:szCs w:val="24"/>
        </w:rPr>
      </w:pPr>
      <w:r w:rsidRPr="00EB241A">
        <w:rPr>
          <w:sz w:val="24"/>
          <w:szCs w:val="24"/>
        </w:rPr>
        <w:t xml:space="preserve">• целевой уровень ХС ЛНП для пациентов с высоким риском </w:t>
      </w:r>
      <w:proofErr w:type="gramStart"/>
      <w:r w:rsidRPr="00EB241A">
        <w:rPr>
          <w:sz w:val="24"/>
          <w:szCs w:val="24"/>
        </w:rPr>
        <w:t>&lt; 1</w:t>
      </w:r>
      <w:proofErr w:type="gramEnd"/>
      <w:r w:rsidRPr="00EB241A">
        <w:rPr>
          <w:sz w:val="24"/>
          <w:szCs w:val="24"/>
        </w:rPr>
        <w:t xml:space="preserve">,8 ммоль/л или его снижение не менее чем на 50% от исходного уровня. </w:t>
      </w:r>
    </w:p>
    <w:p w14:paraId="105C484D" w14:textId="77777777" w:rsidR="00EB241A" w:rsidRPr="00EB241A" w:rsidRDefault="00EB241A" w:rsidP="00EB241A">
      <w:pPr>
        <w:spacing w:after="0" w:line="360" w:lineRule="auto"/>
        <w:jc w:val="both"/>
        <w:rPr>
          <w:sz w:val="24"/>
          <w:szCs w:val="24"/>
        </w:rPr>
      </w:pPr>
      <w:r w:rsidRPr="00EB241A">
        <w:rPr>
          <w:sz w:val="24"/>
          <w:szCs w:val="24"/>
        </w:rPr>
        <w:t xml:space="preserve">• целевой уровень ХС ЛНП для пациентов с умеренным риском по </w:t>
      </w:r>
      <w:proofErr w:type="gramStart"/>
      <w:r w:rsidRPr="00EB241A">
        <w:rPr>
          <w:sz w:val="24"/>
          <w:szCs w:val="24"/>
        </w:rPr>
        <w:t>шкале  SCORE</w:t>
      </w:r>
      <w:proofErr w:type="gramEnd"/>
      <w:r w:rsidRPr="00EB241A">
        <w:rPr>
          <w:sz w:val="24"/>
          <w:szCs w:val="24"/>
        </w:rPr>
        <w:t xml:space="preserve">-2 для лиц в возрасте 40-69 лет и SCORE-2-OP для лиц в возрасте ≥ 70 лет  &lt;2,6 ммоль/л </w:t>
      </w:r>
    </w:p>
    <w:p w14:paraId="3F4E79E7" w14:textId="77777777" w:rsidR="00EB241A" w:rsidRPr="00EB241A" w:rsidRDefault="00EB241A" w:rsidP="00EB241A">
      <w:pPr>
        <w:spacing w:after="0" w:line="360" w:lineRule="auto"/>
        <w:jc w:val="both"/>
        <w:rPr>
          <w:sz w:val="24"/>
          <w:szCs w:val="24"/>
        </w:rPr>
      </w:pPr>
      <w:r w:rsidRPr="00EB241A">
        <w:rPr>
          <w:sz w:val="24"/>
          <w:szCs w:val="24"/>
        </w:rPr>
        <w:t xml:space="preserve">• целевой уровень ХС ЛНП для пациентов с низким риском по </w:t>
      </w:r>
      <w:proofErr w:type="gramStart"/>
      <w:r w:rsidRPr="00EB241A">
        <w:rPr>
          <w:sz w:val="24"/>
          <w:szCs w:val="24"/>
        </w:rPr>
        <w:t>шкале  SCORE</w:t>
      </w:r>
      <w:proofErr w:type="gramEnd"/>
      <w:r w:rsidRPr="00EB241A">
        <w:rPr>
          <w:sz w:val="24"/>
          <w:szCs w:val="24"/>
        </w:rPr>
        <w:t xml:space="preserve">-2 для лиц в возрасте 40-69 лет и SCORE-2-OP для лиц в возрасте ≥ 70 лет  &lt;3,0 ммоль/л </w:t>
      </w:r>
    </w:p>
    <w:p w14:paraId="40A77B25" w14:textId="77777777" w:rsidR="00EB241A" w:rsidRPr="00EB241A" w:rsidRDefault="00EB241A" w:rsidP="00EB241A">
      <w:pPr>
        <w:spacing w:after="0" w:line="360" w:lineRule="auto"/>
        <w:jc w:val="both"/>
        <w:rPr>
          <w:sz w:val="24"/>
          <w:szCs w:val="24"/>
        </w:rPr>
      </w:pPr>
      <w:r w:rsidRPr="00EB241A">
        <w:rPr>
          <w:sz w:val="24"/>
          <w:szCs w:val="24"/>
        </w:rPr>
        <w:t xml:space="preserve">• целевой уровень ЛВП &gt;1,2 ммоль/л (у женщин), &gt;1,0 ммоль/л (у мужчин), </w:t>
      </w:r>
    </w:p>
    <w:p w14:paraId="742C0751" w14:textId="77777777" w:rsidR="00EB241A" w:rsidRPr="00EB241A" w:rsidRDefault="00EB241A" w:rsidP="00EB241A">
      <w:pPr>
        <w:spacing w:after="0" w:line="360" w:lineRule="auto"/>
        <w:jc w:val="both"/>
        <w:rPr>
          <w:sz w:val="24"/>
          <w:szCs w:val="24"/>
        </w:rPr>
      </w:pPr>
      <w:r w:rsidRPr="00EB241A">
        <w:rPr>
          <w:sz w:val="24"/>
          <w:szCs w:val="24"/>
        </w:rPr>
        <w:t xml:space="preserve">209 </w:t>
      </w:r>
    </w:p>
    <w:p w14:paraId="58219633" w14:textId="77777777" w:rsidR="00EB241A" w:rsidRPr="00EB241A" w:rsidRDefault="00EB241A" w:rsidP="00EB241A">
      <w:pPr>
        <w:spacing w:after="0" w:line="360" w:lineRule="auto"/>
        <w:jc w:val="both"/>
        <w:rPr>
          <w:sz w:val="24"/>
          <w:szCs w:val="24"/>
        </w:rPr>
      </w:pPr>
      <w:r w:rsidRPr="00EB241A">
        <w:rPr>
          <w:sz w:val="24"/>
          <w:szCs w:val="24"/>
        </w:rPr>
        <w:t xml:space="preserve">• целевой уровень триглицеридов </w:t>
      </w:r>
      <w:proofErr w:type="gramStart"/>
      <w:r w:rsidRPr="00EB241A">
        <w:rPr>
          <w:sz w:val="24"/>
          <w:szCs w:val="24"/>
        </w:rPr>
        <w:t>&lt; 1</w:t>
      </w:r>
      <w:proofErr w:type="gramEnd"/>
      <w:r w:rsidRPr="00EB241A">
        <w:rPr>
          <w:sz w:val="24"/>
          <w:szCs w:val="24"/>
        </w:rPr>
        <w:t xml:space="preserve">,7 ммоль/л </w:t>
      </w:r>
    </w:p>
    <w:p w14:paraId="1B8C1266" w14:textId="77777777" w:rsidR="00EB241A" w:rsidRPr="00EB241A" w:rsidRDefault="00EB241A" w:rsidP="00EB241A">
      <w:pPr>
        <w:spacing w:after="0" w:line="360" w:lineRule="auto"/>
        <w:jc w:val="both"/>
        <w:rPr>
          <w:sz w:val="24"/>
          <w:szCs w:val="24"/>
        </w:rPr>
      </w:pPr>
      <w:r w:rsidRPr="00EB241A">
        <w:rPr>
          <w:sz w:val="24"/>
          <w:szCs w:val="24"/>
        </w:rPr>
        <w:lastRenderedPageBreak/>
        <w:t xml:space="preserve">• уровень глюкозы в плазме натощак не выше 6,1 ммоль/л; </w:t>
      </w:r>
    </w:p>
    <w:p w14:paraId="67AA8DCC" w14:textId="77777777" w:rsidR="00EB241A" w:rsidRPr="00EB241A" w:rsidRDefault="00EB241A" w:rsidP="00EB241A">
      <w:pPr>
        <w:spacing w:after="0" w:line="360" w:lineRule="auto"/>
        <w:jc w:val="both"/>
        <w:rPr>
          <w:sz w:val="24"/>
          <w:szCs w:val="24"/>
        </w:rPr>
      </w:pPr>
      <w:r w:rsidRPr="00EB241A">
        <w:rPr>
          <w:sz w:val="24"/>
          <w:szCs w:val="24"/>
        </w:rPr>
        <w:t xml:space="preserve">• уровень мочевой кислоты сыворотки </w:t>
      </w:r>
      <w:proofErr w:type="gramStart"/>
      <w:r w:rsidRPr="00EB241A">
        <w:rPr>
          <w:sz w:val="24"/>
          <w:szCs w:val="24"/>
        </w:rPr>
        <w:t>крови&lt;</w:t>
      </w:r>
      <w:proofErr w:type="gramEnd"/>
      <w:r w:rsidRPr="00EB241A">
        <w:rPr>
          <w:sz w:val="24"/>
          <w:szCs w:val="24"/>
        </w:rPr>
        <w:t xml:space="preserve">420 мкмоль/л (у мужчин), &lt; 360 мкмоль/л (у женщин). </w:t>
      </w:r>
    </w:p>
    <w:p w14:paraId="150EB489" w14:textId="77777777" w:rsidR="00EB241A" w:rsidRPr="00EB241A" w:rsidRDefault="00EB241A" w:rsidP="00EB241A">
      <w:pPr>
        <w:spacing w:after="0" w:line="360" w:lineRule="auto"/>
        <w:jc w:val="both"/>
        <w:rPr>
          <w:sz w:val="24"/>
          <w:szCs w:val="24"/>
        </w:rPr>
      </w:pPr>
      <w:r w:rsidRPr="00EB241A">
        <w:rPr>
          <w:i/>
          <w:iCs/>
          <w:sz w:val="24"/>
          <w:szCs w:val="24"/>
        </w:rPr>
        <w:t>Советы пациенту и его семье:</w:t>
      </w:r>
      <w:r w:rsidRPr="00EB241A">
        <w:rPr>
          <w:sz w:val="24"/>
          <w:szCs w:val="24"/>
        </w:rPr>
        <w:t xml:space="preserve"> </w:t>
      </w:r>
    </w:p>
    <w:p w14:paraId="7030B50C" w14:textId="77777777" w:rsidR="00EB241A" w:rsidRPr="00EB241A" w:rsidRDefault="00EB241A" w:rsidP="00EB241A">
      <w:pPr>
        <w:spacing w:after="0" w:line="360" w:lineRule="auto"/>
        <w:jc w:val="both"/>
        <w:rPr>
          <w:sz w:val="24"/>
          <w:szCs w:val="24"/>
        </w:rPr>
      </w:pPr>
      <w:r w:rsidRPr="00EB241A">
        <w:rPr>
          <w:sz w:val="24"/>
          <w:szCs w:val="24"/>
        </w:rPr>
        <w:t xml:space="preserve">• Достаточным считается сон не менее 7 часов в сутки. </w:t>
      </w:r>
    </w:p>
    <w:p w14:paraId="179E7FED" w14:textId="77777777" w:rsidR="00EB241A" w:rsidRPr="00EB241A" w:rsidRDefault="00EB241A" w:rsidP="00EB241A">
      <w:pPr>
        <w:spacing w:after="0" w:line="360" w:lineRule="auto"/>
        <w:jc w:val="both"/>
        <w:rPr>
          <w:sz w:val="24"/>
          <w:szCs w:val="24"/>
        </w:rPr>
      </w:pPr>
      <w:r w:rsidRPr="00EB241A">
        <w:rPr>
          <w:sz w:val="24"/>
          <w:szCs w:val="24"/>
        </w:rPr>
        <w:t xml:space="preserve">• Масса тела должна приближаться к идеальной (ИМТ менее 25 кг/м2). Для этого суточная калорийность пищи в зависимости от массы тела и характера работы должна составлять от 1500 до 2000 ккал. Потребление белка — 1 г/кг массы тела в сутки, углеводов — до 50г/сут, жиров — до 80 г/сут. Желательно вести дневник питания. Пациенту настоятельно рекомендуется избегать жирных, сладких блюд, отдавать предпочтение овощам, фруктам, злаковым и хлебу грубого помола. </w:t>
      </w:r>
    </w:p>
    <w:p w14:paraId="369E7699" w14:textId="77777777" w:rsidR="00EB241A" w:rsidRPr="00EB241A" w:rsidRDefault="00EB241A" w:rsidP="00EB241A">
      <w:pPr>
        <w:spacing w:after="0" w:line="360" w:lineRule="auto"/>
        <w:jc w:val="both"/>
        <w:rPr>
          <w:sz w:val="24"/>
          <w:szCs w:val="24"/>
        </w:rPr>
      </w:pPr>
      <w:r w:rsidRPr="00EB241A">
        <w:rPr>
          <w:sz w:val="24"/>
          <w:szCs w:val="24"/>
        </w:rPr>
        <w:t xml:space="preserve">• Потребление соли надо ограничить до 5 г/сут. Рекомендовано не подсаливать пищу, заменять соль другими веществами, улучшающими вкус пищи (соусы, небольшие количества перца, уксуса и др.) В соли содержится натрий, который приводит к задержке воды в организме, и как следствие, повышению артериального давления. Так же влияет большое содержание натрия в колбасах, консервах, солениях и копченых мясных продуктах. </w:t>
      </w:r>
    </w:p>
    <w:p w14:paraId="78389AB4" w14:textId="77777777" w:rsidR="00EB241A" w:rsidRPr="00EB241A" w:rsidRDefault="00EB241A" w:rsidP="00EB241A">
      <w:pPr>
        <w:spacing w:after="0" w:line="360" w:lineRule="auto"/>
        <w:jc w:val="both"/>
        <w:rPr>
          <w:sz w:val="24"/>
          <w:szCs w:val="24"/>
        </w:rPr>
      </w:pPr>
      <w:r w:rsidRPr="00EB241A">
        <w:rPr>
          <w:sz w:val="24"/>
          <w:szCs w:val="24"/>
        </w:rPr>
        <w:t xml:space="preserve">• Следует увеличить потребление калия (его много в свежих фруктах, овощах, кураге, печеном картофеле). Соотношение К+/Nа+сдвигается в сторону К+ при преимущественно вегетарианской диете. </w:t>
      </w:r>
    </w:p>
    <w:p w14:paraId="2E93E467" w14:textId="77777777" w:rsidR="00EB241A" w:rsidRPr="00EB241A" w:rsidRDefault="00EB241A" w:rsidP="00EB241A">
      <w:pPr>
        <w:spacing w:after="0" w:line="360" w:lineRule="auto"/>
        <w:jc w:val="both"/>
        <w:rPr>
          <w:sz w:val="24"/>
          <w:szCs w:val="24"/>
        </w:rPr>
      </w:pPr>
      <w:r w:rsidRPr="00EB241A">
        <w:rPr>
          <w:sz w:val="24"/>
          <w:szCs w:val="24"/>
        </w:rPr>
        <w:t xml:space="preserve">• Необходимо прекратить или ограничить курение. </w:t>
      </w:r>
    </w:p>
    <w:p w14:paraId="7AAE0461" w14:textId="77777777" w:rsidR="00EB241A" w:rsidRPr="00EB241A" w:rsidRDefault="00EB241A" w:rsidP="00EB241A">
      <w:pPr>
        <w:spacing w:after="0" w:line="360" w:lineRule="auto"/>
        <w:jc w:val="both"/>
        <w:rPr>
          <w:sz w:val="24"/>
          <w:szCs w:val="24"/>
        </w:rPr>
      </w:pPr>
      <w:r w:rsidRPr="00EB241A">
        <w:rPr>
          <w:sz w:val="24"/>
          <w:szCs w:val="24"/>
        </w:rPr>
        <w:t xml:space="preserve">• Потребление алкоголя следует ограничить до 20 г для мужчин и 10 г для женщин в пересчете на абсолютный этанол. Крепкие спиртные напитки лучше заменить красными сухими винами. При гиподинамии (сидячая работа&gt; 5 ч/сут, физическая активность &lt;10 ч/нед) — регулярные физические тренировки не менее 4 раз в неделю продолжительностью 30–45 минут. </w:t>
      </w:r>
    </w:p>
    <w:p w14:paraId="00EAE997" w14:textId="77777777" w:rsidR="00EB241A" w:rsidRPr="00EB241A" w:rsidRDefault="00EB241A" w:rsidP="00EB241A">
      <w:pPr>
        <w:spacing w:after="0" w:line="360" w:lineRule="auto"/>
        <w:jc w:val="both"/>
        <w:rPr>
          <w:sz w:val="24"/>
          <w:szCs w:val="24"/>
        </w:rPr>
      </w:pPr>
      <w:r>
        <w:rPr>
          <w:sz w:val="24"/>
          <w:szCs w:val="24"/>
        </w:rPr>
        <w:tab/>
      </w:r>
      <w:r w:rsidRPr="00EB241A">
        <w:rPr>
          <w:sz w:val="24"/>
          <w:szCs w:val="24"/>
        </w:rPr>
        <w:t xml:space="preserve">Предпочтительны индивидуально приемлемые для пациента нагрузки: пешие прогулки, теннис, езда на велосипеде, ходьба на лыжах, работа в саду, плавание. При физической нагрузке число сердечных сокращений должно увеличиваться не более чем на 20–30 в 1 мин. </w:t>
      </w:r>
    </w:p>
    <w:p w14:paraId="4F0FEC25" w14:textId="77777777" w:rsidR="00EB241A" w:rsidRPr="00EB241A" w:rsidRDefault="00EB241A" w:rsidP="00EB241A">
      <w:pPr>
        <w:spacing w:after="0" w:line="360" w:lineRule="auto"/>
        <w:jc w:val="both"/>
        <w:rPr>
          <w:sz w:val="24"/>
          <w:szCs w:val="24"/>
        </w:rPr>
      </w:pPr>
      <w:r w:rsidRPr="00EB241A">
        <w:rPr>
          <w:sz w:val="24"/>
          <w:szCs w:val="24"/>
        </w:rPr>
        <w:t xml:space="preserve">• Психоэмоциональный стресс на производстве и в быту контролируется правильным образом жизни. Следует ограничить продолжительность рабочего дня и домашних нагрузок, избегать ночных смен, командировок. Рекомендуется консультация врача- психотерапевта. </w:t>
      </w:r>
    </w:p>
    <w:p w14:paraId="30E31A51" w14:textId="77777777" w:rsidR="00EB241A" w:rsidRPr="00EB241A" w:rsidRDefault="00EB241A" w:rsidP="00EB241A">
      <w:pPr>
        <w:spacing w:after="0" w:line="360" w:lineRule="auto"/>
        <w:jc w:val="both"/>
        <w:rPr>
          <w:sz w:val="24"/>
          <w:szCs w:val="24"/>
        </w:rPr>
      </w:pPr>
      <w:r w:rsidRPr="00EB241A">
        <w:rPr>
          <w:sz w:val="24"/>
          <w:szCs w:val="24"/>
        </w:rPr>
        <w:lastRenderedPageBreak/>
        <w:t xml:space="preserve">• Женщинам, больным гипертонической болезнью, надо отказаться от приема гормональных контрацептивов системного действия. </w:t>
      </w:r>
    </w:p>
    <w:p w14:paraId="13755053" w14:textId="77777777" w:rsidR="00EB241A" w:rsidRPr="00EB241A" w:rsidRDefault="00EB241A" w:rsidP="00EB241A">
      <w:pPr>
        <w:spacing w:after="0" w:line="360" w:lineRule="auto"/>
        <w:jc w:val="both"/>
        <w:rPr>
          <w:sz w:val="24"/>
          <w:szCs w:val="24"/>
        </w:rPr>
      </w:pPr>
      <w:r w:rsidRPr="00EB241A">
        <w:rPr>
          <w:sz w:val="24"/>
          <w:szCs w:val="24"/>
        </w:rPr>
        <w:t xml:space="preserve">210 </w:t>
      </w:r>
    </w:p>
    <w:p w14:paraId="16972ACA" w14:textId="77777777" w:rsidR="00EB241A" w:rsidRPr="00EB241A" w:rsidRDefault="00EB241A" w:rsidP="00EB241A">
      <w:pPr>
        <w:spacing w:after="0" w:line="360" w:lineRule="auto"/>
        <w:jc w:val="both"/>
        <w:rPr>
          <w:sz w:val="24"/>
          <w:szCs w:val="24"/>
        </w:rPr>
      </w:pPr>
      <w:r w:rsidRPr="00EB241A">
        <w:rPr>
          <w:sz w:val="24"/>
          <w:szCs w:val="24"/>
        </w:rPr>
        <w:t xml:space="preserve">• Юношам, занимающимся спортом, нельзя злоупотреблять пищевыми добавками для наращивания мышечной массы и исключить прием анаболических стероидов. </w:t>
      </w:r>
    </w:p>
    <w:p w14:paraId="4051486C" w14:textId="77777777" w:rsidR="003B0E24" w:rsidRDefault="00EB241A" w:rsidP="00803F2F">
      <w:pPr>
        <w:spacing w:after="0" w:line="360" w:lineRule="auto"/>
        <w:jc w:val="both"/>
        <w:rPr>
          <w:sz w:val="24"/>
          <w:szCs w:val="24"/>
        </w:rPr>
      </w:pPr>
      <w:r w:rsidRPr="00EB241A">
        <w:rPr>
          <w:sz w:val="24"/>
          <w:szCs w:val="24"/>
        </w:rPr>
        <w:t xml:space="preserve"> </w:t>
      </w:r>
    </w:p>
    <w:p w14:paraId="744263C8" w14:textId="77777777" w:rsidR="00FA2C6B" w:rsidRDefault="00FA2C6B" w:rsidP="00803F2F">
      <w:pPr>
        <w:spacing w:after="0" w:line="360" w:lineRule="auto"/>
        <w:jc w:val="both"/>
        <w:rPr>
          <w:sz w:val="24"/>
          <w:szCs w:val="24"/>
        </w:rPr>
      </w:pPr>
    </w:p>
    <w:p w14:paraId="7F0AC81E" w14:textId="77777777" w:rsidR="00FA2C6B" w:rsidRDefault="00FA2C6B" w:rsidP="00803F2F">
      <w:pPr>
        <w:spacing w:after="0" w:line="360" w:lineRule="auto"/>
        <w:jc w:val="both"/>
        <w:rPr>
          <w:sz w:val="24"/>
          <w:szCs w:val="24"/>
        </w:rPr>
      </w:pPr>
    </w:p>
    <w:p w14:paraId="4ECFC834" w14:textId="77777777" w:rsidR="00FA2C6B" w:rsidRDefault="00FA2C6B" w:rsidP="00803F2F">
      <w:pPr>
        <w:spacing w:after="0" w:line="360" w:lineRule="auto"/>
        <w:jc w:val="both"/>
        <w:rPr>
          <w:sz w:val="24"/>
          <w:szCs w:val="24"/>
        </w:rPr>
      </w:pPr>
    </w:p>
    <w:p w14:paraId="275A16FC" w14:textId="77777777" w:rsidR="00FA2C6B" w:rsidRDefault="00FA2C6B" w:rsidP="00803F2F">
      <w:pPr>
        <w:spacing w:after="0" w:line="360" w:lineRule="auto"/>
        <w:jc w:val="both"/>
        <w:rPr>
          <w:sz w:val="24"/>
          <w:szCs w:val="24"/>
        </w:rPr>
      </w:pPr>
    </w:p>
    <w:p w14:paraId="1428CC8E" w14:textId="77777777" w:rsidR="00FA2C6B" w:rsidRDefault="00FA2C6B" w:rsidP="00803F2F">
      <w:pPr>
        <w:spacing w:after="0" w:line="360" w:lineRule="auto"/>
        <w:jc w:val="both"/>
        <w:rPr>
          <w:sz w:val="24"/>
          <w:szCs w:val="24"/>
        </w:rPr>
      </w:pPr>
    </w:p>
    <w:p w14:paraId="73AF2FAA" w14:textId="77777777" w:rsidR="00FA2C6B" w:rsidRDefault="00FA2C6B" w:rsidP="00803F2F">
      <w:pPr>
        <w:spacing w:after="0" w:line="360" w:lineRule="auto"/>
        <w:jc w:val="both"/>
        <w:rPr>
          <w:sz w:val="24"/>
          <w:szCs w:val="24"/>
        </w:rPr>
      </w:pPr>
    </w:p>
    <w:p w14:paraId="37A467BE" w14:textId="77777777" w:rsidR="00FA2C6B" w:rsidRDefault="00FA2C6B" w:rsidP="00803F2F">
      <w:pPr>
        <w:spacing w:after="0" w:line="360" w:lineRule="auto"/>
        <w:jc w:val="both"/>
        <w:rPr>
          <w:sz w:val="24"/>
          <w:szCs w:val="24"/>
        </w:rPr>
      </w:pPr>
    </w:p>
    <w:p w14:paraId="55EFCA3B" w14:textId="77777777" w:rsidR="00FA2C6B" w:rsidRDefault="00FA2C6B" w:rsidP="00803F2F">
      <w:pPr>
        <w:spacing w:after="0" w:line="360" w:lineRule="auto"/>
        <w:jc w:val="both"/>
        <w:rPr>
          <w:sz w:val="24"/>
          <w:szCs w:val="24"/>
        </w:rPr>
      </w:pPr>
    </w:p>
    <w:p w14:paraId="31467FFF" w14:textId="77777777" w:rsidR="00FA2C6B" w:rsidRDefault="00FA2C6B" w:rsidP="00803F2F">
      <w:pPr>
        <w:spacing w:after="0" w:line="360" w:lineRule="auto"/>
        <w:jc w:val="both"/>
        <w:rPr>
          <w:sz w:val="24"/>
          <w:szCs w:val="24"/>
        </w:rPr>
      </w:pPr>
    </w:p>
    <w:p w14:paraId="74B65EEA" w14:textId="77777777" w:rsidR="00FA2C6B" w:rsidRDefault="00FA2C6B" w:rsidP="00803F2F">
      <w:pPr>
        <w:spacing w:after="0" w:line="360" w:lineRule="auto"/>
        <w:jc w:val="both"/>
        <w:rPr>
          <w:sz w:val="24"/>
          <w:szCs w:val="24"/>
        </w:rPr>
      </w:pPr>
    </w:p>
    <w:p w14:paraId="2DE66FA1" w14:textId="77777777" w:rsidR="00FA2C6B" w:rsidRDefault="00FA2C6B" w:rsidP="00803F2F">
      <w:pPr>
        <w:spacing w:after="0" w:line="360" w:lineRule="auto"/>
        <w:jc w:val="both"/>
        <w:rPr>
          <w:sz w:val="24"/>
          <w:szCs w:val="24"/>
        </w:rPr>
      </w:pPr>
    </w:p>
    <w:p w14:paraId="7931D03D" w14:textId="77777777" w:rsidR="00FA2C6B" w:rsidRDefault="00FA2C6B" w:rsidP="00803F2F">
      <w:pPr>
        <w:spacing w:after="0" w:line="360" w:lineRule="auto"/>
        <w:jc w:val="both"/>
        <w:rPr>
          <w:sz w:val="24"/>
          <w:szCs w:val="24"/>
        </w:rPr>
      </w:pPr>
    </w:p>
    <w:p w14:paraId="1EBAF809" w14:textId="77777777" w:rsidR="00FA2C6B" w:rsidRDefault="00FA2C6B" w:rsidP="00803F2F">
      <w:pPr>
        <w:spacing w:after="0" w:line="360" w:lineRule="auto"/>
        <w:jc w:val="both"/>
        <w:rPr>
          <w:sz w:val="24"/>
          <w:szCs w:val="24"/>
        </w:rPr>
      </w:pPr>
    </w:p>
    <w:p w14:paraId="6B28B3EE" w14:textId="77777777" w:rsidR="00FA2C6B" w:rsidRDefault="00FA2C6B" w:rsidP="00803F2F">
      <w:pPr>
        <w:spacing w:after="0" w:line="360" w:lineRule="auto"/>
        <w:jc w:val="both"/>
        <w:rPr>
          <w:sz w:val="24"/>
          <w:szCs w:val="24"/>
        </w:rPr>
      </w:pPr>
    </w:p>
    <w:p w14:paraId="6CAB3A2F" w14:textId="77777777" w:rsidR="00FA2C6B" w:rsidRDefault="00FA2C6B" w:rsidP="00803F2F">
      <w:pPr>
        <w:spacing w:after="0" w:line="360" w:lineRule="auto"/>
        <w:jc w:val="both"/>
        <w:rPr>
          <w:sz w:val="24"/>
          <w:szCs w:val="24"/>
        </w:rPr>
      </w:pPr>
    </w:p>
    <w:p w14:paraId="6F0A349B" w14:textId="77777777" w:rsidR="00FA2C6B" w:rsidRDefault="00FA2C6B" w:rsidP="00803F2F">
      <w:pPr>
        <w:spacing w:after="0" w:line="360" w:lineRule="auto"/>
        <w:jc w:val="both"/>
        <w:rPr>
          <w:sz w:val="24"/>
          <w:szCs w:val="24"/>
        </w:rPr>
      </w:pPr>
    </w:p>
    <w:p w14:paraId="57132F71" w14:textId="77777777" w:rsidR="00FA2C6B" w:rsidRDefault="00FA2C6B" w:rsidP="00803F2F">
      <w:pPr>
        <w:spacing w:after="0" w:line="360" w:lineRule="auto"/>
        <w:jc w:val="both"/>
        <w:rPr>
          <w:sz w:val="24"/>
          <w:szCs w:val="24"/>
        </w:rPr>
      </w:pPr>
    </w:p>
    <w:p w14:paraId="49E88AA1" w14:textId="77777777" w:rsidR="00FA2C6B" w:rsidRDefault="00FA2C6B" w:rsidP="00803F2F">
      <w:pPr>
        <w:spacing w:after="0" w:line="360" w:lineRule="auto"/>
        <w:jc w:val="both"/>
        <w:rPr>
          <w:sz w:val="24"/>
          <w:szCs w:val="24"/>
        </w:rPr>
      </w:pPr>
    </w:p>
    <w:p w14:paraId="50725383" w14:textId="77777777" w:rsidR="00FA2C6B" w:rsidRDefault="00FA2C6B" w:rsidP="00803F2F">
      <w:pPr>
        <w:spacing w:after="0" w:line="360" w:lineRule="auto"/>
        <w:jc w:val="both"/>
        <w:rPr>
          <w:sz w:val="24"/>
          <w:szCs w:val="24"/>
        </w:rPr>
      </w:pPr>
    </w:p>
    <w:p w14:paraId="21EE4853" w14:textId="77777777" w:rsidR="00FA2C6B" w:rsidRDefault="00FA2C6B" w:rsidP="00803F2F">
      <w:pPr>
        <w:spacing w:after="0" w:line="360" w:lineRule="auto"/>
        <w:jc w:val="both"/>
        <w:rPr>
          <w:sz w:val="24"/>
          <w:szCs w:val="24"/>
        </w:rPr>
      </w:pPr>
    </w:p>
    <w:p w14:paraId="260A2BB0" w14:textId="77777777" w:rsidR="00FA2C6B" w:rsidRDefault="00FA2C6B" w:rsidP="00803F2F">
      <w:pPr>
        <w:spacing w:after="0" w:line="360" w:lineRule="auto"/>
        <w:jc w:val="both"/>
        <w:rPr>
          <w:sz w:val="24"/>
          <w:szCs w:val="24"/>
        </w:rPr>
      </w:pPr>
    </w:p>
    <w:p w14:paraId="1202287A" w14:textId="77777777" w:rsidR="00FA2C6B" w:rsidRDefault="00FA2C6B" w:rsidP="00803F2F">
      <w:pPr>
        <w:spacing w:after="0" w:line="360" w:lineRule="auto"/>
        <w:jc w:val="both"/>
        <w:rPr>
          <w:sz w:val="24"/>
          <w:szCs w:val="24"/>
        </w:rPr>
      </w:pPr>
    </w:p>
    <w:p w14:paraId="3C9B8975" w14:textId="77777777" w:rsidR="00FA2C6B" w:rsidRDefault="00FA2C6B" w:rsidP="00803F2F">
      <w:pPr>
        <w:spacing w:after="0" w:line="360" w:lineRule="auto"/>
        <w:jc w:val="both"/>
        <w:rPr>
          <w:sz w:val="24"/>
          <w:szCs w:val="24"/>
        </w:rPr>
      </w:pPr>
    </w:p>
    <w:p w14:paraId="5860C008" w14:textId="77777777" w:rsidR="00FA2C6B" w:rsidRDefault="00FA2C6B" w:rsidP="00803F2F">
      <w:pPr>
        <w:spacing w:after="0" w:line="360" w:lineRule="auto"/>
        <w:jc w:val="both"/>
        <w:rPr>
          <w:sz w:val="24"/>
          <w:szCs w:val="24"/>
        </w:rPr>
      </w:pPr>
    </w:p>
    <w:p w14:paraId="3DB262B0" w14:textId="77777777" w:rsidR="00FA2C6B" w:rsidRDefault="00FA2C6B" w:rsidP="00803F2F">
      <w:pPr>
        <w:spacing w:after="0" w:line="360" w:lineRule="auto"/>
        <w:jc w:val="both"/>
        <w:rPr>
          <w:sz w:val="24"/>
          <w:szCs w:val="24"/>
        </w:rPr>
      </w:pPr>
    </w:p>
    <w:p w14:paraId="6C570EEA" w14:textId="77777777" w:rsidR="00FA2C6B" w:rsidRDefault="00FA2C6B" w:rsidP="00803F2F">
      <w:pPr>
        <w:spacing w:after="0" w:line="360" w:lineRule="auto"/>
        <w:jc w:val="both"/>
        <w:rPr>
          <w:sz w:val="24"/>
          <w:szCs w:val="24"/>
        </w:rPr>
      </w:pPr>
    </w:p>
    <w:p w14:paraId="13F51486" w14:textId="77777777" w:rsidR="00FA2C6B" w:rsidRPr="00803F2F" w:rsidRDefault="00FA2C6B" w:rsidP="00803F2F">
      <w:pPr>
        <w:spacing w:after="0" w:line="360" w:lineRule="auto"/>
        <w:jc w:val="both"/>
        <w:rPr>
          <w:sz w:val="24"/>
          <w:szCs w:val="24"/>
        </w:rPr>
      </w:pPr>
    </w:p>
    <w:p w14:paraId="735F4DCA" w14:textId="77777777" w:rsidR="00FA2C6B" w:rsidRDefault="00AB5297" w:rsidP="00FA2C6B">
      <w:pPr>
        <w:pStyle w:val="1"/>
        <w:jc w:val="right"/>
        <w:rPr>
          <w:rFonts w:ascii="Times New Roman" w:hAnsi="Times New Roman" w:cs="Times New Roman"/>
          <w:b/>
          <w:color w:val="000000" w:themeColor="text1"/>
          <w:spacing w:val="-14"/>
          <w:sz w:val="28"/>
          <w:szCs w:val="28"/>
        </w:rPr>
      </w:pPr>
      <w:bookmarkStart w:id="87" w:name="_Toc202877454"/>
      <w:r w:rsidRPr="00350B76">
        <w:rPr>
          <w:rFonts w:ascii="Times New Roman" w:hAnsi="Times New Roman" w:cs="Times New Roman"/>
          <w:b/>
          <w:color w:val="000000" w:themeColor="text1"/>
          <w:sz w:val="28"/>
          <w:szCs w:val="28"/>
        </w:rPr>
        <w:lastRenderedPageBreak/>
        <w:t>Приложение</w:t>
      </w:r>
      <w:r w:rsidRPr="00350B76">
        <w:rPr>
          <w:rFonts w:ascii="Times New Roman" w:hAnsi="Times New Roman" w:cs="Times New Roman"/>
          <w:b/>
          <w:color w:val="000000" w:themeColor="text1"/>
          <w:spacing w:val="-14"/>
          <w:sz w:val="28"/>
          <w:szCs w:val="28"/>
        </w:rPr>
        <w:t xml:space="preserve"> </w:t>
      </w:r>
      <w:r w:rsidRPr="00350B76">
        <w:rPr>
          <w:rFonts w:ascii="Times New Roman" w:hAnsi="Times New Roman" w:cs="Times New Roman"/>
          <w:b/>
          <w:color w:val="000000" w:themeColor="text1"/>
          <w:sz w:val="28"/>
          <w:szCs w:val="28"/>
        </w:rPr>
        <w:t xml:space="preserve">Г. </w:t>
      </w:r>
      <w:r w:rsidRPr="00350B76">
        <w:rPr>
          <w:rFonts w:ascii="Times New Roman" w:hAnsi="Times New Roman" w:cs="Times New Roman"/>
          <w:b/>
          <w:color w:val="000000" w:themeColor="text1"/>
          <w:spacing w:val="-14"/>
          <w:sz w:val="28"/>
          <w:szCs w:val="28"/>
        </w:rPr>
        <w:t xml:space="preserve"> </w:t>
      </w:r>
    </w:p>
    <w:p w14:paraId="4B2D4D95" w14:textId="1E31CAB1" w:rsidR="00FA2C6B" w:rsidRPr="00FA2C6B" w:rsidRDefault="00AB5297" w:rsidP="00D35B89">
      <w:pPr>
        <w:pStyle w:val="1"/>
        <w:jc w:val="center"/>
      </w:pPr>
      <w:r w:rsidRPr="00350B76">
        <w:rPr>
          <w:rFonts w:ascii="Times New Roman" w:hAnsi="Times New Roman" w:cs="Times New Roman"/>
          <w:b/>
          <w:bCs/>
          <w:color w:val="000000" w:themeColor="text1"/>
          <w:sz w:val="28"/>
          <w:szCs w:val="28"/>
        </w:rPr>
        <w:t>Шкалы</w:t>
      </w:r>
      <w:r w:rsidRPr="00350B76">
        <w:rPr>
          <w:rFonts w:ascii="Times New Roman" w:hAnsi="Times New Roman" w:cs="Times New Roman"/>
          <w:b/>
          <w:bCs/>
          <w:color w:val="000000" w:themeColor="text1"/>
          <w:spacing w:val="-13"/>
          <w:sz w:val="28"/>
          <w:szCs w:val="28"/>
        </w:rPr>
        <w:t xml:space="preserve"> </w:t>
      </w:r>
      <w:r w:rsidRPr="00350B76">
        <w:rPr>
          <w:rFonts w:ascii="Times New Roman" w:hAnsi="Times New Roman" w:cs="Times New Roman"/>
          <w:b/>
          <w:bCs/>
          <w:color w:val="000000" w:themeColor="text1"/>
          <w:sz w:val="28"/>
          <w:szCs w:val="28"/>
        </w:rPr>
        <w:t>оценки,</w:t>
      </w:r>
      <w:r w:rsidRPr="00350B76">
        <w:rPr>
          <w:rFonts w:ascii="Times New Roman" w:hAnsi="Times New Roman" w:cs="Times New Roman"/>
          <w:b/>
          <w:bCs/>
          <w:color w:val="000000" w:themeColor="text1"/>
          <w:spacing w:val="-13"/>
          <w:sz w:val="28"/>
          <w:szCs w:val="28"/>
        </w:rPr>
        <w:t xml:space="preserve"> </w:t>
      </w:r>
      <w:r w:rsidRPr="00350B76">
        <w:rPr>
          <w:rFonts w:ascii="Times New Roman" w:hAnsi="Times New Roman" w:cs="Times New Roman"/>
          <w:b/>
          <w:bCs/>
          <w:color w:val="000000" w:themeColor="text1"/>
          <w:sz w:val="28"/>
          <w:szCs w:val="28"/>
        </w:rPr>
        <w:t>опросники</w:t>
      </w:r>
      <w:r w:rsidRPr="00350B76">
        <w:rPr>
          <w:rFonts w:ascii="Times New Roman" w:hAnsi="Times New Roman" w:cs="Times New Roman"/>
          <w:b/>
          <w:bCs/>
          <w:color w:val="000000" w:themeColor="text1"/>
          <w:spacing w:val="-13"/>
          <w:sz w:val="28"/>
          <w:szCs w:val="28"/>
        </w:rPr>
        <w:t xml:space="preserve"> </w:t>
      </w:r>
      <w:r w:rsidRPr="00350B76">
        <w:rPr>
          <w:rFonts w:ascii="Times New Roman" w:hAnsi="Times New Roman" w:cs="Times New Roman"/>
          <w:b/>
          <w:bCs/>
          <w:color w:val="000000" w:themeColor="text1"/>
          <w:sz w:val="28"/>
          <w:szCs w:val="28"/>
        </w:rPr>
        <w:t>и</w:t>
      </w:r>
      <w:r w:rsidRPr="00350B76">
        <w:rPr>
          <w:rFonts w:ascii="Times New Roman" w:hAnsi="Times New Roman" w:cs="Times New Roman"/>
          <w:b/>
          <w:bCs/>
          <w:color w:val="000000" w:themeColor="text1"/>
          <w:spacing w:val="-14"/>
          <w:sz w:val="28"/>
          <w:szCs w:val="28"/>
        </w:rPr>
        <w:t xml:space="preserve"> </w:t>
      </w:r>
      <w:r w:rsidRPr="00350B76">
        <w:rPr>
          <w:rFonts w:ascii="Times New Roman" w:hAnsi="Times New Roman" w:cs="Times New Roman"/>
          <w:b/>
          <w:bCs/>
          <w:color w:val="000000" w:themeColor="text1"/>
          <w:sz w:val="28"/>
          <w:szCs w:val="28"/>
        </w:rPr>
        <w:t>т.д.,</w:t>
      </w:r>
      <w:r w:rsidRPr="00350B76">
        <w:rPr>
          <w:rFonts w:ascii="Times New Roman" w:hAnsi="Times New Roman" w:cs="Times New Roman"/>
          <w:b/>
          <w:bCs/>
          <w:color w:val="000000" w:themeColor="text1"/>
          <w:spacing w:val="-14"/>
          <w:sz w:val="28"/>
          <w:szCs w:val="28"/>
        </w:rPr>
        <w:t xml:space="preserve"> </w:t>
      </w:r>
      <w:r w:rsidRPr="00350B76">
        <w:rPr>
          <w:rFonts w:ascii="Times New Roman" w:hAnsi="Times New Roman" w:cs="Times New Roman"/>
          <w:b/>
          <w:bCs/>
          <w:color w:val="000000" w:themeColor="text1"/>
          <w:sz w:val="28"/>
          <w:szCs w:val="28"/>
        </w:rPr>
        <w:t>приведённые</w:t>
      </w:r>
      <w:r w:rsidRPr="00350B76">
        <w:rPr>
          <w:rFonts w:ascii="Times New Roman" w:hAnsi="Times New Roman" w:cs="Times New Roman"/>
          <w:b/>
          <w:bCs/>
          <w:color w:val="000000" w:themeColor="text1"/>
          <w:spacing w:val="-17"/>
          <w:sz w:val="28"/>
          <w:szCs w:val="28"/>
        </w:rPr>
        <w:t xml:space="preserve"> </w:t>
      </w:r>
      <w:r w:rsidRPr="00350B76">
        <w:rPr>
          <w:rFonts w:ascii="Times New Roman" w:hAnsi="Times New Roman" w:cs="Times New Roman"/>
          <w:b/>
          <w:bCs/>
          <w:color w:val="000000" w:themeColor="text1"/>
          <w:sz w:val="28"/>
          <w:szCs w:val="28"/>
        </w:rPr>
        <w:t>в</w:t>
      </w:r>
      <w:r w:rsidRPr="00350B76">
        <w:rPr>
          <w:rFonts w:ascii="Times New Roman" w:hAnsi="Times New Roman" w:cs="Times New Roman"/>
          <w:b/>
          <w:bCs/>
          <w:color w:val="000000" w:themeColor="text1"/>
          <w:spacing w:val="-13"/>
          <w:sz w:val="28"/>
          <w:szCs w:val="28"/>
        </w:rPr>
        <w:t xml:space="preserve"> </w:t>
      </w:r>
      <w:r w:rsidRPr="00350B76">
        <w:rPr>
          <w:rFonts w:ascii="Times New Roman" w:hAnsi="Times New Roman" w:cs="Times New Roman"/>
          <w:b/>
          <w:bCs/>
          <w:color w:val="000000" w:themeColor="text1"/>
          <w:sz w:val="28"/>
          <w:szCs w:val="28"/>
        </w:rPr>
        <w:t>тексте</w:t>
      </w:r>
      <w:r w:rsidRPr="00350B76">
        <w:rPr>
          <w:rFonts w:ascii="Times New Roman" w:hAnsi="Times New Roman" w:cs="Times New Roman"/>
          <w:b/>
          <w:bCs/>
          <w:color w:val="000000" w:themeColor="text1"/>
          <w:spacing w:val="-14"/>
          <w:sz w:val="28"/>
          <w:szCs w:val="28"/>
        </w:rPr>
        <w:t xml:space="preserve"> </w:t>
      </w:r>
      <w:r w:rsidRPr="00350B76">
        <w:rPr>
          <w:rFonts w:ascii="Times New Roman" w:hAnsi="Times New Roman" w:cs="Times New Roman"/>
          <w:b/>
          <w:bCs/>
          <w:color w:val="000000" w:themeColor="text1"/>
          <w:sz w:val="28"/>
          <w:szCs w:val="28"/>
        </w:rPr>
        <w:t>клинических рекомендаций</w:t>
      </w:r>
      <w:bookmarkEnd w:id="87"/>
    </w:p>
    <w:p w14:paraId="1CCF55B9" w14:textId="77777777" w:rsidR="00FA2C6B" w:rsidRDefault="00191B29" w:rsidP="00FA2C6B">
      <w:pPr>
        <w:spacing w:after="0" w:line="360" w:lineRule="auto"/>
        <w:jc w:val="right"/>
        <w:rPr>
          <w:b/>
          <w:bCs/>
          <w:sz w:val="24"/>
          <w:szCs w:val="24"/>
        </w:rPr>
      </w:pPr>
      <w:r w:rsidRPr="003B0E24">
        <w:rPr>
          <w:b/>
          <w:bCs/>
          <w:sz w:val="24"/>
          <w:szCs w:val="24"/>
        </w:rPr>
        <w:t xml:space="preserve">Таблица 1. </w:t>
      </w:r>
    </w:p>
    <w:p w14:paraId="7BFD0DD1" w14:textId="24063295" w:rsidR="00191B29" w:rsidRPr="003B0E24" w:rsidRDefault="00191B29" w:rsidP="00191B29">
      <w:pPr>
        <w:spacing w:after="0" w:line="360" w:lineRule="auto"/>
        <w:jc w:val="both"/>
        <w:rPr>
          <w:b/>
          <w:bCs/>
          <w:sz w:val="24"/>
          <w:szCs w:val="24"/>
        </w:rPr>
      </w:pPr>
      <w:r w:rsidRPr="003B0E24">
        <w:rPr>
          <w:b/>
          <w:bCs/>
          <w:sz w:val="24"/>
          <w:szCs w:val="24"/>
        </w:rPr>
        <w:t xml:space="preserve">Шкала оценки классов рекомендаций Европейского общества кардиологов (ЕОК). </w:t>
      </w:r>
    </w:p>
    <w:tbl>
      <w:tblPr>
        <w:tblStyle w:val="afe"/>
        <w:tblW w:w="0" w:type="auto"/>
        <w:tblLook w:val="04A0" w:firstRow="1" w:lastRow="0" w:firstColumn="1" w:lastColumn="0" w:noHBand="0" w:noVBand="1"/>
      </w:tblPr>
      <w:tblGrid>
        <w:gridCol w:w="1838"/>
        <w:gridCol w:w="4536"/>
        <w:gridCol w:w="2432"/>
      </w:tblGrid>
      <w:tr w:rsidR="00191B29" w14:paraId="4BD2CD94" w14:textId="77777777" w:rsidTr="00191B29">
        <w:tc>
          <w:tcPr>
            <w:tcW w:w="1838" w:type="dxa"/>
            <w:shd w:val="clear" w:color="auto" w:fill="E7E6E6" w:themeFill="background2"/>
          </w:tcPr>
          <w:p w14:paraId="3607F699" w14:textId="77777777" w:rsidR="00191B29" w:rsidRPr="00191B29" w:rsidRDefault="00191B29" w:rsidP="00191B29">
            <w:pPr>
              <w:jc w:val="both"/>
              <w:rPr>
                <w:sz w:val="24"/>
                <w:szCs w:val="24"/>
              </w:rPr>
            </w:pPr>
            <w:r w:rsidRPr="00191B29">
              <w:rPr>
                <w:sz w:val="24"/>
                <w:szCs w:val="24"/>
              </w:rPr>
              <w:t>Класс рекомендаций ЕОК</w:t>
            </w:r>
          </w:p>
        </w:tc>
        <w:tc>
          <w:tcPr>
            <w:tcW w:w="4536" w:type="dxa"/>
            <w:shd w:val="clear" w:color="auto" w:fill="E7E6E6" w:themeFill="background2"/>
          </w:tcPr>
          <w:p w14:paraId="6A8C262B" w14:textId="77777777" w:rsidR="00191B29" w:rsidRPr="00191B29" w:rsidRDefault="00191B29" w:rsidP="00191B29">
            <w:pPr>
              <w:jc w:val="both"/>
              <w:rPr>
                <w:sz w:val="24"/>
                <w:szCs w:val="24"/>
              </w:rPr>
            </w:pPr>
            <w:r w:rsidRPr="00191B29">
              <w:rPr>
                <w:sz w:val="24"/>
                <w:szCs w:val="24"/>
              </w:rPr>
              <w:t>Определение</w:t>
            </w:r>
          </w:p>
        </w:tc>
        <w:tc>
          <w:tcPr>
            <w:tcW w:w="2432" w:type="dxa"/>
            <w:shd w:val="clear" w:color="auto" w:fill="E7E6E6" w:themeFill="background2"/>
          </w:tcPr>
          <w:p w14:paraId="1DA1309E" w14:textId="77777777" w:rsidR="00191B29" w:rsidRPr="00191B29" w:rsidRDefault="00191B29" w:rsidP="00191B29">
            <w:pPr>
              <w:jc w:val="both"/>
              <w:rPr>
                <w:sz w:val="24"/>
                <w:szCs w:val="24"/>
              </w:rPr>
            </w:pPr>
            <w:r w:rsidRPr="00191B29">
              <w:rPr>
                <w:sz w:val="24"/>
                <w:szCs w:val="24"/>
              </w:rPr>
              <w:t>Предлагаемая формулировка</w:t>
            </w:r>
          </w:p>
        </w:tc>
      </w:tr>
      <w:tr w:rsidR="00191B29" w14:paraId="41D8D135" w14:textId="77777777" w:rsidTr="00191B29">
        <w:tc>
          <w:tcPr>
            <w:tcW w:w="1838" w:type="dxa"/>
            <w:shd w:val="clear" w:color="auto" w:fill="E7E6E6" w:themeFill="background2"/>
          </w:tcPr>
          <w:p w14:paraId="712578BC" w14:textId="77777777" w:rsidR="00191B29" w:rsidRPr="00191B29" w:rsidRDefault="00191B29" w:rsidP="00191B29">
            <w:pPr>
              <w:jc w:val="both"/>
              <w:rPr>
                <w:sz w:val="24"/>
                <w:szCs w:val="24"/>
              </w:rPr>
            </w:pPr>
            <w:r w:rsidRPr="00191B29">
              <w:rPr>
                <w:sz w:val="24"/>
                <w:szCs w:val="24"/>
              </w:rPr>
              <w:t>I</w:t>
            </w:r>
          </w:p>
        </w:tc>
        <w:tc>
          <w:tcPr>
            <w:tcW w:w="4536" w:type="dxa"/>
          </w:tcPr>
          <w:p w14:paraId="4595B98F" w14:textId="77777777" w:rsidR="00191B29" w:rsidRPr="00191B29" w:rsidRDefault="00191B29" w:rsidP="00191B29">
            <w:pPr>
              <w:jc w:val="both"/>
              <w:rPr>
                <w:sz w:val="24"/>
                <w:szCs w:val="24"/>
                <w:lang w:val="ru-RU"/>
              </w:rPr>
            </w:pPr>
            <w:r w:rsidRPr="00191B29">
              <w:rPr>
                <w:sz w:val="24"/>
                <w:szCs w:val="24"/>
                <w:lang w:val="ru-RU"/>
              </w:rPr>
              <w:t>Доказано или общепризнанно, что диагностическая процедура, вмешательство/лечение являются эффективными и полезными</w:t>
            </w:r>
          </w:p>
        </w:tc>
        <w:tc>
          <w:tcPr>
            <w:tcW w:w="2432" w:type="dxa"/>
          </w:tcPr>
          <w:p w14:paraId="1BFC8722" w14:textId="77777777" w:rsidR="00191B29" w:rsidRPr="00191B29" w:rsidRDefault="00191B29" w:rsidP="00191B29">
            <w:pPr>
              <w:jc w:val="both"/>
              <w:rPr>
                <w:sz w:val="24"/>
                <w:szCs w:val="24"/>
              </w:rPr>
            </w:pPr>
            <w:r w:rsidRPr="00191B29">
              <w:rPr>
                <w:sz w:val="24"/>
                <w:szCs w:val="24"/>
              </w:rPr>
              <w:t>Рекомендовано / показано</w:t>
            </w:r>
          </w:p>
        </w:tc>
      </w:tr>
      <w:tr w:rsidR="00191B29" w14:paraId="542BE51A" w14:textId="77777777" w:rsidTr="00191B29">
        <w:tc>
          <w:tcPr>
            <w:tcW w:w="1838" w:type="dxa"/>
            <w:shd w:val="clear" w:color="auto" w:fill="E7E6E6" w:themeFill="background2"/>
          </w:tcPr>
          <w:p w14:paraId="35DEBE63" w14:textId="77777777" w:rsidR="00191B29" w:rsidRPr="00191B29" w:rsidRDefault="00191B29" w:rsidP="00191B29">
            <w:pPr>
              <w:jc w:val="both"/>
              <w:rPr>
                <w:sz w:val="24"/>
                <w:szCs w:val="24"/>
              </w:rPr>
            </w:pPr>
            <w:r w:rsidRPr="00191B29">
              <w:rPr>
                <w:sz w:val="24"/>
                <w:szCs w:val="24"/>
              </w:rPr>
              <w:t>II</w:t>
            </w:r>
          </w:p>
        </w:tc>
        <w:tc>
          <w:tcPr>
            <w:tcW w:w="4536" w:type="dxa"/>
          </w:tcPr>
          <w:p w14:paraId="3D3AB787" w14:textId="77777777" w:rsidR="00191B29" w:rsidRPr="00191B29" w:rsidRDefault="00191B29" w:rsidP="00191B29">
            <w:pPr>
              <w:jc w:val="both"/>
              <w:rPr>
                <w:sz w:val="24"/>
                <w:szCs w:val="24"/>
                <w:lang w:val="ru-RU"/>
              </w:rPr>
            </w:pPr>
            <w:r w:rsidRPr="00191B29">
              <w:rPr>
                <w:sz w:val="24"/>
                <w:szCs w:val="24"/>
                <w:lang w:val="ru-RU"/>
              </w:rPr>
              <w:t>Противоречивые данные и/или мнения об эффективности/пользе диагностической процедуры, вмешательства, лечения</w:t>
            </w:r>
          </w:p>
        </w:tc>
        <w:tc>
          <w:tcPr>
            <w:tcW w:w="2432" w:type="dxa"/>
          </w:tcPr>
          <w:p w14:paraId="109F8E89" w14:textId="77777777" w:rsidR="00191B29" w:rsidRPr="00191B29" w:rsidRDefault="00191B29" w:rsidP="00191B29">
            <w:pPr>
              <w:jc w:val="both"/>
              <w:rPr>
                <w:sz w:val="24"/>
                <w:szCs w:val="24"/>
              </w:rPr>
            </w:pPr>
            <w:r w:rsidRPr="00191B29">
              <w:rPr>
                <w:sz w:val="24"/>
                <w:szCs w:val="24"/>
              </w:rPr>
              <w:t>Целесообразно применять</w:t>
            </w:r>
          </w:p>
        </w:tc>
      </w:tr>
      <w:tr w:rsidR="00191B29" w14:paraId="05296CEB" w14:textId="77777777" w:rsidTr="00191B29">
        <w:tc>
          <w:tcPr>
            <w:tcW w:w="1838" w:type="dxa"/>
            <w:shd w:val="clear" w:color="auto" w:fill="E7E6E6" w:themeFill="background2"/>
          </w:tcPr>
          <w:p w14:paraId="3300ED4A" w14:textId="77777777" w:rsidR="00191B29" w:rsidRPr="00191B29" w:rsidRDefault="00191B29" w:rsidP="00191B29">
            <w:pPr>
              <w:jc w:val="both"/>
              <w:rPr>
                <w:sz w:val="24"/>
                <w:szCs w:val="24"/>
              </w:rPr>
            </w:pPr>
            <w:r w:rsidRPr="00191B29">
              <w:rPr>
                <w:sz w:val="24"/>
                <w:szCs w:val="24"/>
              </w:rPr>
              <w:t>IIa</w:t>
            </w:r>
          </w:p>
        </w:tc>
        <w:tc>
          <w:tcPr>
            <w:tcW w:w="4536" w:type="dxa"/>
          </w:tcPr>
          <w:p w14:paraId="459BF75D" w14:textId="77777777" w:rsidR="00191B29" w:rsidRPr="00191B29" w:rsidRDefault="00191B29" w:rsidP="00191B29">
            <w:pPr>
              <w:jc w:val="both"/>
              <w:rPr>
                <w:sz w:val="24"/>
                <w:szCs w:val="24"/>
                <w:lang w:val="ru-RU"/>
              </w:rPr>
            </w:pPr>
            <w:r w:rsidRPr="00191B29">
              <w:rPr>
                <w:sz w:val="24"/>
                <w:szCs w:val="24"/>
                <w:lang w:val="ru-RU"/>
              </w:rPr>
              <w:t>Большинство данных/мнений в пользу эффективности/пользы диагностической процедуры, вмешательства, лечения</w:t>
            </w:r>
          </w:p>
        </w:tc>
        <w:tc>
          <w:tcPr>
            <w:tcW w:w="2432" w:type="dxa"/>
          </w:tcPr>
          <w:p w14:paraId="0B6D8F91" w14:textId="77777777" w:rsidR="00191B29" w:rsidRPr="00191B29" w:rsidRDefault="00191B29" w:rsidP="00191B29">
            <w:pPr>
              <w:jc w:val="both"/>
              <w:rPr>
                <w:sz w:val="24"/>
                <w:szCs w:val="24"/>
              </w:rPr>
            </w:pPr>
            <w:r w:rsidRPr="00191B29">
              <w:rPr>
                <w:sz w:val="24"/>
                <w:szCs w:val="24"/>
              </w:rPr>
              <w:t>Целесообразно применять</w:t>
            </w:r>
          </w:p>
        </w:tc>
      </w:tr>
      <w:tr w:rsidR="00191B29" w14:paraId="6E376578" w14:textId="77777777" w:rsidTr="00191B29">
        <w:tc>
          <w:tcPr>
            <w:tcW w:w="1838" w:type="dxa"/>
            <w:shd w:val="clear" w:color="auto" w:fill="E7E6E6" w:themeFill="background2"/>
          </w:tcPr>
          <w:p w14:paraId="2144328A" w14:textId="77777777" w:rsidR="00191B29" w:rsidRPr="00191B29" w:rsidRDefault="00191B29" w:rsidP="00191B29">
            <w:pPr>
              <w:jc w:val="both"/>
              <w:rPr>
                <w:sz w:val="24"/>
                <w:szCs w:val="24"/>
              </w:rPr>
            </w:pPr>
            <w:r w:rsidRPr="00191B29">
              <w:rPr>
                <w:sz w:val="24"/>
                <w:szCs w:val="24"/>
              </w:rPr>
              <w:t>IIb</w:t>
            </w:r>
          </w:p>
        </w:tc>
        <w:tc>
          <w:tcPr>
            <w:tcW w:w="4536" w:type="dxa"/>
          </w:tcPr>
          <w:p w14:paraId="50539054" w14:textId="77777777" w:rsidR="00191B29" w:rsidRPr="00191B29" w:rsidRDefault="00191B29" w:rsidP="00191B29">
            <w:pPr>
              <w:jc w:val="both"/>
              <w:rPr>
                <w:sz w:val="24"/>
                <w:szCs w:val="24"/>
                <w:lang w:val="ru-RU"/>
              </w:rPr>
            </w:pPr>
            <w:r w:rsidRPr="00191B29">
              <w:rPr>
                <w:sz w:val="24"/>
                <w:szCs w:val="24"/>
                <w:lang w:val="ru-RU"/>
              </w:rPr>
              <w:t>Эффективность/польза диагностической процедуры, вмешательства, лечения установлены менее убедительно</w:t>
            </w:r>
          </w:p>
        </w:tc>
        <w:tc>
          <w:tcPr>
            <w:tcW w:w="2432" w:type="dxa"/>
          </w:tcPr>
          <w:p w14:paraId="30D4C933" w14:textId="77777777" w:rsidR="00191B29" w:rsidRPr="00191B29" w:rsidRDefault="00191B29" w:rsidP="00191B29">
            <w:pPr>
              <w:jc w:val="both"/>
              <w:rPr>
                <w:sz w:val="24"/>
                <w:szCs w:val="24"/>
              </w:rPr>
            </w:pPr>
            <w:r w:rsidRPr="00191B29">
              <w:rPr>
                <w:sz w:val="24"/>
                <w:szCs w:val="24"/>
              </w:rPr>
              <w:t>Можно применять</w:t>
            </w:r>
          </w:p>
        </w:tc>
      </w:tr>
      <w:tr w:rsidR="00191B29" w14:paraId="75D81E19" w14:textId="77777777" w:rsidTr="00191B29">
        <w:tc>
          <w:tcPr>
            <w:tcW w:w="1838" w:type="dxa"/>
            <w:shd w:val="clear" w:color="auto" w:fill="E7E6E6" w:themeFill="background2"/>
          </w:tcPr>
          <w:p w14:paraId="5E3C926B" w14:textId="77777777" w:rsidR="00191B29" w:rsidRPr="00191B29" w:rsidRDefault="00191B29" w:rsidP="00191B29">
            <w:pPr>
              <w:jc w:val="both"/>
              <w:rPr>
                <w:sz w:val="24"/>
                <w:szCs w:val="24"/>
              </w:rPr>
            </w:pPr>
            <w:r w:rsidRPr="00191B29">
              <w:rPr>
                <w:sz w:val="24"/>
                <w:szCs w:val="24"/>
              </w:rPr>
              <w:t>III</w:t>
            </w:r>
          </w:p>
        </w:tc>
        <w:tc>
          <w:tcPr>
            <w:tcW w:w="4536" w:type="dxa"/>
          </w:tcPr>
          <w:p w14:paraId="54CA0D61" w14:textId="77777777" w:rsidR="00191B29" w:rsidRPr="00191B29" w:rsidRDefault="00191B29" w:rsidP="00191B29">
            <w:pPr>
              <w:jc w:val="both"/>
              <w:rPr>
                <w:sz w:val="24"/>
                <w:szCs w:val="24"/>
                <w:lang w:val="ru-RU"/>
              </w:rPr>
            </w:pPr>
            <w:r w:rsidRPr="00191B29">
              <w:rPr>
                <w:sz w:val="24"/>
                <w:szCs w:val="24"/>
                <w:lang w:val="ru-RU"/>
              </w:rPr>
              <w:t>Данные или единое мнение, что диагностическая процедура, вмешательство, лечение бесполезны/неэффективны, а в ряде случаев могут приносить вред</w:t>
            </w:r>
          </w:p>
        </w:tc>
        <w:tc>
          <w:tcPr>
            <w:tcW w:w="2432" w:type="dxa"/>
          </w:tcPr>
          <w:p w14:paraId="66701B67" w14:textId="77777777" w:rsidR="00191B29" w:rsidRPr="00191B29" w:rsidRDefault="00191B29" w:rsidP="00191B29">
            <w:pPr>
              <w:jc w:val="both"/>
              <w:rPr>
                <w:sz w:val="24"/>
                <w:szCs w:val="24"/>
              </w:rPr>
            </w:pPr>
            <w:r w:rsidRPr="00191B29">
              <w:rPr>
                <w:sz w:val="24"/>
                <w:szCs w:val="24"/>
              </w:rPr>
              <w:t>Не рекомендуется применять</w:t>
            </w:r>
          </w:p>
        </w:tc>
      </w:tr>
    </w:tbl>
    <w:p w14:paraId="7F07A38F" w14:textId="77777777" w:rsidR="00AB5297" w:rsidRPr="00191B29" w:rsidRDefault="00AB5297" w:rsidP="00AB5297">
      <w:pPr>
        <w:spacing w:after="0" w:line="360" w:lineRule="auto"/>
        <w:jc w:val="center"/>
        <w:rPr>
          <w:rFonts w:eastAsia="Times New Roman" w:cs="Times New Roman"/>
          <w:szCs w:val="28"/>
          <w:lang w:val="en-US"/>
        </w:rPr>
      </w:pPr>
    </w:p>
    <w:p w14:paraId="165A4DE0" w14:textId="77777777" w:rsidR="00FA2C6B" w:rsidRDefault="00191B29" w:rsidP="00FA2C6B">
      <w:pPr>
        <w:pStyle w:val="aff"/>
        <w:spacing w:line="360" w:lineRule="auto"/>
        <w:jc w:val="right"/>
        <w:rPr>
          <w:b/>
          <w:bCs/>
          <w:sz w:val="24"/>
          <w:szCs w:val="20"/>
          <w:lang w:bidi="ru-RU"/>
        </w:rPr>
      </w:pPr>
      <w:r w:rsidRPr="001D558A">
        <w:rPr>
          <w:b/>
          <w:bCs/>
          <w:sz w:val="24"/>
          <w:szCs w:val="20"/>
          <w:lang w:bidi="ru-RU"/>
        </w:rPr>
        <w:t xml:space="preserve">Таблица </w:t>
      </w:r>
      <w:r w:rsidR="00C668C7" w:rsidRPr="00BF19FB">
        <w:rPr>
          <w:b/>
          <w:bCs/>
          <w:sz w:val="24"/>
          <w:szCs w:val="20"/>
          <w:lang w:bidi="ru-RU"/>
        </w:rPr>
        <w:t>2</w:t>
      </w:r>
      <w:r w:rsidRPr="001D558A">
        <w:rPr>
          <w:b/>
          <w:bCs/>
          <w:sz w:val="24"/>
          <w:szCs w:val="20"/>
          <w:lang w:bidi="ru-RU"/>
        </w:rPr>
        <w:t xml:space="preserve">. </w:t>
      </w:r>
    </w:p>
    <w:p w14:paraId="631A962A" w14:textId="59185AA5" w:rsidR="00191B29" w:rsidRPr="001D558A" w:rsidRDefault="00191B29" w:rsidP="00FA2C6B">
      <w:pPr>
        <w:pStyle w:val="aff"/>
        <w:spacing w:line="360" w:lineRule="auto"/>
        <w:jc w:val="center"/>
        <w:rPr>
          <w:b/>
          <w:bCs/>
          <w:sz w:val="24"/>
          <w:szCs w:val="20"/>
        </w:rPr>
      </w:pPr>
      <w:r w:rsidRPr="001D558A">
        <w:rPr>
          <w:b/>
          <w:bCs/>
          <w:sz w:val="24"/>
          <w:szCs w:val="20"/>
          <w:lang w:bidi="ru-RU"/>
        </w:rPr>
        <w:t>Шкала оценки уровней достоверности доказательств (</w:t>
      </w:r>
      <w:r w:rsidR="00803F2F">
        <w:rPr>
          <w:b/>
          <w:bCs/>
          <w:sz w:val="24"/>
          <w:szCs w:val="20"/>
          <w:lang w:bidi="ru-RU"/>
        </w:rPr>
        <w:t>УДД</w:t>
      </w:r>
      <w:r w:rsidRPr="001D558A">
        <w:rPr>
          <w:b/>
          <w:bCs/>
          <w:sz w:val="24"/>
          <w:szCs w:val="20"/>
          <w:lang w:bidi="ru-RU"/>
        </w:rPr>
        <w:t>) для методов диагностики (диагностических вмешательств)</w:t>
      </w:r>
    </w:p>
    <w:tbl>
      <w:tblPr>
        <w:tblStyle w:val="afe"/>
        <w:tblW w:w="0" w:type="auto"/>
        <w:tblLook w:val="04A0" w:firstRow="1" w:lastRow="0" w:firstColumn="1" w:lastColumn="0" w:noHBand="0" w:noVBand="1"/>
      </w:tblPr>
      <w:tblGrid>
        <w:gridCol w:w="1793"/>
        <w:gridCol w:w="7546"/>
      </w:tblGrid>
      <w:tr w:rsidR="00191B29" w:rsidRPr="00E13DE6" w14:paraId="6485AEB3" w14:textId="77777777" w:rsidTr="00C668C7">
        <w:tc>
          <w:tcPr>
            <w:tcW w:w="846" w:type="dxa"/>
            <w:shd w:val="clear" w:color="auto" w:fill="E7E6E6" w:themeFill="background2"/>
          </w:tcPr>
          <w:p w14:paraId="0DFFB4C9" w14:textId="643B6A7E" w:rsidR="00191B29" w:rsidRPr="00E13DE6" w:rsidRDefault="003D51B3" w:rsidP="00803F2F">
            <w:pPr>
              <w:pStyle w:val="aff"/>
              <w:jc w:val="center"/>
              <w:rPr>
                <w:b/>
                <w:bCs/>
                <w:sz w:val="24"/>
                <w:szCs w:val="20"/>
              </w:rPr>
            </w:pPr>
            <w:r>
              <w:rPr>
                <w:b/>
                <w:bCs/>
                <w:sz w:val="24"/>
                <w:szCs w:val="20"/>
              </w:rPr>
              <w:t>Уровень достоверности доказательств</w:t>
            </w:r>
          </w:p>
        </w:tc>
        <w:tc>
          <w:tcPr>
            <w:tcW w:w="8499" w:type="dxa"/>
            <w:shd w:val="clear" w:color="auto" w:fill="E7E6E6" w:themeFill="background2"/>
          </w:tcPr>
          <w:p w14:paraId="25C7293C" w14:textId="77777777" w:rsidR="00191B29" w:rsidRPr="00E13DE6" w:rsidRDefault="00191B29" w:rsidP="00803F2F">
            <w:pPr>
              <w:pStyle w:val="aff"/>
              <w:jc w:val="center"/>
              <w:rPr>
                <w:b/>
                <w:bCs/>
                <w:sz w:val="24"/>
                <w:szCs w:val="20"/>
              </w:rPr>
            </w:pPr>
            <w:r w:rsidRPr="00E13DE6">
              <w:rPr>
                <w:b/>
                <w:bCs/>
                <w:sz w:val="24"/>
                <w:szCs w:val="20"/>
              </w:rPr>
              <w:t>Расшифровка</w:t>
            </w:r>
          </w:p>
        </w:tc>
      </w:tr>
      <w:tr w:rsidR="00191B29" w:rsidRPr="00E13DE6" w14:paraId="010FFD26" w14:textId="77777777" w:rsidTr="00C668C7">
        <w:tc>
          <w:tcPr>
            <w:tcW w:w="846" w:type="dxa"/>
            <w:shd w:val="clear" w:color="auto" w:fill="E7E6E6" w:themeFill="background2"/>
          </w:tcPr>
          <w:p w14:paraId="778BE2F0" w14:textId="77777777" w:rsidR="00191B29" w:rsidRPr="00E13DE6" w:rsidRDefault="00191B29" w:rsidP="00D45012">
            <w:pPr>
              <w:pStyle w:val="aff"/>
              <w:jc w:val="both"/>
              <w:rPr>
                <w:sz w:val="24"/>
                <w:szCs w:val="20"/>
              </w:rPr>
            </w:pPr>
            <w:r w:rsidRPr="00E13DE6">
              <w:rPr>
                <w:sz w:val="24"/>
                <w:szCs w:val="20"/>
              </w:rPr>
              <w:t>1</w:t>
            </w:r>
          </w:p>
        </w:tc>
        <w:tc>
          <w:tcPr>
            <w:tcW w:w="8499" w:type="dxa"/>
          </w:tcPr>
          <w:p w14:paraId="4C8E1031" w14:textId="77777777" w:rsidR="00191B29" w:rsidRPr="00191B29" w:rsidRDefault="00191B29" w:rsidP="00D45012">
            <w:pPr>
              <w:pStyle w:val="aff"/>
              <w:jc w:val="both"/>
              <w:rPr>
                <w:sz w:val="24"/>
                <w:szCs w:val="20"/>
                <w:lang w:val="ru-RU"/>
              </w:rPr>
            </w:pPr>
            <w:r w:rsidRPr="00191B29">
              <w:rPr>
                <w:sz w:val="24"/>
                <w:szCs w:val="20"/>
                <w:lang w:val="ru-RU" w:bidi="ru-RU"/>
              </w:rP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191B29" w:rsidRPr="00E13DE6" w14:paraId="210EA31B" w14:textId="77777777" w:rsidTr="00C668C7">
        <w:tc>
          <w:tcPr>
            <w:tcW w:w="846" w:type="dxa"/>
            <w:shd w:val="clear" w:color="auto" w:fill="E7E6E6" w:themeFill="background2"/>
          </w:tcPr>
          <w:p w14:paraId="5D6F4A02" w14:textId="77777777" w:rsidR="00191B29" w:rsidRPr="00E13DE6" w:rsidRDefault="00191B29" w:rsidP="00D45012">
            <w:pPr>
              <w:pStyle w:val="aff"/>
              <w:jc w:val="both"/>
              <w:rPr>
                <w:sz w:val="24"/>
                <w:szCs w:val="20"/>
              </w:rPr>
            </w:pPr>
            <w:r w:rsidRPr="00E13DE6">
              <w:rPr>
                <w:sz w:val="24"/>
                <w:szCs w:val="20"/>
              </w:rPr>
              <w:t>2</w:t>
            </w:r>
          </w:p>
        </w:tc>
        <w:tc>
          <w:tcPr>
            <w:tcW w:w="8499" w:type="dxa"/>
          </w:tcPr>
          <w:p w14:paraId="11771934" w14:textId="77777777" w:rsidR="00191B29" w:rsidRPr="00191B29" w:rsidRDefault="00191B29" w:rsidP="00D45012">
            <w:pPr>
              <w:pStyle w:val="aff"/>
              <w:jc w:val="both"/>
              <w:rPr>
                <w:sz w:val="24"/>
                <w:szCs w:val="20"/>
                <w:lang w:val="ru-RU"/>
              </w:rPr>
            </w:pPr>
            <w:r w:rsidRPr="00191B29">
              <w:rPr>
                <w:sz w:val="24"/>
                <w:szCs w:val="20"/>
                <w:lang w:val="ru-RU" w:bidi="ru-RU"/>
              </w:rP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191B29" w:rsidRPr="00E13DE6" w14:paraId="71AB5704" w14:textId="77777777" w:rsidTr="00C668C7">
        <w:tc>
          <w:tcPr>
            <w:tcW w:w="846" w:type="dxa"/>
            <w:shd w:val="clear" w:color="auto" w:fill="E7E6E6" w:themeFill="background2"/>
          </w:tcPr>
          <w:p w14:paraId="4993F3A9" w14:textId="77777777" w:rsidR="00191B29" w:rsidRPr="00E13DE6" w:rsidRDefault="00191B29" w:rsidP="00D45012">
            <w:pPr>
              <w:pStyle w:val="aff"/>
              <w:jc w:val="both"/>
              <w:rPr>
                <w:sz w:val="24"/>
                <w:szCs w:val="20"/>
              </w:rPr>
            </w:pPr>
            <w:r w:rsidRPr="00E13DE6">
              <w:rPr>
                <w:sz w:val="24"/>
                <w:szCs w:val="20"/>
              </w:rPr>
              <w:t>3</w:t>
            </w:r>
          </w:p>
        </w:tc>
        <w:tc>
          <w:tcPr>
            <w:tcW w:w="8499" w:type="dxa"/>
          </w:tcPr>
          <w:p w14:paraId="4BF784B8" w14:textId="77777777" w:rsidR="00191B29" w:rsidRPr="00191B29" w:rsidRDefault="00191B29" w:rsidP="00D45012">
            <w:pPr>
              <w:pStyle w:val="aff"/>
              <w:jc w:val="both"/>
              <w:rPr>
                <w:sz w:val="24"/>
                <w:szCs w:val="20"/>
                <w:lang w:val="ru-RU"/>
              </w:rPr>
            </w:pPr>
            <w:r w:rsidRPr="00191B29">
              <w:rPr>
                <w:sz w:val="24"/>
                <w:szCs w:val="20"/>
                <w:lang w:val="ru-RU" w:bidi="ru-RU"/>
              </w:rP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 рандомизированные сравнительные исследования, в том числе когортные исследования</w:t>
            </w:r>
          </w:p>
        </w:tc>
      </w:tr>
      <w:tr w:rsidR="00191B29" w:rsidRPr="00E13DE6" w14:paraId="2CDA4CBC" w14:textId="77777777" w:rsidTr="00C668C7">
        <w:tc>
          <w:tcPr>
            <w:tcW w:w="846" w:type="dxa"/>
            <w:shd w:val="clear" w:color="auto" w:fill="E7E6E6" w:themeFill="background2"/>
          </w:tcPr>
          <w:p w14:paraId="55361BEE" w14:textId="77777777" w:rsidR="00191B29" w:rsidRPr="00E13DE6" w:rsidRDefault="00191B29" w:rsidP="00D45012">
            <w:pPr>
              <w:pStyle w:val="aff"/>
              <w:jc w:val="both"/>
              <w:rPr>
                <w:sz w:val="24"/>
                <w:szCs w:val="20"/>
              </w:rPr>
            </w:pPr>
            <w:r w:rsidRPr="00E13DE6">
              <w:rPr>
                <w:sz w:val="24"/>
                <w:szCs w:val="20"/>
              </w:rPr>
              <w:t>4</w:t>
            </w:r>
          </w:p>
        </w:tc>
        <w:tc>
          <w:tcPr>
            <w:tcW w:w="8499" w:type="dxa"/>
          </w:tcPr>
          <w:p w14:paraId="17DA4D75" w14:textId="77777777" w:rsidR="00191B29" w:rsidRPr="00191B29" w:rsidRDefault="00191B29" w:rsidP="00D45012">
            <w:pPr>
              <w:pStyle w:val="aff"/>
              <w:jc w:val="both"/>
              <w:rPr>
                <w:sz w:val="24"/>
                <w:szCs w:val="20"/>
                <w:lang w:val="ru-RU"/>
              </w:rPr>
            </w:pPr>
            <w:r w:rsidRPr="00191B29">
              <w:rPr>
                <w:sz w:val="24"/>
                <w:szCs w:val="20"/>
                <w:lang w:val="ru-RU" w:bidi="ru-RU"/>
              </w:rPr>
              <w:t>Не сравнительные исследования, описание клинического случая</w:t>
            </w:r>
          </w:p>
        </w:tc>
      </w:tr>
      <w:tr w:rsidR="00191B29" w:rsidRPr="00E13DE6" w14:paraId="3434ACC8" w14:textId="77777777" w:rsidTr="00C668C7">
        <w:tc>
          <w:tcPr>
            <w:tcW w:w="846" w:type="dxa"/>
            <w:shd w:val="clear" w:color="auto" w:fill="E7E6E6" w:themeFill="background2"/>
          </w:tcPr>
          <w:p w14:paraId="4DBE89DC" w14:textId="77777777" w:rsidR="00191B29" w:rsidRPr="00E13DE6" w:rsidRDefault="00191B29" w:rsidP="00D45012">
            <w:pPr>
              <w:pStyle w:val="aff"/>
              <w:jc w:val="both"/>
              <w:rPr>
                <w:sz w:val="24"/>
                <w:szCs w:val="20"/>
              </w:rPr>
            </w:pPr>
            <w:r w:rsidRPr="00E13DE6">
              <w:rPr>
                <w:sz w:val="24"/>
                <w:szCs w:val="20"/>
              </w:rPr>
              <w:lastRenderedPageBreak/>
              <w:t>5</w:t>
            </w:r>
          </w:p>
        </w:tc>
        <w:tc>
          <w:tcPr>
            <w:tcW w:w="8499" w:type="dxa"/>
          </w:tcPr>
          <w:p w14:paraId="21BB944A" w14:textId="77777777" w:rsidR="00191B29" w:rsidRPr="00191B29" w:rsidRDefault="00191B29" w:rsidP="00D45012">
            <w:pPr>
              <w:pStyle w:val="aff"/>
              <w:jc w:val="both"/>
              <w:rPr>
                <w:sz w:val="24"/>
                <w:szCs w:val="20"/>
                <w:lang w:val="ru-RU"/>
              </w:rPr>
            </w:pPr>
            <w:r w:rsidRPr="00191B29">
              <w:rPr>
                <w:sz w:val="24"/>
                <w:szCs w:val="20"/>
                <w:lang w:val="ru-RU" w:bidi="ru-RU"/>
              </w:rPr>
              <w:t>Имеется лишь обоснование механизма действия или мнение экспертов</w:t>
            </w:r>
          </w:p>
        </w:tc>
      </w:tr>
    </w:tbl>
    <w:p w14:paraId="63D53C96" w14:textId="77777777" w:rsidR="00191B29" w:rsidRDefault="00191B29" w:rsidP="00191B29">
      <w:pPr>
        <w:pStyle w:val="aff"/>
        <w:spacing w:line="360" w:lineRule="auto"/>
        <w:jc w:val="both"/>
      </w:pPr>
    </w:p>
    <w:p w14:paraId="0626AB1A" w14:textId="77777777" w:rsidR="00FA2C6B" w:rsidRDefault="00191B29" w:rsidP="00FA2C6B">
      <w:pPr>
        <w:pStyle w:val="aff"/>
        <w:spacing w:line="360" w:lineRule="auto"/>
        <w:jc w:val="right"/>
        <w:rPr>
          <w:b/>
          <w:bCs/>
          <w:sz w:val="24"/>
          <w:szCs w:val="20"/>
          <w:lang w:bidi="ru-RU"/>
        </w:rPr>
      </w:pPr>
      <w:r w:rsidRPr="00970F19">
        <w:rPr>
          <w:b/>
          <w:bCs/>
          <w:sz w:val="24"/>
          <w:szCs w:val="20"/>
          <w:lang w:bidi="ru-RU"/>
        </w:rPr>
        <w:t xml:space="preserve">Таблица </w:t>
      </w:r>
      <w:r w:rsidR="00C668C7" w:rsidRPr="00BF19FB">
        <w:rPr>
          <w:b/>
          <w:bCs/>
          <w:sz w:val="24"/>
          <w:szCs w:val="20"/>
          <w:lang w:bidi="ru-RU"/>
        </w:rPr>
        <w:t>3</w:t>
      </w:r>
      <w:r w:rsidRPr="00970F19">
        <w:rPr>
          <w:b/>
          <w:bCs/>
          <w:sz w:val="24"/>
          <w:szCs w:val="20"/>
          <w:lang w:bidi="ru-RU"/>
        </w:rPr>
        <w:t xml:space="preserve">. </w:t>
      </w:r>
    </w:p>
    <w:p w14:paraId="06822EB9" w14:textId="216A4D5D" w:rsidR="00191B29" w:rsidRPr="001D558A" w:rsidRDefault="00191B29" w:rsidP="00FA2C6B">
      <w:pPr>
        <w:pStyle w:val="aff"/>
        <w:spacing w:line="360" w:lineRule="auto"/>
        <w:jc w:val="center"/>
        <w:rPr>
          <w:b/>
          <w:bCs/>
          <w:sz w:val="24"/>
          <w:szCs w:val="20"/>
        </w:rPr>
      </w:pPr>
      <w:r w:rsidRPr="00970F19">
        <w:rPr>
          <w:b/>
          <w:bCs/>
          <w:sz w:val="24"/>
          <w:szCs w:val="20"/>
          <w:lang w:bidi="ru-RU"/>
        </w:rPr>
        <w:t>Шкала оценки уровней достоверности доказательств (</w:t>
      </w:r>
      <w:r w:rsidR="00803F2F">
        <w:rPr>
          <w:b/>
          <w:bCs/>
          <w:sz w:val="24"/>
          <w:szCs w:val="20"/>
          <w:lang w:bidi="ru-RU"/>
        </w:rPr>
        <w:t>УДД</w:t>
      </w:r>
      <w:r w:rsidRPr="00970F19">
        <w:rPr>
          <w:b/>
          <w:bCs/>
          <w:sz w:val="24"/>
          <w:szCs w:val="20"/>
          <w:lang w:bidi="ru-RU"/>
        </w:rPr>
        <w:t>) для методов профилактики, лечения и реабилитации (профилактических, лечебных, реабилитационных вмешательств)</w:t>
      </w:r>
    </w:p>
    <w:tbl>
      <w:tblPr>
        <w:tblStyle w:val="afe"/>
        <w:tblW w:w="0" w:type="auto"/>
        <w:tblLook w:val="04A0" w:firstRow="1" w:lastRow="0" w:firstColumn="1" w:lastColumn="0" w:noHBand="0" w:noVBand="1"/>
      </w:tblPr>
      <w:tblGrid>
        <w:gridCol w:w="1793"/>
        <w:gridCol w:w="7546"/>
      </w:tblGrid>
      <w:tr w:rsidR="00191B29" w:rsidRPr="00970F19" w14:paraId="3B456C31" w14:textId="77777777" w:rsidTr="00C668C7">
        <w:tc>
          <w:tcPr>
            <w:tcW w:w="846" w:type="dxa"/>
            <w:shd w:val="clear" w:color="auto" w:fill="E7E6E6" w:themeFill="background2"/>
          </w:tcPr>
          <w:p w14:paraId="4B4715B8" w14:textId="56ADC426" w:rsidR="00191B29" w:rsidRPr="00970F19" w:rsidRDefault="003D51B3" w:rsidP="00803F2F">
            <w:pPr>
              <w:pStyle w:val="aff"/>
              <w:jc w:val="center"/>
              <w:rPr>
                <w:b/>
                <w:bCs/>
                <w:sz w:val="24"/>
                <w:szCs w:val="20"/>
              </w:rPr>
            </w:pPr>
            <w:r>
              <w:rPr>
                <w:b/>
                <w:bCs/>
                <w:sz w:val="24"/>
                <w:szCs w:val="20"/>
              </w:rPr>
              <w:t>Уровень достоверности доказательств</w:t>
            </w:r>
          </w:p>
        </w:tc>
        <w:tc>
          <w:tcPr>
            <w:tcW w:w="8499" w:type="dxa"/>
            <w:shd w:val="clear" w:color="auto" w:fill="E7E6E6" w:themeFill="background2"/>
          </w:tcPr>
          <w:p w14:paraId="01191BA0" w14:textId="77777777" w:rsidR="00191B29" w:rsidRPr="00970F19" w:rsidRDefault="00191B29" w:rsidP="00D45012">
            <w:pPr>
              <w:pStyle w:val="aff"/>
              <w:jc w:val="both"/>
              <w:rPr>
                <w:b/>
                <w:bCs/>
                <w:sz w:val="24"/>
                <w:szCs w:val="20"/>
              </w:rPr>
            </w:pPr>
            <w:r w:rsidRPr="00970F19">
              <w:rPr>
                <w:b/>
                <w:bCs/>
                <w:sz w:val="24"/>
                <w:szCs w:val="20"/>
              </w:rPr>
              <w:t>Расшифровка</w:t>
            </w:r>
          </w:p>
        </w:tc>
      </w:tr>
      <w:tr w:rsidR="00191B29" w:rsidRPr="00970F19" w14:paraId="623E2A7D" w14:textId="77777777" w:rsidTr="00C668C7">
        <w:tc>
          <w:tcPr>
            <w:tcW w:w="846" w:type="dxa"/>
            <w:shd w:val="clear" w:color="auto" w:fill="E7E6E6" w:themeFill="background2"/>
          </w:tcPr>
          <w:p w14:paraId="71546DF0" w14:textId="77777777" w:rsidR="00191B29" w:rsidRPr="00970F19" w:rsidRDefault="00191B29" w:rsidP="00D45012">
            <w:pPr>
              <w:pStyle w:val="aff"/>
              <w:jc w:val="both"/>
              <w:rPr>
                <w:sz w:val="24"/>
                <w:szCs w:val="20"/>
              </w:rPr>
            </w:pPr>
            <w:r w:rsidRPr="00970F19">
              <w:rPr>
                <w:sz w:val="24"/>
                <w:szCs w:val="20"/>
              </w:rPr>
              <w:t>1</w:t>
            </w:r>
          </w:p>
        </w:tc>
        <w:tc>
          <w:tcPr>
            <w:tcW w:w="8499" w:type="dxa"/>
          </w:tcPr>
          <w:p w14:paraId="4F0A8932" w14:textId="77777777" w:rsidR="00191B29" w:rsidRPr="00191B29" w:rsidRDefault="00191B29" w:rsidP="00D45012">
            <w:pPr>
              <w:pStyle w:val="aff"/>
              <w:jc w:val="both"/>
              <w:rPr>
                <w:sz w:val="24"/>
                <w:szCs w:val="20"/>
                <w:lang w:val="ru-RU"/>
              </w:rPr>
            </w:pPr>
            <w:r w:rsidRPr="00191B29">
              <w:rPr>
                <w:sz w:val="24"/>
                <w:szCs w:val="20"/>
                <w:lang w:val="ru-RU" w:bidi="ru-RU"/>
              </w:rPr>
              <w:t>Систематический обзор рандомизированных клинических исследований с применением мета-анализа</w:t>
            </w:r>
          </w:p>
        </w:tc>
      </w:tr>
      <w:tr w:rsidR="00191B29" w:rsidRPr="00970F19" w14:paraId="0D87F91F" w14:textId="77777777" w:rsidTr="00C668C7">
        <w:tc>
          <w:tcPr>
            <w:tcW w:w="846" w:type="dxa"/>
            <w:shd w:val="clear" w:color="auto" w:fill="E7E6E6" w:themeFill="background2"/>
          </w:tcPr>
          <w:p w14:paraId="05F0E9C3" w14:textId="77777777" w:rsidR="00191B29" w:rsidRPr="00970F19" w:rsidRDefault="00191B29" w:rsidP="00D45012">
            <w:pPr>
              <w:pStyle w:val="aff"/>
              <w:jc w:val="both"/>
              <w:rPr>
                <w:sz w:val="24"/>
                <w:szCs w:val="20"/>
              </w:rPr>
            </w:pPr>
            <w:r w:rsidRPr="00970F19">
              <w:rPr>
                <w:sz w:val="24"/>
                <w:szCs w:val="20"/>
              </w:rPr>
              <w:t>2</w:t>
            </w:r>
          </w:p>
        </w:tc>
        <w:tc>
          <w:tcPr>
            <w:tcW w:w="8499" w:type="dxa"/>
          </w:tcPr>
          <w:p w14:paraId="064483FB" w14:textId="77777777" w:rsidR="00191B29" w:rsidRPr="00191B29" w:rsidRDefault="00191B29" w:rsidP="00D45012">
            <w:pPr>
              <w:pStyle w:val="aff"/>
              <w:jc w:val="both"/>
              <w:rPr>
                <w:sz w:val="24"/>
                <w:szCs w:val="20"/>
                <w:lang w:val="ru-RU"/>
              </w:rPr>
            </w:pPr>
            <w:r w:rsidRPr="00191B29">
              <w:rPr>
                <w:sz w:val="24"/>
                <w:szCs w:val="20"/>
                <w:lang w:val="ru-RU" w:bidi="ru-RU"/>
              </w:rPr>
              <w:t>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191B29" w:rsidRPr="00970F19" w14:paraId="2390C926" w14:textId="77777777" w:rsidTr="00C668C7">
        <w:tc>
          <w:tcPr>
            <w:tcW w:w="846" w:type="dxa"/>
            <w:shd w:val="clear" w:color="auto" w:fill="E7E6E6" w:themeFill="background2"/>
          </w:tcPr>
          <w:p w14:paraId="346CD1EF" w14:textId="77777777" w:rsidR="00191B29" w:rsidRPr="00970F19" w:rsidRDefault="00191B29" w:rsidP="00D45012">
            <w:pPr>
              <w:pStyle w:val="aff"/>
              <w:jc w:val="both"/>
              <w:rPr>
                <w:sz w:val="24"/>
                <w:szCs w:val="20"/>
              </w:rPr>
            </w:pPr>
            <w:r w:rsidRPr="00970F19">
              <w:rPr>
                <w:sz w:val="24"/>
                <w:szCs w:val="20"/>
              </w:rPr>
              <w:t>3</w:t>
            </w:r>
          </w:p>
        </w:tc>
        <w:tc>
          <w:tcPr>
            <w:tcW w:w="8499" w:type="dxa"/>
          </w:tcPr>
          <w:p w14:paraId="4DBE9617" w14:textId="77777777" w:rsidR="00191B29" w:rsidRPr="00191B29" w:rsidRDefault="00191B29" w:rsidP="00D45012">
            <w:pPr>
              <w:pStyle w:val="aff"/>
              <w:jc w:val="both"/>
              <w:rPr>
                <w:sz w:val="24"/>
                <w:szCs w:val="20"/>
                <w:lang w:val="ru-RU"/>
              </w:rPr>
            </w:pPr>
            <w:r w:rsidRPr="00191B29">
              <w:rPr>
                <w:sz w:val="24"/>
                <w:szCs w:val="20"/>
                <w:lang w:val="ru-RU" w:bidi="ru-RU"/>
              </w:rPr>
              <w:t>Не рандомизированные сравнительные исследования, в т.ч. когортные исследования</w:t>
            </w:r>
          </w:p>
        </w:tc>
      </w:tr>
      <w:tr w:rsidR="00191B29" w:rsidRPr="00970F19" w14:paraId="7701DBBC" w14:textId="77777777" w:rsidTr="00C668C7">
        <w:tc>
          <w:tcPr>
            <w:tcW w:w="846" w:type="dxa"/>
            <w:shd w:val="clear" w:color="auto" w:fill="E7E6E6" w:themeFill="background2"/>
          </w:tcPr>
          <w:p w14:paraId="048173A7" w14:textId="77777777" w:rsidR="00191B29" w:rsidRPr="00970F19" w:rsidRDefault="00191B29" w:rsidP="00D45012">
            <w:pPr>
              <w:pStyle w:val="aff"/>
              <w:jc w:val="both"/>
              <w:rPr>
                <w:sz w:val="24"/>
                <w:szCs w:val="20"/>
              </w:rPr>
            </w:pPr>
            <w:r w:rsidRPr="00970F19">
              <w:rPr>
                <w:sz w:val="24"/>
                <w:szCs w:val="20"/>
              </w:rPr>
              <w:t>4</w:t>
            </w:r>
          </w:p>
        </w:tc>
        <w:tc>
          <w:tcPr>
            <w:tcW w:w="8499" w:type="dxa"/>
          </w:tcPr>
          <w:p w14:paraId="753E6DA9" w14:textId="77777777" w:rsidR="00191B29" w:rsidRPr="00191B29" w:rsidRDefault="00191B29" w:rsidP="00D45012">
            <w:pPr>
              <w:pStyle w:val="aff"/>
              <w:jc w:val="both"/>
              <w:rPr>
                <w:sz w:val="24"/>
                <w:szCs w:val="20"/>
                <w:lang w:val="ru-RU"/>
              </w:rPr>
            </w:pPr>
            <w:r w:rsidRPr="00191B29">
              <w:rPr>
                <w:sz w:val="24"/>
                <w:szCs w:val="20"/>
                <w:lang w:val="ru-RU" w:bidi="ru-RU"/>
              </w:rPr>
              <w:t>Не сравнительные исследования, описание клинического случая или серии случаев, исследования «случай-контроль»</w:t>
            </w:r>
          </w:p>
        </w:tc>
      </w:tr>
      <w:tr w:rsidR="00191B29" w:rsidRPr="00970F19" w14:paraId="4EA6989E" w14:textId="77777777" w:rsidTr="00C668C7">
        <w:tc>
          <w:tcPr>
            <w:tcW w:w="846" w:type="dxa"/>
            <w:shd w:val="clear" w:color="auto" w:fill="E7E6E6" w:themeFill="background2"/>
          </w:tcPr>
          <w:p w14:paraId="1D57B881" w14:textId="77777777" w:rsidR="00191B29" w:rsidRPr="00970F19" w:rsidRDefault="00191B29" w:rsidP="00D45012">
            <w:pPr>
              <w:pStyle w:val="aff"/>
              <w:jc w:val="both"/>
              <w:rPr>
                <w:sz w:val="24"/>
                <w:szCs w:val="20"/>
              </w:rPr>
            </w:pPr>
            <w:r w:rsidRPr="00970F19">
              <w:rPr>
                <w:sz w:val="24"/>
                <w:szCs w:val="20"/>
              </w:rPr>
              <w:t>5</w:t>
            </w:r>
          </w:p>
        </w:tc>
        <w:tc>
          <w:tcPr>
            <w:tcW w:w="8499" w:type="dxa"/>
          </w:tcPr>
          <w:p w14:paraId="494DF46B" w14:textId="77777777" w:rsidR="00191B29" w:rsidRPr="00191B29" w:rsidRDefault="00191B29" w:rsidP="00D45012">
            <w:pPr>
              <w:pStyle w:val="aff"/>
              <w:jc w:val="both"/>
              <w:rPr>
                <w:sz w:val="24"/>
                <w:szCs w:val="20"/>
                <w:lang w:val="ru-RU"/>
              </w:rPr>
            </w:pPr>
            <w:r w:rsidRPr="00191B29">
              <w:rPr>
                <w:sz w:val="24"/>
                <w:szCs w:val="20"/>
                <w:lang w:val="ru-RU" w:bidi="ru-RU"/>
              </w:rPr>
              <w:t>Имеется лишь обоснование механизма действия вмешательства (доклинические исследования) или мнение экспертов</w:t>
            </w:r>
          </w:p>
        </w:tc>
      </w:tr>
    </w:tbl>
    <w:p w14:paraId="6839C6E1" w14:textId="77777777" w:rsidR="00191B29" w:rsidRPr="00BF19FB" w:rsidRDefault="00191B29" w:rsidP="00191B29">
      <w:pPr>
        <w:pStyle w:val="aff"/>
        <w:spacing w:line="360" w:lineRule="auto"/>
      </w:pPr>
    </w:p>
    <w:p w14:paraId="5AF59AD4" w14:textId="77777777" w:rsidR="00FA2C6B" w:rsidRDefault="00191B29" w:rsidP="00FA2C6B">
      <w:pPr>
        <w:pStyle w:val="aff"/>
        <w:spacing w:line="360" w:lineRule="auto"/>
        <w:jc w:val="right"/>
        <w:rPr>
          <w:b/>
          <w:bCs/>
          <w:sz w:val="24"/>
          <w:szCs w:val="20"/>
          <w:lang w:bidi="ru-RU"/>
        </w:rPr>
      </w:pPr>
      <w:r w:rsidRPr="00970F19">
        <w:rPr>
          <w:b/>
          <w:bCs/>
          <w:sz w:val="24"/>
          <w:szCs w:val="20"/>
          <w:lang w:bidi="ru-RU"/>
        </w:rPr>
        <w:t xml:space="preserve">Таблица </w:t>
      </w:r>
      <w:r w:rsidR="00C668C7" w:rsidRPr="00BF19FB">
        <w:rPr>
          <w:b/>
          <w:bCs/>
          <w:sz w:val="24"/>
          <w:szCs w:val="20"/>
          <w:lang w:bidi="ru-RU"/>
        </w:rPr>
        <w:t>4</w:t>
      </w:r>
      <w:r w:rsidRPr="00970F19">
        <w:rPr>
          <w:b/>
          <w:bCs/>
          <w:sz w:val="24"/>
          <w:szCs w:val="20"/>
          <w:lang w:bidi="ru-RU"/>
        </w:rPr>
        <w:t xml:space="preserve">. </w:t>
      </w:r>
    </w:p>
    <w:p w14:paraId="0B8F8BA5" w14:textId="147EAE68" w:rsidR="00191B29" w:rsidRPr="001D558A" w:rsidRDefault="00191B29" w:rsidP="00FA2C6B">
      <w:pPr>
        <w:pStyle w:val="aff"/>
        <w:spacing w:line="360" w:lineRule="auto"/>
        <w:jc w:val="center"/>
        <w:rPr>
          <w:b/>
          <w:bCs/>
          <w:sz w:val="24"/>
          <w:szCs w:val="20"/>
        </w:rPr>
      </w:pPr>
      <w:r w:rsidRPr="00970F19">
        <w:rPr>
          <w:b/>
          <w:bCs/>
          <w:sz w:val="24"/>
          <w:szCs w:val="20"/>
          <w:lang w:bidi="ru-RU"/>
        </w:rPr>
        <w:t xml:space="preserve">Шкала оценки уровней </w:t>
      </w:r>
      <w:r>
        <w:rPr>
          <w:b/>
          <w:bCs/>
          <w:sz w:val="24"/>
          <w:szCs w:val="20"/>
          <w:lang w:bidi="ru-RU"/>
        </w:rPr>
        <w:t>убедительности</w:t>
      </w:r>
      <w:r w:rsidRPr="00970F19">
        <w:rPr>
          <w:b/>
          <w:bCs/>
          <w:sz w:val="24"/>
          <w:szCs w:val="20"/>
          <w:lang w:bidi="ru-RU"/>
        </w:rPr>
        <w:t xml:space="preserve"> </w:t>
      </w:r>
      <w:r>
        <w:rPr>
          <w:b/>
          <w:bCs/>
          <w:sz w:val="24"/>
          <w:szCs w:val="20"/>
          <w:lang w:bidi="ru-RU"/>
        </w:rPr>
        <w:t>рекомендаций</w:t>
      </w:r>
      <w:r w:rsidRPr="00970F19">
        <w:rPr>
          <w:b/>
          <w:bCs/>
          <w:sz w:val="24"/>
          <w:szCs w:val="20"/>
          <w:lang w:bidi="ru-RU"/>
        </w:rPr>
        <w:t xml:space="preserve"> (У</w:t>
      </w:r>
      <w:r w:rsidR="00803F2F">
        <w:rPr>
          <w:b/>
          <w:bCs/>
          <w:sz w:val="24"/>
          <w:szCs w:val="20"/>
          <w:lang w:bidi="ru-RU"/>
        </w:rPr>
        <w:t>У</w:t>
      </w:r>
      <w:r>
        <w:rPr>
          <w:b/>
          <w:bCs/>
          <w:sz w:val="24"/>
          <w:szCs w:val="20"/>
          <w:lang w:bidi="ru-RU"/>
        </w:rPr>
        <w:t>Р</w:t>
      </w:r>
      <w:r w:rsidRPr="00970F19">
        <w:rPr>
          <w:b/>
          <w:bCs/>
          <w:sz w:val="24"/>
          <w:szCs w:val="20"/>
          <w:lang w:bidi="ru-RU"/>
        </w:rPr>
        <w:t>) для методов профилактики, лечения и реабилитации (профилактических, лечебных, реабилитационных вмешательств)</w:t>
      </w:r>
    </w:p>
    <w:tbl>
      <w:tblPr>
        <w:tblStyle w:val="afe"/>
        <w:tblW w:w="0" w:type="auto"/>
        <w:tblLook w:val="04A0" w:firstRow="1" w:lastRow="0" w:firstColumn="1" w:lastColumn="0" w:noHBand="0" w:noVBand="1"/>
      </w:tblPr>
      <w:tblGrid>
        <w:gridCol w:w="846"/>
        <w:gridCol w:w="8493"/>
      </w:tblGrid>
      <w:tr w:rsidR="00191B29" w:rsidRPr="00970F19" w14:paraId="55A0CA23" w14:textId="77777777" w:rsidTr="00C668C7">
        <w:tc>
          <w:tcPr>
            <w:tcW w:w="846" w:type="dxa"/>
            <w:shd w:val="clear" w:color="auto" w:fill="E7E6E6" w:themeFill="background2"/>
          </w:tcPr>
          <w:p w14:paraId="1CECED9E" w14:textId="77777777" w:rsidR="00191B29" w:rsidRPr="00970F19" w:rsidRDefault="00191B29" w:rsidP="00D45012">
            <w:pPr>
              <w:pStyle w:val="aff"/>
              <w:jc w:val="both"/>
              <w:rPr>
                <w:b/>
                <w:bCs/>
                <w:sz w:val="24"/>
                <w:szCs w:val="20"/>
              </w:rPr>
            </w:pPr>
            <w:r w:rsidRPr="00970F19">
              <w:rPr>
                <w:b/>
                <w:bCs/>
                <w:sz w:val="24"/>
                <w:szCs w:val="20"/>
              </w:rPr>
              <w:t>У</w:t>
            </w:r>
            <w:r w:rsidR="00803F2F">
              <w:rPr>
                <w:b/>
                <w:bCs/>
                <w:sz w:val="24"/>
                <w:szCs w:val="20"/>
                <w:lang w:val="ru-RU"/>
              </w:rPr>
              <w:t>У</w:t>
            </w:r>
            <w:r w:rsidRPr="00970F19">
              <w:rPr>
                <w:b/>
                <w:bCs/>
                <w:sz w:val="24"/>
                <w:szCs w:val="20"/>
              </w:rPr>
              <w:t>Р</w:t>
            </w:r>
          </w:p>
        </w:tc>
        <w:tc>
          <w:tcPr>
            <w:tcW w:w="8499" w:type="dxa"/>
            <w:shd w:val="clear" w:color="auto" w:fill="E7E6E6" w:themeFill="background2"/>
          </w:tcPr>
          <w:p w14:paraId="48649479" w14:textId="77777777" w:rsidR="00191B29" w:rsidRPr="00970F19" w:rsidRDefault="00191B29" w:rsidP="00D45012">
            <w:pPr>
              <w:pStyle w:val="aff"/>
              <w:jc w:val="both"/>
              <w:rPr>
                <w:b/>
                <w:bCs/>
                <w:sz w:val="24"/>
                <w:szCs w:val="20"/>
              </w:rPr>
            </w:pPr>
            <w:r w:rsidRPr="00970F19">
              <w:rPr>
                <w:b/>
                <w:bCs/>
                <w:sz w:val="24"/>
                <w:szCs w:val="20"/>
              </w:rPr>
              <w:t>Расшифровка</w:t>
            </w:r>
          </w:p>
        </w:tc>
      </w:tr>
      <w:tr w:rsidR="00191B29" w:rsidRPr="00970F19" w14:paraId="046F9692" w14:textId="77777777" w:rsidTr="00C668C7">
        <w:tc>
          <w:tcPr>
            <w:tcW w:w="846" w:type="dxa"/>
            <w:shd w:val="clear" w:color="auto" w:fill="E7E6E6" w:themeFill="background2"/>
          </w:tcPr>
          <w:p w14:paraId="147774F0" w14:textId="77777777" w:rsidR="00191B29" w:rsidRPr="00970F19" w:rsidRDefault="00191B29" w:rsidP="00D45012">
            <w:pPr>
              <w:pStyle w:val="aff"/>
              <w:jc w:val="both"/>
              <w:rPr>
                <w:sz w:val="24"/>
                <w:szCs w:val="20"/>
              </w:rPr>
            </w:pPr>
            <w:r w:rsidRPr="00970F19">
              <w:rPr>
                <w:sz w:val="24"/>
                <w:szCs w:val="20"/>
              </w:rPr>
              <w:t>А</w:t>
            </w:r>
          </w:p>
        </w:tc>
        <w:tc>
          <w:tcPr>
            <w:tcW w:w="8499" w:type="dxa"/>
          </w:tcPr>
          <w:p w14:paraId="45CDD4F5" w14:textId="77777777" w:rsidR="00191B29" w:rsidRPr="00191B29" w:rsidRDefault="00191B29" w:rsidP="00D45012">
            <w:pPr>
              <w:pStyle w:val="aff"/>
              <w:jc w:val="both"/>
              <w:rPr>
                <w:sz w:val="24"/>
                <w:szCs w:val="20"/>
                <w:lang w:val="ru-RU"/>
              </w:rPr>
            </w:pPr>
            <w:r w:rsidRPr="00191B29">
              <w:rPr>
                <w:sz w:val="24"/>
                <w:szCs w:val="20"/>
                <w:lang w:val="ru-RU" w:bidi="ru-RU"/>
              </w:rP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191B29" w:rsidRPr="00970F19" w14:paraId="3287187C" w14:textId="77777777" w:rsidTr="00C668C7">
        <w:tc>
          <w:tcPr>
            <w:tcW w:w="846" w:type="dxa"/>
            <w:shd w:val="clear" w:color="auto" w:fill="E7E6E6" w:themeFill="background2"/>
          </w:tcPr>
          <w:p w14:paraId="47F0112A" w14:textId="77777777" w:rsidR="00191B29" w:rsidRPr="00970F19" w:rsidRDefault="00191B29" w:rsidP="00D45012">
            <w:pPr>
              <w:pStyle w:val="aff"/>
              <w:jc w:val="both"/>
              <w:rPr>
                <w:sz w:val="24"/>
                <w:szCs w:val="20"/>
              </w:rPr>
            </w:pPr>
            <w:r w:rsidRPr="00970F19">
              <w:rPr>
                <w:sz w:val="24"/>
                <w:szCs w:val="20"/>
              </w:rPr>
              <w:t>В</w:t>
            </w:r>
          </w:p>
        </w:tc>
        <w:tc>
          <w:tcPr>
            <w:tcW w:w="8499" w:type="dxa"/>
          </w:tcPr>
          <w:p w14:paraId="5FCF65F4" w14:textId="77777777" w:rsidR="00191B29" w:rsidRPr="00191B29" w:rsidRDefault="00191B29" w:rsidP="00D45012">
            <w:pPr>
              <w:pStyle w:val="aff"/>
              <w:jc w:val="both"/>
              <w:rPr>
                <w:sz w:val="24"/>
                <w:szCs w:val="20"/>
                <w:lang w:val="ru-RU"/>
              </w:rPr>
            </w:pPr>
            <w:r w:rsidRPr="00191B29">
              <w:rPr>
                <w:sz w:val="24"/>
                <w:szCs w:val="20"/>
                <w:lang w:val="ru-RU" w:bidi="ru-RU"/>
              </w:rP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191B29" w:rsidRPr="00970F19" w14:paraId="46BD54E4" w14:textId="77777777" w:rsidTr="00C668C7">
        <w:tc>
          <w:tcPr>
            <w:tcW w:w="846" w:type="dxa"/>
            <w:shd w:val="clear" w:color="auto" w:fill="E7E6E6" w:themeFill="background2"/>
          </w:tcPr>
          <w:p w14:paraId="03C31488" w14:textId="77777777" w:rsidR="00191B29" w:rsidRPr="00970F19" w:rsidRDefault="00191B29" w:rsidP="00D45012">
            <w:pPr>
              <w:pStyle w:val="aff"/>
              <w:jc w:val="both"/>
              <w:rPr>
                <w:sz w:val="24"/>
                <w:szCs w:val="20"/>
              </w:rPr>
            </w:pPr>
            <w:r w:rsidRPr="00970F19">
              <w:rPr>
                <w:sz w:val="24"/>
                <w:szCs w:val="20"/>
              </w:rPr>
              <w:t>С</w:t>
            </w:r>
          </w:p>
        </w:tc>
        <w:tc>
          <w:tcPr>
            <w:tcW w:w="8499" w:type="dxa"/>
          </w:tcPr>
          <w:p w14:paraId="6DF763D2" w14:textId="77777777" w:rsidR="00191B29" w:rsidRPr="00191B29" w:rsidRDefault="00191B29" w:rsidP="00D45012">
            <w:pPr>
              <w:pStyle w:val="aff"/>
              <w:jc w:val="both"/>
              <w:rPr>
                <w:sz w:val="24"/>
                <w:szCs w:val="20"/>
                <w:lang w:val="ru-RU"/>
              </w:rPr>
            </w:pPr>
            <w:r w:rsidRPr="00191B29">
              <w:rPr>
                <w:sz w:val="24"/>
                <w:szCs w:val="20"/>
                <w:lang w:val="ru-RU" w:bidi="ru-RU"/>
              </w:rP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14:paraId="686E945B" w14:textId="77777777" w:rsidR="00191B29" w:rsidRDefault="00191B29" w:rsidP="00191B29">
      <w:pPr>
        <w:pStyle w:val="aff"/>
      </w:pPr>
    </w:p>
    <w:p w14:paraId="753E459D" w14:textId="4D9080BB" w:rsidR="00EE3312" w:rsidRPr="00D35B89" w:rsidRDefault="00EE3312" w:rsidP="00EE3312">
      <w:pPr>
        <w:spacing w:after="0" w:line="360" w:lineRule="auto"/>
        <w:jc w:val="center"/>
        <w:rPr>
          <w:rFonts w:eastAsia="Times New Roman" w:cs="Times New Roman"/>
          <w:sz w:val="24"/>
          <w:szCs w:val="24"/>
        </w:rPr>
      </w:pPr>
      <w:r w:rsidRPr="00EE3312">
        <w:rPr>
          <w:rFonts w:eastAsia="Times New Roman" w:cs="Times New Roman"/>
          <w:b/>
          <w:bCs/>
          <w:sz w:val="24"/>
          <w:szCs w:val="24"/>
        </w:rPr>
        <w:t>Шкала</w:t>
      </w:r>
      <w:r w:rsidRPr="00D35B89">
        <w:rPr>
          <w:rFonts w:eastAsia="Times New Roman" w:cs="Times New Roman"/>
          <w:b/>
          <w:bCs/>
          <w:sz w:val="24"/>
          <w:szCs w:val="24"/>
        </w:rPr>
        <w:t xml:space="preserve"> </w:t>
      </w:r>
      <w:r w:rsidRPr="00EE3312">
        <w:rPr>
          <w:rFonts w:eastAsia="Times New Roman" w:cs="Times New Roman"/>
          <w:b/>
          <w:bCs/>
          <w:sz w:val="24"/>
          <w:szCs w:val="24"/>
          <w:lang w:val="en-US"/>
        </w:rPr>
        <w:t>SCORE</w:t>
      </w:r>
      <w:r w:rsidRPr="00D35B89">
        <w:rPr>
          <w:rFonts w:eastAsia="Times New Roman" w:cs="Times New Roman"/>
          <w:b/>
          <w:bCs/>
          <w:sz w:val="24"/>
          <w:szCs w:val="24"/>
        </w:rPr>
        <w:t xml:space="preserve">-2 </w:t>
      </w:r>
      <w:r w:rsidRPr="00EE3312">
        <w:rPr>
          <w:rFonts w:eastAsia="Times New Roman" w:cs="Times New Roman"/>
          <w:b/>
          <w:bCs/>
          <w:sz w:val="24"/>
          <w:szCs w:val="24"/>
        </w:rPr>
        <w:t>и</w:t>
      </w:r>
      <w:r w:rsidRPr="00D35B89">
        <w:rPr>
          <w:rFonts w:eastAsia="Times New Roman" w:cs="Times New Roman"/>
          <w:b/>
          <w:bCs/>
          <w:sz w:val="24"/>
          <w:szCs w:val="24"/>
        </w:rPr>
        <w:t xml:space="preserve"> </w:t>
      </w:r>
      <w:r w:rsidRPr="00EE3312">
        <w:rPr>
          <w:rFonts w:eastAsia="Times New Roman" w:cs="Times New Roman"/>
          <w:b/>
          <w:bCs/>
          <w:sz w:val="24"/>
          <w:szCs w:val="24"/>
          <w:lang w:val="en-US"/>
        </w:rPr>
        <w:t>SCORE</w:t>
      </w:r>
      <w:r w:rsidRPr="00D35B89">
        <w:rPr>
          <w:rFonts w:eastAsia="Times New Roman" w:cs="Times New Roman"/>
          <w:b/>
          <w:bCs/>
          <w:sz w:val="24"/>
          <w:szCs w:val="24"/>
        </w:rPr>
        <w:t>2-</w:t>
      </w:r>
      <w:r w:rsidRPr="00EE3312">
        <w:rPr>
          <w:rFonts w:eastAsia="Times New Roman" w:cs="Times New Roman"/>
          <w:b/>
          <w:bCs/>
          <w:sz w:val="24"/>
          <w:szCs w:val="24"/>
          <w:lang w:val="en-US"/>
        </w:rPr>
        <w:t>OP</w:t>
      </w:r>
    </w:p>
    <w:p w14:paraId="7101A114" w14:textId="7739A9DC" w:rsidR="00EE3312" w:rsidRPr="00EE3312" w:rsidRDefault="00EE3312" w:rsidP="00EE3312">
      <w:pPr>
        <w:spacing w:after="0" w:line="360" w:lineRule="auto"/>
        <w:jc w:val="both"/>
        <w:rPr>
          <w:rFonts w:eastAsia="Times New Roman" w:cs="Times New Roman"/>
          <w:sz w:val="24"/>
          <w:szCs w:val="24"/>
        </w:rPr>
      </w:pPr>
      <w:r w:rsidRPr="00EE3312">
        <w:rPr>
          <w:rFonts w:eastAsia="Times New Roman" w:cs="Times New Roman"/>
          <w:b/>
          <w:bCs/>
          <w:sz w:val="24"/>
          <w:szCs w:val="24"/>
        </w:rPr>
        <w:t xml:space="preserve">Название на русском языке: </w:t>
      </w:r>
      <w:r w:rsidRPr="00EE3312">
        <w:rPr>
          <w:rFonts w:eastAsia="Times New Roman" w:cs="Times New Roman"/>
          <w:sz w:val="24"/>
          <w:szCs w:val="24"/>
        </w:rPr>
        <w:t xml:space="preserve">Шкала </w:t>
      </w:r>
      <w:r w:rsidRPr="00EE3312">
        <w:rPr>
          <w:rFonts w:eastAsia="Times New Roman" w:cs="Times New Roman"/>
          <w:sz w:val="24"/>
          <w:szCs w:val="24"/>
          <w:lang w:val="en-US"/>
        </w:rPr>
        <w:t>SCORE</w:t>
      </w:r>
      <w:r w:rsidRPr="00EE3312">
        <w:rPr>
          <w:rFonts w:eastAsia="Times New Roman" w:cs="Times New Roman"/>
          <w:sz w:val="24"/>
          <w:szCs w:val="24"/>
        </w:rPr>
        <w:t>-2 (10-летний риск фатальных и нефатальных СС осложнений в популяции очень высокого риска у пациентов в возрасте 40-69 лет)</w:t>
      </w:r>
      <w:r w:rsidR="00D35B89">
        <w:rPr>
          <w:rFonts w:eastAsia="Times New Roman" w:cs="Times New Roman"/>
          <w:sz w:val="24"/>
          <w:szCs w:val="24"/>
        </w:rPr>
        <w:t>.</w:t>
      </w:r>
    </w:p>
    <w:p w14:paraId="668D5EA5" w14:textId="037D1502" w:rsidR="00EE3312" w:rsidRPr="004745EE" w:rsidRDefault="00EE3312" w:rsidP="00EE3312">
      <w:pPr>
        <w:spacing w:after="0" w:line="360" w:lineRule="auto"/>
        <w:jc w:val="both"/>
        <w:rPr>
          <w:rFonts w:eastAsia="Times New Roman" w:cs="Times New Roman"/>
          <w:sz w:val="24"/>
          <w:szCs w:val="24"/>
          <w:lang w:val="en-US"/>
        </w:rPr>
      </w:pPr>
      <w:r w:rsidRPr="00EE3312">
        <w:rPr>
          <w:rFonts w:eastAsia="Times New Roman" w:cs="Times New Roman"/>
          <w:b/>
          <w:bCs/>
          <w:sz w:val="24"/>
          <w:szCs w:val="24"/>
        </w:rPr>
        <w:lastRenderedPageBreak/>
        <w:t>Оригинальное</w:t>
      </w:r>
      <w:r w:rsidRPr="00EE3312">
        <w:rPr>
          <w:rFonts w:eastAsia="Times New Roman" w:cs="Times New Roman"/>
          <w:b/>
          <w:bCs/>
          <w:sz w:val="24"/>
          <w:szCs w:val="24"/>
          <w:lang w:val="en-US"/>
        </w:rPr>
        <w:t xml:space="preserve"> </w:t>
      </w:r>
      <w:r w:rsidRPr="00EE3312">
        <w:rPr>
          <w:rFonts w:eastAsia="Times New Roman" w:cs="Times New Roman"/>
          <w:b/>
          <w:bCs/>
          <w:sz w:val="24"/>
          <w:szCs w:val="24"/>
        </w:rPr>
        <w:t>название</w:t>
      </w:r>
      <w:r w:rsidRPr="00EE3312">
        <w:rPr>
          <w:rFonts w:eastAsia="Times New Roman" w:cs="Times New Roman"/>
          <w:b/>
          <w:bCs/>
          <w:sz w:val="24"/>
          <w:szCs w:val="24"/>
          <w:lang w:val="en-US"/>
        </w:rPr>
        <w:t xml:space="preserve"> (</w:t>
      </w:r>
      <w:r w:rsidRPr="00EE3312">
        <w:rPr>
          <w:rFonts w:eastAsia="Times New Roman" w:cs="Times New Roman"/>
          <w:b/>
          <w:bCs/>
          <w:sz w:val="24"/>
          <w:szCs w:val="24"/>
        </w:rPr>
        <w:t>если</w:t>
      </w:r>
      <w:r w:rsidRPr="00EE3312">
        <w:rPr>
          <w:rFonts w:eastAsia="Times New Roman" w:cs="Times New Roman"/>
          <w:b/>
          <w:bCs/>
          <w:sz w:val="24"/>
          <w:szCs w:val="24"/>
          <w:lang w:val="en-US"/>
        </w:rPr>
        <w:t xml:space="preserve"> </w:t>
      </w:r>
      <w:r w:rsidRPr="00EE3312">
        <w:rPr>
          <w:rFonts w:eastAsia="Times New Roman" w:cs="Times New Roman"/>
          <w:b/>
          <w:bCs/>
          <w:sz w:val="24"/>
          <w:szCs w:val="24"/>
        </w:rPr>
        <w:t>есть</w:t>
      </w:r>
      <w:r w:rsidRPr="00EE3312">
        <w:rPr>
          <w:rFonts w:eastAsia="Times New Roman" w:cs="Times New Roman"/>
          <w:b/>
          <w:bCs/>
          <w:sz w:val="24"/>
          <w:szCs w:val="24"/>
          <w:lang w:val="en-US"/>
        </w:rPr>
        <w:t xml:space="preserve">): </w:t>
      </w:r>
      <w:r w:rsidRPr="00EE3312">
        <w:rPr>
          <w:rFonts w:eastAsia="Times New Roman" w:cs="Times New Roman"/>
          <w:sz w:val="24"/>
          <w:szCs w:val="24"/>
          <w:lang w:val="en-US"/>
        </w:rPr>
        <w:t>SCORE-2 scale (Systematic COronary Risk Evaluation- 2)</w:t>
      </w:r>
      <w:r w:rsidR="004745EE" w:rsidRPr="004745EE">
        <w:rPr>
          <w:rFonts w:eastAsia="Times New Roman" w:cs="Times New Roman"/>
          <w:sz w:val="24"/>
          <w:szCs w:val="24"/>
          <w:lang w:val="en-US"/>
        </w:rPr>
        <w:t>.</w:t>
      </w:r>
    </w:p>
    <w:p w14:paraId="5874CCD0" w14:textId="77777777" w:rsidR="00EE3312" w:rsidRPr="00EE3312" w:rsidRDefault="00EE3312" w:rsidP="00EE3312">
      <w:pPr>
        <w:spacing w:after="0" w:line="360" w:lineRule="auto"/>
        <w:jc w:val="both"/>
        <w:rPr>
          <w:rFonts w:eastAsia="Times New Roman" w:cs="Times New Roman"/>
          <w:sz w:val="24"/>
          <w:szCs w:val="24"/>
        </w:rPr>
      </w:pPr>
      <w:r w:rsidRPr="00EE3312">
        <w:rPr>
          <w:rFonts w:eastAsia="Times New Roman" w:cs="Times New Roman"/>
          <w:b/>
          <w:bCs/>
          <w:sz w:val="24"/>
          <w:szCs w:val="24"/>
        </w:rPr>
        <w:t>Тип (подчеркнуть):</w:t>
      </w:r>
    </w:p>
    <w:p w14:paraId="13E21E7B" w14:textId="77777777" w:rsidR="00EE3312" w:rsidRPr="00EE3312" w:rsidRDefault="00EE3312" w:rsidP="00EE3312">
      <w:pPr>
        <w:spacing w:after="0" w:line="360" w:lineRule="auto"/>
        <w:jc w:val="both"/>
        <w:rPr>
          <w:rFonts w:eastAsia="Times New Roman" w:cs="Times New Roman"/>
          <w:sz w:val="24"/>
          <w:szCs w:val="24"/>
        </w:rPr>
      </w:pPr>
      <w:r w:rsidRPr="00EE3312">
        <w:rPr>
          <w:rFonts w:eastAsia="Times New Roman" w:cs="Times New Roman"/>
          <w:sz w:val="24"/>
          <w:szCs w:val="24"/>
          <w:u w:val="single"/>
        </w:rPr>
        <w:t>- шкала оценки</w:t>
      </w:r>
    </w:p>
    <w:p w14:paraId="64B82322" w14:textId="77777777" w:rsidR="00EE3312" w:rsidRPr="00EE3312" w:rsidRDefault="00EE3312" w:rsidP="00EE3312">
      <w:pPr>
        <w:spacing w:after="0" w:line="360" w:lineRule="auto"/>
        <w:jc w:val="both"/>
        <w:rPr>
          <w:rFonts w:eastAsia="Times New Roman" w:cs="Times New Roman"/>
          <w:sz w:val="24"/>
          <w:szCs w:val="24"/>
        </w:rPr>
      </w:pPr>
      <w:r w:rsidRPr="00EE3312">
        <w:rPr>
          <w:rFonts w:eastAsia="Times New Roman" w:cs="Times New Roman"/>
          <w:sz w:val="24"/>
          <w:szCs w:val="24"/>
        </w:rPr>
        <w:t>— индекс</w:t>
      </w:r>
    </w:p>
    <w:p w14:paraId="0728B003" w14:textId="77777777" w:rsidR="00EE3312" w:rsidRPr="00EE3312" w:rsidRDefault="00EE3312" w:rsidP="00EE3312">
      <w:pPr>
        <w:spacing w:after="0" w:line="360" w:lineRule="auto"/>
        <w:jc w:val="both"/>
        <w:rPr>
          <w:rFonts w:eastAsia="Times New Roman" w:cs="Times New Roman"/>
          <w:sz w:val="24"/>
          <w:szCs w:val="24"/>
        </w:rPr>
      </w:pPr>
      <w:r w:rsidRPr="00EE3312">
        <w:rPr>
          <w:rFonts w:eastAsia="Times New Roman" w:cs="Times New Roman"/>
          <w:sz w:val="24"/>
          <w:szCs w:val="24"/>
        </w:rPr>
        <w:t>— вопросник</w:t>
      </w:r>
    </w:p>
    <w:p w14:paraId="3EF522B4" w14:textId="77777777" w:rsidR="00EE3312" w:rsidRPr="00EE3312" w:rsidRDefault="00EE3312" w:rsidP="00EE3312">
      <w:pPr>
        <w:spacing w:after="0" w:line="360" w:lineRule="auto"/>
        <w:jc w:val="both"/>
        <w:rPr>
          <w:rFonts w:eastAsia="Times New Roman" w:cs="Times New Roman"/>
          <w:sz w:val="24"/>
          <w:szCs w:val="24"/>
        </w:rPr>
      </w:pPr>
      <w:r w:rsidRPr="00EE3312">
        <w:rPr>
          <w:rFonts w:eastAsia="Times New Roman" w:cs="Times New Roman"/>
          <w:sz w:val="24"/>
          <w:szCs w:val="24"/>
        </w:rPr>
        <w:t>— другое (уточнить):</w:t>
      </w:r>
    </w:p>
    <w:p w14:paraId="5D413565" w14:textId="77777777" w:rsidR="00EE3312" w:rsidRDefault="00EE3312" w:rsidP="00EE3312">
      <w:pPr>
        <w:spacing w:after="0" w:line="360" w:lineRule="auto"/>
        <w:jc w:val="both"/>
        <w:rPr>
          <w:rFonts w:eastAsia="Times New Roman" w:cs="Times New Roman"/>
          <w:sz w:val="24"/>
          <w:szCs w:val="24"/>
        </w:rPr>
      </w:pPr>
      <w:r w:rsidRPr="00EE3312">
        <w:rPr>
          <w:rFonts w:eastAsia="Times New Roman" w:cs="Times New Roman"/>
          <w:b/>
          <w:bCs/>
          <w:sz w:val="24"/>
          <w:szCs w:val="24"/>
        </w:rPr>
        <w:t xml:space="preserve">Назначение: </w:t>
      </w:r>
      <w:r w:rsidRPr="00EE3312">
        <w:rPr>
          <w:rFonts w:eastAsia="Times New Roman" w:cs="Times New Roman"/>
          <w:sz w:val="24"/>
          <w:szCs w:val="24"/>
        </w:rPr>
        <w:t>клинический инструмент для оценки риска смертельного сердечно</w:t>
      </w:r>
      <w:r w:rsidRPr="00EE3312">
        <w:rPr>
          <w:rFonts w:eastAsia="Times New Roman" w:cs="Times New Roman"/>
          <w:sz w:val="24"/>
          <w:szCs w:val="24"/>
        </w:rPr>
        <w:softHyphen/>
        <w:t xml:space="preserve">сосудистого заболевания в течение 10 лет. Настоящая шкала разработана для стран с очень высоким уровнем смертности от ССЗ (включая Россию) на основании следующих факторов: возраст, пол, курение, уровень систолического АД и ОХС. Общая оценка риска с помощью </w:t>
      </w:r>
      <w:r w:rsidRPr="00EE3312">
        <w:rPr>
          <w:rFonts w:eastAsia="Times New Roman" w:cs="Times New Roman"/>
          <w:sz w:val="24"/>
          <w:szCs w:val="24"/>
          <w:lang w:val="en-US"/>
        </w:rPr>
        <w:t>SCORE</w:t>
      </w:r>
      <w:r w:rsidRPr="00EE3312">
        <w:rPr>
          <w:rFonts w:eastAsia="Times New Roman" w:cs="Times New Roman"/>
          <w:sz w:val="24"/>
          <w:szCs w:val="24"/>
        </w:rPr>
        <w:t xml:space="preserve">-2 рекомендуется у бессимптомных взрослых старше 40 лет, без ССЗ, СД, ХБП или СГХС. Для практически здоровых людей в возрасте ≥ 70 лет для оценки риска 5-летних и 10-летних смертельных и несмертельных сердечно-сосудистых событий (инфаркт миокарда, инсульт) используется алгоритм </w:t>
      </w:r>
      <w:r w:rsidRPr="00EE3312">
        <w:rPr>
          <w:rFonts w:eastAsia="Times New Roman" w:cs="Times New Roman"/>
          <w:sz w:val="24"/>
          <w:szCs w:val="24"/>
          <w:lang w:val="en-US"/>
        </w:rPr>
        <w:t>SCORE</w:t>
      </w:r>
      <w:r w:rsidRPr="00EE3312">
        <w:rPr>
          <w:rFonts w:eastAsia="Times New Roman" w:cs="Times New Roman"/>
          <w:sz w:val="24"/>
          <w:szCs w:val="24"/>
        </w:rPr>
        <w:t>2-</w:t>
      </w:r>
      <w:r w:rsidRPr="00EE3312">
        <w:rPr>
          <w:rFonts w:eastAsia="Times New Roman" w:cs="Times New Roman"/>
          <w:sz w:val="24"/>
          <w:szCs w:val="24"/>
          <w:lang w:val="en-US"/>
        </w:rPr>
        <w:t>OP</w:t>
      </w:r>
      <w:r w:rsidRPr="00EE3312">
        <w:rPr>
          <w:rFonts w:eastAsia="Times New Roman" w:cs="Times New Roman"/>
          <w:sz w:val="24"/>
          <w:szCs w:val="24"/>
        </w:rPr>
        <w:t xml:space="preserve"> с поправкой на конкурирующие риски.</w:t>
      </w:r>
    </w:p>
    <w:p w14:paraId="29AA5403" w14:textId="77777777" w:rsidR="00EE3312" w:rsidRDefault="00EE3312" w:rsidP="00EE3312">
      <w:pPr>
        <w:spacing w:after="0" w:line="360" w:lineRule="auto"/>
        <w:jc w:val="both"/>
        <w:rPr>
          <w:rFonts w:eastAsia="Times New Roman" w:cs="Times New Roman"/>
          <w:sz w:val="24"/>
          <w:szCs w:val="24"/>
        </w:rPr>
      </w:pPr>
    </w:p>
    <w:p w14:paraId="04729150" w14:textId="77777777" w:rsidR="00A87D4C" w:rsidRDefault="00A87D4C" w:rsidP="00EE3312">
      <w:pPr>
        <w:spacing w:after="0" w:line="360" w:lineRule="auto"/>
        <w:jc w:val="both"/>
        <w:rPr>
          <w:rFonts w:eastAsia="Times New Roman" w:cs="Times New Roman"/>
          <w:sz w:val="24"/>
          <w:szCs w:val="24"/>
        </w:rPr>
      </w:pPr>
    </w:p>
    <w:p w14:paraId="61AFCC7B" w14:textId="77777777" w:rsidR="00A87D4C" w:rsidRDefault="00A87D4C" w:rsidP="00EE3312">
      <w:pPr>
        <w:spacing w:after="0" w:line="360" w:lineRule="auto"/>
        <w:jc w:val="both"/>
        <w:rPr>
          <w:rFonts w:eastAsia="Times New Roman" w:cs="Times New Roman"/>
          <w:sz w:val="24"/>
          <w:szCs w:val="24"/>
        </w:rPr>
      </w:pPr>
    </w:p>
    <w:p w14:paraId="4D7A7BB3" w14:textId="77777777" w:rsidR="00A87D4C" w:rsidRDefault="00A87D4C" w:rsidP="00EE3312">
      <w:pPr>
        <w:spacing w:after="0" w:line="360" w:lineRule="auto"/>
        <w:jc w:val="both"/>
        <w:rPr>
          <w:rFonts w:eastAsia="Times New Roman" w:cs="Times New Roman"/>
          <w:sz w:val="24"/>
          <w:szCs w:val="24"/>
        </w:rPr>
      </w:pPr>
    </w:p>
    <w:p w14:paraId="66242245" w14:textId="77777777" w:rsidR="00A87D4C" w:rsidRDefault="00A87D4C" w:rsidP="00EE3312">
      <w:pPr>
        <w:spacing w:after="0" w:line="360" w:lineRule="auto"/>
        <w:jc w:val="both"/>
        <w:rPr>
          <w:rFonts w:eastAsia="Times New Roman" w:cs="Times New Roman"/>
          <w:sz w:val="24"/>
          <w:szCs w:val="24"/>
        </w:rPr>
      </w:pPr>
    </w:p>
    <w:p w14:paraId="26423DC2" w14:textId="77777777" w:rsidR="00A87D4C" w:rsidRDefault="00A87D4C" w:rsidP="00EE3312">
      <w:pPr>
        <w:spacing w:after="0" w:line="360" w:lineRule="auto"/>
        <w:jc w:val="both"/>
        <w:rPr>
          <w:rFonts w:eastAsia="Times New Roman" w:cs="Times New Roman"/>
          <w:sz w:val="24"/>
          <w:szCs w:val="24"/>
        </w:rPr>
      </w:pPr>
    </w:p>
    <w:p w14:paraId="24612D61" w14:textId="77777777" w:rsidR="00A87D4C" w:rsidRDefault="00A87D4C" w:rsidP="00EE3312">
      <w:pPr>
        <w:spacing w:after="0" w:line="360" w:lineRule="auto"/>
        <w:jc w:val="both"/>
        <w:rPr>
          <w:rFonts w:eastAsia="Times New Roman" w:cs="Times New Roman"/>
          <w:sz w:val="24"/>
          <w:szCs w:val="24"/>
        </w:rPr>
      </w:pPr>
    </w:p>
    <w:p w14:paraId="625789AF" w14:textId="77777777" w:rsidR="00A87D4C" w:rsidRDefault="00A87D4C" w:rsidP="00EE3312">
      <w:pPr>
        <w:spacing w:after="0" w:line="360" w:lineRule="auto"/>
        <w:jc w:val="both"/>
        <w:rPr>
          <w:rFonts w:eastAsia="Times New Roman" w:cs="Times New Roman"/>
          <w:sz w:val="24"/>
          <w:szCs w:val="24"/>
        </w:rPr>
      </w:pPr>
    </w:p>
    <w:p w14:paraId="53E621D5" w14:textId="77777777" w:rsidR="00A87D4C" w:rsidRDefault="00A87D4C" w:rsidP="00EE3312">
      <w:pPr>
        <w:spacing w:after="0" w:line="360" w:lineRule="auto"/>
        <w:jc w:val="both"/>
        <w:rPr>
          <w:rFonts w:eastAsia="Times New Roman" w:cs="Times New Roman"/>
          <w:sz w:val="24"/>
          <w:szCs w:val="24"/>
        </w:rPr>
      </w:pPr>
    </w:p>
    <w:p w14:paraId="06E855E5" w14:textId="77777777" w:rsidR="00A87D4C" w:rsidRDefault="00A87D4C" w:rsidP="00EE3312">
      <w:pPr>
        <w:spacing w:after="0" w:line="360" w:lineRule="auto"/>
        <w:jc w:val="both"/>
        <w:rPr>
          <w:rFonts w:eastAsia="Times New Roman" w:cs="Times New Roman"/>
          <w:sz w:val="24"/>
          <w:szCs w:val="24"/>
        </w:rPr>
      </w:pPr>
    </w:p>
    <w:p w14:paraId="55A80FA7" w14:textId="77777777" w:rsidR="00A87D4C" w:rsidRDefault="00A87D4C" w:rsidP="00EE3312">
      <w:pPr>
        <w:spacing w:after="0" w:line="360" w:lineRule="auto"/>
        <w:jc w:val="both"/>
        <w:rPr>
          <w:rFonts w:eastAsia="Times New Roman" w:cs="Times New Roman"/>
          <w:sz w:val="24"/>
          <w:szCs w:val="24"/>
        </w:rPr>
      </w:pPr>
    </w:p>
    <w:p w14:paraId="1CADADF4" w14:textId="77777777" w:rsidR="00A87D4C" w:rsidRDefault="00A87D4C" w:rsidP="00EE3312">
      <w:pPr>
        <w:spacing w:after="0" w:line="360" w:lineRule="auto"/>
        <w:jc w:val="both"/>
        <w:rPr>
          <w:rFonts w:eastAsia="Times New Roman" w:cs="Times New Roman"/>
          <w:sz w:val="24"/>
          <w:szCs w:val="24"/>
        </w:rPr>
      </w:pPr>
    </w:p>
    <w:p w14:paraId="1C69D678" w14:textId="77777777" w:rsidR="00A87D4C" w:rsidRDefault="00A87D4C" w:rsidP="00EE3312">
      <w:pPr>
        <w:spacing w:after="0" w:line="360" w:lineRule="auto"/>
        <w:jc w:val="both"/>
        <w:rPr>
          <w:rFonts w:eastAsia="Times New Roman" w:cs="Times New Roman"/>
          <w:sz w:val="24"/>
          <w:szCs w:val="24"/>
        </w:rPr>
      </w:pPr>
    </w:p>
    <w:p w14:paraId="6931513F" w14:textId="77777777" w:rsidR="001A12F4" w:rsidRDefault="001A12F4" w:rsidP="00EE3312">
      <w:pPr>
        <w:spacing w:after="0" w:line="360" w:lineRule="auto"/>
        <w:jc w:val="both"/>
        <w:rPr>
          <w:rFonts w:eastAsia="Times New Roman" w:cs="Times New Roman"/>
          <w:sz w:val="24"/>
          <w:szCs w:val="24"/>
        </w:rPr>
      </w:pPr>
    </w:p>
    <w:p w14:paraId="31898352" w14:textId="77777777" w:rsidR="001A12F4" w:rsidRDefault="001A12F4" w:rsidP="00EE3312">
      <w:pPr>
        <w:spacing w:after="0" w:line="360" w:lineRule="auto"/>
        <w:jc w:val="both"/>
        <w:rPr>
          <w:rFonts w:eastAsia="Times New Roman" w:cs="Times New Roman"/>
          <w:sz w:val="24"/>
          <w:szCs w:val="24"/>
        </w:rPr>
      </w:pPr>
    </w:p>
    <w:p w14:paraId="53B7C039" w14:textId="77777777" w:rsidR="001A12F4" w:rsidRDefault="001A12F4" w:rsidP="00EE3312">
      <w:pPr>
        <w:spacing w:after="0" w:line="360" w:lineRule="auto"/>
        <w:jc w:val="both"/>
        <w:rPr>
          <w:rFonts w:eastAsia="Times New Roman" w:cs="Times New Roman"/>
          <w:sz w:val="24"/>
          <w:szCs w:val="24"/>
        </w:rPr>
      </w:pPr>
    </w:p>
    <w:p w14:paraId="21A1C20E" w14:textId="77777777" w:rsidR="00A87D4C" w:rsidRDefault="00A87D4C" w:rsidP="00EE3312">
      <w:pPr>
        <w:spacing w:after="0" w:line="360" w:lineRule="auto"/>
        <w:jc w:val="both"/>
        <w:rPr>
          <w:rFonts w:eastAsia="Times New Roman" w:cs="Times New Roman"/>
          <w:sz w:val="24"/>
          <w:szCs w:val="24"/>
        </w:rPr>
      </w:pPr>
    </w:p>
    <w:p w14:paraId="67AA0905" w14:textId="77777777" w:rsidR="00A87D4C" w:rsidRDefault="00A87D4C" w:rsidP="00EE3312">
      <w:pPr>
        <w:spacing w:after="0" w:line="360" w:lineRule="auto"/>
        <w:jc w:val="both"/>
        <w:rPr>
          <w:rFonts w:eastAsia="Times New Roman" w:cs="Times New Roman"/>
          <w:sz w:val="24"/>
          <w:szCs w:val="24"/>
        </w:rPr>
      </w:pPr>
    </w:p>
    <w:p w14:paraId="0665B549" w14:textId="77777777" w:rsidR="00EE3312" w:rsidRPr="00EE3312" w:rsidRDefault="00EE3312" w:rsidP="00EE3312">
      <w:pPr>
        <w:spacing w:after="0" w:line="360" w:lineRule="auto"/>
        <w:jc w:val="both"/>
        <w:rPr>
          <w:rFonts w:eastAsia="Times New Roman" w:cs="Times New Roman"/>
          <w:b/>
          <w:bCs/>
          <w:sz w:val="24"/>
          <w:szCs w:val="24"/>
        </w:rPr>
      </w:pPr>
      <w:r w:rsidRPr="00EE3312">
        <w:rPr>
          <w:rFonts w:eastAsia="Times New Roman" w:cs="Times New Roman"/>
          <w:b/>
          <w:bCs/>
          <w:sz w:val="24"/>
          <w:szCs w:val="24"/>
        </w:rPr>
        <w:lastRenderedPageBreak/>
        <w:t xml:space="preserve">Содержание (шаблон): </w:t>
      </w:r>
    </w:p>
    <w:p w14:paraId="06E85BDC" w14:textId="77777777" w:rsidR="00EE3312" w:rsidRPr="00EE3312" w:rsidRDefault="00EE3312" w:rsidP="00EE3312">
      <w:pPr>
        <w:spacing w:after="0" w:line="360" w:lineRule="auto"/>
        <w:jc w:val="both"/>
        <w:rPr>
          <w:rFonts w:eastAsia="Times New Roman" w:cs="Times New Roman"/>
          <w:sz w:val="24"/>
          <w:szCs w:val="24"/>
        </w:rPr>
      </w:pPr>
      <w:r>
        <w:rPr>
          <w:noProof/>
          <w:lang w:eastAsia="ru-RU"/>
        </w:rPr>
        <w:drawing>
          <wp:inline distT="0" distB="0" distL="0" distR="0" wp14:anchorId="36226D65" wp14:editId="61CB8D23">
            <wp:extent cx="5936615" cy="5404485"/>
            <wp:effectExtent l="0" t="0" r="6985" b="5715"/>
            <wp:docPr id="8237675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767508" name=""/>
                    <pic:cNvPicPr/>
                  </pic:nvPicPr>
                  <pic:blipFill>
                    <a:blip r:embed="rId48" cstate="print"/>
                    <a:stretch>
                      <a:fillRect/>
                    </a:stretch>
                  </pic:blipFill>
                  <pic:spPr>
                    <a:xfrm>
                      <a:off x="0" y="0"/>
                      <a:ext cx="5936615" cy="5404485"/>
                    </a:xfrm>
                    <a:prstGeom prst="rect">
                      <a:avLst/>
                    </a:prstGeom>
                  </pic:spPr>
                </pic:pic>
              </a:graphicData>
            </a:graphic>
          </wp:inline>
        </w:drawing>
      </w:r>
    </w:p>
    <w:p w14:paraId="276D33D8" w14:textId="77777777" w:rsidR="003B0E24" w:rsidRDefault="003B0E24" w:rsidP="007A5FE6">
      <w:pPr>
        <w:spacing w:after="0" w:line="360" w:lineRule="auto"/>
        <w:rPr>
          <w:rFonts w:eastAsia="Times New Roman" w:cs="Times New Roman"/>
          <w:b/>
          <w:bCs/>
          <w:sz w:val="24"/>
          <w:szCs w:val="24"/>
        </w:rPr>
      </w:pPr>
    </w:p>
    <w:p w14:paraId="236AB8DE" w14:textId="77777777" w:rsidR="00EE3312" w:rsidRPr="00EE3312" w:rsidRDefault="00EE3312" w:rsidP="007A5FE6">
      <w:pPr>
        <w:spacing w:after="0" w:line="360" w:lineRule="auto"/>
        <w:rPr>
          <w:rFonts w:eastAsia="Times New Roman" w:cs="Times New Roman"/>
          <w:b/>
          <w:bCs/>
          <w:sz w:val="24"/>
          <w:szCs w:val="24"/>
        </w:rPr>
      </w:pPr>
      <w:r w:rsidRPr="00EE3312">
        <w:rPr>
          <w:rFonts w:eastAsia="Times New Roman" w:cs="Times New Roman"/>
          <w:b/>
          <w:bCs/>
          <w:sz w:val="24"/>
          <w:szCs w:val="24"/>
        </w:rPr>
        <w:t xml:space="preserve">Ключ (интерпретация): </w:t>
      </w:r>
    </w:p>
    <w:p w14:paraId="5042D67E" w14:textId="77777777" w:rsidR="00EE3312" w:rsidRPr="00EE3312" w:rsidRDefault="00EE3312" w:rsidP="007A5FE6">
      <w:pPr>
        <w:spacing w:after="0" w:line="360" w:lineRule="auto"/>
        <w:rPr>
          <w:rFonts w:eastAsia="Times New Roman" w:cs="Times New Roman"/>
          <w:sz w:val="24"/>
          <w:szCs w:val="24"/>
        </w:rPr>
      </w:pPr>
      <w:r w:rsidRPr="00EE3312">
        <w:rPr>
          <w:rFonts w:eastAsia="Times New Roman" w:cs="Times New Roman"/>
          <w:sz w:val="24"/>
          <w:szCs w:val="24"/>
        </w:rPr>
        <w:t xml:space="preserve">Уровень суммарного СС риска по шкале SCORE-2: </w:t>
      </w:r>
    </w:p>
    <w:p w14:paraId="2F2B824E" w14:textId="77777777" w:rsidR="00191B29" w:rsidRDefault="007A5FE6" w:rsidP="007A5FE6">
      <w:pPr>
        <w:spacing w:after="0" w:line="360" w:lineRule="auto"/>
        <w:rPr>
          <w:rFonts w:eastAsia="Times New Roman" w:cs="Times New Roman"/>
          <w:sz w:val="24"/>
          <w:szCs w:val="24"/>
        </w:rPr>
      </w:pPr>
      <w:r>
        <w:rPr>
          <w:noProof/>
          <w:lang w:eastAsia="ru-RU"/>
        </w:rPr>
        <w:drawing>
          <wp:inline distT="0" distB="0" distL="0" distR="0" wp14:anchorId="58F26290" wp14:editId="65BC08E6">
            <wp:extent cx="3930650" cy="1575098"/>
            <wp:effectExtent l="0" t="0" r="0" b="6350"/>
            <wp:docPr id="44292857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928579" name=""/>
                    <pic:cNvPicPr/>
                  </pic:nvPicPr>
                  <pic:blipFill>
                    <a:blip r:embed="rId49" cstate="print"/>
                    <a:stretch>
                      <a:fillRect/>
                    </a:stretch>
                  </pic:blipFill>
                  <pic:spPr>
                    <a:xfrm>
                      <a:off x="0" y="0"/>
                      <a:ext cx="3944118" cy="1580495"/>
                    </a:xfrm>
                    <a:prstGeom prst="rect">
                      <a:avLst/>
                    </a:prstGeom>
                  </pic:spPr>
                </pic:pic>
              </a:graphicData>
            </a:graphic>
          </wp:inline>
        </w:drawing>
      </w:r>
    </w:p>
    <w:p w14:paraId="3332BEB5" w14:textId="77777777" w:rsidR="007A5FE6" w:rsidRDefault="007A5FE6" w:rsidP="00FA2C6B">
      <w:pPr>
        <w:spacing w:after="0" w:line="360" w:lineRule="auto"/>
        <w:jc w:val="both"/>
        <w:rPr>
          <w:rFonts w:eastAsia="Times New Roman" w:cs="Times New Roman"/>
          <w:sz w:val="24"/>
          <w:szCs w:val="24"/>
        </w:rPr>
      </w:pPr>
      <w:r>
        <w:rPr>
          <w:rFonts w:eastAsia="Times New Roman" w:cs="Times New Roman"/>
          <w:b/>
          <w:bCs/>
          <w:sz w:val="24"/>
          <w:szCs w:val="24"/>
        </w:rPr>
        <w:tab/>
      </w:r>
      <w:r w:rsidRPr="007A5FE6">
        <w:rPr>
          <w:rFonts w:eastAsia="Times New Roman" w:cs="Times New Roman"/>
          <w:b/>
          <w:bCs/>
          <w:sz w:val="24"/>
          <w:szCs w:val="24"/>
        </w:rPr>
        <w:t xml:space="preserve">Пояснения: </w:t>
      </w:r>
      <w:r w:rsidRPr="007A5FE6">
        <w:rPr>
          <w:rFonts w:eastAsia="Times New Roman" w:cs="Times New Roman"/>
          <w:sz w:val="24"/>
          <w:szCs w:val="24"/>
        </w:rPr>
        <w:t xml:space="preserve">Продолжительность жизни здорового человека без сердечно-сосудистых осложнений. Показано как уменьшается риск при снижении ХС не-ЛВП на 1 ммоль/л </w:t>
      </w:r>
    </w:p>
    <w:p w14:paraId="3CCAED76" w14:textId="77777777" w:rsidR="007A5FE6" w:rsidRDefault="007A5FE6" w:rsidP="007A5FE6">
      <w:pPr>
        <w:spacing w:after="0" w:line="360" w:lineRule="auto"/>
        <w:rPr>
          <w:rFonts w:eastAsia="Times New Roman" w:cs="Times New Roman"/>
          <w:sz w:val="24"/>
          <w:szCs w:val="24"/>
        </w:rPr>
      </w:pPr>
    </w:p>
    <w:p w14:paraId="50049B30" w14:textId="77777777" w:rsidR="007A5FE6" w:rsidRPr="007A5FE6" w:rsidRDefault="007A5FE6" w:rsidP="003B0E24">
      <w:pPr>
        <w:spacing w:after="0" w:line="360" w:lineRule="auto"/>
        <w:jc w:val="center"/>
        <w:rPr>
          <w:rFonts w:eastAsia="Times New Roman" w:cs="Times New Roman"/>
          <w:b/>
          <w:bCs/>
          <w:sz w:val="24"/>
          <w:szCs w:val="24"/>
        </w:rPr>
      </w:pPr>
      <w:r w:rsidRPr="007A5FE6">
        <w:rPr>
          <w:rFonts w:eastAsia="Times New Roman" w:cs="Times New Roman"/>
          <w:b/>
          <w:bCs/>
          <w:sz w:val="24"/>
          <w:szCs w:val="24"/>
        </w:rPr>
        <w:t>Шкала глобальной оценки 10-летнего сердечно-сосудистого риска</w:t>
      </w:r>
    </w:p>
    <w:tbl>
      <w:tblPr>
        <w:tblW w:w="0" w:type="auto"/>
        <w:tblInd w:w="-5" w:type="dxa"/>
        <w:tblLayout w:type="fixed"/>
        <w:tblCellMar>
          <w:left w:w="0" w:type="dxa"/>
          <w:right w:w="0" w:type="dxa"/>
        </w:tblCellMar>
        <w:tblLook w:val="0000" w:firstRow="0" w:lastRow="0" w:firstColumn="0" w:lastColumn="0" w:noHBand="0" w:noVBand="0"/>
      </w:tblPr>
      <w:tblGrid>
        <w:gridCol w:w="2136"/>
        <w:gridCol w:w="7392"/>
      </w:tblGrid>
      <w:tr w:rsidR="007A5FE6" w:rsidRPr="007A5FE6" w14:paraId="29D98A7F" w14:textId="77777777">
        <w:trPr>
          <w:trHeight w:val="2112"/>
        </w:trPr>
        <w:tc>
          <w:tcPr>
            <w:tcW w:w="2136" w:type="dxa"/>
            <w:tcBorders>
              <w:top w:val="single" w:sz="4" w:space="0" w:color="auto"/>
              <w:left w:val="single" w:sz="4" w:space="0" w:color="auto"/>
              <w:bottom w:val="nil"/>
              <w:right w:val="nil"/>
            </w:tcBorders>
            <w:shd w:val="clear" w:color="auto" w:fill="C00000"/>
            <w:vAlign w:val="center"/>
          </w:tcPr>
          <w:p w14:paraId="5BC259AD" w14:textId="77777777" w:rsidR="007A5FE6" w:rsidRPr="007A5FE6" w:rsidRDefault="007A5FE6" w:rsidP="007A5FE6">
            <w:pPr>
              <w:spacing w:after="0"/>
              <w:rPr>
                <w:rFonts w:eastAsia="Times New Roman" w:cs="Times New Roman"/>
                <w:sz w:val="24"/>
                <w:szCs w:val="24"/>
              </w:rPr>
            </w:pPr>
            <w:r w:rsidRPr="007A5FE6">
              <w:rPr>
                <w:rFonts w:eastAsia="Times New Roman" w:cs="Times New Roman"/>
                <w:sz w:val="24"/>
                <w:szCs w:val="24"/>
              </w:rPr>
              <w:t>Экстремальный</w:t>
            </w:r>
          </w:p>
        </w:tc>
        <w:tc>
          <w:tcPr>
            <w:tcW w:w="7392" w:type="dxa"/>
            <w:tcBorders>
              <w:top w:val="single" w:sz="4" w:space="0" w:color="auto"/>
              <w:left w:val="single" w:sz="4" w:space="0" w:color="auto"/>
              <w:bottom w:val="nil"/>
              <w:right w:val="single" w:sz="4" w:space="0" w:color="auto"/>
            </w:tcBorders>
            <w:vAlign w:val="center"/>
          </w:tcPr>
          <w:p w14:paraId="49F72880" w14:textId="1EC9D5A1" w:rsidR="007A5FE6" w:rsidRPr="007A5FE6" w:rsidRDefault="007A5FE6" w:rsidP="007A5FE6">
            <w:pPr>
              <w:spacing w:after="0"/>
              <w:jc w:val="both"/>
              <w:rPr>
                <w:rFonts w:eastAsia="Times New Roman" w:cs="Times New Roman"/>
                <w:sz w:val="24"/>
                <w:szCs w:val="24"/>
              </w:rPr>
            </w:pPr>
            <w:r w:rsidRPr="007A5FE6">
              <w:rPr>
                <w:rFonts w:eastAsia="Times New Roman" w:cs="Times New Roman"/>
                <w:sz w:val="24"/>
                <w:szCs w:val="24"/>
              </w:rPr>
              <w:t>- Сочетание клинически значимого сердечно</w:t>
            </w:r>
            <w:r w:rsidRPr="007A5FE6">
              <w:rPr>
                <w:rFonts w:eastAsia="Times New Roman" w:cs="Times New Roman"/>
                <w:sz w:val="24"/>
                <w:szCs w:val="24"/>
              </w:rPr>
              <w:softHyphen/>
            </w:r>
            <w:r w:rsidR="00FA2C6B">
              <w:rPr>
                <w:rFonts w:eastAsia="Times New Roman" w:cs="Times New Roman"/>
                <w:sz w:val="24"/>
                <w:szCs w:val="24"/>
              </w:rPr>
              <w:t>-</w:t>
            </w:r>
            <w:r w:rsidRPr="007A5FE6">
              <w:rPr>
                <w:rFonts w:eastAsia="Times New Roman" w:cs="Times New Roman"/>
                <w:sz w:val="24"/>
                <w:szCs w:val="24"/>
              </w:rPr>
              <w:t>сосудистого заболевания</w:t>
            </w:r>
            <w:r w:rsidRPr="007A5FE6">
              <w:rPr>
                <w:rFonts w:eastAsia="Times New Roman" w:cs="Times New Roman"/>
                <w:sz w:val="24"/>
                <w:szCs w:val="24"/>
                <w:vertAlign w:val="superscript"/>
              </w:rPr>
              <w:t>1</w:t>
            </w:r>
            <w:r w:rsidRPr="007A5FE6">
              <w:rPr>
                <w:rFonts w:eastAsia="Times New Roman" w:cs="Times New Roman"/>
                <w:sz w:val="24"/>
                <w:szCs w:val="24"/>
              </w:rPr>
              <w:t>, вызванного атеросклерозом, с СД 2 типа и/или СГХС или два сердечно-сосудистых события (осложнения) в течение 2-х лет</w:t>
            </w:r>
            <w:r w:rsidRPr="007A5FE6">
              <w:rPr>
                <w:rFonts w:eastAsia="Times New Roman" w:cs="Times New Roman"/>
                <w:sz w:val="24"/>
                <w:szCs w:val="24"/>
                <w:vertAlign w:val="superscript"/>
              </w:rPr>
              <w:t>2</w:t>
            </w:r>
            <w:r w:rsidRPr="007A5FE6">
              <w:rPr>
                <w:rFonts w:eastAsia="Times New Roman" w:cs="Times New Roman"/>
                <w:sz w:val="24"/>
                <w:szCs w:val="24"/>
              </w:rPr>
              <w:t xml:space="preserve"> у пациента с сердечно-сосудистым заболеванием, вызванным атеросклерозом, несмотря на оптимальную гиполипидемическую терапию</w:t>
            </w:r>
            <w:r w:rsidRPr="007A5FE6">
              <w:rPr>
                <w:rFonts w:eastAsia="Times New Roman" w:cs="Times New Roman"/>
                <w:sz w:val="24"/>
                <w:szCs w:val="24"/>
                <w:vertAlign w:val="superscript"/>
              </w:rPr>
              <w:t>3</w:t>
            </w:r>
            <w:r w:rsidRPr="007A5FE6">
              <w:rPr>
                <w:rFonts w:eastAsia="Times New Roman" w:cs="Times New Roman"/>
                <w:sz w:val="24"/>
                <w:szCs w:val="24"/>
              </w:rPr>
              <w:t xml:space="preserve"> и/или достигнутый уровень ХС ЛНП ≤1,4 ммоль/л</w:t>
            </w:r>
          </w:p>
        </w:tc>
      </w:tr>
      <w:tr w:rsidR="007A5FE6" w:rsidRPr="007A5FE6" w14:paraId="58AB73DD" w14:textId="77777777">
        <w:trPr>
          <w:trHeight w:val="4018"/>
        </w:trPr>
        <w:tc>
          <w:tcPr>
            <w:tcW w:w="2136" w:type="dxa"/>
            <w:tcBorders>
              <w:top w:val="single" w:sz="4" w:space="0" w:color="auto"/>
              <w:left w:val="single" w:sz="4" w:space="0" w:color="auto"/>
              <w:bottom w:val="nil"/>
              <w:right w:val="nil"/>
            </w:tcBorders>
            <w:shd w:val="clear" w:color="auto" w:fill="C00000"/>
            <w:vAlign w:val="center"/>
          </w:tcPr>
          <w:p w14:paraId="19A2F55E" w14:textId="77777777" w:rsidR="007A5FE6" w:rsidRPr="007A5FE6" w:rsidRDefault="007A5FE6" w:rsidP="007A5FE6">
            <w:pPr>
              <w:spacing w:after="0"/>
              <w:rPr>
                <w:rFonts w:eastAsia="Times New Roman" w:cs="Times New Roman"/>
                <w:sz w:val="24"/>
                <w:szCs w:val="24"/>
              </w:rPr>
            </w:pPr>
            <w:r w:rsidRPr="007A5FE6">
              <w:rPr>
                <w:rFonts w:eastAsia="Times New Roman" w:cs="Times New Roman"/>
                <w:sz w:val="24"/>
                <w:szCs w:val="24"/>
              </w:rPr>
              <w:t>Очень высокий</w:t>
            </w:r>
          </w:p>
        </w:tc>
        <w:tc>
          <w:tcPr>
            <w:tcW w:w="7392" w:type="dxa"/>
            <w:tcBorders>
              <w:top w:val="single" w:sz="4" w:space="0" w:color="auto"/>
              <w:left w:val="single" w:sz="4" w:space="0" w:color="auto"/>
              <w:bottom w:val="nil"/>
              <w:right w:val="single" w:sz="4" w:space="0" w:color="auto"/>
            </w:tcBorders>
            <w:vAlign w:val="center"/>
          </w:tcPr>
          <w:p w14:paraId="1BABD8B7" w14:textId="77777777" w:rsidR="007A5FE6" w:rsidRPr="007A5FE6" w:rsidRDefault="007A5FE6" w:rsidP="00424F51">
            <w:pPr>
              <w:numPr>
                <w:ilvl w:val="0"/>
                <w:numId w:val="49"/>
              </w:numPr>
              <w:spacing w:after="0"/>
              <w:jc w:val="both"/>
              <w:rPr>
                <w:rFonts w:eastAsia="Times New Roman" w:cs="Times New Roman"/>
                <w:sz w:val="24"/>
                <w:szCs w:val="24"/>
              </w:rPr>
            </w:pPr>
            <w:r w:rsidRPr="007A5FE6">
              <w:rPr>
                <w:rFonts w:eastAsia="Times New Roman" w:cs="Times New Roman"/>
                <w:sz w:val="24"/>
                <w:szCs w:val="24"/>
              </w:rPr>
              <w:t>Документированное атеросклеротическое ССЗ, клинически</w:t>
            </w:r>
          </w:p>
          <w:p w14:paraId="2AA5957C" w14:textId="77777777" w:rsidR="007A5FE6" w:rsidRPr="007A5FE6" w:rsidRDefault="007A5FE6" w:rsidP="007A5FE6">
            <w:pPr>
              <w:spacing w:after="0"/>
              <w:jc w:val="both"/>
              <w:rPr>
                <w:rFonts w:eastAsia="Times New Roman" w:cs="Times New Roman"/>
                <w:sz w:val="24"/>
                <w:szCs w:val="24"/>
              </w:rPr>
            </w:pPr>
            <w:r w:rsidRPr="007A5FE6">
              <w:rPr>
                <w:rFonts w:eastAsia="Times New Roman" w:cs="Times New Roman"/>
                <w:sz w:val="24"/>
                <w:szCs w:val="24"/>
              </w:rPr>
              <w:t>или по результатам обследования, включая перенесённый ОКС, стабильную стенокардию, ЧКВ, КШ или другие операции на артериях, инсульт/ТИА, поражения периферических артерий</w:t>
            </w:r>
          </w:p>
          <w:p w14:paraId="2D6487F2" w14:textId="77777777" w:rsidR="007A5FE6" w:rsidRPr="007A5FE6" w:rsidRDefault="007A5FE6" w:rsidP="00424F51">
            <w:pPr>
              <w:numPr>
                <w:ilvl w:val="0"/>
                <w:numId w:val="49"/>
              </w:numPr>
              <w:spacing w:after="0"/>
              <w:jc w:val="both"/>
              <w:rPr>
                <w:rFonts w:eastAsia="Times New Roman" w:cs="Times New Roman"/>
                <w:sz w:val="24"/>
                <w:szCs w:val="24"/>
              </w:rPr>
            </w:pPr>
            <w:r w:rsidRPr="007A5FE6">
              <w:rPr>
                <w:rFonts w:eastAsia="Times New Roman" w:cs="Times New Roman"/>
                <w:sz w:val="24"/>
                <w:szCs w:val="24"/>
              </w:rPr>
              <w:t>Бесспорно</w:t>
            </w:r>
            <w:r w:rsidRPr="007A5FE6">
              <w:rPr>
                <w:rFonts w:eastAsia="Times New Roman" w:cs="Times New Roman"/>
                <w:sz w:val="24"/>
                <w:szCs w:val="24"/>
              </w:rPr>
              <w:tab/>
              <w:t>документированное</w:t>
            </w:r>
            <w:r w:rsidRPr="007A5FE6">
              <w:rPr>
                <w:rFonts w:eastAsia="Times New Roman" w:cs="Times New Roman"/>
                <w:sz w:val="24"/>
                <w:szCs w:val="24"/>
              </w:rPr>
              <w:tab/>
              <w:t>ССЗ</w:t>
            </w:r>
            <w:r w:rsidRPr="007A5FE6">
              <w:rPr>
                <w:rFonts w:eastAsia="Times New Roman" w:cs="Times New Roman"/>
                <w:sz w:val="24"/>
                <w:szCs w:val="24"/>
              </w:rPr>
              <w:tab/>
              <w:t>по</w:t>
            </w:r>
            <w:r w:rsidRPr="007A5FE6">
              <w:rPr>
                <w:rFonts w:eastAsia="Times New Roman" w:cs="Times New Roman"/>
                <w:sz w:val="24"/>
                <w:szCs w:val="24"/>
              </w:rPr>
              <w:tab/>
              <w:t>результатам</w:t>
            </w:r>
          </w:p>
          <w:p w14:paraId="04C016D9" w14:textId="77777777" w:rsidR="007A5FE6" w:rsidRPr="007A5FE6" w:rsidRDefault="007A5FE6" w:rsidP="007A5FE6">
            <w:pPr>
              <w:spacing w:after="0"/>
              <w:jc w:val="both"/>
              <w:rPr>
                <w:rFonts w:eastAsia="Times New Roman" w:cs="Times New Roman"/>
                <w:sz w:val="24"/>
                <w:szCs w:val="24"/>
              </w:rPr>
            </w:pPr>
            <w:r w:rsidRPr="007A5FE6">
              <w:rPr>
                <w:rFonts w:eastAsia="Times New Roman" w:cs="Times New Roman"/>
                <w:sz w:val="24"/>
                <w:szCs w:val="24"/>
              </w:rPr>
              <w:t>визуализации:</w:t>
            </w:r>
            <w:r w:rsidRPr="007A5FE6">
              <w:rPr>
                <w:rFonts w:eastAsia="Times New Roman" w:cs="Times New Roman"/>
                <w:sz w:val="24"/>
                <w:szCs w:val="24"/>
              </w:rPr>
              <w:tab/>
              <w:t>значимая бляшка (стеноз ≥50%) по данным</w:t>
            </w:r>
          </w:p>
          <w:p w14:paraId="583944B1" w14:textId="77777777" w:rsidR="007A5FE6" w:rsidRPr="007A5FE6" w:rsidRDefault="007A5FE6" w:rsidP="007A5FE6">
            <w:pPr>
              <w:spacing w:after="0"/>
              <w:jc w:val="both"/>
              <w:rPr>
                <w:rFonts w:eastAsia="Times New Roman" w:cs="Times New Roman"/>
                <w:sz w:val="24"/>
                <w:szCs w:val="24"/>
              </w:rPr>
            </w:pPr>
            <w:r w:rsidRPr="007A5FE6">
              <w:rPr>
                <w:rFonts w:eastAsia="Times New Roman" w:cs="Times New Roman"/>
                <w:sz w:val="24"/>
                <w:szCs w:val="24"/>
              </w:rPr>
              <w:t>ангиографии или ультразвукового исследования; не включает увеличение толщины комплекса интима-медиа</w:t>
            </w:r>
            <w:r w:rsidR="00FB33EA">
              <w:rPr>
                <w:rFonts w:eastAsia="Times New Roman" w:cs="Times New Roman"/>
                <w:sz w:val="24"/>
                <w:szCs w:val="24"/>
                <w:vertAlign w:val="superscript"/>
              </w:rPr>
              <w:t>3</w:t>
            </w:r>
          </w:p>
          <w:p w14:paraId="280D2D8B" w14:textId="77777777" w:rsidR="007A5FE6" w:rsidRPr="007A5FE6" w:rsidRDefault="007A5FE6" w:rsidP="00424F51">
            <w:pPr>
              <w:numPr>
                <w:ilvl w:val="0"/>
                <w:numId w:val="49"/>
              </w:numPr>
              <w:spacing w:after="0"/>
              <w:jc w:val="both"/>
              <w:rPr>
                <w:rFonts w:eastAsia="Times New Roman" w:cs="Times New Roman"/>
                <w:sz w:val="24"/>
                <w:szCs w:val="24"/>
              </w:rPr>
            </w:pPr>
            <w:r w:rsidRPr="007A5FE6">
              <w:rPr>
                <w:rFonts w:eastAsia="Times New Roman" w:cs="Times New Roman"/>
                <w:sz w:val="24"/>
                <w:szCs w:val="24"/>
              </w:rPr>
              <w:t>СД + поражение органов-мишеней, &gt;3 ФР, а также раннее</w:t>
            </w:r>
          </w:p>
          <w:p w14:paraId="1C98EEE9" w14:textId="77777777" w:rsidR="007A5FE6" w:rsidRPr="007A5FE6" w:rsidRDefault="007A5FE6" w:rsidP="007A5FE6">
            <w:pPr>
              <w:spacing w:after="0"/>
              <w:jc w:val="both"/>
              <w:rPr>
                <w:rFonts w:eastAsia="Times New Roman" w:cs="Times New Roman"/>
                <w:sz w:val="24"/>
                <w:szCs w:val="24"/>
              </w:rPr>
            </w:pPr>
            <w:r w:rsidRPr="007A5FE6">
              <w:rPr>
                <w:rFonts w:eastAsia="Times New Roman" w:cs="Times New Roman"/>
                <w:sz w:val="24"/>
                <w:szCs w:val="24"/>
              </w:rPr>
              <w:t>начало СД 1 типа с длительностью&gt; 20 лет</w:t>
            </w:r>
          </w:p>
          <w:p w14:paraId="32122A13" w14:textId="77777777" w:rsidR="007A5FE6" w:rsidRPr="007A5FE6" w:rsidRDefault="007A5FE6" w:rsidP="00424F51">
            <w:pPr>
              <w:numPr>
                <w:ilvl w:val="0"/>
                <w:numId w:val="49"/>
              </w:numPr>
              <w:spacing w:after="0"/>
              <w:jc w:val="both"/>
              <w:rPr>
                <w:rFonts w:eastAsia="Times New Roman" w:cs="Times New Roman"/>
                <w:sz w:val="24"/>
                <w:szCs w:val="24"/>
              </w:rPr>
            </w:pPr>
            <w:r w:rsidRPr="007A5FE6">
              <w:rPr>
                <w:rFonts w:eastAsia="Times New Roman" w:cs="Times New Roman"/>
                <w:sz w:val="24"/>
                <w:szCs w:val="24"/>
              </w:rPr>
              <w:t xml:space="preserve">Выраженная ХБП с </w:t>
            </w:r>
            <w:proofErr w:type="gramStart"/>
            <w:r w:rsidRPr="007A5FE6">
              <w:rPr>
                <w:rFonts w:eastAsia="Times New Roman" w:cs="Times New Roman"/>
                <w:sz w:val="24"/>
                <w:szCs w:val="24"/>
              </w:rPr>
              <w:t>СКФ&lt;</w:t>
            </w:r>
            <w:proofErr w:type="gramEnd"/>
            <w:r w:rsidRPr="007A5FE6">
              <w:rPr>
                <w:rFonts w:eastAsia="Times New Roman" w:cs="Times New Roman"/>
                <w:sz w:val="24"/>
                <w:szCs w:val="24"/>
              </w:rPr>
              <w:t>30 мл/мин/1,73 м</w:t>
            </w:r>
            <w:r w:rsidRPr="007A5FE6">
              <w:rPr>
                <w:rFonts w:eastAsia="Times New Roman" w:cs="Times New Roman"/>
                <w:sz w:val="24"/>
                <w:szCs w:val="24"/>
                <w:vertAlign w:val="superscript"/>
              </w:rPr>
              <w:t>3</w:t>
            </w:r>
          </w:p>
          <w:p w14:paraId="7DE4F50A" w14:textId="77777777" w:rsidR="007A5FE6" w:rsidRPr="007A5FE6" w:rsidRDefault="007A5FE6" w:rsidP="00424F51">
            <w:pPr>
              <w:numPr>
                <w:ilvl w:val="0"/>
                <w:numId w:val="49"/>
              </w:numPr>
              <w:spacing w:after="0"/>
              <w:jc w:val="both"/>
              <w:rPr>
                <w:rFonts w:eastAsia="Times New Roman" w:cs="Times New Roman"/>
                <w:sz w:val="24"/>
                <w:szCs w:val="24"/>
              </w:rPr>
            </w:pPr>
            <w:r w:rsidRPr="007A5FE6">
              <w:rPr>
                <w:rFonts w:eastAsia="Times New Roman" w:cs="Times New Roman"/>
                <w:sz w:val="24"/>
                <w:szCs w:val="24"/>
                <w:lang w:val="en-US"/>
              </w:rPr>
              <w:t>SCORE</w:t>
            </w:r>
            <w:r w:rsidRPr="007A5FE6">
              <w:rPr>
                <w:rFonts w:eastAsia="Times New Roman" w:cs="Times New Roman"/>
                <w:sz w:val="24"/>
                <w:szCs w:val="24"/>
              </w:rPr>
              <w:t>-2 для лиц в возрасте &lt;50 лет &gt;7,5%, для лиц 50-69 лет</w:t>
            </w:r>
          </w:p>
          <w:p w14:paraId="53996E2D" w14:textId="77777777" w:rsidR="007A5FE6" w:rsidRPr="007A5FE6" w:rsidRDefault="007A5FE6" w:rsidP="007A5FE6">
            <w:pPr>
              <w:spacing w:after="0"/>
              <w:jc w:val="both"/>
              <w:rPr>
                <w:rFonts w:eastAsia="Times New Roman" w:cs="Times New Roman"/>
                <w:sz w:val="24"/>
                <w:szCs w:val="24"/>
              </w:rPr>
            </w:pPr>
            <w:r w:rsidRPr="007A5FE6">
              <w:rPr>
                <w:rFonts w:eastAsia="Times New Roman" w:cs="Times New Roman"/>
                <w:sz w:val="24"/>
                <w:szCs w:val="24"/>
              </w:rPr>
              <w:t xml:space="preserve">≥10% и </w:t>
            </w:r>
            <w:r w:rsidRPr="007A5FE6">
              <w:rPr>
                <w:rFonts w:eastAsia="Times New Roman" w:cs="Times New Roman"/>
                <w:sz w:val="24"/>
                <w:szCs w:val="24"/>
                <w:lang w:val="en-US"/>
              </w:rPr>
              <w:t>SCORE</w:t>
            </w:r>
            <w:r w:rsidRPr="007A5FE6">
              <w:rPr>
                <w:rFonts w:eastAsia="Times New Roman" w:cs="Times New Roman"/>
                <w:sz w:val="24"/>
                <w:szCs w:val="24"/>
              </w:rPr>
              <w:t>-2-</w:t>
            </w:r>
            <w:r w:rsidRPr="007A5FE6">
              <w:rPr>
                <w:rFonts w:eastAsia="Times New Roman" w:cs="Times New Roman"/>
                <w:sz w:val="24"/>
                <w:szCs w:val="24"/>
                <w:lang w:val="en-US"/>
              </w:rPr>
              <w:t>OP</w:t>
            </w:r>
            <w:r w:rsidRPr="007A5FE6">
              <w:rPr>
                <w:rFonts w:eastAsia="Times New Roman" w:cs="Times New Roman"/>
                <w:sz w:val="24"/>
                <w:szCs w:val="24"/>
              </w:rPr>
              <w:t xml:space="preserve"> для лиц в возрасте ≥ 70 лет ≥15%</w:t>
            </w:r>
          </w:p>
          <w:p w14:paraId="4024A3C4" w14:textId="77777777" w:rsidR="007A5FE6" w:rsidRPr="007A5FE6" w:rsidRDefault="007A5FE6" w:rsidP="00424F51">
            <w:pPr>
              <w:numPr>
                <w:ilvl w:val="0"/>
                <w:numId w:val="49"/>
              </w:numPr>
              <w:spacing w:after="0"/>
              <w:jc w:val="both"/>
              <w:rPr>
                <w:rFonts w:eastAsia="Times New Roman" w:cs="Times New Roman"/>
                <w:sz w:val="24"/>
                <w:szCs w:val="24"/>
              </w:rPr>
            </w:pPr>
            <w:r w:rsidRPr="007A5FE6">
              <w:rPr>
                <w:rFonts w:eastAsia="Times New Roman" w:cs="Times New Roman"/>
                <w:sz w:val="24"/>
                <w:szCs w:val="24"/>
              </w:rPr>
              <w:t>СГХС в сочетании с атеросклеротическим ССЗ или с ФР</w:t>
            </w:r>
          </w:p>
        </w:tc>
      </w:tr>
      <w:tr w:rsidR="007A5FE6" w:rsidRPr="007A5FE6" w14:paraId="34DD4E4B" w14:textId="77777777">
        <w:trPr>
          <w:trHeight w:val="2376"/>
        </w:trPr>
        <w:tc>
          <w:tcPr>
            <w:tcW w:w="2136" w:type="dxa"/>
            <w:tcBorders>
              <w:top w:val="single" w:sz="4" w:space="0" w:color="auto"/>
              <w:left w:val="single" w:sz="4" w:space="0" w:color="auto"/>
              <w:bottom w:val="nil"/>
              <w:right w:val="nil"/>
            </w:tcBorders>
            <w:shd w:val="clear" w:color="auto" w:fill="FF0000"/>
            <w:vAlign w:val="center"/>
          </w:tcPr>
          <w:p w14:paraId="4488C113" w14:textId="77777777" w:rsidR="007A5FE6" w:rsidRPr="007A5FE6" w:rsidRDefault="007A5FE6" w:rsidP="007A5FE6">
            <w:pPr>
              <w:spacing w:after="0"/>
              <w:rPr>
                <w:rFonts w:eastAsia="Times New Roman" w:cs="Times New Roman"/>
                <w:sz w:val="24"/>
                <w:szCs w:val="24"/>
              </w:rPr>
            </w:pPr>
            <w:r w:rsidRPr="007A5FE6">
              <w:rPr>
                <w:rFonts w:eastAsia="Times New Roman" w:cs="Times New Roman"/>
                <w:sz w:val="24"/>
                <w:szCs w:val="24"/>
              </w:rPr>
              <w:t>Высокий</w:t>
            </w:r>
          </w:p>
        </w:tc>
        <w:tc>
          <w:tcPr>
            <w:tcW w:w="7392" w:type="dxa"/>
            <w:tcBorders>
              <w:top w:val="single" w:sz="4" w:space="0" w:color="auto"/>
              <w:left w:val="single" w:sz="4" w:space="0" w:color="auto"/>
              <w:bottom w:val="nil"/>
              <w:right w:val="single" w:sz="4" w:space="0" w:color="auto"/>
            </w:tcBorders>
            <w:vAlign w:val="center"/>
          </w:tcPr>
          <w:p w14:paraId="4D63BCEF" w14:textId="77777777" w:rsidR="007A5FE6" w:rsidRPr="007A5FE6" w:rsidRDefault="007A5FE6" w:rsidP="00424F51">
            <w:pPr>
              <w:numPr>
                <w:ilvl w:val="0"/>
                <w:numId w:val="50"/>
              </w:numPr>
              <w:spacing w:after="0"/>
              <w:jc w:val="both"/>
              <w:rPr>
                <w:rFonts w:eastAsia="Times New Roman" w:cs="Times New Roman"/>
                <w:sz w:val="24"/>
                <w:szCs w:val="24"/>
              </w:rPr>
            </w:pPr>
            <w:r w:rsidRPr="007A5FE6">
              <w:rPr>
                <w:rFonts w:eastAsia="Times New Roman" w:cs="Times New Roman"/>
                <w:sz w:val="24"/>
                <w:szCs w:val="24"/>
              </w:rPr>
              <w:t xml:space="preserve">Значимо выраженный ФР - ХС&gt;8 ммоль/л и/или ХС </w:t>
            </w:r>
            <w:proofErr w:type="gramStart"/>
            <w:r w:rsidRPr="007A5FE6">
              <w:rPr>
                <w:rFonts w:eastAsia="Times New Roman" w:cs="Times New Roman"/>
                <w:sz w:val="24"/>
                <w:szCs w:val="24"/>
              </w:rPr>
              <w:t>ЛНП &gt;</w:t>
            </w:r>
            <w:proofErr w:type="gramEnd"/>
          </w:p>
          <w:p w14:paraId="0653FE29" w14:textId="77777777" w:rsidR="007A5FE6" w:rsidRPr="007A5FE6" w:rsidRDefault="007A5FE6" w:rsidP="007A5FE6">
            <w:pPr>
              <w:spacing w:after="0"/>
              <w:jc w:val="both"/>
              <w:rPr>
                <w:rFonts w:eastAsia="Times New Roman" w:cs="Times New Roman"/>
                <w:sz w:val="24"/>
                <w:szCs w:val="24"/>
              </w:rPr>
            </w:pPr>
            <w:r w:rsidRPr="007A5FE6">
              <w:rPr>
                <w:rFonts w:eastAsia="Times New Roman" w:cs="Times New Roman"/>
                <w:sz w:val="24"/>
                <w:szCs w:val="24"/>
              </w:rPr>
              <w:t>4,9 ммоль/л и/или АД ≥180/110 мм рт.ст.</w:t>
            </w:r>
          </w:p>
          <w:p w14:paraId="5F4A1C7F" w14:textId="77777777" w:rsidR="007A5FE6" w:rsidRPr="007A5FE6" w:rsidRDefault="007A5FE6" w:rsidP="00424F51">
            <w:pPr>
              <w:numPr>
                <w:ilvl w:val="0"/>
                <w:numId w:val="50"/>
              </w:numPr>
              <w:spacing w:after="0"/>
              <w:jc w:val="both"/>
              <w:rPr>
                <w:rFonts w:eastAsia="Times New Roman" w:cs="Times New Roman"/>
                <w:sz w:val="24"/>
                <w:szCs w:val="24"/>
              </w:rPr>
            </w:pPr>
            <w:r w:rsidRPr="007A5FE6">
              <w:rPr>
                <w:rFonts w:eastAsia="Times New Roman" w:cs="Times New Roman"/>
                <w:sz w:val="24"/>
                <w:szCs w:val="24"/>
              </w:rPr>
              <w:t>СГХС без ФР</w:t>
            </w:r>
          </w:p>
          <w:p w14:paraId="3934176B" w14:textId="77777777" w:rsidR="007A5FE6" w:rsidRPr="007A5FE6" w:rsidRDefault="007A5FE6" w:rsidP="00424F51">
            <w:pPr>
              <w:numPr>
                <w:ilvl w:val="0"/>
                <w:numId w:val="50"/>
              </w:numPr>
              <w:spacing w:after="0"/>
              <w:jc w:val="both"/>
              <w:rPr>
                <w:rFonts w:eastAsia="Times New Roman" w:cs="Times New Roman"/>
                <w:sz w:val="24"/>
                <w:szCs w:val="24"/>
              </w:rPr>
            </w:pPr>
            <w:r w:rsidRPr="007A5FE6">
              <w:rPr>
                <w:rFonts w:eastAsia="Times New Roman" w:cs="Times New Roman"/>
                <w:sz w:val="24"/>
                <w:szCs w:val="24"/>
              </w:rPr>
              <w:t>СД без поражения органов-мишеней, СД&gt; 10 лет или с ФР</w:t>
            </w:r>
          </w:p>
          <w:p w14:paraId="1E733133" w14:textId="77777777" w:rsidR="007A5FE6" w:rsidRPr="007A5FE6" w:rsidRDefault="007A5FE6" w:rsidP="00424F51">
            <w:pPr>
              <w:numPr>
                <w:ilvl w:val="0"/>
                <w:numId w:val="50"/>
              </w:numPr>
              <w:spacing w:after="0"/>
              <w:jc w:val="both"/>
              <w:rPr>
                <w:rFonts w:eastAsia="Times New Roman" w:cs="Times New Roman"/>
                <w:sz w:val="24"/>
                <w:szCs w:val="24"/>
              </w:rPr>
            </w:pPr>
            <w:r w:rsidRPr="007A5FE6">
              <w:rPr>
                <w:rFonts w:eastAsia="Times New Roman" w:cs="Times New Roman"/>
                <w:sz w:val="24"/>
                <w:szCs w:val="24"/>
              </w:rPr>
              <w:t>Умеренная ХБП с СКФ 30-59 мл/мин/1,73 м</w:t>
            </w:r>
            <w:r w:rsidRPr="007A5FE6">
              <w:rPr>
                <w:rFonts w:eastAsia="Times New Roman" w:cs="Times New Roman"/>
                <w:sz w:val="24"/>
                <w:szCs w:val="24"/>
                <w:vertAlign w:val="superscript"/>
              </w:rPr>
              <w:t>4</w:t>
            </w:r>
          </w:p>
          <w:p w14:paraId="44333663" w14:textId="77777777" w:rsidR="007A5FE6" w:rsidRPr="007A5FE6" w:rsidRDefault="007A5FE6" w:rsidP="007A5FE6">
            <w:pPr>
              <w:spacing w:after="0"/>
              <w:jc w:val="both"/>
              <w:rPr>
                <w:rFonts w:eastAsia="Times New Roman" w:cs="Times New Roman"/>
                <w:sz w:val="24"/>
                <w:szCs w:val="24"/>
              </w:rPr>
            </w:pPr>
            <w:r w:rsidRPr="007A5FE6">
              <w:rPr>
                <w:rFonts w:eastAsia="Times New Roman" w:cs="Times New Roman"/>
                <w:sz w:val="24"/>
                <w:szCs w:val="24"/>
              </w:rPr>
              <w:t>—</w:t>
            </w:r>
            <w:r w:rsidRPr="007A5FE6">
              <w:rPr>
                <w:rFonts w:eastAsia="Times New Roman" w:cs="Times New Roman"/>
                <w:sz w:val="24"/>
                <w:szCs w:val="24"/>
              </w:rPr>
              <w:tab/>
            </w:r>
            <w:r w:rsidRPr="007A5FE6">
              <w:rPr>
                <w:rFonts w:eastAsia="Times New Roman" w:cs="Times New Roman"/>
                <w:sz w:val="24"/>
                <w:szCs w:val="24"/>
                <w:lang w:val="en-US"/>
              </w:rPr>
              <w:t>SCORE</w:t>
            </w:r>
            <w:r w:rsidRPr="007A5FE6">
              <w:rPr>
                <w:rFonts w:eastAsia="Times New Roman" w:cs="Times New Roman"/>
                <w:sz w:val="24"/>
                <w:szCs w:val="24"/>
              </w:rPr>
              <w:t>-2 для лиц в возрасте &lt;50 лет &gt;2,5 - &lt;7,5%, для лиц в</w:t>
            </w:r>
          </w:p>
          <w:p w14:paraId="7BBA4B07" w14:textId="77777777" w:rsidR="007A5FE6" w:rsidRPr="007A5FE6" w:rsidRDefault="007A5FE6" w:rsidP="007A5FE6">
            <w:pPr>
              <w:spacing w:after="0"/>
              <w:jc w:val="both"/>
              <w:rPr>
                <w:rFonts w:eastAsia="Times New Roman" w:cs="Times New Roman"/>
                <w:sz w:val="24"/>
                <w:szCs w:val="24"/>
              </w:rPr>
            </w:pPr>
            <w:r w:rsidRPr="007A5FE6">
              <w:rPr>
                <w:rFonts w:eastAsia="Times New Roman" w:cs="Times New Roman"/>
                <w:sz w:val="24"/>
                <w:szCs w:val="24"/>
              </w:rPr>
              <w:t xml:space="preserve">возрасте 50-69 лет ≥5 – &lt;10% и </w:t>
            </w:r>
            <w:r w:rsidRPr="007A5FE6">
              <w:rPr>
                <w:rFonts w:eastAsia="Times New Roman" w:cs="Times New Roman"/>
                <w:sz w:val="24"/>
                <w:szCs w:val="24"/>
                <w:lang w:val="en-US"/>
              </w:rPr>
              <w:t>SCORE</w:t>
            </w:r>
            <w:r w:rsidRPr="007A5FE6">
              <w:rPr>
                <w:rFonts w:eastAsia="Times New Roman" w:cs="Times New Roman"/>
                <w:sz w:val="24"/>
                <w:szCs w:val="24"/>
              </w:rPr>
              <w:t>-2-</w:t>
            </w:r>
            <w:r w:rsidRPr="007A5FE6">
              <w:rPr>
                <w:rFonts w:eastAsia="Times New Roman" w:cs="Times New Roman"/>
                <w:sz w:val="24"/>
                <w:szCs w:val="24"/>
                <w:lang w:val="en-US"/>
              </w:rPr>
              <w:t>OP</w:t>
            </w:r>
            <w:r w:rsidRPr="007A5FE6">
              <w:rPr>
                <w:rFonts w:eastAsia="Times New Roman" w:cs="Times New Roman"/>
                <w:sz w:val="24"/>
                <w:szCs w:val="24"/>
              </w:rPr>
              <w:t xml:space="preserve"> для лиц в возрасте ≥ 70 лет ≥7,5% и &lt;15%</w:t>
            </w:r>
          </w:p>
        </w:tc>
      </w:tr>
      <w:tr w:rsidR="007A5FE6" w:rsidRPr="007A5FE6" w14:paraId="7681E961" w14:textId="77777777">
        <w:trPr>
          <w:trHeight w:val="1541"/>
        </w:trPr>
        <w:tc>
          <w:tcPr>
            <w:tcW w:w="2136" w:type="dxa"/>
            <w:tcBorders>
              <w:top w:val="single" w:sz="4" w:space="0" w:color="auto"/>
              <w:left w:val="single" w:sz="4" w:space="0" w:color="auto"/>
              <w:bottom w:val="nil"/>
              <w:right w:val="nil"/>
            </w:tcBorders>
            <w:shd w:val="clear" w:color="auto" w:fill="FFFF00"/>
            <w:vAlign w:val="center"/>
          </w:tcPr>
          <w:p w14:paraId="29116BBD" w14:textId="77777777" w:rsidR="007A5FE6" w:rsidRPr="007A5FE6" w:rsidRDefault="007A5FE6" w:rsidP="007A5FE6">
            <w:pPr>
              <w:spacing w:after="0"/>
              <w:rPr>
                <w:rFonts w:eastAsia="Times New Roman" w:cs="Times New Roman"/>
                <w:sz w:val="24"/>
                <w:szCs w:val="24"/>
              </w:rPr>
            </w:pPr>
            <w:r w:rsidRPr="007A5FE6">
              <w:rPr>
                <w:rFonts w:eastAsia="Times New Roman" w:cs="Times New Roman"/>
                <w:sz w:val="24"/>
                <w:szCs w:val="24"/>
              </w:rPr>
              <w:t>Умеренный</w:t>
            </w:r>
          </w:p>
        </w:tc>
        <w:tc>
          <w:tcPr>
            <w:tcW w:w="7392" w:type="dxa"/>
            <w:tcBorders>
              <w:top w:val="single" w:sz="4" w:space="0" w:color="auto"/>
              <w:left w:val="single" w:sz="4" w:space="0" w:color="auto"/>
              <w:bottom w:val="nil"/>
              <w:right w:val="single" w:sz="4" w:space="0" w:color="auto"/>
            </w:tcBorders>
            <w:vAlign w:val="center"/>
          </w:tcPr>
          <w:p w14:paraId="1C5EF8FF" w14:textId="77777777" w:rsidR="007A5FE6" w:rsidRPr="007A5FE6" w:rsidRDefault="007A5FE6" w:rsidP="00424F51">
            <w:pPr>
              <w:numPr>
                <w:ilvl w:val="0"/>
                <w:numId w:val="51"/>
              </w:numPr>
              <w:spacing w:after="0"/>
              <w:rPr>
                <w:rFonts w:eastAsia="Times New Roman" w:cs="Times New Roman"/>
                <w:sz w:val="24"/>
                <w:szCs w:val="24"/>
              </w:rPr>
            </w:pPr>
            <w:r w:rsidRPr="007A5FE6">
              <w:rPr>
                <w:rFonts w:eastAsia="Times New Roman" w:cs="Times New Roman"/>
                <w:sz w:val="24"/>
                <w:szCs w:val="24"/>
              </w:rPr>
              <w:t>Молодые пациенты (СД 1 типа моложе 35 лет, СД 2 типа моложе 50 лет) с длительностью СД &lt;10 лет без поражения органов- мишеней и ФР</w:t>
            </w:r>
          </w:p>
          <w:p w14:paraId="0282FF1F" w14:textId="77777777" w:rsidR="007A5FE6" w:rsidRPr="007A5FE6" w:rsidRDefault="007A5FE6" w:rsidP="00424F51">
            <w:pPr>
              <w:numPr>
                <w:ilvl w:val="0"/>
                <w:numId w:val="51"/>
              </w:numPr>
              <w:spacing w:after="0"/>
              <w:rPr>
                <w:rFonts w:eastAsia="Times New Roman" w:cs="Times New Roman"/>
                <w:sz w:val="24"/>
                <w:szCs w:val="24"/>
              </w:rPr>
            </w:pPr>
            <w:r w:rsidRPr="007A5FE6">
              <w:rPr>
                <w:rFonts w:eastAsia="Times New Roman" w:cs="Times New Roman"/>
                <w:sz w:val="24"/>
                <w:szCs w:val="24"/>
                <w:lang w:val="en-US"/>
              </w:rPr>
              <w:t>SCORE</w:t>
            </w:r>
            <w:r w:rsidRPr="007A5FE6">
              <w:rPr>
                <w:rFonts w:eastAsia="Times New Roman" w:cs="Times New Roman"/>
                <w:sz w:val="24"/>
                <w:szCs w:val="24"/>
              </w:rPr>
              <w:t xml:space="preserve">-2 для лиц в возрасте &lt;50 лет &lt;2,5%, для лиц в возрасте 50-69 лет &lt;5% и </w:t>
            </w:r>
            <w:r w:rsidRPr="007A5FE6">
              <w:rPr>
                <w:rFonts w:eastAsia="Times New Roman" w:cs="Times New Roman"/>
                <w:sz w:val="24"/>
                <w:szCs w:val="24"/>
                <w:lang w:val="en-US"/>
              </w:rPr>
              <w:t>SCORE</w:t>
            </w:r>
            <w:r w:rsidRPr="007A5FE6">
              <w:rPr>
                <w:rFonts w:eastAsia="Times New Roman" w:cs="Times New Roman"/>
                <w:sz w:val="24"/>
                <w:szCs w:val="24"/>
              </w:rPr>
              <w:t>-2-</w:t>
            </w:r>
            <w:r w:rsidRPr="007A5FE6">
              <w:rPr>
                <w:rFonts w:eastAsia="Times New Roman" w:cs="Times New Roman"/>
                <w:sz w:val="24"/>
                <w:szCs w:val="24"/>
                <w:lang w:val="en-US"/>
              </w:rPr>
              <w:t>OP</w:t>
            </w:r>
            <w:r w:rsidRPr="007A5FE6">
              <w:rPr>
                <w:rFonts w:eastAsia="Times New Roman" w:cs="Times New Roman"/>
                <w:sz w:val="24"/>
                <w:szCs w:val="24"/>
              </w:rPr>
              <w:t xml:space="preserve"> для лиц в возрасте ≥ 70 лет &lt;7,5%</w:t>
            </w:r>
          </w:p>
        </w:tc>
      </w:tr>
      <w:tr w:rsidR="007A5FE6" w:rsidRPr="007A5FE6" w14:paraId="21619DE7" w14:textId="77777777">
        <w:trPr>
          <w:trHeight w:val="734"/>
        </w:trPr>
        <w:tc>
          <w:tcPr>
            <w:tcW w:w="2136" w:type="dxa"/>
            <w:tcBorders>
              <w:top w:val="single" w:sz="4" w:space="0" w:color="auto"/>
              <w:left w:val="single" w:sz="4" w:space="0" w:color="auto"/>
              <w:bottom w:val="single" w:sz="4" w:space="0" w:color="auto"/>
              <w:right w:val="nil"/>
            </w:tcBorders>
            <w:shd w:val="clear" w:color="auto" w:fill="92D050"/>
            <w:vAlign w:val="center"/>
          </w:tcPr>
          <w:p w14:paraId="70E31304" w14:textId="77777777" w:rsidR="007A5FE6" w:rsidRPr="007A5FE6" w:rsidRDefault="007A5FE6" w:rsidP="007A5FE6">
            <w:pPr>
              <w:spacing w:after="0"/>
              <w:rPr>
                <w:rFonts w:eastAsia="Times New Roman" w:cs="Times New Roman"/>
                <w:sz w:val="24"/>
                <w:szCs w:val="24"/>
              </w:rPr>
            </w:pPr>
            <w:r w:rsidRPr="007A5FE6">
              <w:rPr>
                <w:rFonts w:eastAsia="Times New Roman" w:cs="Times New Roman"/>
                <w:sz w:val="24"/>
                <w:szCs w:val="24"/>
              </w:rPr>
              <w:t>Низкий</w:t>
            </w:r>
          </w:p>
        </w:tc>
        <w:tc>
          <w:tcPr>
            <w:tcW w:w="7392" w:type="dxa"/>
            <w:tcBorders>
              <w:top w:val="single" w:sz="4" w:space="0" w:color="auto"/>
              <w:left w:val="single" w:sz="4" w:space="0" w:color="auto"/>
              <w:bottom w:val="single" w:sz="4" w:space="0" w:color="auto"/>
              <w:right w:val="single" w:sz="4" w:space="0" w:color="auto"/>
            </w:tcBorders>
            <w:vAlign w:val="center"/>
          </w:tcPr>
          <w:p w14:paraId="525D7D0F" w14:textId="77777777" w:rsidR="007A5FE6" w:rsidRPr="007A5FE6" w:rsidRDefault="007A5FE6" w:rsidP="007A5FE6">
            <w:pPr>
              <w:spacing w:after="0"/>
              <w:rPr>
                <w:rFonts w:eastAsia="Times New Roman" w:cs="Times New Roman"/>
                <w:sz w:val="24"/>
                <w:szCs w:val="24"/>
              </w:rPr>
            </w:pPr>
            <w:r w:rsidRPr="007A5FE6">
              <w:rPr>
                <w:rFonts w:eastAsia="Times New Roman" w:cs="Times New Roman"/>
                <w:sz w:val="24"/>
                <w:szCs w:val="24"/>
              </w:rPr>
              <w:t>—</w:t>
            </w:r>
            <w:r w:rsidRPr="007A5FE6">
              <w:rPr>
                <w:rFonts w:eastAsia="Times New Roman" w:cs="Times New Roman"/>
                <w:sz w:val="24"/>
                <w:szCs w:val="24"/>
              </w:rPr>
              <w:tab/>
            </w:r>
            <w:r w:rsidRPr="007A5FE6">
              <w:rPr>
                <w:rFonts w:eastAsia="Times New Roman" w:cs="Times New Roman"/>
                <w:sz w:val="24"/>
                <w:szCs w:val="24"/>
                <w:lang w:val="en-US"/>
              </w:rPr>
              <w:t>SCORE</w:t>
            </w:r>
            <w:r w:rsidRPr="007A5FE6">
              <w:rPr>
                <w:rFonts w:eastAsia="Times New Roman" w:cs="Times New Roman"/>
                <w:sz w:val="24"/>
                <w:szCs w:val="24"/>
              </w:rPr>
              <w:t xml:space="preserve">-2 для лиц в возрасте 40-69 лет и </w:t>
            </w:r>
            <w:r w:rsidRPr="007A5FE6">
              <w:rPr>
                <w:rFonts w:eastAsia="Times New Roman" w:cs="Times New Roman"/>
                <w:sz w:val="24"/>
                <w:szCs w:val="24"/>
                <w:lang w:val="en-US"/>
              </w:rPr>
              <w:t>SCORE</w:t>
            </w:r>
            <w:r w:rsidRPr="007A5FE6">
              <w:rPr>
                <w:rFonts w:eastAsia="Times New Roman" w:cs="Times New Roman"/>
                <w:sz w:val="24"/>
                <w:szCs w:val="24"/>
              </w:rPr>
              <w:t>-2-</w:t>
            </w:r>
            <w:r w:rsidRPr="007A5FE6">
              <w:rPr>
                <w:rFonts w:eastAsia="Times New Roman" w:cs="Times New Roman"/>
                <w:sz w:val="24"/>
                <w:szCs w:val="24"/>
                <w:lang w:val="en-US"/>
              </w:rPr>
              <w:t>OP</w:t>
            </w:r>
            <w:r w:rsidRPr="007A5FE6">
              <w:rPr>
                <w:rFonts w:eastAsia="Times New Roman" w:cs="Times New Roman"/>
                <w:sz w:val="24"/>
                <w:szCs w:val="24"/>
              </w:rPr>
              <w:t xml:space="preserve"> для лиц</w:t>
            </w:r>
          </w:p>
          <w:p w14:paraId="679384FC" w14:textId="77777777" w:rsidR="007A5FE6" w:rsidRPr="007A5FE6" w:rsidRDefault="007A5FE6" w:rsidP="007A5FE6">
            <w:pPr>
              <w:spacing w:after="0"/>
              <w:rPr>
                <w:rFonts w:eastAsia="Times New Roman" w:cs="Times New Roman"/>
                <w:sz w:val="24"/>
                <w:szCs w:val="24"/>
              </w:rPr>
            </w:pPr>
            <w:r w:rsidRPr="007A5FE6">
              <w:rPr>
                <w:rFonts w:eastAsia="Times New Roman" w:cs="Times New Roman"/>
                <w:sz w:val="24"/>
                <w:szCs w:val="24"/>
              </w:rPr>
              <w:t>в возрасте ≥ 70 лет &lt;1%</w:t>
            </w:r>
          </w:p>
        </w:tc>
      </w:tr>
    </w:tbl>
    <w:p w14:paraId="38F35F0A" w14:textId="77777777" w:rsidR="007A5FE6" w:rsidRPr="007A5FE6" w:rsidRDefault="007A5FE6" w:rsidP="007A5FE6">
      <w:pPr>
        <w:spacing w:after="0"/>
        <w:rPr>
          <w:rFonts w:eastAsia="Times New Roman" w:cs="Times New Roman"/>
          <w:sz w:val="24"/>
          <w:szCs w:val="24"/>
        </w:rPr>
      </w:pPr>
    </w:p>
    <w:p w14:paraId="6B91DE58" w14:textId="58505B88" w:rsidR="007A5FE6" w:rsidRPr="007A5FE6" w:rsidRDefault="00FA2C6B" w:rsidP="007A5FE6">
      <w:pPr>
        <w:spacing w:after="0" w:line="360" w:lineRule="auto"/>
        <w:rPr>
          <w:rFonts w:eastAsia="Times New Roman" w:cs="Times New Roman"/>
          <w:sz w:val="24"/>
          <w:szCs w:val="24"/>
        </w:rPr>
      </w:pPr>
      <w:r w:rsidRPr="00AD711D">
        <w:rPr>
          <w:rFonts w:eastAsia="Times New Roman" w:cs="Times New Roman"/>
          <w:sz w:val="24"/>
          <w:szCs w:val="24"/>
        </w:rPr>
        <w:t>Примечание:</w:t>
      </w:r>
      <w:r>
        <w:rPr>
          <w:rFonts w:eastAsia="Times New Roman" w:cs="Times New Roman"/>
          <w:sz w:val="24"/>
          <w:szCs w:val="24"/>
        </w:rPr>
        <w:t xml:space="preserve"> </w:t>
      </w:r>
    </w:p>
    <w:p w14:paraId="560BBC65" w14:textId="77777777" w:rsidR="00130B63" w:rsidRDefault="00130B63" w:rsidP="00FA2C6B">
      <w:pPr>
        <w:spacing w:after="0" w:line="360" w:lineRule="auto"/>
        <w:jc w:val="both"/>
        <w:rPr>
          <w:rFonts w:eastAsia="Times New Roman" w:cs="Times New Roman"/>
          <w:sz w:val="24"/>
          <w:szCs w:val="24"/>
        </w:rPr>
      </w:pPr>
      <w:r w:rsidRPr="00130B63">
        <w:rPr>
          <w:rFonts w:eastAsia="Times New Roman" w:cs="Times New Roman"/>
          <w:sz w:val="24"/>
          <w:szCs w:val="24"/>
          <w:vertAlign w:val="superscript"/>
        </w:rPr>
        <w:t>1</w:t>
      </w:r>
      <w:r w:rsidRPr="00130B63">
        <w:rPr>
          <w:rFonts w:eastAsia="Times New Roman" w:cs="Times New Roman"/>
          <w:sz w:val="24"/>
          <w:szCs w:val="24"/>
        </w:rPr>
        <w:t xml:space="preserve"> ИБС: стенокардия напряжения 3-4 ФК, нестабильная стенокардия, перенесенный инфаркт миокарда, ишемический инсульт, ЧКВ, операция КШ, ангиопластика сонных артерий или артерий нижних конечностей, каротидная эндартерэктомия, подвздошно-бедренное, бедренно- подколенное шунтирование.</w:t>
      </w:r>
    </w:p>
    <w:p w14:paraId="1B475439" w14:textId="77777777" w:rsidR="00130B63" w:rsidRDefault="00130B63" w:rsidP="00FA2C6B">
      <w:pPr>
        <w:spacing w:after="0" w:line="360" w:lineRule="auto"/>
        <w:jc w:val="both"/>
        <w:rPr>
          <w:rFonts w:eastAsia="Times New Roman" w:cs="Times New Roman"/>
          <w:sz w:val="24"/>
          <w:szCs w:val="24"/>
        </w:rPr>
      </w:pPr>
      <w:r w:rsidRPr="00130B63">
        <w:rPr>
          <w:rFonts w:eastAsia="Times New Roman" w:cs="Times New Roman"/>
          <w:sz w:val="24"/>
          <w:szCs w:val="24"/>
          <w:vertAlign w:val="superscript"/>
        </w:rPr>
        <w:lastRenderedPageBreak/>
        <w:t xml:space="preserve"> 2</w:t>
      </w:r>
      <w:r w:rsidRPr="00130B63">
        <w:rPr>
          <w:rFonts w:eastAsia="Times New Roman" w:cs="Times New Roman"/>
          <w:sz w:val="24"/>
          <w:szCs w:val="24"/>
        </w:rPr>
        <w:t xml:space="preserve"> Атеросклеротическая бляшка определяется как локальное утолщение стенки на &gt;50% по сравнению с толщиной стенки сосуда в ближайших участках, или как локальный участок сосудистой стенки с КИМ &gt;1,5 мм, выступающий в просвет </w:t>
      </w:r>
    </w:p>
    <w:p w14:paraId="1A76C6E8" w14:textId="77777777" w:rsidR="00130B63" w:rsidRDefault="00130B63" w:rsidP="00FA2C6B">
      <w:pPr>
        <w:spacing w:after="0" w:line="360" w:lineRule="auto"/>
        <w:jc w:val="both"/>
        <w:rPr>
          <w:rFonts w:eastAsia="Times New Roman" w:cs="Times New Roman"/>
          <w:sz w:val="24"/>
          <w:szCs w:val="24"/>
        </w:rPr>
      </w:pPr>
      <w:r w:rsidRPr="00130B63">
        <w:rPr>
          <w:rFonts w:eastAsia="Times New Roman" w:cs="Times New Roman"/>
          <w:sz w:val="24"/>
          <w:szCs w:val="24"/>
          <w:vertAlign w:val="superscript"/>
        </w:rPr>
        <w:t>3</w:t>
      </w:r>
      <w:r w:rsidRPr="00130B63">
        <w:rPr>
          <w:rFonts w:eastAsia="Times New Roman" w:cs="Times New Roman"/>
          <w:sz w:val="24"/>
          <w:szCs w:val="24"/>
        </w:rPr>
        <w:t xml:space="preserve"> Инфаркт миокарда, нестабильная стенокардия, перемежающаяся хромота, транзиторная ишемическая атака/ишемический инсульт. с эзетимибом. </w:t>
      </w:r>
    </w:p>
    <w:p w14:paraId="59B96E99" w14:textId="77777777" w:rsidR="00130B63" w:rsidRPr="00130B63" w:rsidRDefault="00130B63" w:rsidP="00FA2C6B">
      <w:pPr>
        <w:spacing w:after="0" w:line="360" w:lineRule="auto"/>
        <w:jc w:val="both"/>
        <w:rPr>
          <w:rFonts w:eastAsia="Times New Roman" w:cs="Times New Roman"/>
          <w:sz w:val="24"/>
          <w:szCs w:val="24"/>
        </w:rPr>
      </w:pPr>
      <w:r w:rsidRPr="00130B63">
        <w:rPr>
          <w:rFonts w:eastAsia="Times New Roman" w:cs="Times New Roman"/>
          <w:sz w:val="24"/>
          <w:szCs w:val="24"/>
          <w:vertAlign w:val="superscript"/>
        </w:rPr>
        <w:t>4</w:t>
      </w:r>
      <w:r w:rsidRPr="00130B63">
        <w:rPr>
          <w:rFonts w:eastAsia="Times New Roman" w:cs="Times New Roman"/>
          <w:sz w:val="24"/>
          <w:szCs w:val="24"/>
        </w:rPr>
        <w:t xml:space="preserve"> Назначение ингибиторов ГМК-КОА-редуктазы в максимально переносимых дозах в сочетании </w:t>
      </w:r>
    </w:p>
    <w:p w14:paraId="39D4C5E3" w14:textId="77777777" w:rsidR="00130B63" w:rsidRPr="00130B63" w:rsidRDefault="00130B63" w:rsidP="00130B63">
      <w:pPr>
        <w:spacing w:after="0" w:line="360" w:lineRule="auto"/>
        <w:rPr>
          <w:rFonts w:eastAsia="Times New Roman" w:cs="Times New Roman"/>
          <w:sz w:val="24"/>
          <w:szCs w:val="24"/>
        </w:rPr>
      </w:pPr>
    </w:p>
    <w:p w14:paraId="32B87B4B" w14:textId="77777777" w:rsidR="00130B63" w:rsidRPr="00184253" w:rsidRDefault="00130B63" w:rsidP="00130B63">
      <w:pPr>
        <w:spacing w:after="0" w:line="360" w:lineRule="auto"/>
        <w:rPr>
          <w:rFonts w:eastAsia="Times New Roman" w:cs="Times New Roman"/>
          <w:b/>
          <w:bCs/>
          <w:sz w:val="24"/>
          <w:szCs w:val="24"/>
          <w:lang w:val="en-US"/>
        </w:rPr>
      </w:pPr>
      <w:r w:rsidRPr="00130B63">
        <w:rPr>
          <w:rFonts w:eastAsia="Times New Roman" w:cs="Times New Roman"/>
          <w:b/>
          <w:bCs/>
          <w:sz w:val="24"/>
          <w:szCs w:val="24"/>
        </w:rPr>
        <w:t>Расчет</w:t>
      </w:r>
      <w:r w:rsidRPr="00184253">
        <w:rPr>
          <w:rFonts w:eastAsia="Times New Roman" w:cs="Times New Roman"/>
          <w:b/>
          <w:bCs/>
          <w:sz w:val="24"/>
          <w:szCs w:val="24"/>
          <w:lang w:val="en-US"/>
        </w:rPr>
        <w:t xml:space="preserve"> </w:t>
      </w:r>
      <w:r w:rsidRPr="00130B63">
        <w:rPr>
          <w:rFonts w:eastAsia="Times New Roman" w:cs="Times New Roman"/>
          <w:b/>
          <w:bCs/>
          <w:sz w:val="24"/>
          <w:szCs w:val="24"/>
        </w:rPr>
        <w:t>СКФ</w:t>
      </w:r>
      <w:r w:rsidRPr="00184253">
        <w:rPr>
          <w:rFonts w:eastAsia="Times New Roman" w:cs="Times New Roman"/>
          <w:b/>
          <w:bCs/>
          <w:sz w:val="24"/>
          <w:szCs w:val="24"/>
          <w:lang w:val="en-US"/>
        </w:rPr>
        <w:t xml:space="preserve"> </w:t>
      </w:r>
      <w:r w:rsidRPr="00130B63">
        <w:rPr>
          <w:rFonts w:eastAsia="Times New Roman" w:cs="Times New Roman"/>
          <w:b/>
          <w:bCs/>
          <w:sz w:val="24"/>
          <w:szCs w:val="24"/>
        </w:rPr>
        <w:t>по</w:t>
      </w:r>
      <w:r w:rsidRPr="00184253">
        <w:rPr>
          <w:rFonts w:eastAsia="Times New Roman" w:cs="Times New Roman"/>
          <w:b/>
          <w:bCs/>
          <w:sz w:val="24"/>
          <w:szCs w:val="24"/>
          <w:lang w:val="en-US"/>
        </w:rPr>
        <w:t xml:space="preserve"> </w:t>
      </w:r>
      <w:r w:rsidRPr="00130B63">
        <w:rPr>
          <w:rFonts w:eastAsia="Times New Roman" w:cs="Times New Roman"/>
          <w:b/>
          <w:bCs/>
          <w:sz w:val="24"/>
          <w:szCs w:val="24"/>
        </w:rPr>
        <w:t>формуле</w:t>
      </w:r>
      <w:r w:rsidRPr="00184253">
        <w:rPr>
          <w:rFonts w:eastAsia="Times New Roman" w:cs="Times New Roman"/>
          <w:b/>
          <w:bCs/>
          <w:sz w:val="24"/>
          <w:szCs w:val="24"/>
          <w:lang w:val="en-US"/>
        </w:rPr>
        <w:t xml:space="preserve"> </w:t>
      </w:r>
      <w:r w:rsidRPr="00130B63">
        <w:rPr>
          <w:rFonts w:eastAsia="Times New Roman" w:cs="Times New Roman"/>
          <w:b/>
          <w:bCs/>
          <w:sz w:val="24"/>
          <w:szCs w:val="24"/>
          <w:lang w:val="en-US"/>
        </w:rPr>
        <w:t>CKD</w:t>
      </w:r>
      <w:r w:rsidRPr="00184253">
        <w:rPr>
          <w:rFonts w:eastAsia="Times New Roman" w:cs="Times New Roman"/>
          <w:b/>
          <w:bCs/>
          <w:sz w:val="24"/>
          <w:szCs w:val="24"/>
          <w:lang w:val="en-US"/>
        </w:rPr>
        <w:t>-</w:t>
      </w:r>
      <w:r w:rsidRPr="00130B63">
        <w:rPr>
          <w:rFonts w:eastAsia="Times New Roman" w:cs="Times New Roman"/>
          <w:b/>
          <w:bCs/>
          <w:sz w:val="24"/>
          <w:szCs w:val="24"/>
          <w:lang w:val="en-US"/>
        </w:rPr>
        <w:t>EpidemiologyCollaboration</w:t>
      </w:r>
      <w:r w:rsidRPr="00184253">
        <w:rPr>
          <w:rFonts w:eastAsia="Times New Roman" w:cs="Times New Roman"/>
          <w:b/>
          <w:bCs/>
          <w:sz w:val="24"/>
          <w:szCs w:val="24"/>
          <w:lang w:val="en-US"/>
        </w:rPr>
        <w:t xml:space="preserve"> 2009* </w:t>
      </w:r>
    </w:p>
    <w:tbl>
      <w:tblPr>
        <w:tblW w:w="0" w:type="auto"/>
        <w:tblInd w:w="-5" w:type="dxa"/>
        <w:tblLayout w:type="fixed"/>
        <w:tblCellMar>
          <w:left w:w="0" w:type="dxa"/>
          <w:right w:w="0" w:type="dxa"/>
        </w:tblCellMar>
        <w:tblLook w:val="0000" w:firstRow="0" w:lastRow="0" w:firstColumn="0" w:lastColumn="0" w:noHBand="0" w:noVBand="0"/>
      </w:tblPr>
      <w:tblGrid>
        <w:gridCol w:w="9360"/>
      </w:tblGrid>
      <w:tr w:rsidR="00130B63" w:rsidRPr="00130B63" w14:paraId="5004B59F" w14:textId="77777777">
        <w:trPr>
          <w:trHeight w:val="302"/>
        </w:trPr>
        <w:tc>
          <w:tcPr>
            <w:tcW w:w="9360" w:type="dxa"/>
            <w:tcBorders>
              <w:top w:val="single" w:sz="4" w:space="0" w:color="auto"/>
              <w:left w:val="single" w:sz="4" w:space="0" w:color="auto"/>
              <w:bottom w:val="nil"/>
              <w:right w:val="single" w:sz="4" w:space="0" w:color="auto"/>
            </w:tcBorders>
            <w:vAlign w:val="bottom"/>
          </w:tcPr>
          <w:p w14:paraId="6A5EC050" w14:textId="77777777" w:rsidR="00130B63" w:rsidRPr="00130B63" w:rsidRDefault="00130B63" w:rsidP="00130B63">
            <w:pPr>
              <w:spacing w:after="0"/>
              <w:rPr>
                <w:rFonts w:eastAsia="Times New Roman" w:cs="Times New Roman"/>
                <w:sz w:val="24"/>
                <w:szCs w:val="24"/>
              </w:rPr>
            </w:pPr>
            <w:r w:rsidRPr="00130B63">
              <w:rPr>
                <w:rFonts w:eastAsia="Times New Roman" w:cs="Times New Roman"/>
                <w:sz w:val="24"/>
                <w:szCs w:val="24"/>
              </w:rPr>
              <w:t xml:space="preserve">СКФ = 141 * мин (Креатинин в сыворотке крови / каппа, </w:t>
            </w:r>
            <w:proofErr w:type="gramStart"/>
            <w:r w:rsidRPr="00130B63">
              <w:rPr>
                <w:rFonts w:eastAsia="Times New Roman" w:cs="Times New Roman"/>
                <w:sz w:val="24"/>
                <w:szCs w:val="24"/>
              </w:rPr>
              <w:t>1)</w:t>
            </w:r>
            <w:r w:rsidRPr="00130B63">
              <w:rPr>
                <w:rFonts w:eastAsia="Times New Roman" w:cs="Times New Roman"/>
                <w:sz w:val="24"/>
                <w:szCs w:val="24"/>
                <w:vertAlign w:val="superscript"/>
              </w:rPr>
              <w:t>альфа</w:t>
            </w:r>
            <w:proofErr w:type="gramEnd"/>
            <w:r w:rsidRPr="00130B63">
              <w:rPr>
                <w:rFonts w:eastAsia="Times New Roman" w:cs="Times New Roman"/>
                <w:sz w:val="24"/>
                <w:szCs w:val="24"/>
              </w:rPr>
              <w:t xml:space="preserve"> * макс (Креатинин в</w:t>
            </w:r>
          </w:p>
        </w:tc>
      </w:tr>
      <w:tr w:rsidR="00130B63" w:rsidRPr="00130B63" w14:paraId="42F62A6B" w14:textId="77777777">
        <w:trPr>
          <w:trHeight w:val="307"/>
        </w:trPr>
        <w:tc>
          <w:tcPr>
            <w:tcW w:w="9360" w:type="dxa"/>
            <w:tcBorders>
              <w:top w:val="nil"/>
              <w:left w:val="single" w:sz="4" w:space="0" w:color="auto"/>
              <w:bottom w:val="nil"/>
              <w:right w:val="single" w:sz="4" w:space="0" w:color="auto"/>
            </w:tcBorders>
          </w:tcPr>
          <w:p w14:paraId="5FB87891" w14:textId="77777777" w:rsidR="00130B63" w:rsidRPr="00130B63" w:rsidRDefault="00130B63" w:rsidP="00130B63">
            <w:pPr>
              <w:spacing w:after="0"/>
              <w:rPr>
                <w:rFonts w:eastAsia="Times New Roman" w:cs="Times New Roman"/>
                <w:sz w:val="24"/>
                <w:szCs w:val="24"/>
              </w:rPr>
            </w:pPr>
            <w:r w:rsidRPr="00130B63">
              <w:rPr>
                <w:rFonts w:eastAsia="Times New Roman" w:cs="Times New Roman"/>
                <w:sz w:val="24"/>
                <w:szCs w:val="24"/>
              </w:rPr>
              <w:t xml:space="preserve">сыворотке крови/ каппа, 1) </w:t>
            </w:r>
            <w:r w:rsidRPr="00130B63">
              <w:rPr>
                <w:rFonts w:eastAsia="Times New Roman" w:cs="Times New Roman"/>
                <w:sz w:val="24"/>
                <w:szCs w:val="24"/>
                <w:vertAlign w:val="superscript"/>
              </w:rPr>
              <w:t>1.209</w:t>
            </w:r>
            <w:r w:rsidRPr="00130B63">
              <w:rPr>
                <w:rFonts w:eastAsia="Times New Roman" w:cs="Times New Roman"/>
                <w:sz w:val="24"/>
                <w:szCs w:val="24"/>
              </w:rPr>
              <w:t xml:space="preserve"> * 0.993</w:t>
            </w:r>
            <w:r w:rsidRPr="00130B63">
              <w:rPr>
                <w:rFonts w:eastAsia="Times New Roman" w:cs="Times New Roman"/>
                <w:sz w:val="24"/>
                <w:szCs w:val="24"/>
                <w:vertAlign w:val="superscript"/>
              </w:rPr>
              <w:t>Возраст</w:t>
            </w:r>
            <w:r w:rsidRPr="00130B63">
              <w:rPr>
                <w:rFonts w:eastAsia="Times New Roman" w:cs="Times New Roman"/>
                <w:sz w:val="24"/>
                <w:szCs w:val="24"/>
              </w:rPr>
              <w:t xml:space="preserve"> * Пол * Раса,</w:t>
            </w:r>
          </w:p>
        </w:tc>
      </w:tr>
      <w:tr w:rsidR="00130B63" w:rsidRPr="00130B63" w14:paraId="62C35F93" w14:textId="77777777">
        <w:trPr>
          <w:trHeight w:val="259"/>
        </w:trPr>
        <w:tc>
          <w:tcPr>
            <w:tcW w:w="9360" w:type="dxa"/>
            <w:tcBorders>
              <w:top w:val="nil"/>
              <w:left w:val="single" w:sz="4" w:space="0" w:color="auto"/>
              <w:bottom w:val="nil"/>
              <w:right w:val="single" w:sz="4" w:space="0" w:color="auto"/>
            </w:tcBorders>
          </w:tcPr>
          <w:p w14:paraId="78C6193E" w14:textId="77777777" w:rsidR="00130B63" w:rsidRPr="00130B63" w:rsidRDefault="00130B63" w:rsidP="00130B63">
            <w:pPr>
              <w:spacing w:after="0"/>
              <w:rPr>
                <w:rFonts w:eastAsia="Times New Roman" w:cs="Times New Roman"/>
                <w:sz w:val="24"/>
                <w:szCs w:val="24"/>
              </w:rPr>
            </w:pPr>
            <w:r w:rsidRPr="00130B63">
              <w:rPr>
                <w:rFonts w:eastAsia="Times New Roman" w:cs="Times New Roman"/>
                <w:sz w:val="24"/>
                <w:szCs w:val="24"/>
              </w:rPr>
              <w:t>для женщин используются следующие значения: пол = 1,018; альфа = — 0,329; каппа =</w:t>
            </w:r>
          </w:p>
        </w:tc>
      </w:tr>
      <w:tr w:rsidR="00130B63" w:rsidRPr="00130B63" w14:paraId="50231400" w14:textId="77777777">
        <w:trPr>
          <w:trHeight w:val="259"/>
        </w:trPr>
        <w:tc>
          <w:tcPr>
            <w:tcW w:w="9360" w:type="dxa"/>
            <w:tcBorders>
              <w:top w:val="nil"/>
              <w:left w:val="single" w:sz="4" w:space="0" w:color="auto"/>
              <w:bottom w:val="nil"/>
              <w:right w:val="single" w:sz="4" w:space="0" w:color="auto"/>
            </w:tcBorders>
          </w:tcPr>
          <w:p w14:paraId="7C367493" w14:textId="77777777" w:rsidR="00130B63" w:rsidRPr="00130B63" w:rsidRDefault="00130B63" w:rsidP="00130B63">
            <w:pPr>
              <w:spacing w:after="0"/>
              <w:rPr>
                <w:rFonts w:eastAsia="Times New Roman" w:cs="Times New Roman"/>
                <w:sz w:val="24"/>
                <w:szCs w:val="24"/>
              </w:rPr>
            </w:pPr>
            <w:r w:rsidRPr="00130B63">
              <w:rPr>
                <w:rFonts w:eastAsia="Times New Roman" w:cs="Times New Roman"/>
                <w:sz w:val="24"/>
                <w:szCs w:val="24"/>
              </w:rPr>
              <w:t>0,7;</w:t>
            </w:r>
          </w:p>
        </w:tc>
      </w:tr>
      <w:tr w:rsidR="00130B63" w:rsidRPr="00130B63" w14:paraId="17A3ED04" w14:textId="77777777">
        <w:trPr>
          <w:trHeight w:val="293"/>
        </w:trPr>
        <w:tc>
          <w:tcPr>
            <w:tcW w:w="9360" w:type="dxa"/>
            <w:tcBorders>
              <w:top w:val="nil"/>
              <w:left w:val="single" w:sz="4" w:space="0" w:color="auto"/>
              <w:bottom w:val="nil"/>
              <w:right w:val="single" w:sz="4" w:space="0" w:color="auto"/>
            </w:tcBorders>
            <w:vAlign w:val="bottom"/>
          </w:tcPr>
          <w:p w14:paraId="6CC333B7" w14:textId="77777777" w:rsidR="00130B63" w:rsidRPr="00130B63" w:rsidRDefault="00130B63" w:rsidP="00130B63">
            <w:pPr>
              <w:spacing w:after="0"/>
              <w:rPr>
                <w:rFonts w:eastAsia="Times New Roman" w:cs="Times New Roman"/>
                <w:sz w:val="24"/>
                <w:szCs w:val="24"/>
              </w:rPr>
            </w:pPr>
            <w:r w:rsidRPr="00130B63">
              <w:rPr>
                <w:rFonts w:eastAsia="Times New Roman" w:cs="Times New Roman"/>
                <w:sz w:val="24"/>
                <w:szCs w:val="24"/>
              </w:rPr>
              <w:t>для мужчин используются следующие значения: пол = 1; альфа = — 0,411; каппа = 0,9;</w:t>
            </w:r>
          </w:p>
        </w:tc>
      </w:tr>
      <w:tr w:rsidR="00130B63" w:rsidRPr="00130B63" w14:paraId="549303BF" w14:textId="77777777">
        <w:trPr>
          <w:trHeight w:val="274"/>
        </w:trPr>
        <w:tc>
          <w:tcPr>
            <w:tcW w:w="9360" w:type="dxa"/>
            <w:tcBorders>
              <w:top w:val="nil"/>
              <w:left w:val="single" w:sz="4" w:space="0" w:color="auto"/>
              <w:bottom w:val="nil"/>
              <w:right w:val="single" w:sz="4" w:space="0" w:color="auto"/>
            </w:tcBorders>
          </w:tcPr>
          <w:p w14:paraId="06C87DE9" w14:textId="77777777" w:rsidR="00130B63" w:rsidRPr="00130B63" w:rsidRDefault="003B0E24" w:rsidP="00130B63">
            <w:pPr>
              <w:spacing w:after="0"/>
              <w:rPr>
                <w:rFonts w:eastAsia="Times New Roman" w:cs="Times New Roman"/>
                <w:sz w:val="24"/>
                <w:szCs w:val="24"/>
              </w:rPr>
            </w:pPr>
            <w:r w:rsidRPr="00130B63">
              <w:rPr>
                <w:rFonts w:eastAsia="Times New Roman" w:cs="Times New Roman"/>
                <w:sz w:val="24"/>
                <w:szCs w:val="24"/>
              </w:rPr>
              <w:t>Д</w:t>
            </w:r>
            <w:r w:rsidR="00130B63" w:rsidRPr="00130B63">
              <w:rPr>
                <w:rFonts w:eastAsia="Times New Roman" w:cs="Times New Roman"/>
                <w:sz w:val="24"/>
                <w:szCs w:val="24"/>
              </w:rPr>
              <w:t>ляпредставителей</w:t>
            </w:r>
            <w:r>
              <w:rPr>
                <w:rFonts w:eastAsia="Times New Roman" w:cs="Times New Roman"/>
                <w:sz w:val="24"/>
                <w:szCs w:val="24"/>
              </w:rPr>
              <w:t xml:space="preserve"> </w:t>
            </w:r>
            <w:r w:rsidR="00130B63" w:rsidRPr="00130B63">
              <w:rPr>
                <w:rFonts w:eastAsia="Times New Roman" w:cs="Times New Roman"/>
                <w:sz w:val="24"/>
                <w:szCs w:val="24"/>
              </w:rPr>
              <w:t>негройдной</w:t>
            </w:r>
            <w:r>
              <w:rPr>
                <w:rFonts w:eastAsia="Times New Roman" w:cs="Times New Roman"/>
                <w:sz w:val="24"/>
                <w:szCs w:val="24"/>
              </w:rPr>
              <w:t xml:space="preserve"> </w:t>
            </w:r>
            <w:r w:rsidR="00130B63" w:rsidRPr="00130B63">
              <w:rPr>
                <w:rFonts w:eastAsia="Times New Roman" w:cs="Times New Roman"/>
                <w:sz w:val="24"/>
                <w:szCs w:val="24"/>
              </w:rPr>
              <w:t>расы: коэффициент «раса» равен1,</w:t>
            </w:r>
            <w:proofErr w:type="gramStart"/>
            <w:r w:rsidR="00130B63" w:rsidRPr="00130B63">
              <w:rPr>
                <w:rFonts w:eastAsia="Times New Roman" w:cs="Times New Roman"/>
                <w:sz w:val="24"/>
                <w:szCs w:val="24"/>
              </w:rPr>
              <w:t>159.[</w:t>
            </w:r>
            <w:proofErr w:type="gramEnd"/>
            <w:r w:rsidR="00130B63" w:rsidRPr="00130B63">
              <w:rPr>
                <w:rFonts w:eastAsia="Times New Roman" w:cs="Times New Roman"/>
                <w:sz w:val="24"/>
                <w:szCs w:val="24"/>
              </w:rPr>
              <w:t xml:space="preserve">157, </w:t>
            </w:r>
            <w:r w:rsidR="00130B63" w:rsidRPr="00130B63">
              <w:rPr>
                <w:rFonts w:eastAsia="Times New Roman" w:cs="Times New Roman"/>
                <w:sz w:val="24"/>
                <w:szCs w:val="24"/>
                <w:lang w:val="en-US"/>
              </w:rPr>
              <w:t>Levey</w:t>
            </w:r>
            <w:r w:rsidR="00130B63" w:rsidRPr="00130B63">
              <w:rPr>
                <w:rFonts w:eastAsia="Times New Roman" w:cs="Times New Roman"/>
                <w:sz w:val="24"/>
                <w:szCs w:val="24"/>
              </w:rPr>
              <w:t xml:space="preserve"> </w:t>
            </w:r>
            <w:r w:rsidR="00130B63" w:rsidRPr="00130B63">
              <w:rPr>
                <w:rFonts w:eastAsia="Times New Roman" w:cs="Times New Roman"/>
                <w:sz w:val="24"/>
                <w:szCs w:val="24"/>
                <w:lang w:val="en-US"/>
              </w:rPr>
              <w:t>AS</w:t>
            </w:r>
            <w:r w:rsidR="00130B63" w:rsidRPr="00130B63">
              <w:rPr>
                <w:rFonts w:eastAsia="Times New Roman" w:cs="Times New Roman"/>
                <w:sz w:val="24"/>
                <w:szCs w:val="24"/>
              </w:rPr>
              <w:t>,</w:t>
            </w:r>
          </w:p>
        </w:tc>
      </w:tr>
      <w:tr w:rsidR="00130B63" w:rsidRPr="00F67021" w14:paraId="52476A22" w14:textId="77777777">
        <w:trPr>
          <w:trHeight w:val="269"/>
        </w:trPr>
        <w:tc>
          <w:tcPr>
            <w:tcW w:w="9360" w:type="dxa"/>
            <w:tcBorders>
              <w:top w:val="nil"/>
              <w:left w:val="single" w:sz="4" w:space="0" w:color="auto"/>
              <w:bottom w:val="nil"/>
              <w:right w:val="single" w:sz="4" w:space="0" w:color="auto"/>
            </w:tcBorders>
            <w:vAlign w:val="bottom"/>
          </w:tcPr>
          <w:p w14:paraId="2703A7C1" w14:textId="77777777" w:rsidR="00130B63" w:rsidRPr="00130B63" w:rsidRDefault="00130B63" w:rsidP="00130B63">
            <w:pPr>
              <w:spacing w:after="0"/>
              <w:rPr>
                <w:rFonts w:eastAsia="Times New Roman" w:cs="Times New Roman"/>
                <w:sz w:val="24"/>
                <w:szCs w:val="24"/>
                <w:lang w:val="en-US"/>
              </w:rPr>
            </w:pPr>
            <w:r w:rsidRPr="00130B63">
              <w:rPr>
                <w:rFonts w:eastAsia="Times New Roman" w:cs="Times New Roman"/>
                <w:sz w:val="24"/>
                <w:szCs w:val="24"/>
                <w:lang w:val="en-US"/>
              </w:rPr>
              <w:t>Stevens LA.</w:t>
            </w:r>
            <w:r w:rsidR="003B0E24" w:rsidRPr="003B0E24">
              <w:rPr>
                <w:rFonts w:eastAsia="Times New Roman" w:cs="Times New Roman"/>
                <w:sz w:val="24"/>
                <w:szCs w:val="24"/>
                <w:lang w:val="en-US"/>
              </w:rPr>
              <w:t xml:space="preserve"> </w:t>
            </w:r>
            <w:r w:rsidRPr="00130B63">
              <w:rPr>
                <w:rFonts w:eastAsia="Times New Roman" w:cs="Times New Roman"/>
                <w:sz w:val="24"/>
                <w:szCs w:val="24"/>
                <w:lang w:val="en-US"/>
              </w:rPr>
              <w:t>Estimating GFR using the CKD Epidemiology Collaboration (CKD-EPI) creatinine</w:t>
            </w:r>
          </w:p>
        </w:tc>
      </w:tr>
      <w:tr w:rsidR="00130B63" w:rsidRPr="00F67021" w14:paraId="0554BC68" w14:textId="77777777">
        <w:trPr>
          <w:trHeight w:val="264"/>
        </w:trPr>
        <w:tc>
          <w:tcPr>
            <w:tcW w:w="9360" w:type="dxa"/>
            <w:tcBorders>
              <w:top w:val="nil"/>
              <w:left w:val="single" w:sz="4" w:space="0" w:color="auto"/>
              <w:bottom w:val="nil"/>
              <w:right w:val="single" w:sz="4" w:space="0" w:color="auto"/>
            </w:tcBorders>
            <w:vAlign w:val="bottom"/>
          </w:tcPr>
          <w:p w14:paraId="18BF7E15" w14:textId="77777777" w:rsidR="00130B63" w:rsidRPr="00130B63" w:rsidRDefault="00130B63" w:rsidP="00130B63">
            <w:pPr>
              <w:spacing w:after="0"/>
              <w:rPr>
                <w:rFonts w:eastAsia="Times New Roman" w:cs="Times New Roman"/>
                <w:sz w:val="24"/>
                <w:szCs w:val="24"/>
                <w:lang w:val="en-US"/>
              </w:rPr>
            </w:pPr>
            <w:r w:rsidRPr="00130B63">
              <w:rPr>
                <w:rFonts w:eastAsia="Times New Roman" w:cs="Times New Roman"/>
                <w:sz w:val="24"/>
                <w:szCs w:val="24"/>
                <w:lang w:val="en-US"/>
              </w:rPr>
              <w:t>equation: more accurate GFR estimates, lower CKD prevalence estimates, and better risk</w:t>
            </w:r>
          </w:p>
        </w:tc>
      </w:tr>
      <w:tr w:rsidR="00130B63" w:rsidRPr="00F67021" w14:paraId="286D2353" w14:textId="77777777">
        <w:trPr>
          <w:trHeight w:val="278"/>
        </w:trPr>
        <w:tc>
          <w:tcPr>
            <w:tcW w:w="9360" w:type="dxa"/>
            <w:tcBorders>
              <w:top w:val="nil"/>
              <w:left w:val="single" w:sz="4" w:space="0" w:color="auto"/>
              <w:bottom w:val="single" w:sz="4" w:space="0" w:color="auto"/>
              <w:right w:val="single" w:sz="4" w:space="0" w:color="auto"/>
            </w:tcBorders>
            <w:vAlign w:val="bottom"/>
          </w:tcPr>
          <w:p w14:paraId="1ECC8DEB" w14:textId="77777777" w:rsidR="00130B63" w:rsidRPr="00130B63" w:rsidRDefault="00130B63" w:rsidP="00130B63">
            <w:pPr>
              <w:spacing w:after="0"/>
              <w:rPr>
                <w:rFonts w:eastAsia="Times New Roman" w:cs="Times New Roman"/>
                <w:sz w:val="24"/>
                <w:szCs w:val="24"/>
                <w:lang w:val="en-US"/>
              </w:rPr>
            </w:pPr>
            <w:proofErr w:type="gramStart"/>
            <w:r w:rsidRPr="00130B63">
              <w:rPr>
                <w:rFonts w:eastAsia="Times New Roman" w:cs="Times New Roman"/>
                <w:sz w:val="24"/>
                <w:szCs w:val="24"/>
                <w:lang w:val="en-US"/>
              </w:rPr>
              <w:t>predictions</w:t>
            </w:r>
            <w:proofErr w:type="gramEnd"/>
            <w:r w:rsidRPr="00130B63">
              <w:rPr>
                <w:rFonts w:eastAsia="Times New Roman" w:cs="Times New Roman"/>
                <w:sz w:val="24"/>
                <w:szCs w:val="24"/>
                <w:lang w:val="en-US"/>
              </w:rPr>
              <w:t>. Am J Kidney Dis. 2010;55(4):622–627.].</w:t>
            </w:r>
          </w:p>
        </w:tc>
      </w:tr>
    </w:tbl>
    <w:p w14:paraId="7DF0EE68" w14:textId="77777777" w:rsidR="007A5FE6" w:rsidRPr="00616D44" w:rsidRDefault="007A5FE6" w:rsidP="007A5FE6">
      <w:pPr>
        <w:spacing w:after="0" w:line="360" w:lineRule="auto"/>
        <w:rPr>
          <w:rFonts w:eastAsia="Times New Roman" w:cs="Times New Roman"/>
          <w:sz w:val="24"/>
          <w:szCs w:val="24"/>
          <w:lang w:val="en-US"/>
        </w:rPr>
      </w:pPr>
    </w:p>
    <w:p w14:paraId="1EF70205" w14:textId="77777777" w:rsidR="00130B63" w:rsidRDefault="00130B63" w:rsidP="00424F51">
      <w:pPr>
        <w:pStyle w:val="a7"/>
        <w:numPr>
          <w:ilvl w:val="0"/>
          <w:numId w:val="63"/>
        </w:numPr>
        <w:spacing w:after="0" w:line="360" w:lineRule="auto"/>
        <w:rPr>
          <w:rFonts w:eastAsia="Times New Roman" w:cs="Times New Roman"/>
          <w:b/>
          <w:bCs/>
          <w:sz w:val="24"/>
          <w:szCs w:val="24"/>
        </w:rPr>
      </w:pPr>
      <w:r w:rsidRPr="00130B63">
        <w:rPr>
          <w:rFonts w:eastAsia="Times New Roman" w:cs="Times New Roman"/>
          <w:sz w:val="24"/>
          <w:szCs w:val="24"/>
        </w:rPr>
        <w:t xml:space="preserve">Калькулятор СКФ: </w:t>
      </w:r>
      <w:r>
        <w:rPr>
          <w:rFonts w:eastAsia="Times New Roman" w:cs="Times New Roman"/>
          <w:sz w:val="24"/>
          <w:szCs w:val="24"/>
        </w:rPr>
        <w:t>https://euat.ru/education/calculator-egfr</w:t>
      </w:r>
      <w:r w:rsidRPr="00130B63">
        <w:rPr>
          <w:rFonts w:eastAsia="Times New Roman" w:cs="Times New Roman"/>
          <w:b/>
          <w:bCs/>
          <w:sz w:val="24"/>
          <w:szCs w:val="24"/>
        </w:rPr>
        <w:t xml:space="preserve"> </w:t>
      </w:r>
    </w:p>
    <w:p w14:paraId="05154593" w14:textId="77777777" w:rsidR="003B0E24" w:rsidRDefault="003B0E24" w:rsidP="00130B63">
      <w:pPr>
        <w:spacing w:after="0" w:line="360" w:lineRule="auto"/>
        <w:jc w:val="center"/>
        <w:rPr>
          <w:rFonts w:cs="Times New Roman"/>
          <w:b/>
          <w:bCs/>
          <w:color w:val="000000"/>
          <w:kern w:val="0"/>
          <w:sz w:val="24"/>
          <w:szCs w:val="24"/>
        </w:rPr>
      </w:pPr>
    </w:p>
    <w:p w14:paraId="48F88056" w14:textId="78395CFD" w:rsidR="00130B63" w:rsidRPr="002953D8" w:rsidRDefault="00130B63" w:rsidP="002953D8">
      <w:pPr>
        <w:spacing w:after="0" w:line="360" w:lineRule="auto"/>
        <w:jc w:val="center"/>
        <w:rPr>
          <w:rFonts w:eastAsia="Times New Roman" w:cs="Times New Roman"/>
          <w:b/>
          <w:bCs/>
          <w:sz w:val="24"/>
          <w:szCs w:val="24"/>
        </w:rPr>
      </w:pPr>
      <w:r w:rsidRPr="00130B63">
        <w:rPr>
          <w:rFonts w:cs="Times New Roman"/>
          <w:b/>
          <w:bCs/>
          <w:color w:val="000000"/>
          <w:kern w:val="0"/>
          <w:sz w:val="24"/>
          <w:szCs w:val="24"/>
        </w:rPr>
        <w:t>CHA2DS2-VAS</w:t>
      </w:r>
      <w:r w:rsidRPr="00130B63">
        <w:rPr>
          <w:rFonts w:ascii="Times New Roman CYR" w:hAnsi="Times New Roman CYR" w:cs="Times New Roman CYR"/>
          <w:b/>
          <w:bCs/>
          <w:color w:val="000000"/>
          <w:kern w:val="0"/>
          <w:sz w:val="24"/>
          <w:szCs w:val="24"/>
        </w:rPr>
        <w:t>с. Шкала оценки риска тромбоэмболических осложнений у пациентов с фибрилляцией/трепетанием предсердий</w:t>
      </w:r>
    </w:p>
    <w:p w14:paraId="006037C4" w14:textId="77777777" w:rsidR="00130B63" w:rsidRDefault="00130B63" w:rsidP="00130B63">
      <w:pPr>
        <w:pStyle w:val="a7"/>
        <w:spacing w:line="360" w:lineRule="auto"/>
        <w:ind w:left="0"/>
        <w:jc w:val="both"/>
        <w:rPr>
          <w:rFonts w:eastAsia="Times New Roman" w:cs="Times New Roman"/>
          <w:sz w:val="24"/>
          <w:szCs w:val="24"/>
        </w:rPr>
      </w:pPr>
      <w:r w:rsidRPr="00130B63">
        <w:rPr>
          <w:rFonts w:eastAsia="Times New Roman" w:cs="Times New Roman"/>
          <w:b/>
          <w:bCs/>
          <w:sz w:val="24"/>
          <w:szCs w:val="24"/>
        </w:rPr>
        <w:t>Название на русском языке:</w:t>
      </w:r>
      <w:r w:rsidRPr="00130B63">
        <w:rPr>
          <w:rFonts w:eastAsia="Times New Roman" w:cs="Times New Roman"/>
          <w:sz w:val="24"/>
          <w:szCs w:val="24"/>
        </w:rPr>
        <w:t xml:space="preserve"> CHA2DS2-VASс. Шкала оценки риска тромбоэмболических осложнений у пациентов с фибрилляцией/трепетанием предсердий Оригинальное название (если есть): CHA2DS2-VASс </w:t>
      </w:r>
    </w:p>
    <w:p w14:paraId="0648097D" w14:textId="77777777" w:rsidR="00130B63" w:rsidRPr="00130B63" w:rsidRDefault="00130B63" w:rsidP="00130B63">
      <w:pPr>
        <w:pStyle w:val="a7"/>
        <w:spacing w:line="360" w:lineRule="auto"/>
        <w:ind w:left="0"/>
        <w:jc w:val="both"/>
        <w:rPr>
          <w:rFonts w:eastAsia="Times New Roman" w:cs="Times New Roman"/>
          <w:b/>
          <w:bCs/>
          <w:sz w:val="24"/>
          <w:szCs w:val="24"/>
        </w:rPr>
      </w:pPr>
      <w:r w:rsidRPr="00130B63">
        <w:rPr>
          <w:rFonts w:eastAsia="Times New Roman" w:cs="Times New Roman"/>
          <w:b/>
          <w:bCs/>
          <w:sz w:val="24"/>
          <w:szCs w:val="24"/>
        </w:rPr>
        <w:t xml:space="preserve">Источник (официальный сайт разработчиков, публикация с валидацией): </w:t>
      </w:r>
    </w:p>
    <w:p w14:paraId="14A0A521" w14:textId="77777777" w:rsidR="00130B63" w:rsidRPr="00130B63" w:rsidRDefault="00130B63" w:rsidP="00130B63">
      <w:pPr>
        <w:pStyle w:val="a7"/>
        <w:spacing w:line="360" w:lineRule="auto"/>
        <w:ind w:left="0"/>
        <w:jc w:val="both"/>
        <w:rPr>
          <w:rFonts w:eastAsia="Times New Roman" w:cs="Times New Roman"/>
          <w:sz w:val="24"/>
          <w:szCs w:val="24"/>
        </w:rPr>
      </w:pPr>
      <w:r w:rsidRPr="00130B63">
        <w:rPr>
          <w:rFonts w:eastAsia="Times New Roman" w:cs="Times New Roman"/>
          <w:sz w:val="24"/>
          <w:szCs w:val="24"/>
          <w:lang w:val="en-US"/>
        </w:rPr>
        <w:t xml:space="preserve">Olesen, Jonas Bjerring, et al. Validation of risk stratification schemes for predicting stroke and thromboembolism in patients with atrial fibrillation: nationwide cohort study. </w:t>
      </w:r>
      <w:r w:rsidRPr="00130B63">
        <w:rPr>
          <w:rFonts w:eastAsia="Times New Roman" w:cs="Times New Roman"/>
          <w:sz w:val="24"/>
          <w:szCs w:val="24"/>
        </w:rPr>
        <w:t xml:space="preserve">Bmj 342 (2011): d124. </w:t>
      </w:r>
    </w:p>
    <w:p w14:paraId="71EBA4FC" w14:textId="77777777" w:rsidR="00130B63" w:rsidRPr="00130B63" w:rsidRDefault="00130B63" w:rsidP="00130B63">
      <w:pPr>
        <w:pStyle w:val="a7"/>
        <w:spacing w:line="360" w:lineRule="auto"/>
        <w:ind w:left="0"/>
        <w:jc w:val="both"/>
        <w:rPr>
          <w:rFonts w:eastAsia="Times New Roman" w:cs="Times New Roman"/>
          <w:b/>
          <w:bCs/>
          <w:sz w:val="24"/>
          <w:szCs w:val="24"/>
        </w:rPr>
      </w:pPr>
      <w:r w:rsidRPr="00130B63">
        <w:rPr>
          <w:rFonts w:eastAsia="Times New Roman" w:cs="Times New Roman"/>
          <w:b/>
          <w:bCs/>
          <w:sz w:val="24"/>
          <w:szCs w:val="24"/>
        </w:rPr>
        <w:t xml:space="preserve">Тип (подчеркнуть): </w:t>
      </w:r>
    </w:p>
    <w:p w14:paraId="782541D4" w14:textId="77777777" w:rsidR="00130B63" w:rsidRDefault="00130B63" w:rsidP="00130B63">
      <w:pPr>
        <w:pStyle w:val="a7"/>
        <w:spacing w:line="360" w:lineRule="auto"/>
        <w:ind w:left="0"/>
        <w:jc w:val="both"/>
        <w:rPr>
          <w:rFonts w:eastAsia="Times New Roman" w:cs="Times New Roman"/>
          <w:sz w:val="24"/>
          <w:szCs w:val="24"/>
        </w:rPr>
      </w:pPr>
      <w:r w:rsidRPr="00130B63">
        <w:rPr>
          <w:rFonts w:eastAsia="Times New Roman" w:cs="Times New Roman"/>
          <w:sz w:val="24"/>
          <w:szCs w:val="24"/>
        </w:rPr>
        <w:t xml:space="preserve">— </w:t>
      </w:r>
      <w:r w:rsidRPr="00130B63">
        <w:rPr>
          <w:rFonts w:eastAsia="Times New Roman" w:cs="Times New Roman"/>
          <w:sz w:val="24"/>
          <w:szCs w:val="24"/>
          <w:u w:val="single"/>
        </w:rPr>
        <w:t>шкала оценки</w:t>
      </w:r>
      <w:r w:rsidRPr="00130B63">
        <w:rPr>
          <w:rFonts w:eastAsia="Times New Roman" w:cs="Times New Roman"/>
          <w:sz w:val="24"/>
          <w:szCs w:val="24"/>
        </w:rPr>
        <w:t xml:space="preserve"> </w:t>
      </w:r>
    </w:p>
    <w:p w14:paraId="485B685D" w14:textId="77777777" w:rsidR="00130B63" w:rsidRDefault="00130B63" w:rsidP="00130B63">
      <w:pPr>
        <w:pStyle w:val="a7"/>
        <w:spacing w:line="360" w:lineRule="auto"/>
        <w:ind w:left="0"/>
        <w:jc w:val="both"/>
        <w:rPr>
          <w:rFonts w:eastAsia="Times New Roman" w:cs="Times New Roman"/>
          <w:sz w:val="24"/>
          <w:szCs w:val="24"/>
        </w:rPr>
      </w:pPr>
      <w:r w:rsidRPr="00130B63">
        <w:rPr>
          <w:rFonts w:eastAsia="Times New Roman" w:cs="Times New Roman"/>
          <w:sz w:val="24"/>
          <w:szCs w:val="24"/>
        </w:rPr>
        <w:t xml:space="preserve">— индекс </w:t>
      </w:r>
    </w:p>
    <w:p w14:paraId="75BF857C" w14:textId="77777777" w:rsidR="00130B63" w:rsidRDefault="00130B63" w:rsidP="00130B63">
      <w:pPr>
        <w:pStyle w:val="a7"/>
        <w:spacing w:line="360" w:lineRule="auto"/>
        <w:ind w:left="0"/>
        <w:jc w:val="both"/>
        <w:rPr>
          <w:rFonts w:eastAsia="Times New Roman" w:cs="Times New Roman"/>
          <w:sz w:val="24"/>
          <w:szCs w:val="24"/>
        </w:rPr>
      </w:pPr>
      <w:r w:rsidRPr="00130B63">
        <w:rPr>
          <w:rFonts w:eastAsia="Times New Roman" w:cs="Times New Roman"/>
          <w:sz w:val="24"/>
          <w:szCs w:val="24"/>
        </w:rPr>
        <w:t xml:space="preserve">— вопросник </w:t>
      </w:r>
    </w:p>
    <w:p w14:paraId="4F70CDBF" w14:textId="77777777" w:rsidR="00130B63" w:rsidRDefault="00130B63" w:rsidP="00130B63">
      <w:pPr>
        <w:pStyle w:val="a7"/>
        <w:spacing w:line="360" w:lineRule="auto"/>
        <w:ind w:left="0"/>
        <w:jc w:val="both"/>
        <w:rPr>
          <w:rFonts w:eastAsia="Times New Roman" w:cs="Times New Roman"/>
          <w:sz w:val="24"/>
          <w:szCs w:val="24"/>
        </w:rPr>
      </w:pPr>
      <w:r w:rsidRPr="00130B63">
        <w:rPr>
          <w:rFonts w:eastAsia="Times New Roman" w:cs="Times New Roman"/>
          <w:sz w:val="24"/>
          <w:szCs w:val="24"/>
        </w:rPr>
        <w:t xml:space="preserve">— другое (уточнить): </w:t>
      </w:r>
    </w:p>
    <w:p w14:paraId="35920136" w14:textId="77777777" w:rsidR="00130B63" w:rsidRPr="00130B63" w:rsidRDefault="00130B63" w:rsidP="00130B63">
      <w:pPr>
        <w:pStyle w:val="a7"/>
        <w:spacing w:line="360" w:lineRule="auto"/>
        <w:ind w:left="0"/>
        <w:jc w:val="both"/>
        <w:rPr>
          <w:rFonts w:eastAsia="Times New Roman" w:cs="Times New Roman"/>
          <w:sz w:val="24"/>
          <w:szCs w:val="24"/>
        </w:rPr>
      </w:pPr>
      <w:r w:rsidRPr="00130B63">
        <w:rPr>
          <w:rFonts w:eastAsia="Times New Roman" w:cs="Times New Roman"/>
          <w:b/>
          <w:bCs/>
          <w:sz w:val="24"/>
          <w:szCs w:val="24"/>
        </w:rPr>
        <w:t>Назначение:</w:t>
      </w:r>
      <w:r w:rsidRPr="00130B63">
        <w:rPr>
          <w:rFonts w:eastAsia="Times New Roman" w:cs="Times New Roman"/>
          <w:sz w:val="24"/>
          <w:szCs w:val="24"/>
        </w:rPr>
        <w:t xml:space="preserve"> клинический инструмент для прогнозирования риска ишемического инсульта и системного тромбоэмболизма при фибрилляции предсердий </w:t>
      </w:r>
    </w:p>
    <w:p w14:paraId="3D4552E1" w14:textId="77777777" w:rsidR="00130B63" w:rsidRPr="00130B63" w:rsidRDefault="00130B63" w:rsidP="00130B63">
      <w:pPr>
        <w:pStyle w:val="a7"/>
        <w:spacing w:line="360" w:lineRule="auto"/>
        <w:jc w:val="both"/>
        <w:rPr>
          <w:rFonts w:eastAsia="Times New Roman" w:cs="Times New Roman"/>
          <w:b/>
          <w:bCs/>
          <w:sz w:val="24"/>
          <w:szCs w:val="24"/>
        </w:rPr>
      </w:pPr>
      <w:r w:rsidRPr="00130B63">
        <w:rPr>
          <w:rFonts w:eastAsia="Times New Roman" w:cs="Times New Roman"/>
          <w:b/>
          <w:bCs/>
          <w:sz w:val="24"/>
          <w:szCs w:val="24"/>
        </w:rPr>
        <w:lastRenderedPageBreak/>
        <w:t xml:space="preserve">Содержание (шаблон): </w:t>
      </w:r>
    </w:p>
    <w:tbl>
      <w:tblPr>
        <w:tblW w:w="0" w:type="auto"/>
        <w:tblInd w:w="-5" w:type="dxa"/>
        <w:tblLayout w:type="fixed"/>
        <w:tblCellMar>
          <w:left w:w="0" w:type="dxa"/>
          <w:right w:w="0" w:type="dxa"/>
        </w:tblCellMar>
        <w:tblLook w:val="0000" w:firstRow="0" w:lastRow="0" w:firstColumn="0" w:lastColumn="0" w:noHBand="0" w:noVBand="0"/>
      </w:tblPr>
      <w:tblGrid>
        <w:gridCol w:w="7560"/>
        <w:gridCol w:w="1282"/>
      </w:tblGrid>
      <w:tr w:rsidR="00130B63" w:rsidRPr="00130B63" w14:paraId="16D8A7DA" w14:textId="77777777">
        <w:trPr>
          <w:trHeight w:val="341"/>
        </w:trPr>
        <w:tc>
          <w:tcPr>
            <w:tcW w:w="7560" w:type="dxa"/>
            <w:tcBorders>
              <w:top w:val="single" w:sz="4" w:space="0" w:color="auto"/>
              <w:left w:val="single" w:sz="4" w:space="0" w:color="auto"/>
              <w:bottom w:val="nil"/>
              <w:right w:val="nil"/>
            </w:tcBorders>
            <w:shd w:val="clear" w:color="auto" w:fill="D9D9D9"/>
            <w:vAlign w:val="center"/>
          </w:tcPr>
          <w:p w14:paraId="2789488C" w14:textId="77777777" w:rsidR="00130B63" w:rsidRPr="00130B63" w:rsidRDefault="00130B63" w:rsidP="00130B63">
            <w:pPr>
              <w:pStyle w:val="a7"/>
              <w:ind w:left="0"/>
              <w:jc w:val="both"/>
              <w:rPr>
                <w:rFonts w:eastAsia="Times New Roman" w:cs="Times New Roman"/>
                <w:b/>
                <w:bCs/>
                <w:sz w:val="24"/>
                <w:szCs w:val="24"/>
              </w:rPr>
            </w:pPr>
            <w:r>
              <w:rPr>
                <w:rFonts w:eastAsia="Times New Roman" w:cs="Times New Roman"/>
                <w:b/>
                <w:bCs/>
                <w:sz w:val="24"/>
                <w:szCs w:val="24"/>
              </w:rPr>
              <w:t xml:space="preserve"> </w:t>
            </w:r>
            <w:r w:rsidRPr="00130B63">
              <w:rPr>
                <w:rFonts w:eastAsia="Times New Roman" w:cs="Times New Roman"/>
                <w:b/>
                <w:bCs/>
                <w:sz w:val="24"/>
                <w:szCs w:val="24"/>
              </w:rPr>
              <w:t>Фактор риска</w:t>
            </w:r>
          </w:p>
        </w:tc>
        <w:tc>
          <w:tcPr>
            <w:tcW w:w="1282" w:type="dxa"/>
            <w:tcBorders>
              <w:top w:val="single" w:sz="4" w:space="0" w:color="auto"/>
              <w:left w:val="single" w:sz="4" w:space="0" w:color="auto"/>
              <w:bottom w:val="nil"/>
              <w:right w:val="single" w:sz="4" w:space="0" w:color="auto"/>
            </w:tcBorders>
            <w:shd w:val="clear" w:color="auto" w:fill="D9D9D9"/>
            <w:vAlign w:val="center"/>
          </w:tcPr>
          <w:p w14:paraId="58B0EF49" w14:textId="77777777" w:rsidR="00130B63" w:rsidRPr="00130B63" w:rsidRDefault="00130B63" w:rsidP="00130B63">
            <w:pPr>
              <w:pStyle w:val="a7"/>
              <w:ind w:left="95"/>
              <w:jc w:val="both"/>
              <w:rPr>
                <w:rFonts w:eastAsia="Times New Roman" w:cs="Times New Roman"/>
                <w:b/>
                <w:bCs/>
                <w:sz w:val="24"/>
                <w:szCs w:val="24"/>
              </w:rPr>
            </w:pPr>
            <w:r w:rsidRPr="00130B63">
              <w:rPr>
                <w:rFonts w:eastAsia="Times New Roman" w:cs="Times New Roman"/>
                <w:b/>
                <w:bCs/>
                <w:sz w:val="24"/>
                <w:szCs w:val="24"/>
              </w:rPr>
              <w:t>Баллы</w:t>
            </w:r>
          </w:p>
        </w:tc>
      </w:tr>
      <w:tr w:rsidR="00130B63" w:rsidRPr="00130B63" w14:paraId="53E80AC9" w14:textId="77777777">
        <w:trPr>
          <w:trHeight w:val="562"/>
        </w:trPr>
        <w:tc>
          <w:tcPr>
            <w:tcW w:w="7560" w:type="dxa"/>
            <w:tcBorders>
              <w:top w:val="single" w:sz="4" w:space="0" w:color="auto"/>
              <w:left w:val="single" w:sz="4" w:space="0" w:color="auto"/>
              <w:bottom w:val="nil"/>
              <w:right w:val="nil"/>
            </w:tcBorders>
            <w:vAlign w:val="bottom"/>
          </w:tcPr>
          <w:p w14:paraId="10AC11FE" w14:textId="77777777" w:rsidR="00130B63" w:rsidRPr="00130B63" w:rsidRDefault="00130B63" w:rsidP="00130B63">
            <w:pPr>
              <w:pStyle w:val="a7"/>
              <w:ind w:left="0"/>
              <w:jc w:val="both"/>
              <w:rPr>
                <w:rFonts w:eastAsia="Times New Roman" w:cs="Times New Roman"/>
                <w:sz w:val="24"/>
                <w:szCs w:val="24"/>
              </w:rPr>
            </w:pPr>
            <w:r w:rsidRPr="00130B63">
              <w:rPr>
                <w:rFonts w:eastAsia="Times New Roman" w:cs="Times New Roman"/>
                <w:sz w:val="24"/>
                <w:szCs w:val="24"/>
              </w:rPr>
              <w:t>Инсульт / ТИА /системная эмболия в анамнезе (включает ВЧК и геморрагический инсульт)</w:t>
            </w:r>
          </w:p>
        </w:tc>
        <w:tc>
          <w:tcPr>
            <w:tcW w:w="1282" w:type="dxa"/>
            <w:tcBorders>
              <w:top w:val="single" w:sz="4" w:space="0" w:color="auto"/>
              <w:left w:val="single" w:sz="4" w:space="0" w:color="auto"/>
              <w:bottom w:val="nil"/>
              <w:right w:val="single" w:sz="4" w:space="0" w:color="auto"/>
            </w:tcBorders>
          </w:tcPr>
          <w:p w14:paraId="343AEECD" w14:textId="77777777" w:rsidR="00130B63" w:rsidRPr="00130B63" w:rsidRDefault="00130B63" w:rsidP="00130B63">
            <w:pPr>
              <w:pStyle w:val="a7"/>
              <w:ind w:left="520"/>
              <w:jc w:val="both"/>
              <w:rPr>
                <w:rFonts w:eastAsia="Times New Roman" w:cs="Times New Roman"/>
                <w:b/>
                <w:bCs/>
                <w:sz w:val="24"/>
                <w:szCs w:val="24"/>
              </w:rPr>
            </w:pPr>
            <w:r w:rsidRPr="00130B63">
              <w:rPr>
                <w:rFonts w:eastAsia="Times New Roman" w:cs="Times New Roman"/>
                <w:b/>
                <w:bCs/>
                <w:sz w:val="24"/>
                <w:szCs w:val="24"/>
              </w:rPr>
              <w:t>2</w:t>
            </w:r>
          </w:p>
        </w:tc>
      </w:tr>
      <w:tr w:rsidR="00130B63" w:rsidRPr="00130B63" w14:paraId="46FA3BDB" w14:textId="77777777">
        <w:trPr>
          <w:trHeight w:val="331"/>
        </w:trPr>
        <w:tc>
          <w:tcPr>
            <w:tcW w:w="7560" w:type="dxa"/>
            <w:tcBorders>
              <w:top w:val="single" w:sz="4" w:space="0" w:color="auto"/>
              <w:left w:val="single" w:sz="4" w:space="0" w:color="auto"/>
              <w:bottom w:val="nil"/>
              <w:right w:val="nil"/>
            </w:tcBorders>
            <w:vAlign w:val="center"/>
          </w:tcPr>
          <w:p w14:paraId="07F29278" w14:textId="77777777" w:rsidR="00130B63" w:rsidRPr="00130B63" w:rsidRDefault="00130B63" w:rsidP="00130B63">
            <w:pPr>
              <w:pStyle w:val="a7"/>
              <w:ind w:left="0"/>
              <w:jc w:val="both"/>
              <w:rPr>
                <w:rFonts w:eastAsia="Times New Roman" w:cs="Times New Roman"/>
                <w:sz w:val="24"/>
                <w:szCs w:val="24"/>
              </w:rPr>
            </w:pPr>
            <w:r w:rsidRPr="00130B63">
              <w:rPr>
                <w:rFonts w:eastAsia="Times New Roman" w:cs="Times New Roman"/>
                <w:sz w:val="24"/>
                <w:szCs w:val="24"/>
              </w:rPr>
              <w:t>Возраст ≥75 лет</w:t>
            </w:r>
          </w:p>
        </w:tc>
        <w:tc>
          <w:tcPr>
            <w:tcW w:w="1282" w:type="dxa"/>
            <w:tcBorders>
              <w:top w:val="single" w:sz="4" w:space="0" w:color="auto"/>
              <w:left w:val="single" w:sz="4" w:space="0" w:color="auto"/>
              <w:bottom w:val="nil"/>
              <w:right w:val="single" w:sz="4" w:space="0" w:color="auto"/>
            </w:tcBorders>
            <w:vAlign w:val="center"/>
          </w:tcPr>
          <w:p w14:paraId="7FE9CA13" w14:textId="77777777" w:rsidR="00130B63" w:rsidRPr="00130B63" w:rsidRDefault="00130B63" w:rsidP="00130B63">
            <w:pPr>
              <w:pStyle w:val="a7"/>
              <w:ind w:left="520"/>
              <w:jc w:val="both"/>
              <w:rPr>
                <w:rFonts w:eastAsia="Times New Roman" w:cs="Times New Roman"/>
                <w:b/>
                <w:bCs/>
                <w:sz w:val="24"/>
                <w:szCs w:val="24"/>
              </w:rPr>
            </w:pPr>
            <w:r w:rsidRPr="00130B63">
              <w:rPr>
                <w:rFonts w:eastAsia="Times New Roman" w:cs="Times New Roman"/>
                <w:b/>
                <w:bCs/>
                <w:sz w:val="24"/>
                <w:szCs w:val="24"/>
              </w:rPr>
              <w:t>2</w:t>
            </w:r>
          </w:p>
        </w:tc>
      </w:tr>
      <w:tr w:rsidR="00130B63" w:rsidRPr="00130B63" w14:paraId="41C0070C" w14:textId="77777777">
        <w:trPr>
          <w:trHeight w:val="336"/>
        </w:trPr>
        <w:tc>
          <w:tcPr>
            <w:tcW w:w="7560" w:type="dxa"/>
            <w:tcBorders>
              <w:top w:val="single" w:sz="4" w:space="0" w:color="auto"/>
              <w:left w:val="single" w:sz="4" w:space="0" w:color="auto"/>
              <w:bottom w:val="nil"/>
              <w:right w:val="nil"/>
            </w:tcBorders>
            <w:vAlign w:val="center"/>
          </w:tcPr>
          <w:p w14:paraId="08D70B44" w14:textId="77777777" w:rsidR="00130B63" w:rsidRPr="00130B63" w:rsidRDefault="00130B63" w:rsidP="00130B63">
            <w:pPr>
              <w:pStyle w:val="a7"/>
              <w:ind w:left="0"/>
              <w:jc w:val="both"/>
              <w:rPr>
                <w:rFonts w:eastAsia="Times New Roman" w:cs="Times New Roman"/>
                <w:sz w:val="24"/>
                <w:szCs w:val="24"/>
              </w:rPr>
            </w:pPr>
            <w:r w:rsidRPr="00130B63">
              <w:rPr>
                <w:rFonts w:eastAsia="Times New Roman" w:cs="Times New Roman"/>
                <w:sz w:val="24"/>
                <w:szCs w:val="24"/>
              </w:rPr>
              <w:t>АГ или прием АГП</w:t>
            </w:r>
          </w:p>
        </w:tc>
        <w:tc>
          <w:tcPr>
            <w:tcW w:w="1282" w:type="dxa"/>
            <w:tcBorders>
              <w:top w:val="single" w:sz="4" w:space="0" w:color="auto"/>
              <w:left w:val="single" w:sz="4" w:space="0" w:color="auto"/>
              <w:bottom w:val="nil"/>
              <w:right w:val="single" w:sz="4" w:space="0" w:color="auto"/>
            </w:tcBorders>
            <w:vAlign w:val="center"/>
          </w:tcPr>
          <w:p w14:paraId="3CD7E6DA" w14:textId="77777777" w:rsidR="00130B63" w:rsidRPr="00130B63" w:rsidRDefault="00130B63" w:rsidP="00130B63">
            <w:pPr>
              <w:pStyle w:val="a7"/>
              <w:ind w:left="520"/>
              <w:jc w:val="both"/>
              <w:rPr>
                <w:rFonts w:eastAsia="Times New Roman" w:cs="Times New Roman"/>
                <w:b/>
                <w:bCs/>
                <w:sz w:val="24"/>
                <w:szCs w:val="24"/>
              </w:rPr>
            </w:pPr>
            <w:r w:rsidRPr="00130B63">
              <w:rPr>
                <w:rFonts w:eastAsia="Times New Roman" w:cs="Times New Roman"/>
                <w:b/>
                <w:bCs/>
                <w:sz w:val="24"/>
                <w:szCs w:val="24"/>
              </w:rPr>
              <w:t>1</w:t>
            </w:r>
          </w:p>
        </w:tc>
      </w:tr>
      <w:tr w:rsidR="00130B63" w:rsidRPr="00130B63" w14:paraId="3A858269" w14:textId="77777777">
        <w:trPr>
          <w:trHeight w:val="336"/>
        </w:trPr>
        <w:tc>
          <w:tcPr>
            <w:tcW w:w="7560" w:type="dxa"/>
            <w:tcBorders>
              <w:top w:val="single" w:sz="4" w:space="0" w:color="auto"/>
              <w:left w:val="single" w:sz="4" w:space="0" w:color="auto"/>
              <w:bottom w:val="nil"/>
              <w:right w:val="nil"/>
            </w:tcBorders>
            <w:vAlign w:val="center"/>
          </w:tcPr>
          <w:p w14:paraId="7EDB26A1" w14:textId="77777777" w:rsidR="00130B63" w:rsidRPr="00130B63" w:rsidRDefault="00130B63" w:rsidP="00130B63">
            <w:pPr>
              <w:pStyle w:val="a7"/>
              <w:ind w:left="0"/>
              <w:jc w:val="both"/>
              <w:rPr>
                <w:rFonts w:eastAsia="Times New Roman" w:cs="Times New Roman"/>
                <w:sz w:val="24"/>
                <w:szCs w:val="24"/>
              </w:rPr>
            </w:pPr>
            <w:r w:rsidRPr="00130B63">
              <w:rPr>
                <w:rFonts w:eastAsia="Times New Roman" w:cs="Times New Roman"/>
                <w:sz w:val="24"/>
                <w:szCs w:val="24"/>
              </w:rPr>
              <w:t>СД 1 или 2 типа (прием препаратов и/или инсулинов и их аналогов или</w:t>
            </w:r>
          </w:p>
        </w:tc>
        <w:tc>
          <w:tcPr>
            <w:tcW w:w="1282" w:type="dxa"/>
            <w:tcBorders>
              <w:top w:val="single" w:sz="4" w:space="0" w:color="auto"/>
              <w:left w:val="single" w:sz="4" w:space="0" w:color="auto"/>
              <w:bottom w:val="nil"/>
              <w:right w:val="single" w:sz="4" w:space="0" w:color="auto"/>
            </w:tcBorders>
            <w:vAlign w:val="center"/>
          </w:tcPr>
          <w:p w14:paraId="3865F56F" w14:textId="77777777" w:rsidR="00130B63" w:rsidRPr="00130B63" w:rsidRDefault="00130B63" w:rsidP="00130B63">
            <w:pPr>
              <w:pStyle w:val="a7"/>
              <w:ind w:left="520"/>
              <w:jc w:val="both"/>
              <w:rPr>
                <w:rFonts w:eastAsia="Times New Roman" w:cs="Times New Roman"/>
                <w:b/>
                <w:bCs/>
                <w:sz w:val="24"/>
                <w:szCs w:val="24"/>
              </w:rPr>
            </w:pPr>
            <w:r w:rsidRPr="00130B63">
              <w:rPr>
                <w:rFonts w:eastAsia="Times New Roman" w:cs="Times New Roman"/>
                <w:b/>
                <w:bCs/>
                <w:sz w:val="24"/>
                <w:szCs w:val="24"/>
              </w:rPr>
              <w:t>1</w:t>
            </w:r>
          </w:p>
        </w:tc>
      </w:tr>
      <w:tr w:rsidR="00130B63" w:rsidRPr="00130B63" w14:paraId="4D0D6B9D" w14:textId="77777777">
        <w:trPr>
          <w:trHeight w:val="557"/>
        </w:trPr>
        <w:tc>
          <w:tcPr>
            <w:tcW w:w="7560" w:type="dxa"/>
            <w:tcBorders>
              <w:top w:val="single" w:sz="4" w:space="0" w:color="auto"/>
              <w:left w:val="single" w:sz="4" w:space="0" w:color="auto"/>
              <w:bottom w:val="nil"/>
              <w:right w:val="nil"/>
            </w:tcBorders>
            <w:vAlign w:val="bottom"/>
          </w:tcPr>
          <w:p w14:paraId="2EE8BCE1" w14:textId="77777777" w:rsidR="00130B63" w:rsidRPr="00130B63" w:rsidRDefault="00130B63" w:rsidP="00130B63">
            <w:pPr>
              <w:pStyle w:val="a7"/>
              <w:ind w:left="0"/>
              <w:jc w:val="both"/>
              <w:rPr>
                <w:rFonts w:eastAsia="Times New Roman" w:cs="Times New Roman"/>
                <w:sz w:val="24"/>
                <w:szCs w:val="24"/>
              </w:rPr>
            </w:pPr>
            <w:r w:rsidRPr="00130B63">
              <w:rPr>
                <w:rFonts w:eastAsia="Times New Roman" w:cs="Times New Roman"/>
                <w:sz w:val="24"/>
                <w:szCs w:val="24"/>
              </w:rPr>
              <w:t>Средняя или тяжелая ХСН (недавняя декомпенсация ХСН независимо от ФВ, систолическая дисфункция, ГКМП)</w:t>
            </w:r>
          </w:p>
        </w:tc>
        <w:tc>
          <w:tcPr>
            <w:tcW w:w="1282" w:type="dxa"/>
            <w:tcBorders>
              <w:top w:val="single" w:sz="4" w:space="0" w:color="auto"/>
              <w:left w:val="single" w:sz="4" w:space="0" w:color="auto"/>
              <w:bottom w:val="nil"/>
              <w:right w:val="single" w:sz="4" w:space="0" w:color="auto"/>
            </w:tcBorders>
          </w:tcPr>
          <w:p w14:paraId="31A2C933" w14:textId="77777777" w:rsidR="00130B63" w:rsidRPr="00130B63" w:rsidRDefault="00130B63" w:rsidP="00130B63">
            <w:pPr>
              <w:pStyle w:val="a7"/>
              <w:ind w:left="520"/>
              <w:jc w:val="both"/>
              <w:rPr>
                <w:rFonts w:eastAsia="Times New Roman" w:cs="Times New Roman"/>
                <w:b/>
                <w:bCs/>
                <w:sz w:val="24"/>
                <w:szCs w:val="24"/>
              </w:rPr>
            </w:pPr>
            <w:r w:rsidRPr="00130B63">
              <w:rPr>
                <w:rFonts w:eastAsia="Times New Roman" w:cs="Times New Roman"/>
                <w:b/>
                <w:bCs/>
                <w:sz w:val="24"/>
                <w:szCs w:val="24"/>
              </w:rPr>
              <w:t>1</w:t>
            </w:r>
          </w:p>
        </w:tc>
      </w:tr>
      <w:tr w:rsidR="00130B63" w:rsidRPr="00130B63" w14:paraId="2DCCB078" w14:textId="77777777">
        <w:trPr>
          <w:trHeight w:val="590"/>
        </w:trPr>
        <w:tc>
          <w:tcPr>
            <w:tcW w:w="7560" w:type="dxa"/>
            <w:tcBorders>
              <w:top w:val="single" w:sz="4" w:space="0" w:color="auto"/>
              <w:left w:val="single" w:sz="4" w:space="0" w:color="auto"/>
              <w:bottom w:val="nil"/>
              <w:right w:val="nil"/>
            </w:tcBorders>
            <w:vAlign w:val="bottom"/>
          </w:tcPr>
          <w:p w14:paraId="16E647D2" w14:textId="77777777" w:rsidR="00130B63" w:rsidRPr="00130B63" w:rsidRDefault="00130B63" w:rsidP="00130B63">
            <w:pPr>
              <w:pStyle w:val="a7"/>
              <w:ind w:left="0"/>
              <w:jc w:val="both"/>
              <w:rPr>
                <w:rFonts w:eastAsia="Times New Roman" w:cs="Times New Roman"/>
                <w:sz w:val="24"/>
                <w:szCs w:val="24"/>
              </w:rPr>
            </w:pPr>
            <w:r w:rsidRPr="00130B63">
              <w:rPr>
                <w:rFonts w:eastAsia="Times New Roman" w:cs="Times New Roman"/>
                <w:sz w:val="24"/>
                <w:szCs w:val="24"/>
              </w:rPr>
              <w:t>Сосудистое</w:t>
            </w:r>
            <w:r w:rsidRPr="00130B63">
              <w:rPr>
                <w:rFonts w:eastAsia="Times New Roman" w:cs="Times New Roman"/>
                <w:sz w:val="24"/>
                <w:szCs w:val="24"/>
              </w:rPr>
              <w:tab/>
              <w:t>заболевание</w:t>
            </w:r>
            <w:r w:rsidRPr="00130B63">
              <w:rPr>
                <w:rFonts w:eastAsia="Times New Roman" w:cs="Times New Roman"/>
                <w:sz w:val="24"/>
                <w:szCs w:val="24"/>
              </w:rPr>
              <w:tab/>
              <w:t>(инфаркт</w:t>
            </w:r>
            <w:r w:rsidRPr="00130B63">
              <w:rPr>
                <w:rFonts w:eastAsia="Times New Roman" w:cs="Times New Roman"/>
                <w:sz w:val="24"/>
                <w:szCs w:val="24"/>
              </w:rPr>
              <w:tab/>
              <w:t>миокарда</w:t>
            </w:r>
            <w:r w:rsidRPr="00130B63">
              <w:rPr>
                <w:rFonts w:eastAsia="Times New Roman" w:cs="Times New Roman"/>
                <w:sz w:val="24"/>
                <w:szCs w:val="24"/>
              </w:rPr>
              <w:tab/>
              <w:t>в</w:t>
            </w:r>
            <w:r w:rsidRPr="00130B63">
              <w:rPr>
                <w:rFonts w:eastAsia="Times New Roman" w:cs="Times New Roman"/>
                <w:sz w:val="24"/>
                <w:szCs w:val="24"/>
              </w:rPr>
              <w:tab/>
              <w:t>анамнезе,</w:t>
            </w:r>
          </w:p>
          <w:p w14:paraId="1B5DF857" w14:textId="77777777" w:rsidR="00130B63" w:rsidRPr="00130B63" w:rsidRDefault="00130B63" w:rsidP="00130B63">
            <w:pPr>
              <w:pStyle w:val="a7"/>
              <w:ind w:left="0"/>
              <w:jc w:val="both"/>
              <w:rPr>
                <w:rFonts w:eastAsia="Times New Roman" w:cs="Times New Roman"/>
                <w:sz w:val="24"/>
                <w:szCs w:val="24"/>
              </w:rPr>
            </w:pPr>
            <w:r w:rsidRPr="00130B63">
              <w:rPr>
                <w:rFonts w:eastAsia="Times New Roman" w:cs="Times New Roman"/>
                <w:sz w:val="24"/>
                <w:szCs w:val="24"/>
              </w:rPr>
              <w:t>периферический атеросклероз, атеросклеротические бляшки в аорте)</w:t>
            </w:r>
          </w:p>
        </w:tc>
        <w:tc>
          <w:tcPr>
            <w:tcW w:w="1282" w:type="dxa"/>
            <w:tcBorders>
              <w:top w:val="single" w:sz="4" w:space="0" w:color="auto"/>
              <w:left w:val="single" w:sz="4" w:space="0" w:color="auto"/>
              <w:bottom w:val="nil"/>
              <w:right w:val="single" w:sz="4" w:space="0" w:color="auto"/>
            </w:tcBorders>
          </w:tcPr>
          <w:p w14:paraId="7F0CEC28" w14:textId="77777777" w:rsidR="00130B63" w:rsidRPr="00130B63" w:rsidRDefault="00130B63" w:rsidP="00130B63">
            <w:pPr>
              <w:pStyle w:val="a7"/>
              <w:ind w:left="520"/>
              <w:jc w:val="both"/>
              <w:rPr>
                <w:rFonts w:eastAsia="Times New Roman" w:cs="Times New Roman"/>
                <w:b/>
                <w:bCs/>
                <w:sz w:val="24"/>
                <w:szCs w:val="24"/>
              </w:rPr>
            </w:pPr>
            <w:r w:rsidRPr="00130B63">
              <w:rPr>
                <w:rFonts w:eastAsia="Times New Roman" w:cs="Times New Roman"/>
                <w:b/>
                <w:bCs/>
                <w:sz w:val="24"/>
                <w:szCs w:val="24"/>
              </w:rPr>
              <w:t>1</w:t>
            </w:r>
          </w:p>
        </w:tc>
      </w:tr>
      <w:tr w:rsidR="00130B63" w:rsidRPr="00130B63" w14:paraId="7EB9A945" w14:textId="77777777">
        <w:trPr>
          <w:trHeight w:val="350"/>
        </w:trPr>
        <w:tc>
          <w:tcPr>
            <w:tcW w:w="7560" w:type="dxa"/>
            <w:tcBorders>
              <w:top w:val="single" w:sz="4" w:space="0" w:color="auto"/>
              <w:left w:val="single" w:sz="4" w:space="0" w:color="auto"/>
              <w:bottom w:val="nil"/>
              <w:right w:val="nil"/>
            </w:tcBorders>
            <w:vAlign w:val="center"/>
          </w:tcPr>
          <w:p w14:paraId="209AC1D7" w14:textId="77777777" w:rsidR="00130B63" w:rsidRPr="00130B63" w:rsidRDefault="00130B63" w:rsidP="00130B63">
            <w:pPr>
              <w:pStyle w:val="a7"/>
              <w:ind w:left="0"/>
              <w:jc w:val="both"/>
              <w:rPr>
                <w:rFonts w:eastAsia="Times New Roman" w:cs="Times New Roman"/>
                <w:sz w:val="24"/>
                <w:szCs w:val="24"/>
              </w:rPr>
            </w:pPr>
            <w:r w:rsidRPr="00130B63">
              <w:rPr>
                <w:rFonts w:eastAsia="Times New Roman" w:cs="Times New Roman"/>
                <w:sz w:val="24"/>
                <w:szCs w:val="24"/>
              </w:rPr>
              <w:t>Возраст 65–74 года</w:t>
            </w:r>
          </w:p>
        </w:tc>
        <w:tc>
          <w:tcPr>
            <w:tcW w:w="1282" w:type="dxa"/>
            <w:tcBorders>
              <w:top w:val="single" w:sz="4" w:space="0" w:color="auto"/>
              <w:left w:val="single" w:sz="4" w:space="0" w:color="auto"/>
              <w:bottom w:val="nil"/>
              <w:right w:val="single" w:sz="4" w:space="0" w:color="auto"/>
            </w:tcBorders>
            <w:vAlign w:val="center"/>
          </w:tcPr>
          <w:p w14:paraId="6C0B0B34" w14:textId="77777777" w:rsidR="00130B63" w:rsidRPr="00130B63" w:rsidRDefault="00130B63" w:rsidP="00130B63">
            <w:pPr>
              <w:pStyle w:val="a7"/>
              <w:ind w:left="520"/>
              <w:jc w:val="both"/>
              <w:rPr>
                <w:rFonts w:eastAsia="Times New Roman" w:cs="Times New Roman"/>
                <w:b/>
                <w:bCs/>
                <w:sz w:val="24"/>
                <w:szCs w:val="24"/>
              </w:rPr>
            </w:pPr>
            <w:r w:rsidRPr="00130B63">
              <w:rPr>
                <w:rFonts w:eastAsia="Times New Roman" w:cs="Times New Roman"/>
                <w:b/>
                <w:bCs/>
                <w:sz w:val="24"/>
                <w:szCs w:val="24"/>
              </w:rPr>
              <w:t>1</w:t>
            </w:r>
          </w:p>
        </w:tc>
      </w:tr>
      <w:tr w:rsidR="00130B63" w:rsidRPr="00130B63" w14:paraId="7130FF04" w14:textId="77777777">
        <w:trPr>
          <w:trHeight w:val="341"/>
        </w:trPr>
        <w:tc>
          <w:tcPr>
            <w:tcW w:w="7560" w:type="dxa"/>
            <w:tcBorders>
              <w:top w:val="single" w:sz="4" w:space="0" w:color="auto"/>
              <w:left w:val="single" w:sz="4" w:space="0" w:color="auto"/>
              <w:bottom w:val="single" w:sz="4" w:space="0" w:color="auto"/>
              <w:right w:val="nil"/>
            </w:tcBorders>
            <w:vAlign w:val="center"/>
          </w:tcPr>
          <w:p w14:paraId="339FC51D" w14:textId="77777777" w:rsidR="00130B63" w:rsidRPr="00130B63" w:rsidRDefault="00130B63" w:rsidP="00130B63">
            <w:pPr>
              <w:pStyle w:val="a7"/>
              <w:ind w:left="0"/>
              <w:jc w:val="both"/>
              <w:rPr>
                <w:rFonts w:eastAsia="Times New Roman" w:cs="Times New Roman"/>
                <w:sz w:val="24"/>
                <w:szCs w:val="24"/>
              </w:rPr>
            </w:pPr>
            <w:r w:rsidRPr="00130B63">
              <w:rPr>
                <w:rFonts w:eastAsia="Times New Roman" w:cs="Times New Roman"/>
                <w:sz w:val="24"/>
                <w:szCs w:val="24"/>
              </w:rPr>
              <w:t>Женский пол</w:t>
            </w:r>
          </w:p>
        </w:tc>
        <w:tc>
          <w:tcPr>
            <w:tcW w:w="1282" w:type="dxa"/>
            <w:tcBorders>
              <w:top w:val="single" w:sz="4" w:space="0" w:color="auto"/>
              <w:left w:val="single" w:sz="4" w:space="0" w:color="auto"/>
              <w:bottom w:val="single" w:sz="4" w:space="0" w:color="auto"/>
              <w:right w:val="single" w:sz="4" w:space="0" w:color="auto"/>
            </w:tcBorders>
            <w:vAlign w:val="center"/>
          </w:tcPr>
          <w:p w14:paraId="1359A58E" w14:textId="77777777" w:rsidR="00130B63" w:rsidRPr="00130B63" w:rsidRDefault="00130B63" w:rsidP="00130B63">
            <w:pPr>
              <w:pStyle w:val="a7"/>
              <w:ind w:left="520"/>
              <w:jc w:val="both"/>
              <w:rPr>
                <w:rFonts w:eastAsia="Times New Roman" w:cs="Times New Roman"/>
                <w:b/>
                <w:bCs/>
                <w:sz w:val="24"/>
                <w:szCs w:val="24"/>
              </w:rPr>
            </w:pPr>
            <w:r w:rsidRPr="00130B63">
              <w:rPr>
                <w:rFonts w:eastAsia="Times New Roman" w:cs="Times New Roman"/>
                <w:b/>
                <w:bCs/>
                <w:sz w:val="24"/>
                <w:szCs w:val="24"/>
              </w:rPr>
              <w:t>1</w:t>
            </w:r>
          </w:p>
        </w:tc>
      </w:tr>
    </w:tbl>
    <w:p w14:paraId="41AA93C0" w14:textId="77777777" w:rsidR="00D10385" w:rsidRDefault="00D10385" w:rsidP="00130B63">
      <w:pPr>
        <w:pStyle w:val="a7"/>
        <w:spacing w:after="0" w:line="360" w:lineRule="auto"/>
        <w:jc w:val="both"/>
        <w:rPr>
          <w:rFonts w:eastAsia="Times New Roman" w:cs="Times New Roman"/>
          <w:b/>
          <w:bCs/>
          <w:sz w:val="24"/>
          <w:szCs w:val="24"/>
        </w:rPr>
      </w:pPr>
    </w:p>
    <w:p w14:paraId="3F0C5BD9" w14:textId="77777777" w:rsidR="00566D52" w:rsidRPr="00566D52" w:rsidRDefault="00566D52" w:rsidP="00566D52">
      <w:pPr>
        <w:pStyle w:val="a7"/>
        <w:spacing w:line="360" w:lineRule="auto"/>
        <w:ind w:left="0"/>
        <w:jc w:val="both"/>
        <w:rPr>
          <w:rFonts w:eastAsia="Times New Roman" w:cs="Times New Roman"/>
          <w:b/>
          <w:bCs/>
          <w:sz w:val="24"/>
          <w:szCs w:val="24"/>
        </w:rPr>
      </w:pPr>
      <w:r w:rsidRPr="00566D52">
        <w:rPr>
          <w:rFonts w:eastAsia="Times New Roman" w:cs="Times New Roman"/>
          <w:b/>
          <w:bCs/>
          <w:sz w:val="24"/>
          <w:szCs w:val="24"/>
        </w:rPr>
        <w:t xml:space="preserve">Ключ (интерпретация): </w:t>
      </w:r>
    </w:p>
    <w:tbl>
      <w:tblPr>
        <w:tblW w:w="0" w:type="auto"/>
        <w:tblInd w:w="-5" w:type="dxa"/>
        <w:tblLayout w:type="fixed"/>
        <w:tblCellMar>
          <w:left w:w="0" w:type="dxa"/>
          <w:right w:w="0" w:type="dxa"/>
        </w:tblCellMar>
        <w:tblLook w:val="0000" w:firstRow="0" w:lastRow="0" w:firstColumn="0" w:lastColumn="0" w:noHBand="0" w:noVBand="0"/>
      </w:tblPr>
      <w:tblGrid>
        <w:gridCol w:w="2848"/>
        <w:gridCol w:w="2966"/>
      </w:tblGrid>
      <w:tr w:rsidR="00566D52" w:rsidRPr="00566D52" w14:paraId="0B262476" w14:textId="77777777" w:rsidTr="00566D52">
        <w:trPr>
          <w:trHeight w:val="539"/>
        </w:trPr>
        <w:tc>
          <w:tcPr>
            <w:tcW w:w="2848" w:type="dxa"/>
            <w:tcBorders>
              <w:top w:val="single" w:sz="4" w:space="0" w:color="auto"/>
              <w:left w:val="single" w:sz="4" w:space="0" w:color="auto"/>
              <w:bottom w:val="nil"/>
              <w:right w:val="nil"/>
            </w:tcBorders>
            <w:shd w:val="clear" w:color="auto" w:fill="D9D9D9"/>
            <w:vAlign w:val="center"/>
          </w:tcPr>
          <w:p w14:paraId="582C7B28" w14:textId="77777777" w:rsidR="00566D52" w:rsidRPr="00566D52" w:rsidRDefault="00566D52" w:rsidP="00D35B89">
            <w:pPr>
              <w:pStyle w:val="a7"/>
              <w:ind w:left="0"/>
              <w:jc w:val="center"/>
              <w:rPr>
                <w:rFonts w:eastAsia="Times New Roman" w:cs="Times New Roman"/>
                <w:b/>
                <w:bCs/>
                <w:sz w:val="24"/>
                <w:szCs w:val="24"/>
              </w:rPr>
            </w:pPr>
            <w:r w:rsidRPr="00566D52">
              <w:rPr>
                <w:rFonts w:eastAsia="Times New Roman" w:cs="Times New Roman"/>
                <w:b/>
                <w:bCs/>
                <w:sz w:val="24"/>
                <w:szCs w:val="24"/>
              </w:rPr>
              <w:t xml:space="preserve">Сумма баллов по шкале </w:t>
            </w:r>
            <w:r w:rsidRPr="00566D52">
              <w:rPr>
                <w:rFonts w:eastAsia="Times New Roman" w:cs="Times New Roman"/>
                <w:b/>
                <w:bCs/>
                <w:sz w:val="24"/>
                <w:szCs w:val="24"/>
                <w:lang w:val="en-US"/>
              </w:rPr>
              <w:t>CHA</w:t>
            </w:r>
            <w:r w:rsidRPr="00566D52">
              <w:rPr>
                <w:rFonts w:eastAsia="Times New Roman" w:cs="Times New Roman"/>
                <w:b/>
                <w:bCs/>
                <w:sz w:val="24"/>
                <w:szCs w:val="24"/>
              </w:rPr>
              <w:t>2</w:t>
            </w:r>
            <w:r w:rsidRPr="00566D52">
              <w:rPr>
                <w:rFonts w:eastAsia="Times New Roman" w:cs="Times New Roman"/>
                <w:b/>
                <w:bCs/>
                <w:sz w:val="24"/>
                <w:szCs w:val="24"/>
                <w:lang w:val="en-US"/>
              </w:rPr>
              <w:t>DS</w:t>
            </w:r>
            <w:r w:rsidRPr="00566D52">
              <w:rPr>
                <w:rFonts w:eastAsia="Times New Roman" w:cs="Times New Roman"/>
                <w:b/>
                <w:bCs/>
                <w:sz w:val="24"/>
                <w:szCs w:val="24"/>
              </w:rPr>
              <w:t>2-</w:t>
            </w:r>
            <w:r w:rsidRPr="00566D52">
              <w:rPr>
                <w:rFonts w:eastAsia="Times New Roman" w:cs="Times New Roman"/>
                <w:b/>
                <w:bCs/>
                <w:sz w:val="24"/>
                <w:szCs w:val="24"/>
                <w:lang w:val="en-US"/>
              </w:rPr>
              <w:t>VASc</w:t>
            </w:r>
          </w:p>
        </w:tc>
        <w:tc>
          <w:tcPr>
            <w:tcW w:w="2966" w:type="dxa"/>
            <w:tcBorders>
              <w:top w:val="single" w:sz="4" w:space="0" w:color="auto"/>
              <w:left w:val="single" w:sz="4" w:space="0" w:color="auto"/>
              <w:bottom w:val="nil"/>
              <w:right w:val="single" w:sz="4" w:space="0" w:color="auto"/>
            </w:tcBorders>
            <w:shd w:val="clear" w:color="auto" w:fill="D9D9D9"/>
            <w:vAlign w:val="center"/>
          </w:tcPr>
          <w:p w14:paraId="3D7D99E1" w14:textId="77777777" w:rsidR="00566D52" w:rsidRPr="00566D52" w:rsidRDefault="00566D52" w:rsidP="00D35B89">
            <w:pPr>
              <w:pStyle w:val="a7"/>
              <w:ind w:left="109"/>
              <w:jc w:val="center"/>
              <w:rPr>
                <w:rFonts w:eastAsia="Times New Roman" w:cs="Times New Roman"/>
                <w:b/>
                <w:bCs/>
                <w:sz w:val="24"/>
                <w:szCs w:val="24"/>
              </w:rPr>
            </w:pPr>
            <w:r w:rsidRPr="00566D52">
              <w:rPr>
                <w:rFonts w:eastAsia="Times New Roman" w:cs="Times New Roman"/>
                <w:b/>
                <w:bCs/>
                <w:sz w:val="24"/>
                <w:szCs w:val="24"/>
              </w:rPr>
              <w:t>Ожидаемая</w:t>
            </w:r>
            <w:r w:rsidRPr="00566D52">
              <w:rPr>
                <w:rFonts w:eastAsia="Times New Roman" w:cs="Times New Roman"/>
                <w:b/>
                <w:bCs/>
                <w:sz w:val="24"/>
                <w:szCs w:val="24"/>
              </w:rPr>
              <w:tab/>
              <w:t>частота</w:t>
            </w:r>
          </w:p>
          <w:p w14:paraId="1685193E" w14:textId="77777777" w:rsidR="00566D52" w:rsidRPr="00566D52" w:rsidRDefault="00566D52" w:rsidP="00D35B89">
            <w:pPr>
              <w:pStyle w:val="a7"/>
              <w:ind w:left="109"/>
              <w:jc w:val="center"/>
              <w:rPr>
                <w:rFonts w:eastAsia="Times New Roman" w:cs="Times New Roman"/>
                <w:b/>
                <w:bCs/>
                <w:sz w:val="24"/>
                <w:szCs w:val="24"/>
              </w:rPr>
            </w:pPr>
            <w:r w:rsidRPr="00566D52">
              <w:rPr>
                <w:rFonts w:eastAsia="Times New Roman" w:cs="Times New Roman"/>
                <w:b/>
                <w:bCs/>
                <w:sz w:val="24"/>
                <w:szCs w:val="24"/>
              </w:rPr>
              <w:t>инсультов за год</w:t>
            </w:r>
          </w:p>
        </w:tc>
      </w:tr>
      <w:tr w:rsidR="00566D52" w:rsidRPr="00566D52" w14:paraId="763899D7" w14:textId="77777777" w:rsidTr="00566D52">
        <w:trPr>
          <w:trHeight w:val="234"/>
        </w:trPr>
        <w:tc>
          <w:tcPr>
            <w:tcW w:w="2848" w:type="dxa"/>
            <w:tcBorders>
              <w:top w:val="single" w:sz="4" w:space="0" w:color="auto"/>
              <w:left w:val="single" w:sz="4" w:space="0" w:color="auto"/>
              <w:bottom w:val="nil"/>
              <w:right w:val="nil"/>
            </w:tcBorders>
          </w:tcPr>
          <w:p w14:paraId="51517A8A" w14:textId="77777777" w:rsidR="00566D52" w:rsidRPr="00566D52" w:rsidRDefault="00566D52" w:rsidP="00D35B89">
            <w:pPr>
              <w:pStyle w:val="a7"/>
              <w:spacing w:after="0"/>
              <w:ind w:left="0"/>
              <w:jc w:val="center"/>
              <w:rPr>
                <w:rFonts w:eastAsia="Times New Roman" w:cs="Times New Roman"/>
                <w:sz w:val="24"/>
                <w:szCs w:val="24"/>
              </w:rPr>
            </w:pPr>
            <w:r w:rsidRPr="00566D52">
              <w:rPr>
                <w:rFonts w:eastAsia="Times New Roman" w:cs="Times New Roman"/>
                <w:sz w:val="24"/>
                <w:szCs w:val="24"/>
              </w:rPr>
              <w:t>0</w:t>
            </w:r>
          </w:p>
        </w:tc>
        <w:tc>
          <w:tcPr>
            <w:tcW w:w="2966" w:type="dxa"/>
            <w:tcBorders>
              <w:top w:val="single" w:sz="4" w:space="0" w:color="auto"/>
              <w:left w:val="single" w:sz="4" w:space="0" w:color="auto"/>
              <w:bottom w:val="nil"/>
              <w:right w:val="single" w:sz="4" w:space="0" w:color="auto"/>
            </w:tcBorders>
          </w:tcPr>
          <w:p w14:paraId="3DD6D866" w14:textId="77777777" w:rsidR="00566D52" w:rsidRPr="00566D52" w:rsidRDefault="00566D52" w:rsidP="00D35B89">
            <w:pPr>
              <w:pStyle w:val="a7"/>
              <w:spacing w:after="0"/>
              <w:ind w:left="109"/>
              <w:jc w:val="center"/>
              <w:rPr>
                <w:rFonts w:eastAsia="Times New Roman" w:cs="Times New Roman"/>
                <w:sz w:val="24"/>
                <w:szCs w:val="24"/>
              </w:rPr>
            </w:pPr>
            <w:r w:rsidRPr="00566D52">
              <w:rPr>
                <w:rFonts w:eastAsia="Times New Roman" w:cs="Times New Roman"/>
                <w:sz w:val="24"/>
                <w:szCs w:val="24"/>
              </w:rPr>
              <w:t>0 %</w:t>
            </w:r>
          </w:p>
        </w:tc>
      </w:tr>
      <w:tr w:rsidR="00566D52" w:rsidRPr="00566D52" w14:paraId="16DDC750" w14:textId="77777777" w:rsidTr="00566D52">
        <w:trPr>
          <w:trHeight w:val="234"/>
        </w:trPr>
        <w:tc>
          <w:tcPr>
            <w:tcW w:w="2848" w:type="dxa"/>
            <w:tcBorders>
              <w:top w:val="single" w:sz="4" w:space="0" w:color="auto"/>
              <w:left w:val="single" w:sz="4" w:space="0" w:color="auto"/>
              <w:bottom w:val="nil"/>
              <w:right w:val="nil"/>
            </w:tcBorders>
          </w:tcPr>
          <w:p w14:paraId="7472D6AC" w14:textId="77777777" w:rsidR="00566D52" w:rsidRPr="00566D52" w:rsidRDefault="00566D52" w:rsidP="00D35B89">
            <w:pPr>
              <w:pStyle w:val="a7"/>
              <w:spacing w:after="0"/>
              <w:ind w:left="0"/>
              <w:jc w:val="center"/>
              <w:rPr>
                <w:rFonts w:eastAsia="Times New Roman" w:cs="Times New Roman"/>
                <w:sz w:val="24"/>
                <w:szCs w:val="24"/>
              </w:rPr>
            </w:pPr>
            <w:r w:rsidRPr="00566D52">
              <w:rPr>
                <w:rFonts w:eastAsia="Times New Roman" w:cs="Times New Roman"/>
                <w:sz w:val="24"/>
                <w:szCs w:val="24"/>
              </w:rPr>
              <w:t>1</w:t>
            </w:r>
          </w:p>
        </w:tc>
        <w:tc>
          <w:tcPr>
            <w:tcW w:w="2966" w:type="dxa"/>
            <w:tcBorders>
              <w:top w:val="single" w:sz="4" w:space="0" w:color="auto"/>
              <w:left w:val="single" w:sz="4" w:space="0" w:color="auto"/>
              <w:bottom w:val="nil"/>
              <w:right w:val="single" w:sz="4" w:space="0" w:color="auto"/>
            </w:tcBorders>
          </w:tcPr>
          <w:p w14:paraId="74A27134" w14:textId="77777777" w:rsidR="00566D52" w:rsidRPr="00566D52" w:rsidRDefault="00566D52" w:rsidP="00D35B89">
            <w:pPr>
              <w:pStyle w:val="a7"/>
              <w:spacing w:after="0"/>
              <w:ind w:left="109"/>
              <w:jc w:val="center"/>
              <w:rPr>
                <w:rFonts w:eastAsia="Times New Roman" w:cs="Times New Roman"/>
                <w:sz w:val="24"/>
                <w:szCs w:val="24"/>
              </w:rPr>
            </w:pPr>
            <w:r w:rsidRPr="00566D52">
              <w:rPr>
                <w:rFonts w:eastAsia="Times New Roman" w:cs="Times New Roman"/>
                <w:sz w:val="24"/>
                <w:szCs w:val="24"/>
              </w:rPr>
              <w:t>1,3 %</w:t>
            </w:r>
          </w:p>
        </w:tc>
      </w:tr>
      <w:tr w:rsidR="00566D52" w:rsidRPr="00566D52" w14:paraId="609D708A" w14:textId="77777777" w:rsidTr="00566D52">
        <w:trPr>
          <w:trHeight w:val="230"/>
        </w:trPr>
        <w:tc>
          <w:tcPr>
            <w:tcW w:w="2848" w:type="dxa"/>
            <w:tcBorders>
              <w:top w:val="single" w:sz="4" w:space="0" w:color="auto"/>
              <w:left w:val="single" w:sz="4" w:space="0" w:color="auto"/>
              <w:bottom w:val="nil"/>
              <w:right w:val="nil"/>
            </w:tcBorders>
          </w:tcPr>
          <w:p w14:paraId="5533FF6F" w14:textId="77777777" w:rsidR="00566D52" w:rsidRPr="00566D52" w:rsidRDefault="00566D52" w:rsidP="00D35B89">
            <w:pPr>
              <w:pStyle w:val="a7"/>
              <w:spacing w:after="0"/>
              <w:ind w:left="0"/>
              <w:jc w:val="center"/>
              <w:rPr>
                <w:rFonts w:eastAsia="Times New Roman" w:cs="Times New Roman"/>
                <w:sz w:val="24"/>
                <w:szCs w:val="24"/>
              </w:rPr>
            </w:pPr>
            <w:r w:rsidRPr="00566D52">
              <w:rPr>
                <w:rFonts w:eastAsia="Times New Roman" w:cs="Times New Roman"/>
                <w:sz w:val="24"/>
                <w:szCs w:val="24"/>
              </w:rPr>
              <w:t>2</w:t>
            </w:r>
          </w:p>
        </w:tc>
        <w:tc>
          <w:tcPr>
            <w:tcW w:w="2966" w:type="dxa"/>
            <w:tcBorders>
              <w:top w:val="single" w:sz="4" w:space="0" w:color="auto"/>
              <w:left w:val="single" w:sz="4" w:space="0" w:color="auto"/>
              <w:bottom w:val="nil"/>
              <w:right w:val="single" w:sz="4" w:space="0" w:color="auto"/>
            </w:tcBorders>
          </w:tcPr>
          <w:p w14:paraId="46DB2814" w14:textId="77777777" w:rsidR="00566D52" w:rsidRPr="00566D52" w:rsidRDefault="00566D52" w:rsidP="00D35B89">
            <w:pPr>
              <w:pStyle w:val="a7"/>
              <w:spacing w:after="0"/>
              <w:ind w:left="109"/>
              <w:jc w:val="center"/>
              <w:rPr>
                <w:rFonts w:eastAsia="Times New Roman" w:cs="Times New Roman"/>
                <w:sz w:val="24"/>
                <w:szCs w:val="24"/>
              </w:rPr>
            </w:pPr>
            <w:r w:rsidRPr="00566D52">
              <w:rPr>
                <w:rFonts w:eastAsia="Times New Roman" w:cs="Times New Roman"/>
                <w:sz w:val="24"/>
                <w:szCs w:val="24"/>
              </w:rPr>
              <w:t>2,2 %</w:t>
            </w:r>
          </w:p>
        </w:tc>
      </w:tr>
      <w:tr w:rsidR="00566D52" w:rsidRPr="00566D52" w14:paraId="21C6C2E6" w14:textId="77777777" w:rsidTr="00566D52">
        <w:trPr>
          <w:trHeight w:val="249"/>
        </w:trPr>
        <w:tc>
          <w:tcPr>
            <w:tcW w:w="2848" w:type="dxa"/>
            <w:tcBorders>
              <w:top w:val="single" w:sz="4" w:space="0" w:color="auto"/>
              <w:left w:val="single" w:sz="4" w:space="0" w:color="auto"/>
              <w:bottom w:val="nil"/>
              <w:right w:val="nil"/>
            </w:tcBorders>
            <w:vAlign w:val="center"/>
          </w:tcPr>
          <w:p w14:paraId="12F33FD8" w14:textId="77777777" w:rsidR="00566D52" w:rsidRPr="00566D52" w:rsidRDefault="00566D52" w:rsidP="00D35B89">
            <w:pPr>
              <w:pStyle w:val="a7"/>
              <w:spacing w:after="0"/>
              <w:ind w:left="0"/>
              <w:jc w:val="center"/>
              <w:rPr>
                <w:rFonts w:eastAsia="Times New Roman" w:cs="Times New Roman"/>
                <w:sz w:val="24"/>
                <w:szCs w:val="24"/>
              </w:rPr>
            </w:pPr>
            <w:r w:rsidRPr="00566D52">
              <w:rPr>
                <w:rFonts w:eastAsia="Times New Roman" w:cs="Times New Roman"/>
                <w:sz w:val="24"/>
                <w:szCs w:val="24"/>
              </w:rPr>
              <w:t>3</w:t>
            </w:r>
          </w:p>
        </w:tc>
        <w:tc>
          <w:tcPr>
            <w:tcW w:w="2966" w:type="dxa"/>
            <w:tcBorders>
              <w:top w:val="single" w:sz="4" w:space="0" w:color="auto"/>
              <w:left w:val="single" w:sz="4" w:space="0" w:color="auto"/>
              <w:bottom w:val="nil"/>
              <w:right w:val="single" w:sz="4" w:space="0" w:color="auto"/>
            </w:tcBorders>
            <w:vAlign w:val="center"/>
          </w:tcPr>
          <w:p w14:paraId="18E4EF8D" w14:textId="77777777" w:rsidR="00566D52" w:rsidRPr="00566D52" w:rsidRDefault="00566D52" w:rsidP="00D35B89">
            <w:pPr>
              <w:pStyle w:val="a7"/>
              <w:spacing w:after="0"/>
              <w:ind w:left="109"/>
              <w:jc w:val="center"/>
              <w:rPr>
                <w:rFonts w:eastAsia="Times New Roman" w:cs="Times New Roman"/>
                <w:sz w:val="24"/>
                <w:szCs w:val="24"/>
              </w:rPr>
            </w:pPr>
            <w:r w:rsidRPr="00566D52">
              <w:rPr>
                <w:rFonts w:eastAsia="Times New Roman" w:cs="Times New Roman"/>
                <w:sz w:val="24"/>
                <w:szCs w:val="24"/>
              </w:rPr>
              <w:t>3,2 %</w:t>
            </w:r>
          </w:p>
        </w:tc>
      </w:tr>
      <w:tr w:rsidR="00566D52" w:rsidRPr="00566D52" w14:paraId="7BD113B2" w14:textId="77777777" w:rsidTr="00566D52">
        <w:trPr>
          <w:trHeight w:val="230"/>
        </w:trPr>
        <w:tc>
          <w:tcPr>
            <w:tcW w:w="2848" w:type="dxa"/>
            <w:tcBorders>
              <w:top w:val="single" w:sz="4" w:space="0" w:color="auto"/>
              <w:left w:val="single" w:sz="4" w:space="0" w:color="auto"/>
              <w:bottom w:val="nil"/>
              <w:right w:val="nil"/>
            </w:tcBorders>
          </w:tcPr>
          <w:p w14:paraId="612FC0C1" w14:textId="77777777" w:rsidR="00566D52" w:rsidRPr="00566D52" w:rsidRDefault="00566D52" w:rsidP="00D35B89">
            <w:pPr>
              <w:pStyle w:val="a7"/>
              <w:spacing w:after="0"/>
              <w:ind w:left="0"/>
              <w:jc w:val="center"/>
              <w:rPr>
                <w:rFonts w:eastAsia="Times New Roman" w:cs="Times New Roman"/>
                <w:sz w:val="24"/>
                <w:szCs w:val="24"/>
              </w:rPr>
            </w:pPr>
            <w:r w:rsidRPr="00566D52">
              <w:rPr>
                <w:rFonts w:eastAsia="Times New Roman" w:cs="Times New Roman"/>
                <w:sz w:val="24"/>
                <w:szCs w:val="24"/>
              </w:rPr>
              <w:t>4</w:t>
            </w:r>
          </w:p>
        </w:tc>
        <w:tc>
          <w:tcPr>
            <w:tcW w:w="2966" w:type="dxa"/>
            <w:tcBorders>
              <w:top w:val="single" w:sz="4" w:space="0" w:color="auto"/>
              <w:left w:val="single" w:sz="4" w:space="0" w:color="auto"/>
              <w:bottom w:val="nil"/>
              <w:right w:val="single" w:sz="4" w:space="0" w:color="auto"/>
            </w:tcBorders>
          </w:tcPr>
          <w:p w14:paraId="000285BB" w14:textId="77777777" w:rsidR="00566D52" w:rsidRPr="00566D52" w:rsidRDefault="00566D52" w:rsidP="00D35B89">
            <w:pPr>
              <w:pStyle w:val="a7"/>
              <w:spacing w:after="0"/>
              <w:ind w:left="109"/>
              <w:jc w:val="center"/>
              <w:rPr>
                <w:rFonts w:eastAsia="Times New Roman" w:cs="Times New Roman"/>
                <w:sz w:val="24"/>
                <w:szCs w:val="24"/>
              </w:rPr>
            </w:pPr>
            <w:r w:rsidRPr="00566D52">
              <w:rPr>
                <w:rFonts w:eastAsia="Times New Roman" w:cs="Times New Roman"/>
                <w:sz w:val="24"/>
                <w:szCs w:val="24"/>
              </w:rPr>
              <w:t>4,0 %</w:t>
            </w:r>
          </w:p>
        </w:tc>
      </w:tr>
      <w:tr w:rsidR="00566D52" w:rsidRPr="00566D52" w14:paraId="2CFCF8BE" w14:textId="77777777" w:rsidTr="00566D52">
        <w:trPr>
          <w:trHeight w:val="234"/>
        </w:trPr>
        <w:tc>
          <w:tcPr>
            <w:tcW w:w="2848" w:type="dxa"/>
            <w:tcBorders>
              <w:top w:val="single" w:sz="4" w:space="0" w:color="auto"/>
              <w:left w:val="single" w:sz="4" w:space="0" w:color="auto"/>
              <w:bottom w:val="nil"/>
              <w:right w:val="nil"/>
            </w:tcBorders>
            <w:vAlign w:val="center"/>
          </w:tcPr>
          <w:p w14:paraId="1EED9FC9" w14:textId="77777777" w:rsidR="00566D52" w:rsidRPr="00566D52" w:rsidRDefault="00566D52" w:rsidP="00D35B89">
            <w:pPr>
              <w:pStyle w:val="a7"/>
              <w:spacing w:after="0"/>
              <w:ind w:left="0"/>
              <w:jc w:val="center"/>
              <w:rPr>
                <w:rFonts w:eastAsia="Times New Roman" w:cs="Times New Roman"/>
                <w:sz w:val="24"/>
                <w:szCs w:val="24"/>
              </w:rPr>
            </w:pPr>
            <w:r w:rsidRPr="00566D52">
              <w:rPr>
                <w:rFonts w:eastAsia="Times New Roman" w:cs="Times New Roman"/>
                <w:sz w:val="24"/>
                <w:szCs w:val="24"/>
              </w:rPr>
              <w:t>5</w:t>
            </w:r>
          </w:p>
        </w:tc>
        <w:tc>
          <w:tcPr>
            <w:tcW w:w="2966" w:type="dxa"/>
            <w:tcBorders>
              <w:top w:val="single" w:sz="4" w:space="0" w:color="auto"/>
              <w:left w:val="single" w:sz="4" w:space="0" w:color="auto"/>
              <w:bottom w:val="nil"/>
              <w:right w:val="single" w:sz="4" w:space="0" w:color="auto"/>
            </w:tcBorders>
            <w:vAlign w:val="center"/>
          </w:tcPr>
          <w:p w14:paraId="1D1796B2" w14:textId="77777777" w:rsidR="00566D52" w:rsidRPr="00566D52" w:rsidRDefault="00566D52" w:rsidP="00D35B89">
            <w:pPr>
              <w:pStyle w:val="a7"/>
              <w:spacing w:after="0"/>
              <w:ind w:left="109"/>
              <w:jc w:val="center"/>
              <w:rPr>
                <w:rFonts w:eastAsia="Times New Roman" w:cs="Times New Roman"/>
                <w:sz w:val="24"/>
                <w:szCs w:val="24"/>
              </w:rPr>
            </w:pPr>
            <w:r w:rsidRPr="00566D52">
              <w:rPr>
                <w:rFonts w:eastAsia="Times New Roman" w:cs="Times New Roman"/>
                <w:sz w:val="24"/>
                <w:szCs w:val="24"/>
              </w:rPr>
              <w:t>6,7 %</w:t>
            </w:r>
          </w:p>
        </w:tc>
      </w:tr>
      <w:tr w:rsidR="00566D52" w:rsidRPr="00566D52" w14:paraId="1F28EA4A" w14:textId="77777777" w:rsidTr="00566D52">
        <w:trPr>
          <w:trHeight w:val="234"/>
        </w:trPr>
        <w:tc>
          <w:tcPr>
            <w:tcW w:w="2848" w:type="dxa"/>
            <w:tcBorders>
              <w:top w:val="single" w:sz="4" w:space="0" w:color="auto"/>
              <w:left w:val="single" w:sz="4" w:space="0" w:color="auto"/>
              <w:bottom w:val="nil"/>
              <w:right w:val="nil"/>
            </w:tcBorders>
            <w:vAlign w:val="center"/>
          </w:tcPr>
          <w:p w14:paraId="7FDF4ED6" w14:textId="77777777" w:rsidR="00566D52" w:rsidRPr="00566D52" w:rsidRDefault="00566D52" w:rsidP="00D35B89">
            <w:pPr>
              <w:pStyle w:val="a7"/>
              <w:spacing w:after="0"/>
              <w:ind w:left="0"/>
              <w:jc w:val="center"/>
              <w:rPr>
                <w:rFonts w:eastAsia="Times New Roman" w:cs="Times New Roman"/>
                <w:sz w:val="24"/>
                <w:szCs w:val="24"/>
              </w:rPr>
            </w:pPr>
            <w:r w:rsidRPr="00566D52">
              <w:rPr>
                <w:rFonts w:eastAsia="Times New Roman" w:cs="Times New Roman"/>
                <w:sz w:val="24"/>
                <w:szCs w:val="24"/>
              </w:rPr>
              <w:t>6</w:t>
            </w:r>
          </w:p>
        </w:tc>
        <w:tc>
          <w:tcPr>
            <w:tcW w:w="2966" w:type="dxa"/>
            <w:tcBorders>
              <w:top w:val="single" w:sz="4" w:space="0" w:color="auto"/>
              <w:left w:val="single" w:sz="4" w:space="0" w:color="auto"/>
              <w:bottom w:val="nil"/>
              <w:right w:val="single" w:sz="4" w:space="0" w:color="auto"/>
            </w:tcBorders>
            <w:vAlign w:val="center"/>
          </w:tcPr>
          <w:p w14:paraId="34E06253" w14:textId="77777777" w:rsidR="00566D52" w:rsidRPr="00566D52" w:rsidRDefault="00566D52" w:rsidP="00D35B89">
            <w:pPr>
              <w:pStyle w:val="a7"/>
              <w:spacing w:after="0"/>
              <w:ind w:left="109"/>
              <w:jc w:val="center"/>
              <w:rPr>
                <w:rFonts w:eastAsia="Times New Roman" w:cs="Times New Roman"/>
                <w:sz w:val="24"/>
                <w:szCs w:val="24"/>
              </w:rPr>
            </w:pPr>
            <w:r w:rsidRPr="00566D52">
              <w:rPr>
                <w:rFonts w:eastAsia="Times New Roman" w:cs="Times New Roman"/>
                <w:sz w:val="24"/>
                <w:szCs w:val="24"/>
              </w:rPr>
              <w:t>9,8 %</w:t>
            </w:r>
          </w:p>
        </w:tc>
      </w:tr>
      <w:tr w:rsidR="00566D52" w:rsidRPr="00566D52" w14:paraId="4B7C70AB" w14:textId="77777777" w:rsidTr="00566D52">
        <w:trPr>
          <w:trHeight w:val="249"/>
        </w:trPr>
        <w:tc>
          <w:tcPr>
            <w:tcW w:w="2848" w:type="dxa"/>
            <w:tcBorders>
              <w:top w:val="single" w:sz="4" w:space="0" w:color="auto"/>
              <w:left w:val="single" w:sz="4" w:space="0" w:color="auto"/>
              <w:bottom w:val="nil"/>
              <w:right w:val="nil"/>
            </w:tcBorders>
            <w:vAlign w:val="center"/>
          </w:tcPr>
          <w:p w14:paraId="7FB0CE14" w14:textId="77777777" w:rsidR="00566D52" w:rsidRPr="00566D52" w:rsidRDefault="00566D52" w:rsidP="00D35B89">
            <w:pPr>
              <w:pStyle w:val="a7"/>
              <w:spacing w:after="0"/>
              <w:ind w:left="0"/>
              <w:jc w:val="center"/>
              <w:rPr>
                <w:rFonts w:eastAsia="Times New Roman" w:cs="Times New Roman"/>
                <w:sz w:val="24"/>
                <w:szCs w:val="24"/>
              </w:rPr>
            </w:pPr>
            <w:r w:rsidRPr="00566D52">
              <w:rPr>
                <w:rFonts w:eastAsia="Times New Roman" w:cs="Times New Roman"/>
                <w:sz w:val="24"/>
                <w:szCs w:val="24"/>
              </w:rPr>
              <w:t>7</w:t>
            </w:r>
          </w:p>
        </w:tc>
        <w:tc>
          <w:tcPr>
            <w:tcW w:w="2966" w:type="dxa"/>
            <w:tcBorders>
              <w:top w:val="single" w:sz="4" w:space="0" w:color="auto"/>
              <w:left w:val="single" w:sz="4" w:space="0" w:color="auto"/>
              <w:bottom w:val="nil"/>
              <w:right w:val="single" w:sz="4" w:space="0" w:color="auto"/>
            </w:tcBorders>
            <w:vAlign w:val="center"/>
          </w:tcPr>
          <w:p w14:paraId="3CDED41F" w14:textId="77777777" w:rsidR="00566D52" w:rsidRPr="00566D52" w:rsidRDefault="00566D52" w:rsidP="00D35B89">
            <w:pPr>
              <w:pStyle w:val="a7"/>
              <w:spacing w:after="0"/>
              <w:ind w:left="109"/>
              <w:jc w:val="center"/>
              <w:rPr>
                <w:rFonts w:eastAsia="Times New Roman" w:cs="Times New Roman"/>
                <w:sz w:val="24"/>
                <w:szCs w:val="24"/>
              </w:rPr>
            </w:pPr>
            <w:r w:rsidRPr="00566D52">
              <w:rPr>
                <w:rFonts w:eastAsia="Times New Roman" w:cs="Times New Roman"/>
                <w:sz w:val="24"/>
                <w:szCs w:val="24"/>
              </w:rPr>
              <w:t>9,6 %</w:t>
            </w:r>
          </w:p>
        </w:tc>
      </w:tr>
      <w:tr w:rsidR="00566D52" w:rsidRPr="00566D52" w14:paraId="3121094E" w14:textId="77777777" w:rsidTr="00566D52">
        <w:trPr>
          <w:trHeight w:val="230"/>
        </w:trPr>
        <w:tc>
          <w:tcPr>
            <w:tcW w:w="2848" w:type="dxa"/>
            <w:tcBorders>
              <w:top w:val="single" w:sz="4" w:space="0" w:color="auto"/>
              <w:left w:val="single" w:sz="4" w:space="0" w:color="auto"/>
              <w:bottom w:val="nil"/>
              <w:right w:val="nil"/>
            </w:tcBorders>
          </w:tcPr>
          <w:p w14:paraId="7FFB2DEE" w14:textId="77777777" w:rsidR="00566D52" w:rsidRPr="00566D52" w:rsidRDefault="00566D52" w:rsidP="00D35B89">
            <w:pPr>
              <w:pStyle w:val="a7"/>
              <w:spacing w:after="0"/>
              <w:ind w:left="0"/>
              <w:jc w:val="center"/>
              <w:rPr>
                <w:rFonts w:eastAsia="Times New Roman" w:cs="Times New Roman"/>
                <w:sz w:val="24"/>
                <w:szCs w:val="24"/>
              </w:rPr>
            </w:pPr>
            <w:r w:rsidRPr="00566D52">
              <w:rPr>
                <w:rFonts w:eastAsia="Times New Roman" w:cs="Times New Roman"/>
                <w:sz w:val="24"/>
                <w:szCs w:val="24"/>
              </w:rPr>
              <w:t>8</w:t>
            </w:r>
          </w:p>
        </w:tc>
        <w:tc>
          <w:tcPr>
            <w:tcW w:w="2966" w:type="dxa"/>
            <w:tcBorders>
              <w:top w:val="single" w:sz="4" w:space="0" w:color="auto"/>
              <w:left w:val="single" w:sz="4" w:space="0" w:color="auto"/>
              <w:bottom w:val="nil"/>
              <w:right w:val="single" w:sz="4" w:space="0" w:color="auto"/>
            </w:tcBorders>
          </w:tcPr>
          <w:p w14:paraId="621DED2F" w14:textId="77777777" w:rsidR="00566D52" w:rsidRPr="00566D52" w:rsidRDefault="00566D52" w:rsidP="00D35B89">
            <w:pPr>
              <w:pStyle w:val="a7"/>
              <w:spacing w:after="0"/>
              <w:ind w:left="109"/>
              <w:jc w:val="center"/>
              <w:rPr>
                <w:rFonts w:eastAsia="Times New Roman" w:cs="Times New Roman"/>
                <w:sz w:val="24"/>
                <w:szCs w:val="24"/>
              </w:rPr>
            </w:pPr>
            <w:r w:rsidRPr="00566D52">
              <w:rPr>
                <w:rFonts w:eastAsia="Times New Roman" w:cs="Times New Roman"/>
                <w:sz w:val="24"/>
                <w:szCs w:val="24"/>
              </w:rPr>
              <w:t>6,7 %</w:t>
            </w:r>
          </w:p>
        </w:tc>
      </w:tr>
      <w:tr w:rsidR="00566D52" w:rsidRPr="00566D52" w14:paraId="475E9FFE" w14:textId="77777777" w:rsidTr="00566D52">
        <w:trPr>
          <w:trHeight w:val="242"/>
        </w:trPr>
        <w:tc>
          <w:tcPr>
            <w:tcW w:w="2848" w:type="dxa"/>
            <w:tcBorders>
              <w:top w:val="single" w:sz="4" w:space="0" w:color="auto"/>
              <w:left w:val="single" w:sz="4" w:space="0" w:color="auto"/>
              <w:bottom w:val="single" w:sz="4" w:space="0" w:color="auto"/>
              <w:right w:val="nil"/>
            </w:tcBorders>
            <w:vAlign w:val="center"/>
          </w:tcPr>
          <w:p w14:paraId="5B6EB805" w14:textId="77777777" w:rsidR="00566D52" w:rsidRPr="00566D52" w:rsidRDefault="00566D52" w:rsidP="00D35B89">
            <w:pPr>
              <w:pStyle w:val="a7"/>
              <w:spacing w:after="0"/>
              <w:ind w:left="0"/>
              <w:jc w:val="center"/>
              <w:rPr>
                <w:rFonts w:eastAsia="Times New Roman" w:cs="Times New Roman"/>
                <w:sz w:val="24"/>
                <w:szCs w:val="24"/>
              </w:rPr>
            </w:pPr>
            <w:r w:rsidRPr="00566D52">
              <w:rPr>
                <w:rFonts w:eastAsia="Times New Roman" w:cs="Times New Roman"/>
                <w:sz w:val="24"/>
                <w:szCs w:val="24"/>
              </w:rPr>
              <w:t>9</w:t>
            </w:r>
          </w:p>
        </w:tc>
        <w:tc>
          <w:tcPr>
            <w:tcW w:w="2966" w:type="dxa"/>
            <w:tcBorders>
              <w:top w:val="single" w:sz="4" w:space="0" w:color="auto"/>
              <w:left w:val="single" w:sz="4" w:space="0" w:color="auto"/>
              <w:bottom w:val="single" w:sz="4" w:space="0" w:color="auto"/>
              <w:right w:val="single" w:sz="4" w:space="0" w:color="auto"/>
            </w:tcBorders>
            <w:vAlign w:val="center"/>
          </w:tcPr>
          <w:p w14:paraId="41968AFB" w14:textId="77777777" w:rsidR="00566D52" w:rsidRPr="00566D52" w:rsidRDefault="00566D52" w:rsidP="00D35B89">
            <w:pPr>
              <w:pStyle w:val="a7"/>
              <w:spacing w:after="0"/>
              <w:ind w:left="109"/>
              <w:jc w:val="center"/>
              <w:rPr>
                <w:rFonts w:eastAsia="Times New Roman" w:cs="Times New Roman"/>
                <w:sz w:val="24"/>
                <w:szCs w:val="24"/>
              </w:rPr>
            </w:pPr>
            <w:r w:rsidRPr="00566D52">
              <w:rPr>
                <w:rFonts w:eastAsia="Times New Roman" w:cs="Times New Roman"/>
                <w:sz w:val="24"/>
                <w:szCs w:val="24"/>
              </w:rPr>
              <w:t>15,2 %</w:t>
            </w:r>
          </w:p>
        </w:tc>
      </w:tr>
    </w:tbl>
    <w:p w14:paraId="142CA0D4" w14:textId="77777777" w:rsidR="00972D21" w:rsidRPr="00972D21" w:rsidRDefault="00972D21" w:rsidP="00972D21">
      <w:pPr>
        <w:pStyle w:val="a7"/>
        <w:spacing w:line="360" w:lineRule="auto"/>
        <w:ind w:left="0"/>
        <w:rPr>
          <w:rFonts w:eastAsia="Times New Roman" w:cs="Times New Roman"/>
          <w:sz w:val="24"/>
          <w:szCs w:val="24"/>
        </w:rPr>
      </w:pPr>
      <w:r w:rsidRPr="00972D21">
        <w:rPr>
          <w:rFonts w:eastAsia="Times New Roman" w:cs="Times New Roman"/>
          <w:b/>
          <w:bCs/>
          <w:sz w:val="24"/>
          <w:szCs w:val="24"/>
        </w:rPr>
        <w:t xml:space="preserve">Пояснения: </w:t>
      </w:r>
      <w:r w:rsidRPr="00972D21">
        <w:rPr>
          <w:rFonts w:eastAsia="Times New Roman" w:cs="Times New Roman"/>
          <w:sz w:val="24"/>
          <w:szCs w:val="24"/>
        </w:rPr>
        <w:t xml:space="preserve">нет </w:t>
      </w:r>
    </w:p>
    <w:p w14:paraId="0F22986B" w14:textId="77777777" w:rsidR="00972D21" w:rsidRDefault="00972D21" w:rsidP="00972D21">
      <w:pPr>
        <w:pStyle w:val="a7"/>
        <w:spacing w:line="360" w:lineRule="auto"/>
        <w:ind w:left="0"/>
        <w:jc w:val="both"/>
        <w:rPr>
          <w:rFonts w:eastAsia="Times New Roman" w:cs="Times New Roman"/>
          <w:b/>
          <w:bCs/>
          <w:sz w:val="24"/>
          <w:szCs w:val="24"/>
        </w:rPr>
      </w:pPr>
    </w:p>
    <w:p w14:paraId="3D3E0B93" w14:textId="77777777" w:rsidR="00972D21" w:rsidRPr="00972D21" w:rsidRDefault="00972D21" w:rsidP="00972D21">
      <w:pPr>
        <w:pStyle w:val="a7"/>
        <w:spacing w:line="360" w:lineRule="auto"/>
        <w:ind w:left="0"/>
        <w:jc w:val="center"/>
        <w:rPr>
          <w:rFonts w:eastAsia="Times New Roman" w:cs="Times New Roman"/>
          <w:b/>
          <w:bCs/>
          <w:sz w:val="24"/>
          <w:szCs w:val="24"/>
        </w:rPr>
      </w:pPr>
      <w:r w:rsidRPr="00972D21">
        <w:rPr>
          <w:rFonts w:eastAsia="Times New Roman" w:cs="Times New Roman"/>
          <w:b/>
          <w:bCs/>
          <w:sz w:val="24"/>
          <w:szCs w:val="24"/>
        </w:rPr>
        <w:t>Шкала сонливости Эпворта (Epworth)</w:t>
      </w:r>
    </w:p>
    <w:p w14:paraId="104EE3EB" w14:textId="77777777" w:rsidR="00972D21" w:rsidRDefault="00972D21" w:rsidP="00972D21">
      <w:pPr>
        <w:pStyle w:val="a7"/>
        <w:spacing w:line="360" w:lineRule="auto"/>
        <w:ind w:left="0"/>
        <w:jc w:val="both"/>
        <w:rPr>
          <w:rFonts w:eastAsia="Times New Roman" w:cs="Times New Roman"/>
          <w:b/>
          <w:bCs/>
          <w:sz w:val="24"/>
          <w:szCs w:val="24"/>
        </w:rPr>
      </w:pPr>
      <w:r w:rsidRPr="00972D21">
        <w:rPr>
          <w:rFonts w:eastAsia="Times New Roman" w:cs="Times New Roman"/>
          <w:b/>
          <w:bCs/>
          <w:sz w:val="24"/>
          <w:szCs w:val="24"/>
        </w:rPr>
        <w:t xml:space="preserve">Название на русском языке: </w:t>
      </w:r>
      <w:r w:rsidRPr="00972D21">
        <w:rPr>
          <w:rFonts w:eastAsia="Times New Roman" w:cs="Times New Roman"/>
          <w:sz w:val="24"/>
          <w:szCs w:val="24"/>
        </w:rPr>
        <w:t>Шкала сонливости Эпворта</w:t>
      </w:r>
      <w:r w:rsidRPr="00972D21">
        <w:rPr>
          <w:rFonts w:eastAsia="Times New Roman" w:cs="Times New Roman"/>
          <w:b/>
          <w:bCs/>
          <w:sz w:val="24"/>
          <w:szCs w:val="24"/>
        </w:rPr>
        <w:t xml:space="preserve"> </w:t>
      </w:r>
    </w:p>
    <w:p w14:paraId="3D8A55DC" w14:textId="77777777" w:rsidR="00972D21" w:rsidRDefault="00972D21" w:rsidP="00972D21">
      <w:pPr>
        <w:pStyle w:val="a7"/>
        <w:spacing w:line="360" w:lineRule="auto"/>
        <w:ind w:left="0"/>
        <w:jc w:val="both"/>
        <w:rPr>
          <w:rFonts w:eastAsia="Times New Roman" w:cs="Times New Roman"/>
          <w:sz w:val="24"/>
          <w:szCs w:val="24"/>
        </w:rPr>
      </w:pPr>
      <w:r w:rsidRPr="00972D21">
        <w:rPr>
          <w:rFonts w:eastAsia="Times New Roman" w:cs="Times New Roman"/>
          <w:b/>
          <w:bCs/>
          <w:sz w:val="24"/>
          <w:szCs w:val="24"/>
        </w:rPr>
        <w:t>Оригинальное название (если есть):</w:t>
      </w:r>
      <w:r w:rsidRPr="00972D21">
        <w:rPr>
          <w:rFonts w:eastAsia="Times New Roman" w:cs="Times New Roman"/>
          <w:sz w:val="24"/>
          <w:szCs w:val="24"/>
        </w:rPr>
        <w:t xml:space="preserve"> Epworth Sleepiness Scale</w:t>
      </w:r>
    </w:p>
    <w:p w14:paraId="7F0CA831" w14:textId="77777777" w:rsidR="00972D21" w:rsidRPr="00972D21" w:rsidRDefault="00972D21" w:rsidP="00972D21">
      <w:pPr>
        <w:pStyle w:val="a7"/>
        <w:spacing w:line="360" w:lineRule="auto"/>
        <w:ind w:left="0"/>
        <w:jc w:val="both"/>
        <w:rPr>
          <w:rFonts w:eastAsia="Times New Roman" w:cs="Times New Roman"/>
          <w:b/>
          <w:bCs/>
          <w:sz w:val="24"/>
          <w:szCs w:val="24"/>
        </w:rPr>
      </w:pPr>
      <w:r w:rsidRPr="00972D21">
        <w:rPr>
          <w:rFonts w:eastAsia="Times New Roman" w:cs="Times New Roman"/>
          <w:b/>
          <w:bCs/>
          <w:sz w:val="24"/>
          <w:szCs w:val="24"/>
        </w:rPr>
        <w:t xml:space="preserve"> Источник (официальный сайт разработчиков, публикация с валидацией): </w:t>
      </w:r>
    </w:p>
    <w:p w14:paraId="239D66C0" w14:textId="77777777" w:rsidR="00972D21" w:rsidRPr="00972D21" w:rsidRDefault="00972D21" w:rsidP="00972D21">
      <w:pPr>
        <w:pStyle w:val="a7"/>
        <w:spacing w:line="360" w:lineRule="auto"/>
        <w:ind w:left="0"/>
        <w:jc w:val="both"/>
        <w:rPr>
          <w:rFonts w:eastAsia="Times New Roman" w:cs="Times New Roman"/>
          <w:sz w:val="24"/>
          <w:szCs w:val="24"/>
        </w:rPr>
      </w:pPr>
      <w:r w:rsidRPr="00972D21">
        <w:rPr>
          <w:rFonts w:eastAsia="Times New Roman" w:cs="Times New Roman"/>
          <w:sz w:val="24"/>
          <w:szCs w:val="24"/>
        </w:rPr>
        <w:t xml:space="preserve">https://epworthsleepinessscale.com/about-the-ess/ </w:t>
      </w:r>
    </w:p>
    <w:p w14:paraId="687B8C78" w14:textId="77777777" w:rsidR="00972D21" w:rsidRPr="00972D21" w:rsidRDefault="00972D21" w:rsidP="00972D21">
      <w:pPr>
        <w:pStyle w:val="a7"/>
        <w:spacing w:line="360" w:lineRule="auto"/>
        <w:ind w:left="0"/>
        <w:jc w:val="both"/>
        <w:rPr>
          <w:rFonts w:eastAsia="Times New Roman" w:cs="Times New Roman"/>
          <w:b/>
          <w:bCs/>
          <w:sz w:val="24"/>
          <w:szCs w:val="24"/>
        </w:rPr>
      </w:pPr>
      <w:r w:rsidRPr="00972D21">
        <w:rPr>
          <w:rFonts w:eastAsia="Times New Roman" w:cs="Times New Roman"/>
          <w:b/>
          <w:bCs/>
          <w:sz w:val="24"/>
          <w:szCs w:val="24"/>
        </w:rPr>
        <w:t xml:space="preserve">Тип (подчеркнуть): </w:t>
      </w:r>
    </w:p>
    <w:p w14:paraId="66C8C4B0" w14:textId="77777777" w:rsidR="00972D21" w:rsidRDefault="00972D21" w:rsidP="00972D21">
      <w:pPr>
        <w:pStyle w:val="a7"/>
        <w:spacing w:line="360" w:lineRule="auto"/>
        <w:ind w:left="0"/>
        <w:jc w:val="both"/>
        <w:rPr>
          <w:rFonts w:eastAsia="Times New Roman" w:cs="Times New Roman"/>
          <w:sz w:val="24"/>
          <w:szCs w:val="24"/>
          <w:u w:val="single"/>
        </w:rPr>
      </w:pPr>
      <w:r w:rsidRPr="00972D21">
        <w:rPr>
          <w:rFonts w:eastAsia="Times New Roman" w:cs="Times New Roman"/>
          <w:sz w:val="24"/>
          <w:szCs w:val="24"/>
        </w:rPr>
        <w:t xml:space="preserve">— </w:t>
      </w:r>
      <w:r w:rsidRPr="00972D21">
        <w:rPr>
          <w:rFonts w:eastAsia="Times New Roman" w:cs="Times New Roman"/>
          <w:sz w:val="24"/>
          <w:szCs w:val="24"/>
          <w:u w:val="single"/>
        </w:rPr>
        <w:t>шкала оценки</w:t>
      </w:r>
    </w:p>
    <w:p w14:paraId="3F2E7FC2" w14:textId="77777777" w:rsidR="00972D21" w:rsidRDefault="00972D21" w:rsidP="00972D21">
      <w:pPr>
        <w:pStyle w:val="a7"/>
        <w:spacing w:line="360" w:lineRule="auto"/>
        <w:ind w:left="0"/>
        <w:jc w:val="both"/>
        <w:rPr>
          <w:rFonts w:eastAsia="Times New Roman" w:cs="Times New Roman"/>
          <w:sz w:val="24"/>
          <w:szCs w:val="24"/>
        </w:rPr>
      </w:pPr>
      <w:r w:rsidRPr="00972D21">
        <w:rPr>
          <w:rFonts w:eastAsia="Times New Roman" w:cs="Times New Roman"/>
          <w:sz w:val="24"/>
          <w:szCs w:val="24"/>
        </w:rPr>
        <w:t xml:space="preserve"> — индекс </w:t>
      </w:r>
    </w:p>
    <w:p w14:paraId="75E81DEC" w14:textId="77777777" w:rsidR="00972D21" w:rsidRDefault="00972D21" w:rsidP="00972D21">
      <w:pPr>
        <w:pStyle w:val="a7"/>
        <w:spacing w:line="360" w:lineRule="auto"/>
        <w:ind w:left="0"/>
        <w:jc w:val="both"/>
        <w:rPr>
          <w:rFonts w:eastAsia="Times New Roman" w:cs="Times New Roman"/>
          <w:sz w:val="24"/>
          <w:szCs w:val="24"/>
        </w:rPr>
      </w:pPr>
      <w:r w:rsidRPr="00972D21">
        <w:rPr>
          <w:rFonts w:eastAsia="Times New Roman" w:cs="Times New Roman"/>
          <w:sz w:val="24"/>
          <w:szCs w:val="24"/>
        </w:rPr>
        <w:t xml:space="preserve">— вопросник </w:t>
      </w:r>
    </w:p>
    <w:p w14:paraId="64D0EEE1" w14:textId="77777777" w:rsidR="00972D21" w:rsidRDefault="00972D21" w:rsidP="00972D21">
      <w:pPr>
        <w:pStyle w:val="a7"/>
        <w:spacing w:line="360" w:lineRule="auto"/>
        <w:ind w:left="0"/>
        <w:jc w:val="both"/>
        <w:rPr>
          <w:rFonts w:eastAsia="Times New Roman" w:cs="Times New Roman"/>
          <w:sz w:val="24"/>
          <w:szCs w:val="24"/>
        </w:rPr>
      </w:pPr>
      <w:r w:rsidRPr="00972D21">
        <w:rPr>
          <w:rFonts w:eastAsia="Times New Roman" w:cs="Times New Roman"/>
          <w:sz w:val="24"/>
          <w:szCs w:val="24"/>
        </w:rPr>
        <w:t xml:space="preserve">— другое (уточнить): </w:t>
      </w:r>
    </w:p>
    <w:p w14:paraId="3E69093A" w14:textId="77777777" w:rsidR="00972D21" w:rsidRPr="00972D21" w:rsidRDefault="00972D21" w:rsidP="00972D21">
      <w:pPr>
        <w:pStyle w:val="a7"/>
        <w:spacing w:line="360" w:lineRule="auto"/>
        <w:ind w:left="0"/>
        <w:jc w:val="both"/>
        <w:rPr>
          <w:rFonts w:eastAsia="Times New Roman" w:cs="Times New Roman"/>
          <w:b/>
          <w:bCs/>
          <w:sz w:val="24"/>
          <w:szCs w:val="24"/>
        </w:rPr>
      </w:pPr>
      <w:r w:rsidRPr="00972D21">
        <w:rPr>
          <w:rFonts w:eastAsia="Times New Roman" w:cs="Times New Roman"/>
          <w:b/>
          <w:bCs/>
          <w:sz w:val="24"/>
          <w:szCs w:val="24"/>
        </w:rPr>
        <w:lastRenderedPageBreak/>
        <w:t xml:space="preserve">Назначение: </w:t>
      </w:r>
      <w:r w:rsidRPr="00972D21">
        <w:rPr>
          <w:rFonts w:eastAsia="Times New Roman" w:cs="Times New Roman"/>
          <w:sz w:val="24"/>
          <w:szCs w:val="24"/>
        </w:rPr>
        <w:t>серия вопросов, которые используют для изучения воздействия сна на дневной образ жизни.</w:t>
      </w:r>
      <w:r w:rsidRPr="00972D21">
        <w:rPr>
          <w:rFonts w:eastAsia="Times New Roman" w:cs="Times New Roman"/>
          <w:b/>
          <w:bCs/>
          <w:sz w:val="24"/>
          <w:szCs w:val="24"/>
        </w:rPr>
        <w:t xml:space="preserve"> </w:t>
      </w:r>
    </w:p>
    <w:p w14:paraId="5E93C797" w14:textId="77777777" w:rsidR="00566D52" w:rsidRDefault="00972D21" w:rsidP="00972D21">
      <w:pPr>
        <w:pStyle w:val="a7"/>
        <w:spacing w:line="360" w:lineRule="auto"/>
        <w:ind w:left="0"/>
        <w:jc w:val="both"/>
        <w:rPr>
          <w:rFonts w:eastAsia="Times New Roman" w:cs="Times New Roman"/>
          <w:b/>
          <w:bCs/>
          <w:sz w:val="24"/>
          <w:szCs w:val="24"/>
        </w:rPr>
      </w:pPr>
      <w:r w:rsidRPr="00972D21">
        <w:rPr>
          <w:rFonts w:eastAsia="Times New Roman" w:cs="Times New Roman"/>
          <w:b/>
          <w:bCs/>
          <w:sz w:val="24"/>
          <w:szCs w:val="24"/>
        </w:rPr>
        <w:t xml:space="preserve">Содержание (шаблон): </w:t>
      </w:r>
    </w:p>
    <w:p w14:paraId="665CDDAB" w14:textId="77777777" w:rsidR="00972D21" w:rsidRPr="00972D21" w:rsidRDefault="00972D21" w:rsidP="00972D21">
      <w:pPr>
        <w:pStyle w:val="a7"/>
        <w:spacing w:line="360" w:lineRule="auto"/>
        <w:ind w:left="0"/>
        <w:jc w:val="both"/>
        <w:rPr>
          <w:rFonts w:eastAsia="Times New Roman" w:cs="Times New Roman"/>
          <w:sz w:val="24"/>
          <w:szCs w:val="24"/>
        </w:rPr>
      </w:pPr>
      <w:r>
        <w:rPr>
          <w:rFonts w:eastAsia="Times New Roman" w:cs="Times New Roman"/>
          <w:sz w:val="24"/>
          <w:szCs w:val="24"/>
        </w:rPr>
        <w:tab/>
      </w:r>
      <w:r w:rsidRPr="00972D21">
        <w:rPr>
          <w:rFonts w:eastAsia="Times New Roman" w:cs="Times New Roman"/>
          <w:sz w:val="24"/>
          <w:szCs w:val="24"/>
        </w:rPr>
        <w:t xml:space="preserve">Насколько вероятно то, что вы можете задремать или уснуть в ситуациях, описанных ниже, по сравнению с ощущением обычной усталости? </w:t>
      </w:r>
    </w:p>
    <w:p w14:paraId="13B0E5F4" w14:textId="77777777" w:rsidR="00972D21" w:rsidRPr="00972D21" w:rsidRDefault="00972D21" w:rsidP="00972D21">
      <w:pPr>
        <w:pStyle w:val="a7"/>
        <w:spacing w:line="360" w:lineRule="auto"/>
        <w:ind w:left="0"/>
        <w:jc w:val="both"/>
        <w:rPr>
          <w:rFonts w:eastAsia="Times New Roman" w:cs="Times New Roman"/>
          <w:sz w:val="24"/>
          <w:szCs w:val="24"/>
        </w:rPr>
      </w:pPr>
      <w:r>
        <w:rPr>
          <w:rFonts w:eastAsia="Times New Roman" w:cs="Times New Roman"/>
          <w:sz w:val="24"/>
          <w:szCs w:val="24"/>
        </w:rPr>
        <w:tab/>
      </w:r>
      <w:r w:rsidRPr="00972D21">
        <w:rPr>
          <w:rFonts w:eastAsia="Times New Roman" w:cs="Times New Roman"/>
          <w:sz w:val="24"/>
          <w:szCs w:val="24"/>
        </w:rPr>
        <w:t xml:space="preserve">Речь идет об обычном вашем состоянии в последнее время. Даже если вы не были в подобных ситуациях в последнее время, то постарайтесь представить себе, как бы эти ситуации повлияли на вас. Используйте эту шкалу и выбирете наиболее подходящее число для каждой ситуации. </w:t>
      </w:r>
    </w:p>
    <w:p w14:paraId="04728CA6" w14:textId="77777777" w:rsidR="00972D21" w:rsidRDefault="00972D21" w:rsidP="00424F51">
      <w:pPr>
        <w:pStyle w:val="a7"/>
        <w:numPr>
          <w:ilvl w:val="0"/>
          <w:numId w:val="64"/>
        </w:numPr>
        <w:spacing w:line="360" w:lineRule="auto"/>
        <w:jc w:val="both"/>
        <w:rPr>
          <w:rFonts w:eastAsia="Times New Roman" w:cs="Times New Roman"/>
          <w:sz w:val="24"/>
          <w:szCs w:val="24"/>
        </w:rPr>
      </w:pPr>
      <w:r w:rsidRPr="00972D21">
        <w:rPr>
          <w:rFonts w:eastAsia="Times New Roman" w:cs="Times New Roman"/>
          <w:b/>
          <w:bCs/>
          <w:sz w:val="24"/>
          <w:szCs w:val="24"/>
        </w:rPr>
        <w:t xml:space="preserve">- </w:t>
      </w:r>
      <w:r w:rsidRPr="00972D21">
        <w:rPr>
          <w:rFonts w:eastAsia="Times New Roman" w:cs="Times New Roman"/>
          <w:sz w:val="24"/>
          <w:szCs w:val="24"/>
        </w:rPr>
        <w:t xml:space="preserve">никогда бы не заснул/не задремал </w:t>
      </w:r>
    </w:p>
    <w:p w14:paraId="398A68F6" w14:textId="77777777" w:rsidR="00972D21" w:rsidRDefault="00972D21" w:rsidP="00424F51">
      <w:pPr>
        <w:pStyle w:val="a7"/>
        <w:numPr>
          <w:ilvl w:val="0"/>
          <w:numId w:val="64"/>
        </w:numPr>
        <w:spacing w:line="360" w:lineRule="auto"/>
        <w:jc w:val="both"/>
        <w:rPr>
          <w:rFonts w:eastAsia="Times New Roman" w:cs="Times New Roman"/>
          <w:sz w:val="24"/>
          <w:szCs w:val="24"/>
        </w:rPr>
      </w:pPr>
      <w:r w:rsidRPr="00972D21">
        <w:rPr>
          <w:rFonts w:eastAsia="Times New Roman" w:cs="Times New Roman"/>
          <w:b/>
          <w:bCs/>
          <w:sz w:val="24"/>
          <w:szCs w:val="24"/>
        </w:rPr>
        <w:t xml:space="preserve">- </w:t>
      </w:r>
      <w:r w:rsidRPr="00972D21">
        <w:rPr>
          <w:rFonts w:eastAsia="Times New Roman" w:cs="Times New Roman"/>
          <w:sz w:val="24"/>
          <w:szCs w:val="24"/>
        </w:rPr>
        <w:t xml:space="preserve">очень небольшая вероятность заснуть или задремать </w:t>
      </w:r>
    </w:p>
    <w:p w14:paraId="0DE9891A" w14:textId="77777777" w:rsidR="00972D21" w:rsidRDefault="00972D21" w:rsidP="00424F51">
      <w:pPr>
        <w:pStyle w:val="a7"/>
        <w:numPr>
          <w:ilvl w:val="0"/>
          <w:numId w:val="64"/>
        </w:numPr>
        <w:spacing w:line="360" w:lineRule="auto"/>
        <w:jc w:val="both"/>
        <w:rPr>
          <w:rFonts w:eastAsia="Times New Roman" w:cs="Times New Roman"/>
          <w:sz w:val="24"/>
          <w:szCs w:val="24"/>
        </w:rPr>
      </w:pPr>
      <w:r w:rsidRPr="00972D21">
        <w:rPr>
          <w:rFonts w:eastAsia="Times New Roman" w:cs="Times New Roman"/>
          <w:b/>
          <w:bCs/>
          <w:sz w:val="24"/>
          <w:szCs w:val="24"/>
        </w:rPr>
        <w:t xml:space="preserve">-  </w:t>
      </w:r>
      <w:r w:rsidRPr="00972D21">
        <w:rPr>
          <w:rFonts w:eastAsia="Times New Roman" w:cs="Times New Roman"/>
          <w:sz w:val="24"/>
          <w:szCs w:val="24"/>
        </w:rPr>
        <w:t xml:space="preserve">вероятно, засну или задремлю </w:t>
      </w:r>
    </w:p>
    <w:p w14:paraId="523288AD" w14:textId="2CED9E7D" w:rsidR="003B0E24" w:rsidRPr="00EA2902" w:rsidRDefault="00972D21" w:rsidP="00F100D6">
      <w:pPr>
        <w:pStyle w:val="a7"/>
        <w:numPr>
          <w:ilvl w:val="0"/>
          <w:numId w:val="64"/>
        </w:numPr>
        <w:spacing w:line="360" w:lineRule="auto"/>
        <w:jc w:val="both"/>
        <w:rPr>
          <w:rFonts w:eastAsia="Times New Roman" w:cs="Times New Roman"/>
          <w:sz w:val="24"/>
          <w:szCs w:val="24"/>
        </w:rPr>
      </w:pPr>
      <w:r w:rsidRPr="00972D21">
        <w:rPr>
          <w:rFonts w:eastAsia="Times New Roman" w:cs="Times New Roman"/>
          <w:b/>
          <w:bCs/>
          <w:sz w:val="24"/>
          <w:szCs w:val="24"/>
        </w:rPr>
        <w:t xml:space="preserve">- </w:t>
      </w:r>
      <w:r w:rsidRPr="00972D21">
        <w:rPr>
          <w:rFonts w:eastAsia="Times New Roman" w:cs="Times New Roman"/>
          <w:sz w:val="24"/>
          <w:szCs w:val="24"/>
        </w:rPr>
        <w:t xml:space="preserve">большая вероятность заснуть или задремать </w:t>
      </w:r>
    </w:p>
    <w:tbl>
      <w:tblPr>
        <w:tblW w:w="0" w:type="auto"/>
        <w:tblInd w:w="-5" w:type="dxa"/>
        <w:tblLayout w:type="fixed"/>
        <w:tblCellMar>
          <w:left w:w="0" w:type="dxa"/>
          <w:right w:w="0" w:type="dxa"/>
        </w:tblCellMar>
        <w:tblLook w:val="0000" w:firstRow="0" w:lastRow="0" w:firstColumn="0" w:lastColumn="0" w:noHBand="0" w:noVBand="0"/>
      </w:tblPr>
      <w:tblGrid>
        <w:gridCol w:w="6775"/>
        <w:gridCol w:w="446"/>
        <w:gridCol w:w="700"/>
        <w:gridCol w:w="720"/>
        <w:gridCol w:w="488"/>
      </w:tblGrid>
      <w:tr w:rsidR="007A6ACD" w:rsidRPr="00F100D6" w14:paraId="5965FB96" w14:textId="77777777" w:rsidTr="007A6ACD">
        <w:trPr>
          <w:trHeight w:val="353"/>
        </w:trPr>
        <w:tc>
          <w:tcPr>
            <w:tcW w:w="6775" w:type="dxa"/>
            <w:tcBorders>
              <w:top w:val="single" w:sz="4" w:space="0" w:color="auto"/>
              <w:left w:val="single" w:sz="4" w:space="0" w:color="auto"/>
              <w:bottom w:val="nil"/>
              <w:right w:val="nil"/>
            </w:tcBorders>
            <w:vAlign w:val="bottom"/>
          </w:tcPr>
          <w:p w14:paraId="77B224B8" w14:textId="77777777" w:rsidR="007A6ACD" w:rsidRPr="00F100D6" w:rsidRDefault="007A6ACD" w:rsidP="00F100D6">
            <w:pPr>
              <w:jc w:val="both"/>
              <w:rPr>
                <w:rFonts w:eastAsia="Times New Roman" w:cs="Times New Roman"/>
                <w:sz w:val="24"/>
                <w:szCs w:val="24"/>
              </w:rPr>
            </w:pPr>
            <w:r w:rsidRPr="00F100D6">
              <w:rPr>
                <w:rFonts w:eastAsia="Times New Roman" w:cs="Times New Roman"/>
                <w:sz w:val="24"/>
                <w:szCs w:val="24"/>
              </w:rPr>
              <w:t>Когда сижу и читаю</w:t>
            </w:r>
          </w:p>
        </w:tc>
        <w:tc>
          <w:tcPr>
            <w:tcW w:w="446" w:type="dxa"/>
            <w:tcBorders>
              <w:top w:val="single" w:sz="4" w:space="0" w:color="auto"/>
              <w:left w:val="single" w:sz="4" w:space="0" w:color="auto"/>
              <w:bottom w:val="nil"/>
              <w:right w:val="single" w:sz="4" w:space="0" w:color="auto"/>
            </w:tcBorders>
            <w:vAlign w:val="bottom"/>
          </w:tcPr>
          <w:p w14:paraId="083798D0" w14:textId="77777777" w:rsidR="007A6ACD" w:rsidRPr="00F100D6" w:rsidRDefault="007A6ACD" w:rsidP="00852056">
            <w:pPr>
              <w:jc w:val="center"/>
              <w:rPr>
                <w:rFonts w:eastAsia="Times New Roman" w:cs="Times New Roman"/>
                <w:sz w:val="24"/>
                <w:szCs w:val="24"/>
              </w:rPr>
            </w:pPr>
            <w:r w:rsidRPr="00F100D6">
              <w:rPr>
                <w:rFonts w:eastAsia="Times New Roman" w:cs="Times New Roman"/>
                <w:sz w:val="24"/>
                <w:szCs w:val="24"/>
              </w:rPr>
              <w:t>0</w:t>
            </w:r>
          </w:p>
        </w:tc>
        <w:tc>
          <w:tcPr>
            <w:tcW w:w="700" w:type="dxa"/>
            <w:tcBorders>
              <w:top w:val="single" w:sz="4" w:space="0" w:color="auto"/>
              <w:left w:val="single" w:sz="4" w:space="0" w:color="auto"/>
              <w:bottom w:val="nil"/>
              <w:right w:val="single" w:sz="4" w:space="0" w:color="auto"/>
            </w:tcBorders>
            <w:vAlign w:val="bottom"/>
          </w:tcPr>
          <w:p w14:paraId="57EE21AD" w14:textId="77777777" w:rsidR="007A6ACD" w:rsidRPr="00F100D6" w:rsidRDefault="007A6ACD" w:rsidP="00852056">
            <w:pPr>
              <w:jc w:val="center"/>
              <w:rPr>
                <w:rFonts w:eastAsia="Times New Roman" w:cs="Times New Roman"/>
                <w:sz w:val="24"/>
                <w:szCs w:val="24"/>
              </w:rPr>
            </w:pPr>
            <w:r w:rsidRPr="00F100D6">
              <w:rPr>
                <w:rFonts w:eastAsia="Times New Roman" w:cs="Times New Roman"/>
                <w:sz w:val="24"/>
                <w:szCs w:val="24"/>
              </w:rPr>
              <w:t>1</w:t>
            </w:r>
          </w:p>
        </w:tc>
        <w:tc>
          <w:tcPr>
            <w:tcW w:w="720" w:type="dxa"/>
            <w:tcBorders>
              <w:top w:val="single" w:sz="4" w:space="0" w:color="auto"/>
              <w:left w:val="single" w:sz="4" w:space="0" w:color="auto"/>
              <w:bottom w:val="nil"/>
              <w:right w:val="single" w:sz="4" w:space="0" w:color="auto"/>
            </w:tcBorders>
            <w:vAlign w:val="bottom"/>
          </w:tcPr>
          <w:p w14:paraId="658ED9F0" w14:textId="77777777" w:rsidR="007A6ACD" w:rsidRPr="00F100D6" w:rsidRDefault="007A6ACD" w:rsidP="00852056">
            <w:pPr>
              <w:jc w:val="center"/>
              <w:rPr>
                <w:rFonts w:eastAsia="Times New Roman" w:cs="Times New Roman"/>
                <w:sz w:val="24"/>
                <w:szCs w:val="24"/>
              </w:rPr>
            </w:pPr>
            <w:r w:rsidRPr="00F100D6">
              <w:rPr>
                <w:rFonts w:eastAsia="Times New Roman" w:cs="Times New Roman"/>
                <w:sz w:val="24"/>
                <w:szCs w:val="24"/>
              </w:rPr>
              <w:t>2</w:t>
            </w:r>
          </w:p>
        </w:tc>
        <w:tc>
          <w:tcPr>
            <w:tcW w:w="488" w:type="dxa"/>
            <w:tcBorders>
              <w:top w:val="single" w:sz="4" w:space="0" w:color="auto"/>
              <w:left w:val="single" w:sz="4" w:space="0" w:color="auto"/>
              <w:bottom w:val="nil"/>
              <w:right w:val="single" w:sz="4" w:space="0" w:color="auto"/>
            </w:tcBorders>
            <w:vAlign w:val="bottom"/>
          </w:tcPr>
          <w:p w14:paraId="344BC233" w14:textId="77777777" w:rsidR="007A6ACD" w:rsidRPr="00F100D6" w:rsidRDefault="007A6ACD" w:rsidP="00852056">
            <w:pPr>
              <w:jc w:val="center"/>
              <w:rPr>
                <w:rFonts w:eastAsia="Times New Roman" w:cs="Times New Roman"/>
                <w:sz w:val="24"/>
                <w:szCs w:val="24"/>
              </w:rPr>
            </w:pPr>
            <w:r w:rsidRPr="00F100D6">
              <w:rPr>
                <w:rFonts w:eastAsia="Times New Roman" w:cs="Times New Roman"/>
                <w:sz w:val="24"/>
                <w:szCs w:val="24"/>
              </w:rPr>
              <w:t>3</w:t>
            </w:r>
          </w:p>
        </w:tc>
      </w:tr>
      <w:tr w:rsidR="007A6ACD" w:rsidRPr="00F100D6" w14:paraId="4C2D59F5" w14:textId="77777777" w:rsidTr="007A6ACD">
        <w:trPr>
          <w:trHeight w:val="367"/>
        </w:trPr>
        <w:tc>
          <w:tcPr>
            <w:tcW w:w="6775" w:type="dxa"/>
            <w:tcBorders>
              <w:top w:val="single" w:sz="4" w:space="0" w:color="auto"/>
              <w:left w:val="single" w:sz="4" w:space="0" w:color="auto"/>
              <w:bottom w:val="nil"/>
              <w:right w:val="nil"/>
            </w:tcBorders>
            <w:vAlign w:val="center"/>
          </w:tcPr>
          <w:p w14:paraId="38719A43" w14:textId="77777777" w:rsidR="007A6ACD" w:rsidRPr="00F100D6" w:rsidRDefault="007A6ACD" w:rsidP="00F100D6">
            <w:pPr>
              <w:jc w:val="both"/>
              <w:rPr>
                <w:rFonts w:eastAsia="Times New Roman" w:cs="Times New Roman"/>
                <w:sz w:val="24"/>
                <w:szCs w:val="24"/>
              </w:rPr>
            </w:pPr>
            <w:r w:rsidRPr="00F100D6">
              <w:rPr>
                <w:rFonts w:eastAsia="Times New Roman" w:cs="Times New Roman"/>
                <w:sz w:val="24"/>
                <w:szCs w:val="24"/>
              </w:rPr>
              <w:t>Когда смотрю телевизор</w:t>
            </w:r>
          </w:p>
        </w:tc>
        <w:tc>
          <w:tcPr>
            <w:tcW w:w="446" w:type="dxa"/>
            <w:tcBorders>
              <w:top w:val="single" w:sz="4" w:space="0" w:color="auto"/>
              <w:left w:val="single" w:sz="4" w:space="0" w:color="auto"/>
              <w:bottom w:val="nil"/>
              <w:right w:val="single" w:sz="4" w:space="0" w:color="auto"/>
            </w:tcBorders>
            <w:vAlign w:val="center"/>
          </w:tcPr>
          <w:p w14:paraId="7937BDF9" w14:textId="77777777" w:rsidR="007A6ACD" w:rsidRPr="00F100D6" w:rsidRDefault="007A6ACD" w:rsidP="00852056">
            <w:pPr>
              <w:jc w:val="center"/>
              <w:rPr>
                <w:rFonts w:eastAsia="Times New Roman" w:cs="Times New Roman"/>
                <w:sz w:val="24"/>
                <w:szCs w:val="24"/>
              </w:rPr>
            </w:pPr>
            <w:r w:rsidRPr="00F100D6">
              <w:rPr>
                <w:rFonts w:eastAsia="Times New Roman" w:cs="Times New Roman"/>
                <w:sz w:val="24"/>
                <w:szCs w:val="24"/>
              </w:rPr>
              <w:t>0</w:t>
            </w:r>
          </w:p>
        </w:tc>
        <w:tc>
          <w:tcPr>
            <w:tcW w:w="700" w:type="dxa"/>
            <w:tcBorders>
              <w:top w:val="single" w:sz="4" w:space="0" w:color="auto"/>
              <w:left w:val="single" w:sz="4" w:space="0" w:color="auto"/>
              <w:bottom w:val="nil"/>
              <w:right w:val="single" w:sz="4" w:space="0" w:color="auto"/>
            </w:tcBorders>
            <w:vAlign w:val="center"/>
          </w:tcPr>
          <w:p w14:paraId="6A7FFE27" w14:textId="77777777" w:rsidR="007A6ACD" w:rsidRPr="00F100D6" w:rsidRDefault="007A6ACD" w:rsidP="00852056">
            <w:pPr>
              <w:jc w:val="center"/>
              <w:rPr>
                <w:rFonts w:eastAsia="Times New Roman" w:cs="Times New Roman"/>
                <w:sz w:val="24"/>
                <w:szCs w:val="24"/>
              </w:rPr>
            </w:pPr>
            <w:r w:rsidRPr="00F100D6">
              <w:rPr>
                <w:rFonts w:eastAsia="Times New Roman" w:cs="Times New Roman"/>
                <w:sz w:val="24"/>
                <w:szCs w:val="24"/>
              </w:rPr>
              <w:t>1</w:t>
            </w:r>
          </w:p>
        </w:tc>
        <w:tc>
          <w:tcPr>
            <w:tcW w:w="720" w:type="dxa"/>
            <w:tcBorders>
              <w:top w:val="single" w:sz="4" w:space="0" w:color="auto"/>
              <w:left w:val="single" w:sz="4" w:space="0" w:color="auto"/>
              <w:bottom w:val="nil"/>
              <w:right w:val="single" w:sz="4" w:space="0" w:color="auto"/>
            </w:tcBorders>
            <w:vAlign w:val="center"/>
          </w:tcPr>
          <w:p w14:paraId="4B461262" w14:textId="77777777" w:rsidR="007A6ACD" w:rsidRPr="00F100D6" w:rsidRDefault="007A6ACD" w:rsidP="00852056">
            <w:pPr>
              <w:jc w:val="center"/>
              <w:rPr>
                <w:rFonts w:eastAsia="Times New Roman" w:cs="Times New Roman"/>
                <w:sz w:val="24"/>
                <w:szCs w:val="24"/>
              </w:rPr>
            </w:pPr>
            <w:r w:rsidRPr="00F100D6">
              <w:rPr>
                <w:rFonts w:eastAsia="Times New Roman" w:cs="Times New Roman"/>
                <w:sz w:val="24"/>
                <w:szCs w:val="24"/>
              </w:rPr>
              <w:t>2</w:t>
            </w:r>
          </w:p>
        </w:tc>
        <w:tc>
          <w:tcPr>
            <w:tcW w:w="488" w:type="dxa"/>
            <w:tcBorders>
              <w:top w:val="single" w:sz="4" w:space="0" w:color="auto"/>
              <w:left w:val="single" w:sz="4" w:space="0" w:color="auto"/>
              <w:bottom w:val="nil"/>
              <w:right w:val="single" w:sz="4" w:space="0" w:color="auto"/>
            </w:tcBorders>
            <w:vAlign w:val="center"/>
          </w:tcPr>
          <w:p w14:paraId="5A3C08E0" w14:textId="77777777" w:rsidR="007A6ACD" w:rsidRPr="00F100D6" w:rsidRDefault="007A6ACD" w:rsidP="00852056">
            <w:pPr>
              <w:jc w:val="center"/>
              <w:rPr>
                <w:rFonts w:eastAsia="Times New Roman" w:cs="Times New Roman"/>
                <w:sz w:val="24"/>
                <w:szCs w:val="24"/>
              </w:rPr>
            </w:pPr>
            <w:r w:rsidRPr="00F100D6">
              <w:rPr>
                <w:rFonts w:eastAsia="Times New Roman" w:cs="Times New Roman"/>
                <w:sz w:val="24"/>
                <w:szCs w:val="24"/>
              </w:rPr>
              <w:t>3</w:t>
            </w:r>
          </w:p>
        </w:tc>
      </w:tr>
      <w:tr w:rsidR="007A6ACD" w:rsidRPr="00F100D6" w14:paraId="7563F1B2" w14:textId="77777777" w:rsidTr="007A6ACD">
        <w:trPr>
          <w:trHeight w:val="577"/>
        </w:trPr>
        <w:tc>
          <w:tcPr>
            <w:tcW w:w="6775" w:type="dxa"/>
            <w:tcBorders>
              <w:top w:val="single" w:sz="4" w:space="0" w:color="auto"/>
              <w:left w:val="single" w:sz="4" w:space="0" w:color="auto"/>
              <w:bottom w:val="nil"/>
              <w:right w:val="nil"/>
            </w:tcBorders>
            <w:vAlign w:val="bottom"/>
          </w:tcPr>
          <w:p w14:paraId="02E0EB04" w14:textId="77777777" w:rsidR="007A6ACD" w:rsidRPr="00F100D6" w:rsidRDefault="007A6ACD" w:rsidP="00F100D6">
            <w:pPr>
              <w:jc w:val="both"/>
              <w:rPr>
                <w:rFonts w:eastAsia="Times New Roman" w:cs="Times New Roman"/>
                <w:sz w:val="24"/>
                <w:szCs w:val="24"/>
              </w:rPr>
            </w:pPr>
            <w:r w:rsidRPr="00F100D6">
              <w:rPr>
                <w:rFonts w:eastAsia="Times New Roman" w:cs="Times New Roman"/>
                <w:sz w:val="24"/>
                <w:szCs w:val="24"/>
              </w:rPr>
              <w:t xml:space="preserve">Когда сижу и не произвожу никаких активных действий в </w:t>
            </w:r>
            <w:r>
              <w:rPr>
                <w:rFonts w:eastAsia="Times New Roman" w:cs="Times New Roman"/>
                <w:sz w:val="24"/>
                <w:szCs w:val="24"/>
              </w:rPr>
              <w:t>обще</w:t>
            </w:r>
            <w:r w:rsidRPr="00F100D6">
              <w:rPr>
                <w:rFonts w:eastAsia="Times New Roman" w:cs="Times New Roman"/>
                <w:sz w:val="24"/>
                <w:szCs w:val="24"/>
              </w:rPr>
              <w:t>ственном месте (например, в театре, на собрании):</w:t>
            </w:r>
          </w:p>
        </w:tc>
        <w:tc>
          <w:tcPr>
            <w:tcW w:w="446" w:type="dxa"/>
            <w:tcBorders>
              <w:top w:val="single" w:sz="4" w:space="0" w:color="auto"/>
              <w:left w:val="single" w:sz="4" w:space="0" w:color="auto"/>
              <w:bottom w:val="nil"/>
              <w:right w:val="single" w:sz="4" w:space="0" w:color="auto"/>
            </w:tcBorders>
          </w:tcPr>
          <w:p w14:paraId="09A4B839" w14:textId="77777777" w:rsidR="007A6ACD" w:rsidRPr="00F100D6" w:rsidRDefault="007A6ACD" w:rsidP="00852056">
            <w:pPr>
              <w:jc w:val="center"/>
              <w:rPr>
                <w:rFonts w:eastAsia="Times New Roman" w:cs="Times New Roman"/>
                <w:sz w:val="24"/>
                <w:szCs w:val="24"/>
              </w:rPr>
            </w:pPr>
            <w:r w:rsidRPr="00F100D6">
              <w:rPr>
                <w:rFonts w:eastAsia="Times New Roman" w:cs="Times New Roman"/>
                <w:sz w:val="24"/>
                <w:szCs w:val="24"/>
              </w:rPr>
              <w:t>0</w:t>
            </w:r>
          </w:p>
        </w:tc>
        <w:tc>
          <w:tcPr>
            <w:tcW w:w="700" w:type="dxa"/>
            <w:tcBorders>
              <w:top w:val="single" w:sz="4" w:space="0" w:color="auto"/>
              <w:left w:val="single" w:sz="4" w:space="0" w:color="auto"/>
              <w:bottom w:val="nil"/>
              <w:right w:val="single" w:sz="4" w:space="0" w:color="auto"/>
            </w:tcBorders>
          </w:tcPr>
          <w:p w14:paraId="0F3C05EE" w14:textId="77777777" w:rsidR="007A6ACD" w:rsidRPr="00F100D6" w:rsidRDefault="007A6ACD" w:rsidP="00852056">
            <w:pPr>
              <w:jc w:val="center"/>
              <w:rPr>
                <w:rFonts w:eastAsia="Times New Roman" w:cs="Times New Roman"/>
                <w:sz w:val="24"/>
                <w:szCs w:val="24"/>
              </w:rPr>
            </w:pPr>
            <w:r w:rsidRPr="00F100D6">
              <w:rPr>
                <w:rFonts w:eastAsia="Times New Roman" w:cs="Times New Roman"/>
                <w:sz w:val="24"/>
                <w:szCs w:val="24"/>
              </w:rPr>
              <w:t>1</w:t>
            </w:r>
          </w:p>
        </w:tc>
        <w:tc>
          <w:tcPr>
            <w:tcW w:w="720" w:type="dxa"/>
            <w:tcBorders>
              <w:top w:val="single" w:sz="4" w:space="0" w:color="auto"/>
              <w:left w:val="single" w:sz="4" w:space="0" w:color="auto"/>
              <w:bottom w:val="nil"/>
              <w:right w:val="single" w:sz="4" w:space="0" w:color="auto"/>
            </w:tcBorders>
          </w:tcPr>
          <w:p w14:paraId="0CBC2DCF" w14:textId="77777777" w:rsidR="007A6ACD" w:rsidRPr="00F100D6" w:rsidRDefault="007A6ACD" w:rsidP="00852056">
            <w:pPr>
              <w:jc w:val="center"/>
              <w:rPr>
                <w:rFonts w:eastAsia="Times New Roman" w:cs="Times New Roman"/>
                <w:sz w:val="24"/>
                <w:szCs w:val="24"/>
              </w:rPr>
            </w:pPr>
            <w:r w:rsidRPr="00F100D6">
              <w:rPr>
                <w:rFonts w:eastAsia="Times New Roman" w:cs="Times New Roman"/>
                <w:sz w:val="24"/>
                <w:szCs w:val="24"/>
              </w:rPr>
              <w:t>2</w:t>
            </w:r>
          </w:p>
        </w:tc>
        <w:tc>
          <w:tcPr>
            <w:tcW w:w="488" w:type="dxa"/>
            <w:tcBorders>
              <w:top w:val="single" w:sz="4" w:space="0" w:color="auto"/>
              <w:left w:val="single" w:sz="4" w:space="0" w:color="auto"/>
              <w:bottom w:val="nil"/>
              <w:right w:val="single" w:sz="4" w:space="0" w:color="auto"/>
            </w:tcBorders>
          </w:tcPr>
          <w:p w14:paraId="2A3604D4" w14:textId="77777777" w:rsidR="007A6ACD" w:rsidRPr="00F100D6" w:rsidRDefault="007A6ACD" w:rsidP="00852056">
            <w:pPr>
              <w:jc w:val="center"/>
              <w:rPr>
                <w:rFonts w:eastAsia="Times New Roman" w:cs="Times New Roman"/>
                <w:sz w:val="24"/>
                <w:szCs w:val="24"/>
              </w:rPr>
            </w:pPr>
            <w:r w:rsidRPr="00F100D6">
              <w:rPr>
                <w:rFonts w:eastAsia="Times New Roman" w:cs="Times New Roman"/>
                <w:sz w:val="24"/>
                <w:szCs w:val="24"/>
              </w:rPr>
              <w:t>3</w:t>
            </w:r>
          </w:p>
        </w:tc>
      </w:tr>
      <w:tr w:rsidR="007A6ACD" w:rsidRPr="00F100D6" w14:paraId="05A416F9" w14:textId="77777777" w:rsidTr="007A6ACD">
        <w:trPr>
          <w:trHeight w:val="573"/>
        </w:trPr>
        <w:tc>
          <w:tcPr>
            <w:tcW w:w="6775" w:type="dxa"/>
            <w:tcBorders>
              <w:top w:val="single" w:sz="4" w:space="0" w:color="auto"/>
              <w:left w:val="single" w:sz="4" w:space="0" w:color="auto"/>
              <w:bottom w:val="nil"/>
              <w:right w:val="nil"/>
            </w:tcBorders>
            <w:vAlign w:val="bottom"/>
          </w:tcPr>
          <w:p w14:paraId="163C3676" w14:textId="77777777" w:rsidR="007A6ACD" w:rsidRPr="00F100D6" w:rsidRDefault="007A6ACD" w:rsidP="00F100D6">
            <w:pPr>
              <w:jc w:val="both"/>
              <w:rPr>
                <w:rFonts w:eastAsia="Times New Roman" w:cs="Times New Roman"/>
                <w:sz w:val="24"/>
                <w:szCs w:val="24"/>
              </w:rPr>
            </w:pPr>
            <w:r w:rsidRPr="00F100D6">
              <w:rPr>
                <w:rFonts w:eastAsia="Times New Roman" w:cs="Times New Roman"/>
                <w:sz w:val="24"/>
                <w:szCs w:val="24"/>
              </w:rPr>
              <w:t xml:space="preserve">Когда еду в машине в качестве пассажира в течение часа без </w:t>
            </w:r>
            <w:r>
              <w:rPr>
                <w:rFonts w:eastAsia="Times New Roman" w:cs="Times New Roman"/>
                <w:sz w:val="24"/>
                <w:szCs w:val="24"/>
              </w:rPr>
              <w:t>остановки</w:t>
            </w:r>
          </w:p>
        </w:tc>
        <w:tc>
          <w:tcPr>
            <w:tcW w:w="446" w:type="dxa"/>
            <w:tcBorders>
              <w:top w:val="single" w:sz="4" w:space="0" w:color="auto"/>
              <w:left w:val="single" w:sz="4" w:space="0" w:color="auto"/>
              <w:bottom w:val="nil"/>
              <w:right w:val="single" w:sz="4" w:space="0" w:color="auto"/>
            </w:tcBorders>
          </w:tcPr>
          <w:p w14:paraId="1F02013F" w14:textId="77777777" w:rsidR="007A6ACD" w:rsidRPr="00F100D6" w:rsidRDefault="007A6ACD" w:rsidP="00852056">
            <w:pPr>
              <w:jc w:val="center"/>
              <w:rPr>
                <w:rFonts w:eastAsia="Times New Roman" w:cs="Times New Roman"/>
                <w:sz w:val="24"/>
                <w:szCs w:val="24"/>
              </w:rPr>
            </w:pPr>
            <w:r w:rsidRPr="00F100D6">
              <w:rPr>
                <w:rFonts w:eastAsia="Times New Roman" w:cs="Times New Roman"/>
                <w:sz w:val="24"/>
                <w:szCs w:val="24"/>
              </w:rPr>
              <w:t>0</w:t>
            </w:r>
          </w:p>
        </w:tc>
        <w:tc>
          <w:tcPr>
            <w:tcW w:w="700" w:type="dxa"/>
            <w:tcBorders>
              <w:top w:val="single" w:sz="4" w:space="0" w:color="auto"/>
              <w:left w:val="single" w:sz="4" w:space="0" w:color="auto"/>
              <w:bottom w:val="nil"/>
              <w:right w:val="single" w:sz="4" w:space="0" w:color="auto"/>
            </w:tcBorders>
          </w:tcPr>
          <w:p w14:paraId="2AF68017" w14:textId="77777777" w:rsidR="007A6ACD" w:rsidRPr="00F100D6" w:rsidRDefault="007A6ACD" w:rsidP="00852056">
            <w:pPr>
              <w:jc w:val="center"/>
              <w:rPr>
                <w:rFonts w:eastAsia="Times New Roman" w:cs="Times New Roman"/>
                <w:sz w:val="24"/>
                <w:szCs w:val="24"/>
              </w:rPr>
            </w:pPr>
            <w:r w:rsidRPr="00F100D6">
              <w:rPr>
                <w:rFonts w:eastAsia="Times New Roman" w:cs="Times New Roman"/>
                <w:sz w:val="24"/>
                <w:szCs w:val="24"/>
              </w:rPr>
              <w:t>1</w:t>
            </w:r>
          </w:p>
        </w:tc>
        <w:tc>
          <w:tcPr>
            <w:tcW w:w="720" w:type="dxa"/>
            <w:tcBorders>
              <w:top w:val="single" w:sz="4" w:space="0" w:color="auto"/>
              <w:left w:val="single" w:sz="4" w:space="0" w:color="auto"/>
              <w:bottom w:val="nil"/>
              <w:right w:val="single" w:sz="4" w:space="0" w:color="auto"/>
            </w:tcBorders>
          </w:tcPr>
          <w:p w14:paraId="4D9CC0A8" w14:textId="77777777" w:rsidR="007A6ACD" w:rsidRPr="00F100D6" w:rsidRDefault="007A6ACD" w:rsidP="00852056">
            <w:pPr>
              <w:jc w:val="center"/>
              <w:rPr>
                <w:rFonts w:eastAsia="Times New Roman" w:cs="Times New Roman"/>
                <w:sz w:val="24"/>
                <w:szCs w:val="24"/>
              </w:rPr>
            </w:pPr>
            <w:r w:rsidRPr="00F100D6">
              <w:rPr>
                <w:rFonts w:eastAsia="Times New Roman" w:cs="Times New Roman"/>
                <w:sz w:val="24"/>
                <w:szCs w:val="24"/>
              </w:rPr>
              <w:t>2</w:t>
            </w:r>
          </w:p>
        </w:tc>
        <w:tc>
          <w:tcPr>
            <w:tcW w:w="488" w:type="dxa"/>
            <w:tcBorders>
              <w:top w:val="single" w:sz="4" w:space="0" w:color="auto"/>
              <w:left w:val="single" w:sz="4" w:space="0" w:color="auto"/>
              <w:bottom w:val="nil"/>
              <w:right w:val="single" w:sz="4" w:space="0" w:color="auto"/>
            </w:tcBorders>
          </w:tcPr>
          <w:p w14:paraId="1197BFC1" w14:textId="77777777" w:rsidR="007A6ACD" w:rsidRPr="00F100D6" w:rsidRDefault="007A6ACD" w:rsidP="00852056">
            <w:pPr>
              <w:jc w:val="center"/>
              <w:rPr>
                <w:rFonts w:eastAsia="Times New Roman" w:cs="Times New Roman"/>
                <w:sz w:val="24"/>
                <w:szCs w:val="24"/>
              </w:rPr>
            </w:pPr>
            <w:r w:rsidRPr="00F100D6">
              <w:rPr>
                <w:rFonts w:eastAsia="Times New Roman" w:cs="Times New Roman"/>
                <w:sz w:val="24"/>
                <w:szCs w:val="24"/>
              </w:rPr>
              <w:t>3</w:t>
            </w:r>
          </w:p>
        </w:tc>
      </w:tr>
      <w:tr w:rsidR="007A6ACD" w:rsidRPr="00F100D6" w14:paraId="2BE21F70" w14:textId="77777777" w:rsidTr="007A6ACD">
        <w:trPr>
          <w:trHeight w:val="573"/>
        </w:trPr>
        <w:tc>
          <w:tcPr>
            <w:tcW w:w="6775" w:type="dxa"/>
            <w:tcBorders>
              <w:top w:val="single" w:sz="4" w:space="0" w:color="auto"/>
              <w:left w:val="single" w:sz="4" w:space="0" w:color="auto"/>
              <w:bottom w:val="nil"/>
              <w:right w:val="nil"/>
            </w:tcBorders>
            <w:vAlign w:val="bottom"/>
          </w:tcPr>
          <w:p w14:paraId="0312095B" w14:textId="77777777" w:rsidR="007A6ACD" w:rsidRPr="00F100D6" w:rsidRDefault="007A6ACD" w:rsidP="007A6ACD">
            <w:pPr>
              <w:jc w:val="both"/>
              <w:rPr>
                <w:rFonts w:eastAsia="Times New Roman" w:cs="Times New Roman"/>
                <w:sz w:val="24"/>
                <w:szCs w:val="24"/>
              </w:rPr>
            </w:pPr>
            <w:r w:rsidRPr="00F100D6">
              <w:rPr>
                <w:rFonts w:eastAsia="Times New Roman" w:cs="Times New Roman"/>
                <w:sz w:val="24"/>
                <w:szCs w:val="24"/>
              </w:rPr>
              <w:t>Когда</w:t>
            </w:r>
            <w:r w:rsidRPr="00F100D6">
              <w:rPr>
                <w:rFonts w:eastAsia="Times New Roman" w:cs="Times New Roman"/>
                <w:sz w:val="24"/>
                <w:szCs w:val="24"/>
              </w:rPr>
              <w:tab/>
              <w:t>лежу</w:t>
            </w:r>
            <w:r w:rsidRPr="00F100D6">
              <w:rPr>
                <w:rFonts w:eastAsia="Times New Roman" w:cs="Times New Roman"/>
                <w:sz w:val="24"/>
                <w:szCs w:val="24"/>
              </w:rPr>
              <w:tab/>
              <w:t>днем</w:t>
            </w:r>
            <w:r w:rsidRPr="00F100D6">
              <w:rPr>
                <w:rFonts w:eastAsia="Times New Roman" w:cs="Times New Roman"/>
                <w:sz w:val="24"/>
                <w:szCs w:val="24"/>
              </w:rPr>
              <w:tab/>
              <w:t>и</w:t>
            </w:r>
            <w:r>
              <w:rPr>
                <w:rFonts w:eastAsia="Times New Roman" w:cs="Times New Roman"/>
                <w:sz w:val="24"/>
                <w:szCs w:val="24"/>
              </w:rPr>
              <w:t xml:space="preserve"> </w:t>
            </w:r>
            <w:r w:rsidRPr="00F100D6">
              <w:rPr>
                <w:rFonts w:eastAsia="Times New Roman" w:cs="Times New Roman"/>
                <w:sz w:val="24"/>
                <w:szCs w:val="24"/>
              </w:rPr>
              <w:t>отдыхаю, если</w:t>
            </w:r>
            <w:r>
              <w:rPr>
                <w:rFonts w:eastAsia="Times New Roman" w:cs="Times New Roman"/>
                <w:sz w:val="24"/>
                <w:szCs w:val="24"/>
              </w:rPr>
              <w:t xml:space="preserve"> </w:t>
            </w:r>
            <w:r w:rsidRPr="00F100D6">
              <w:rPr>
                <w:rFonts w:eastAsia="Times New Roman" w:cs="Times New Roman"/>
                <w:sz w:val="24"/>
                <w:szCs w:val="24"/>
              </w:rPr>
              <w:t>позволяют</w:t>
            </w:r>
            <w:r>
              <w:rPr>
                <w:rFonts w:eastAsia="Times New Roman" w:cs="Times New Roman"/>
                <w:sz w:val="24"/>
                <w:szCs w:val="24"/>
              </w:rPr>
              <w:t xml:space="preserve"> обсто</w:t>
            </w:r>
            <w:r w:rsidRPr="00F100D6">
              <w:rPr>
                <w:rFonts w:eastAsia="Times New Roman" w:cs="Times New Roman"/>
                <w:sz w:val="24"/>
                <w:szCs w:val="24"/>
              </w:rPr>
              <w:t>ятельства:</w:t>
            </w:r>
          </w:p>
        </w:tc>
        <w:tc>
          <w:tcPr>
            <w:tcW w:w="446" w:type="dxa"/>
            <w:tcBorders>
              <w:top w:val="single" w:sz="4" w:space="0" w:color="auto"/>
              <w:left w:val="single" w:sz="4" w:space="0" w:color="auto"/>
              <w:bottom w:val="nil"/>
              <w:right w:val="single" w:sz="4" w:space="0" w:color="auto"/>
            </w:tcBorders>
          </w:tcPr>
          <w:p w14:paraId="65FD92B1" w14:textId="77777777" w:rsidR="007A6ACD" w:rsidRPr="00F100D6" w:rsidRDefault="007A6ACD" w:rsidP="00852056">
            <w:pPr>
              <w:jc w:val="center"/>
              <w:rPr>
                <w:rFonts w:eastAsia="Times New Roman" w:cs="Times New Roman"/>
                <w:sz w:val="24"/>
                <w:szCs w:val="24"/>
              </w:rPr>
            </w:pPr>
            <w:r w:rsidRPr="00F100D6">
              <w:rPr>
                <w:rFonts w:eastAsia="Times New Roman" w:cs="Times New Roman"/>
                <w:sz w:val="24"/>
                <w:szCs w:val="24"/>
              </w:rPr>
              <w:t>0</w:t>
            </w:r>
          </w:p>
        </w:tc>
        <w:tc>
          <w:tcPr>
            <w:tcW w:w="700" w:type="dxa"/>
            <w:tcBorders>
              <w:top w:val="single" w:sz="4" w:space="0" w:color="auto"/>
              <w:left w:val="single" w:sz="4" w:space="0" w:color="auto"/>
              <w:bottom w:val="nil"/>
              <w:right w:val="single" w:sz="4" w:space="0" w:color="auto"/>
            </w:tcBorders>
          </w:tcPr>
          <w:p w14:paraId="4BF177B4" w14:textId="77777777" w:rsidR="007A6ACD" w:rsidRPr="00F100D6" w:rsidRDefault="007A6ACD" w:rsidP="00852056">
            <w:pPr>
              <w:jc w:val="center"/>
              <w:rPr>
                <w:rFonts w:eastAsia="Times New Roman" w:cs="Times New Roman"/>
                <w:sz w:val="24"/>
                <w:szCs w:val="24"/>
              </w:rPr>
            </w:pPr>
            <w:r w:rsidRPr="00F100D6">
              <w:rPr>
                <w:rFonts w:eastAsia="Times New Roman" w:cs="Times New Roman"/>
                <w:sz w:val="24"/>
                <w:szCs w:val="24"/>
              </w:rPr>
              <w:t>1</w:t>
            </w:r>
          </w:p>
        </w:tc>
        <w:tc>
          <w:tcPr>
            <w:tcW w:w="720" w:type="dxa"/>
            <w:tcBorders>
              <w:top w:val="single" w:sz="4" w:space="0" w:color="auto"/>
              <w:left w:val="single" w:sz="4" w:space="0" w:color="auto"/>
              <w:bottom w:val="nil"/>
              <w:right w:val="single" w:sz="4" w:space="0" w:color="auto"/>
            </w:tcBorders>
          </w:tcPr>
          <w:p w14:paraId="098A1859" w14:textId="77777777" w:rsidR="007A6ACD" w:rsidRPr="00F100D6" w:rsidRDefault="007A6ACD" w:rsidP="00852056">
            <w:pPr>
              <w:jc w:val="center"/>
              <w:rPr>
                <w:rFonts w:eastAsia="Times New Roman" w:cs="Times New Roman"/>
                <w:sz w:val="24"/>
                <w:szCs w:val="24"/>
              </w:rPr>
            </w:pPr>
            <w:r w:rsidRPr="00F100D6">
              <w:rPr>
                <w:rFonts w:eastAsia="Times New Roman" w:cs="Times New Roman"/>
                <w:sz w:val="24"/>
                <w:szCs w:val="24"/>
              </w:rPr>
              <w:t>2</w:t>
            </w:r>
          </w:p>
        </w:tc>
        <w:tc>
          <w:tcPr>
            <w:tcW w:w="488" w:type="dxa"/>
            <w:tcBorders>
              <w:top w:val="single" w:sz="4" w:space="0" w:color="auto"/>
              <w:left w:val="single" w:sz="4" w:space="0" w:color="auto"/>
              <w:bottom w:val="nil"/>
              <w:right w:val="single" w:sz="4" w:space="0" w:color="auto"/>
            </w:tcBorders>
          </w:tcPr>
          <w:p w14:paraId="11D4CDA6" w14:textId="77777777" w:rsidR="007A6ACD" w:rsidRPr="00F100D6" w:rsidRDefault="007A6ACD" w:rsidP="00852056">
            <w:pPr>
              <w:jc w:val="center"/>
              <w:rPr>
                <w:rFonts w:eastAsia="Times New Roman" w:cs="Times New Roman"/>
                <w:sz w:val="24"/>
                <w:szCs w:val="24"/>
              </w:rPr>
            </w:pPr>
            <w:r w:rsidRPr="00F100D6">
              <w:rPr>
                <w:rFonts w:eastAsia="Times New Roman" w:cs="Times New Roman"/>
                <w:sz w:val="24"/>
                <w:szCs w:val="24"/>
              </w:rPr>
              <w:t>3</w:t>
            </w:r>
          </w:p>
        </w:tc>
      </w:tr>
      <w:tr w:rsidR="007A6ACD" w:rsidRPr="00F100D6" w14:paraId="5A5FAE3C" w14:textId="77777777" w:rsidTr="007A6ACD">
        <w:trPr>
          <w:trHeight w:val="362"/>
        </w:trPr>
        <w:tc>
          <w:tcPr>
            <w:tcW w:w="6775" w:type="dxa"/>
            <w:tcBorders>
              <w:top w:val="single" w:sz="4" w:space="0" w:color="auto"/>
              <w:left w:val="single" w:sz="4" w:space="0" w:color="auto"/>
              <w:bottom w:val="nil"/>
              <w:right w:val="nil"/>
            </w:tcBorders>
            <w:vAlign w:val="center"/>
          </w:tcPr>
          <w:p w14:paraId="1CDCE621" w14:textId="77777777" w:rsidR="007A6ACD" w:rsidRPr="00F100D6" w:rsidRDefault="007A6ACD" w:rsidP="00F100D6">
            <w:pPr>
              <w:jc w:val="both"/>
              <w:rPr>
                <w:rFonts w:eastAsia="Times New Roman" w:cs="Times New Roman"/>
                <w:sz w:val="24"/>
                <w:szCs w:val="24"/>
              </w:rPr>
            </w:pPr>
            <w:r w:rsidRPr="00F100D6">
              <w:rPr>
                <w:rFonts w:eastAsia="Times New Roman" w:cs="Times New Roman"/>
                <w:sz w:val="24"/>
                <w:szCs w:val="24"/>
              </w:rPr>
              <w:t>Когда сижу и с кем-то разговариваю</w:t>
            </w:r>
          </w:p>
        </w:tc>
        <w:tc>
          <w:tcPr>
            <w:tcW w:w="446" w:type="dxa"/>
            <w:tcBorders>
              <w:top w:val="single" w:sz="4" w:space="0" w:color="auto"/>
              <w:left w:val="single" w:sz="4" w:space="0" w:color="auto"/>
              <w:bottom w:val="nil"/>
              <w:right w:val="single" w:sz="4" w:space="0" w:color="auto"/>
            </w:tcBorders>
            <w:vAlign w:val="center"/>
          </w:tcPr>
          <w:p w14:paraId="61753CAE" w14:textId="77777777" w:rsidR="007A6ACD" w:rsidRPr="00F100D6" w:rsidRDefault="007A6ACD" w:rsidP="00852056">
            <w:pPr>
              <w:jc w:val="center"/>
              <w:rPr>
                <w:rFonts w:eastAsia="Times New Roman" w:cs="Times New Roman"/>
                <w:sz w:val="24"/>
                <w:szCs w:val="24"/>
              </w:rPr>
            </w:pPr>
            <w:r w:rsidRPr="00F100D6">
              <w:rPr>
                <w:rFonts w:eastAsia="Times New Roman" w:cs="Times New Roman"/>
                <w:sz w:val="24"/>
                <w:szCs w:val="24"/>
              </w:rPr>
              <w:t>0</w:t>
            </w:r>
          </w:p>
        </w:tc>
        <w:tc>
          <w:tcPr>
            <w:tcW w:w="700" w:type="dxa"/>
            <w:tcBorders>
              <w:top w:val="single" w:sz="4" w:space="0" w:color="auto"/>
              <w:left w:val="single" w:sz="4" w:space="0" w:color="auto"/>
              <w:bottom w:val="nil"/>
              <w:right w:val="single" w:sz="4" w:space="0" w:color="auto"/>
            </w:tcBorders>
            <w:vAlign w:val="center"/>
          </w:tcPr>
          <w:p w14:paraId="69A5BDFE" w14:textId="77777777" w:rsidR="007A6ACD" w:rsidRPr="00F100D6" w:rsidRDefault="007A6ACD" w:rsidP="00852056">
            <w:pPr>
              <w:jc w:val="center"/>
              <w:rPr>
                <w:rFonts w:eastAsia="Times New Roman" w:cs="Times New Roman"/>
                <w:sz w:val="24"/>
                <w:szCs w:val="24"/>
              </w:rPr>
            </w:pPr>
            <w:r w:rsidRPr="00F100D6">
              <w:rPr>
                <w:rFonts w:eastAsia="Times New Roman" w:cs="Times New Roman"/>
                <w:sz w:val="24"/>
                <w:szCs w:val="24"/>
              </w:rPr>
              <w:t>1</w:t>
            </w:r>
          </w:p>
        </w:tc>
        <w:tc>
          <w:tcPr>
            <w:tcW w:w="720" w:type="dxa"/>
            <w:tcBorders>
              <w:top w:val="single" w:sz="4" w:space="0" w:color="auto"/>
              <w:left w:val="single" w:sz="4" w:space="0" w:color="auto"/>
              <w:bottom w:val="nil"/>
              <w:right w:val="single" w:sz="4" w:space="0" w:color="auto"/>
            </w:tcBorders>
            <w:vAlign w:val="center"/>
          </w:tcPr>
          <w:p w14:paraId="1676B0DD" w14:textId="77777777" w:rsidR="007A6ACD" w:rsidRPr="00F100D6" w:rsidRDefault="007A6ACD" w:rsidP="00852056">
            <w:pPr>
              <w:jc w:val="center"/>
              <w:rPr>
                <w:rFonts w:eastAsia="Times New Roman" w:cs="Times New Roman"/>
                <w:sz w:val="24"/>
                <w:szCs w:val="24"/>
              </w:rPr>
            </w:pPr>
            <w:r w:rsidRPr="00F100D6">
              <w:rPr>
                <w:rFonts w:eastAsia="Times New Roman" w:cs="Times New Roman"/>
                <w:sz w:val="24"/>
                <w:szCs w:val="24"/>
              </w:rPr>
              <w:t>2</w:t>
            </w:r>
          </w:p>
        </w:tc>
        <w:tc>
          <w:tcPr>
            <w:tcW w:w="488" w:type="dxa"/>
            <w:tcBorders>
              <w:top w:val="single" w:sz="4" w:space="0" w:color="auto"/>
              <w:left w:val="single" w:sz="4" w:space="0" w:color="auto"/>
              <w:bottom w:val="nil"/>
              <w:right w:val="single" w:sz="4" w:space="0" w:color="auto"/>
            </w:tcBorders>
            <w:vAlign w:val="center"/>
          </w:tcPr>
          <w:p w14:paraId="626BBDDD" w14:textId="77777777" w:rsidR="007A6ACD" w:rsidRPr="00F100D6" w:rsidRDefault="007A6ACD" w:rsidP="00852056">
            <w:pPr>
              <w:jc w:val="center"/>
              <w:rPr>
                <w:rFonts w:eastAsia="Times New Roman" w:cs="Times New Roman"/>
                <w:sz w:val="24"/>
                <w:szCs w:val="24"/>
              </w:rPr>
            </w:pPr>
            <w:r w:rsidRPr="00F100D6">
              <w:rPr>
                <w:rFonts w:eastAsia="Times New Roman" w:cs="Times New Roman"/>
                <w:sz w:val="24"/>
                <w:szCs w:val="24"/>
              </w:rPr>
              <w:t>3</w:t>
            </w:r>
          </w:p>
        </w:tc>
      </w:tr>
      <w:tr w:rsidR="007A6ACD" w:rsidRPr="00F100D6" w14:paraId="0AE31F67" w14:textId="77777777" w:rsidTr="007A6ACD">
        <w:trPr>
          <w:trHeight w:val="372"/>
        </w:trPr>
        <w:tc>
          <w:tcPr>
            <w:tcW w:w="6775" w:type="dxa"/>
            <w:tcBorders>
              <w:top w:val="single" w:sz="4" w:space="0" w:color="auto"/>
              <w:left w:val="single" w:sz="4" w:space="0" w:color="auto"/>
              <w:bottom w:val="nil"/>
              <w:right w:val="nil"/>
            </w:tcBorders>
            <w:vAlign w:val="center"/>
          </w:tcPr>
          <w:p w14:paraId="23AC23AB" w14:textId="77777777" w:rsidR="007A6ACD" w:rsidRPr="00F100D6" w:rsidRDefault="007A6ACD" w:rsidP="00F100D6">
            <w:pPr>
              <w:jc w:val="both"/>
              <w:rPr>
                <w:rFonts w:eastAsia="Times New Roman" w:cs="Times New Roman"/>
                <w:sz w:val="24"/>
                <w:szCs w:val="24"/>
              </w:rPr>
            </w:pPr>
            <w:r w:rsidRPr="00F100D6">
              <w:rPr>
                <w:rFonts w:eastAsia="Times New Roman" w:cs="Times New Roman"/>
                <w:sz w:val="24"/>
                <w:szCs w:val="24"/>
              </w:rPr>
              <w:t>Когда спокойно сижу после обеда (без алкоголя):</w:t>
            </w:r>
          </w:p>
        </w:tc>
        <w:tc>
          <w:tcPr>
            <w:tcW w:w="446" w:type="dxa"/>
            <w:tcBorders>
              <w:top w:val="single" w:sz="4" w:space="0" w:color="auto"/>
              <w:left w:val="single" w:sz="4" w:space="0" w:color="auto"/>
              <w:bottom w:val="nil"/>
              <w:right w:val="single" w:sz="4" w:space="0" w:color="auto"/>
            </w:tcBorders>
            <w:vAlign w:val="center"/>
          </w:tcPr>
          <w:p w14:paraId="1DE111DE" w14:textId="77777777" w:rsidR="007A6ACD" w:rsidRPr="00F100D6" w:rsidRDefault="007A6ACD" w:rsidP="00852056">
            <w:pPr>
              <w:jc w:val="center"/>
              <w:rPr>
                <w:rFonts w:eastAsia="Times New Roman" w:cs="Times New Roman"/>
                <w:sz w:val="24"/>
                <w:szCs w:val="24"/>
              </w:rPr>
            </w:pPr>
            <w:r w:rsidRPr="00F100D6">
              <w:rPr>
                <w:rFonts w:eastAsia="Times New Roman" w:cs="Times New Roman"/>
                <w:sz w:val="24"/>
                <w:szCs w:val="24"/>
              </w:rPr>
              <w:t>0</w:t>
            </w:r>
          </w:p>
        </w:tc>
        <w:tc>
          <w:tcPr>
            <w:tcW w:w="700" w:type="dxa"/>
            <w:tcBorders>
              <w:top w:val="single" w:sz="4" w:space="0" w:color="auto"/>
              <w:left w:val="single" w:sz="4" w:space="0" w:color="auto"/>
              <w:bottom w:val="nil"/>
              <w:right w:val="single" w:sz="4" w:space="0" w:color="auto"/>
            </w:tcBorders>
            <w:vAlign w:val="center"/>
          </w:tcPr>
          <w:p w14:paraId="5E7734B5" w14:textId="77777777" w:rsidR="007A6ACD" w:rsidRPr="00F100D6" w:rsidRDefault="007A6ACD" w:rsidP="00852056">
            <w:pPr>
              <w:jc w:val="center"/>
              <w:rPr>
                <w:rFonts w:eastAsia="Times New Roman" w:cs="Times New Roman"/>
                <w:sz w:val="24"/>
                <w:szCs w:val="24"/>
              </w:rPr>
            </w:pPr>
            <w:r w:rsidRPr="00F100D6">
              <w:rPr>
                <w:rFonts w:eastAsia="Times New Roman" w:cs="Times New Roman"/>
                <w:sz w:val="24"/>
                <w:szCs w:val="24"/>
              </w:rPr>
              <w:t>1</w:t>
            </w:r>
          </w:p>
        </w:tc>
        <w:tc>
          <w:tcPr>
            <w:tcW w:w="720" w:type="dxa"/>
            <w:tcBorders>
              <w:top w:val="single" w:sz="4" w:space="0" w:color="auto"/>
              <w:left w:val="single" w:sz="4" w:space="0" w:color="auto"/>
              <w:bottom w:val="nil"/>
              <w:right w:val="single" w:sz="4" w:space="0" w:color="auto"/>
            </w:tcBorders>
            <w:vAlign w:val="center"/>
          </w:tcPr>
          <w:p w14:paraId="1E2DF366" w14:textId="77777777" w:rsidR="007A6ACD" w:rsidRPr="00F100D6" w:rsidRDefault="007A6ACD" w:rsidP="00852056">
            <w:pPr>
              <w:jc w:val="center"/>
              <w:rPr>
                <w:rFonts w:eastAsia="Times New Roman" w:cs="Times New Roman"/>
                <w:sz w:val="24"/>
                <w:szCs w:val="24"/>
              </w:rPr>
            </w:pPr>
            <w:r w:rsidRPr="00F100D6">
              <w:rPr>
                <w:rFonts w:eastAsia="Times New Roman" w:cs="Times New Roman"/>
                <w:sz w:val="24"/>
                <w:szCs w:val="24"/>
              </w:rPr>
              <w:t>2</w:t>
            </w:r>
          </w:p>
        </w:tc>
        <w:tc>
          <w:tcPr>
            <w:tcW w:w="488" w:type="dxa"/>
            <w:tcBorders>
              <w:top w:val="single" w:sz="4" w:space="0" w:color="auto"/>
              <w:left w:val="single" w:sz="4" w:space="0" w:color="auto"/>
              <w:bottom w:val="nil"/>
              <w:right w:val="single" w:sz="4" w:space="0" w:color="auto"/>
            </w:tcBorders>
            <w:vAlign w:val="center"/>
          </w:tcPr>
          <w:p w14:paraId="63DF5C41" w14:textId="77777777" w:rsidR="007A6ACD" w:rsidRPr="00F100D6" w:rsidRDefault="007A6ACD" w:rsidP="00852056">
            <w:pPr>
              <w:jc w:val="center"/>
              <w:rPr>
                <w:rFonts w:eastAsia="Times New Roman" w:cs="Times New Roman"/>
                <w:sz w:val="24"/>
                <w:szCs w:val="24"/>
              </w:rPr>
            </w:pPr>
            <w:r w:rsidRPr="00F100D6">
              <w:rPr>
                <w:rFonts w:eastAsia="Times New Roman" w:cs="Times New Roman"/>
                <w:sz w:val="24"/>
                <w:szCs w:val="24"/>
              </w:rPr>
              <w:t>3</w:t>
            </w:r>
          </w:p>
        </w:tc>
      </w:tr>
      <w:tr w:rsidR="007A6ACD" w:rsidRPr="00F100D6" w14:paraId="2D95E1F3" w14:textId="77777777" w:rsidTr="007A6ACD">
        <w:trPr>
          <w:trHeight w:val="460"/>
        </w:trPr>
        <w:tc>
          <w:tcPr>
            <w:tcW w:w="6775" w:type="dxa"/>
            <w:tcBorders>
              <w:top w:val="single" w:sz="4" w:space="0" w:color="auto"/>
              <w:left w:val="single" w:sz="4" w:space="0" w:color="auto"/>
              <w:bottom w:val="single" w:sz="4" w:space="0" w:color="auto"/>
              <w:right w:val="nil"/>
            </w:tcBorders>
          </w:tcPr>
          <w:p w14:paraId="46387A93" w14:textId="77777777" w:rsidR="007A6ACD" w:rsidRPr="00F100D6" w:rsidRDefault="007A6ACD" w:rsidP="00F100D6">
            <w:pPr>
              <w:jc w:val="both"/>
              <w:rPr>
                <w:rFonts w:eastAsia="Times New Roman" w:cs="Times New Roman"/>
                <w:sz w:val="24"/>
                <w:szCs w:val="24"/>
              </w:rPr>
            </w:pPr>
            <w:r w:rsidRPr="00F100D6">
              <w:rPr>
                <w:rFonts w:eastAsia="Times New Roman" w:cs="Times New Roman"/>
                <w:sz w:val="24"/>
                <w:szCs w:val="24"/>
              </w:rPr>
              <w:t>В машине, если она на несколько минут остановилась</w:t>
            </w:r>
          </w:p>
        </w:tc>
        <w:tc>
          <w:tcPr>
            <w:tcW w:w="446" w:type="dxa"/>
            <w:tcBorders>
              <w:top w:val="single" w:sz="4" w:space="0" w:color="auto"/>
              <w:left w:val="single" w:sz="4" w:space="0" w:color="auto"/>
              <w:bottom w:val="single" w:sz="4" w:space="0" w:color="auto"/>
              <w:right w:val="single" w:sz="4" w:space="0" w:color="auto"/>
            </w:tcBorders>
          </w:tcPr>
          <w:p w14:paraId="7FC3302A" w14:textId="77777777" w:rsidR="007A6ACD" w:rsidRPr="00F100D6" w:rsidRDefault="007A6ACD" w:rsidP="00852056">
            <w:pPr>
              <w:jc w:val="center"/>
              <w:rPr>
                <w:rFonts w:eastAsia="Times New Roman" w:cs="Times New Roman"/>
                <w:sz w:val="24"/>
                <w:szCs w:val="24"/>
              </w:rPr>
            </w:pPr>
            <w:r w:rsidRPr="00F100D6">
              <w:rPr>
                <w:rFonts w:eastAsia="Times New Roman" w:cs="Times New Roman"/>
                <w:sz w:val="24"/>
                <w:szCs w:val="24"/>
              </w:rPr>
              <w:t>0</w:t>
            </w:r>
          </w:p>
        </w:tc>
        <w:tc>
          <w:tcPr>
            <w:tcW w:w="700" w:type="dxa"/>
            <w:tcBorders>
              <w:top w:val="single" w:sz="4" w:space="0" w:color="auto"/>
              <w:left w:val="single" w:sz="4" w:space="0" w:color="auto"/>
              <w:bottom w:val="single" w:sz="4" w:space="0" w:color="auto"/>
              <w:right w:val="single" w:sz="4" w:space="0" w:color="auto"/>
            </w:tcBorders>
          </w:tcPr>
          <w:p w14:paraId="7E1BC87F" w14:textId="77777777" w:rsidR="007A6ACD" w:rsidRPr="00F100D6" w:rsidRDefault="007A6ACD" w:rsidP="00852056">
            <w:pPr>
              <w:jc w:val="center"/>
              <w:rPr>
                <w:rFonts w:eastAsia="Times New Roman" w:cs="Times New Roman"/>
                <w:sz w:val="24"/>
                <w:szCs w:val="24"/>
              </w:rPr>
            </w:pPr>
            <w:r w:rsidRPr="00F100D6">
              <w:rPr>
                <w:rFonts w:eastAsia="Times New Roman" w:cs="Times New Roman"/>
                <w:sz w:val="24"/>
                <w:szCs w:val="24"/>
              </w:rPr>
              <w:t>1</w:t>
            </w:r>
          </w:p>
        </w:tc>
        <w:tc>
          <w:tcPr>
            <w:tcW w:w="720" w:type="dxa"/>
            <w:tcBorders>
              <w:top w:val="single" w:sz="4" w:space="0" w:color="auto"/>
              <w:left w:val="single" w:sz="4" w:space="0" w:color="auto"/>
              <w:bottom w:val="single" w:sz="4" w:space="0" w:color="auto"/>
              <w:right w:val="single" w:sz="4" w:space="0" w:color="auto"/>
            </w:tcBorders>
          </w:tcPr>
          <w:p w14:paraId="0AE7991D" w14:textId="77777777" w:rsidR="007A6ACD" w:rsidRPr="00F100D6" w:rsidRDefault="007A6ACD" w:rsidP="00852056">
            <w:pPr>
              <w:jc w:val="center"/>
              <w:rPr>
                <w:rFonts w:eastAsia="Times New Roman" w:cs="Times New Roman"/>
                <w:sz w:val="24"/>
                <w:szCs w:val="24"/>
              </w:rPr>
            </w:pPr>
            <w:r w:rsidRPr="00F100D6">
              <w:rPr>
                <w:rFonts w:eastAsia="Times New Roman" w:cs="Times New Roman"/>
                <w:sz w:val="24"/>
                <w:szCs w:val="24"/>
              </w:rPr>
              <w:t>2</w:t>
            </w:r>
          </w:p>
        </w:tc>
        <w:tc>
          <w:tcPr>
            <w:tcW w:w="488" w:type="dxa"/>
            <w:tcBorders>
              <w:top w:val="single" w:sz="4" w:space="0" w:color="auto"/>
              <w:left w:val="single" w:sz="4" w:space="0" w:color="auto"/>
              <w:bottom w:val="single" w:sz="4" w:space="0" w:color="auto"/>
              <w:right w:val="single" w:sz="4" w:space="0" w:color="auto"/>
            </w:tcBorders>
          </w:tcPr>
          <w:p w14:paraId="71E9B371" w14:textId="77777777" w:rsidR="007A6ACD" w:rsidRPr="00F100D6" w:rsidRDefault="007A6ACD" w:rsidP="00852056">
            <w:pPr>
              <w:jc w:val="center"/>
              <w:rPr>
                <w:rFonts w:eastAsia="Times New Roman" w:cs="Times New Roman"/>
                <w:sz w:val="24"/>
                <w:szCs w:val="24"/>
              </w:rPr>
            </w:pPr>
            <w:r w:rsidRPr="00F100D6">
              <w:rPr>
                <w:rFonts w:eastAsia="Times New Roman" w:cs="Times New Roman"/>
                <w:sz w:val="24"/>
                <w:szCs w:val="24"/>
              </w:rPr>
              <w:t>3</w:t>
            </w:r>
          </w:p>
        </w:tc>
      </w:tr>
    </w:tbl>
    <w:p w14:paraId="6A09F055" w14:textId="77777777" w:rsidR="00F100D6" w:rsidRPr="00F100D6" w:rsidRDefault="00F100D6" w:rsidP="00F100D6">
      <w:pPr>
        <w:spacing w:line="360" w:lineRule="auto"/>
        <w:jc w:val="both"/>
        <w:rPr>
          <w:rFonts w:eastAsia="Times New Roman" w:cs="Times New Roman"/>
          <w:sz w:val="24"/>
          <w:szCs w:val="24"/>
        </w:rPr>
      </w:pPr>
    </w:p>
    <w:p w14:paraId="1A55CA8B" w14:textId="77777777" w:rsidR="007A6ACD" w:rsidRPr="007A6ACD" w:rsidRDefault="007A6ACD" w:rsidP="007A6ACD">
      <w:pPr>
        <w:pStyle w:val="a7"/>
        <w:spacing w:line="360" w:lineRule="auto"/>
        <w:jc w:val="both"/>
        <w:rPr>
          <w:rFonts w:eastAsia="Times New Roman" w:cs="Times New Roman"/>
          <w:b/>
          <w:bCs/>
          <w:sz w:val="24"/>
          <w:szCs w:val="24"/>
        </w:rPr>
      </w:pPr>
      <w:r w:rsidRPr="007A6ACD">
        <w:rPr>
          <w:rFonts w:eastAsia="Times New Roman" w:cs="Times New Roman"/>
          <w:b/>
          <w:bCs/>
          <w:sz w:val="24"/>
          <w:szCs w:val="24"/>
        </w:rPr>
        <w:t xml:space="preserve">Ключ (интерпретация): </w:t>
      </w:r>
    </w:p>
    <w:p w14:paraId="6847EBEB" w14:textId="77777777" w:rsidR="007A6ACD" w:rsidRDefault="007A6ACD" w:rsidP="007A6ACD">
      <w:pPr>
        <w:pStyle w:val="a7"/>
        <w:spacing w:line="360" w:lineRule="auto"/>
        <w:jc w:val="both"/>
        <w:rPr>
          <w:rFonts w:eastAsia="Times New Roman" w:cs="Times New Roman"/>
          <w:sz w:val="24"/>
          <w:szCs w:val="24"/>
        </w:rPr>
      </w:pPr>
      <w:r w:rsidRPr="007A6ACD">
        <w:rPr>
          <w:rFonts w:eastAsia="Times New Roman" w:cs="Times New Roman"/>
          <w:sz w:val="24"/>
          <w:szCs w:val="24"/>
        </w:rPr>
        <w:t xml:space="preserve">1 — 6 баллов: Нормальный сон </w:t>
      </w:r>
    </w:p>
    <w:p w14:paraId="2A3283C5" w14:textId="77777777" w:rsidR="007A6ACD" w:rsidRDefault="007A6ACD" w:rsidP="007A6ACD">
      <w:pPr>
        <w:pStyle w:val="a7"/>
        <w:spacing w:line="360" w:lineRule="auto"/>
        <w:jc w:val="both"/>
        <w:rPr>
          <w:rFonts w:eastAsia="Times New Roman" w:cs="Times New Roman"/>
          <w:sz w:val="24"/>
          <w:szCs w:val="24"/>
        </w:rPr>
      </w:pPr>
      <w:r w:rsidRPr="007A6ACD">
        <w:rPr>
          <w:rFonts w:eastAsia="Times New Roman" w:cs="Times New Roman"/>
          <w:sz w:val="24"/>
          <w:szCs w:val="24"/>
        </w:rPr>
        <w:t xml:space="preserve">7 — 8 баллов: Умеренная сонливость </w:t>
      </w:r>
    </w:p>
    <w:p w14:paraId="6EF5D788" w14:textId="77777777" w:rsidR="007A6ACD" w:rsidRDefault="007A6ACD" w:rsidP="007A6ACD">
      <w:pPr>
        <w:pStyle w:val="a7"/>
        <w:spacing w:line="360" w:lineRule="auto"/>
        <w:jc w:val="both"/>
        <w:rPr>
          <w:rFonts w:eastAsia="Times New Roman" w:cs="Times New Roman"/>
          <w:sz w:val="24"/>
          <w:szCs w:val="24"/>
        </w:rPr>
      </w:pPr>
      <w:r w:rsidRPr="007A6ACD">
        <w:rPr>
          <w:rFonts w:eastAsia="Times New Roman" w:cs="Times New Roman"/>
          <w:sz w:val="24"/>
          <w:szCs w:val="24"/>
        </w:rPr>
        <w:t xml:space="preserve">9 — 24 баллов: Аномальная (возможно, патологическая) сонливость </w:t>
      </w:r>
    </w:p>
    <w:p w14:paraId="685A7ABC" w14:textId="77777777" w:rsidR="007A6ACD" w:rsidRPr="007A6ACD" w:rsidRDefault="007A6ACD" w:rsidP="007A6ACD">
      <w:pPr>
        <w:pStyle w:val="a7"/>
        <w:spacing w:line="360" w:lineRule="auto"/>
        <w:jc w:val="both"/>
        <w:rPr>
          <w:rFonts w:eastAsia="Times New Roman" w:cs="Times New Roman"/>
          <w:b/>
          <w:bCs/>
          <w:sz w:val="24"/>
          <w:szCs w:val="24"/>
        </w:rPr>
      </w:pPr>
      <w:r w:rsidRPr="007A6ACD">
        <w:rPr>
          <w:rFonts w:eastAsia="Times New Roman" w:cs="Times New Roman"/>
          <w:b/>
          <w:bCs/>
          <w:sz w:val="24"/>
          <w:szCs w:val="24"/>
        </w:rPr>
        <w:t xml:space="preserve">Пояснения: </w:t>
      </w:r>
      <w:r w:rsidRPr="007A6ACD">
        <w:rPr>
          <w:rFonts w:eastAsia="Times New Roman" w:cs="Times New Roman"/>
          <w:sz w:val="24"/>
          <w:szCs w:val="24"/>
        </w:rPr>
        <w:t>нет</w:t>
      </w:r>
      <w:r w:rsidRPr="007A6ACD">
        <w:rPr>
          <w:rFonts w:eastAsia="Times New Roman" w:cs="Times New Roman"/>
          <w:b/>
          <w:bCs/>
          <w:sz w:val="24"/>
          <w:szCs w:val="24"/>
        </w:rPr>
        <w:t xml:space="preserve"> </w:t>
      </w:r>
    </w:p>
    <w:p w14:paraId="722361B9" w14:textId="77777777" w:rsidR="007A6ACD" w:rsidRPr="007A6ACD" w:rsidRDefault="007A6ACD" w:rsidP="007A6ACD">
      <w:pPr>
        <w:pStyle w:val="a7"/>
        <w:spacing w:line="360" w:lineRule="auto"/>
        <w:jc w:val="both"/>
        <w:rPr>
          <w:rFonts w:eastAsia="Times New Roman" w:cs="Times New Roman"/>
          <w:b/>
          <w:bCs/>
          <w:sz w:val="24"/>
          <w:szCs w:val="24"/>
        </w:rPr>
      </w:pPr>
      <w:r w:rsidRPr="007A6ACD">
        <w:rPr>
          <w:rFonts w:eastAsia="Times New Roman" w:cs="Times New Roman"/>
          <w:b/>
          <w:bCs/>
          <w:sz w:val="24"/>
          <w:szCs w:val="24"/>
        </w:rPr>
        <w:t xml:space="preserve">Опросник «Возраст не помеха» </w:t>
      </w:r>
    </w:p>
    <w:p w14:paraId="5268F7D5" w14:textId="77777777" w:rsidR="007A6ACD" w:rsidRDefault="007A6ACD" w:rsidP="007A6ACD">
      <w:pPr>
        <w:pStyle w:val="a7"/>
        <w:spacing w:line="360" w:lineRule="auto"/>
        <w:jc w:val="both"/>
        <w:rPr>
          <w:rFonts w:eastAsia="Times New Roman" w:cs="Times New Roman"/>
          <w:b/>
          <w:bCs/>
          <w:sz w:val="24"/>
          <w:szCs w:val="24"/>
        </w:rPr>
      </w:pPr>
      <w:r w:rsidRPr="007A6ACD">
        <w:rPr>
          <w:rFonts w:eastAsia="Times New Roman" w:cs="Times New Roman"/>
          <w:b/>
          <w:bCs/>
          <w:sz w:val="24"/>
          <w:szCs w:val="24"/>
        </w:rPr>
        <w:t xml:space="preserve">Название на русском языке: </w:t>
      </w:r>
      <w:r w:rsidRPr="007A6ACD">
        <w:rPr>
          <w:rFonts w:eastAsia="Times New Roman" w:cs="Times New Roman"/>
          <w:sz w:val="24"/>
          <w:szCs w:val="24"/>
        </w:rPr>
        <w:t>Возраст не помеха</w:t>
      </w:r>
      <w:r w:rsidRPr="007A6ACD">
        <w:rPr>
          <w:rFonts w:eastAsia="Times New Roman" w:cs="Times New Roman"/>
          <w:b/>
          <w:bCs/>
          <w:sz w:val="24"/>
          <w:szCs w:val="24"/>
        </w:rPr>
        <w:t xml:space="preserve"> </w:t>
      </w:r>
    </w:p>
    <w:p w14:paraId="1FF88983" w14:textId="77777777" w:rsidR="007A6ACD" w:rsidRDefault="007A6ACD" w:rsidP="007A6ACD">
      <w:pPr>
        <w:pStyle w:val="a7"/>
        <w:spacing w:line="360" w:lineRule="auto"/>
        <w:jc w:val="both"/>
        <w:rPr>
          <w:rFonts w:eastAsia="Times New Roman" w:cs="Times New Roman"/>
          <w:sz w:val="24"/>
          <w:szCs w:val="24"/>
        </w:rPr>
      </w:pPr>
      <w:r w:rsidRPr="007A6ACD">
        <w:rPr>
          <w:rFonts w:eastAsia="Times New Roman" w:cs="Times New Roman"/>
          <w:b/>
          <w:bCs/>
          <w:sz w:val="24"/>
          <w:szCs w:val="24"/>
        </w:rPr>
        <w:t>Оригинальное название (если есть):</w:t>
      </w:r>
      <w:r w:rsidRPr="007A6ACD">
        <w:rPr>
          <w:rFonts w:eastAsia="Times New Roman" w:cs="Times New Roman"/>
          <w:sz w:val="24"/>
          <w:szCs w:val="24"/>
        </w:rPr>
        <w:t xml:space="preserve"> </w:t>
      </w:r>
    </w:p>
    <w:p w14:paraId="1CC025FB" w14:textId="77777777" w:rsidR="007A6ACD" w:rsidRPr="007A6ACD" w:rsidRDefault="007A6ACD" w:rsidP="007A6ACD">
      <w:pPr>
        <w:pStyle w:val="a7"/>
        <w:spacing w:line="360" w:lineRule="auto"/>
        <w:jc w:val="both"/>
        <w:rPr>
          <w:rFonts w:eastAsia="Times New Roman" w:cs="Times New Roman"/>
          <w:b/>
          <w:bCs/>
          <w:sz w:val="24"/>
          <w:szCs w:val="24"/>
        </w:rPr>
      </w:pPr>
      <w:r w:rsidRPr="007A6ACD">
        <w:rPr>
          <w:rFonts w:eastAsia="Times New Roman" w:cs="Times New Roman"/>
          <w:b/>
          <w:bCs/>
          <w:sz w:val="24"/>
          <w:szCs w:val="24"/>
        </w:rPr>
        <w:t xml:space="preserve">Источник (официальный сайт разработчиков, публикация с валидацией): </w:t>
      </w:r>
    </w:p>
    <w:p w14:paraId="127DDB4A" w14:textId="77777777" w:rsidR="007A6ACD" w:rsidRPr="007A6ACD" w:rsidRDefault="007A6ACD" w:rsidP="007A6ACD">
      <w:pPr>
        <w:pStyle w:val="a7"/>
        <w:spacing w:line="360" w:lineRule="auto"/>
        <w:jc w:val="both"/>
        <w:rPr>
          <w:rFonts w:eastAsia="Times New Roman" w:cs="Times New Roman"/>
          <w:sz w:val="24"/>
          <w:szCs w:val="24"/>
        </w:rPr>
      </w:pPr>
      <w:r w:rsidRPr="007A6ACD">
        <w:rPr>
          <w:rFonts w:eastAsia="Times New Roman" w:cs="Times New Roman"/>
          <w:sz w:val="24"/>
          <w:szCs w:val="24"/>
        </w:rPr>
        <w:lastRenderedPageBreak/>
        <w:t xml:space="preserve">ФГАОУ ВО РНИМУ им. Н.И. Пирогова Минздрава России – ОСП Российский геронтологический научно-клинический центр, </w:t>
      </w:r>
      <w:r w:rsidRPr="007A6ACD">
        <w:rPr>
          <w:rFonts w:eastAsia="Times New Roman" w:cs="Times New Roman"/>
          <w:sz w:val="24"/>
          <w:szCs w:val="24"/>
          <w:u w:val="single"/>
        </w:rPr>
        <w:t>www.rgnkc.ru</w:t>
      </w:r>
      <w:r w:rsidRPr="007A6ACD">
        <w:rPr>
          <w:rFonts w:eastAsia="Times New Roman" w:cs="Times New Roman"/>
          <w:sz w:val="24"/>
          <w:szCs w:val="24"/>
        </w:rPr>
        <w:t xml:space="preserve"> [8, 539] </w:t>
      </w:r>
    </w:p>
    <w:p w14:paraId="015255D7" w14:textId="77777777" w:rsidR="007A6ACD" w:rsidRPr="007A6ACD" w:rsidRDefault="007A6ACD" w:rsidP="007A6ACD">
      <w:pPr>
        <w:pStyle w:val="a7"/>
        <w:spacing w:line="360" w:lineRule="auto"/>
        <w:jc w:val="both"/>
        <w:rPr>
          <w:rFonts w:eastAsia="Times New Roman" w:cs="Times New Roman"/>
          <w:b/>
          <w:bCs/>
          <w:sz w:val="24"/>
          <w:szCs w:val="24"/>
        </w:rPr>
      </w:pPr>
      <w:r w:rsidRPr="007A6ACD">
        <w:rPr>
          <w:rFonts w:eastAsia="Times New Roman" w:cs="Times New Roman"/>
          <w:b/>
          <w:bCs/>
          <w:sz w:val="24"/>
          <w:szCs w:val="24"/>
        </w:rPr>
        <w:t xml:space="preserve">Тип (подчеркнуть): </w:t>
      </w:r>
    </w:p>
    <w:p w14:paraId="4EB3D62C" w14:textId="77777777" w:rsidR="007A6ACD" w:rsidRDefault="007A6ACD" w:rsidP="007A6ACD">
      <w:pPr>
        <w:pStyle w:val="a7"/>
        <w:spacing w:line="360" w:lineRule="auto"/>
        <w:jc w:val="both"/>
        <w:rPr>
          <w:rFonts w:eastAsia="Times New Roman" w:cs="Times New Roman"/>
          <w:sz w:val="24"/>
          <w:szCs w:val="24"/>
          <w:u w:val="single"/>
        </w:rPr>
      </w:pPr>
      <w:r w:rsidRPr="007A6ACD">
        <w:rPr>
          <w:rFonts w:eastAsia="Times New Roman" w:cs="Times New Roman"/>
          <w:sz w:val="24"/>
          <w:szCs w:val="24"/>
        </w:rPr>
        <w:t xml:space="preserve">— </w:t>
      </w:r>
      <w:r w:rsidRPr="007A6ACD">
        <w:rPr>
          <w:rFonts w:eastAsia="Times New Roman" w:cs="Times New Roman"/>
          <w:sz w:val="24"/>
          <w:szCs w:val="24"/>
          <w:u w:val="single"/>
        </w:rPr>
        <w:t>шкала оценки</w:t>
      </w:r>
    </w:p>
    <w:p w14:paraId="642C313F" w14:textId="77777777" w:rsidR="007A6ACD" w:rsidRDefault="007A6ACD" w:rsidP="007A6ACD">
      <w:pPr>
        <w:pStyle w:val="a7"/>
        <w:spacing w:line="360" w:lineRule="auto"/>
        <w:jc w:val="both"/>
        <w:rPr>
          <w:rFonts w:eastAsia="Times New Roman" w:cs="Times New Roman"/>
          <w:sz w:val="24"/>
          <w:szCs w:val="24"/>
        </w:rPr>
      </w:pPr>
      <w:r w:rsidRPr="007A6ACD">
        <w:rPr>
          <w:rFonts w:eastAsia="Times New Roman" w:cs="Times New Roman"/>
          <w:sz w:val="24"/>
          <w:szCs w:val="24"/>
        </w:rPr>
        <w:t xml:space="preserve"> — индекс</w:t>
      </w:r>
    </w:p>
    <w:p w14:paraId="0E6A2C56" w14:textId="77777777" w:rsidR="007A6ACD" w:rsidRDefault="007A6ACD" w:rsidP="007A6ACD">
      <w:pPr>
        <w:pStyle w:val="a7"/>
        <w:spacing w:line="360" w:lineRule="auto"/>
        <w:jc w:val="both"/>
        <w:rPr>
          <w:rFonts w:eastAsia="Times New Roman" w:cs="Times New Roman"/>
          <w:sz w:val="24"/>
          <w:szCs w:val="24"/>
        </w:rPr>
      </w:pPr>
      <w:r w:rsidRPr="007A6ACD">
        <w:rPr>
          <w:rFonts w:eastAsia="Times New Roman" w:cs="Times New Roman"/>
          <w:sz w:val="24"/>
          <w:szCs w:val="24"/>
        </w:rPr>
        <w:t xml:space="preserve"> — вопросник</w:t>
      </w:r>
    </w:p>
    <w:p w14:paraId="1A3388AE" w14:textId="77777777" w:rsidR="007A6ACD" w:rsidRPr="007A6ACD" w:rsidRDefault="007A6ACD" w:rsidP="007A6ACD">
      <w:pPr>
        <w:pStyle w:val="a7"/>
        <w:spacing w:line="360" w:lineRule="auto"/>
        <w:jc w:val="both"/>
        <w:rPr>
          <w:rFonts w:eastAsia="Times New Roman" w:cs="Times New Roman"/>
          <w:sz w:val="24"/>
          <w:szCs w:val="24"/>
        </w:rPr>
      </w:pPr>
      <w:r w:rsidRPr="007A6ACD">
        <w:rPr>
          <w:rFonts w:eastAsia="Times New Roman" w:cs="Times New Roman"/>
          <w:sz w:val="24"/>
          <w:szCs w:val="24"/>
        </w:rPr>
        <w:t xml:space="preserve"> — другое (уточнить): </w:t>
      </w:r>
    </w:p>
    <w:p w14:paraId="460F3FD8" w14:textId="77777777" w:rsidR="00F100D6" w:rsidRPr="00972D21" w:rsidRDefault="00F100D6" w:rsidP="00F100D6">
      <w:pPr>
        <w:pStyle w:val="a7"/>
        <w:spacing w:line="360" w:lineRule="auto"/>
        <w:jc w:val="both"/>
        <w:rPr>
          <w:rFonts w:eastAsia="Times New Roman" w:cs="Times New Roman"/>
          <w:sz w:val="24"/>
          <w:szCs w:val="24"/>
        </w:rPr>
      </w:pPr>
    </w:p>
    <w:p w14:paraId="0ED02764" w14:textId="22F5E56E" w:rsidR="003B0E24" w:rsidRDefault="007A6ACD" w:rsidP="007A6ACD">
      <w:pPr>
        <w:pStyle w:val="a7"/>
        <w:spacing w:line="360" w:lineRule="auto"/>
        <w:ind w:left="0"/>
        <w:jc w:val="both"/>
        <w:rPr>
          <w:rFonts w:eastAsia="Times New Roman" w:cs="Times New Roman"/>
          <w:b/>
          <w:bCs/>
          <w:sz w:val="24"/>
          <w:szCs w:val="24"/>
        </w:rPr>
      </w:pPr>
      <w:r w:rsidRPr="007A6ACD">
        <w:rPr>
          <w:rFonts w:eastAsia="Times New Roman" w:cs="Times New Roman"/>
          <w:b/>
          <w:bCs/>
          <w:sz w:val="24"/>
          <w:szCs w:val="24"/>
        </w:rPr>
        <w:t xml:space="preserve">Назначение: </w:t>
      </w:r>
      <w:r w:rsidRPr="007A6ACD">
        <w:rPr>
          <w:rFonts w:eastAsia="Times New Roman" w:cs="Times New Roman"/>
          <w:sz w:val="24"/>
          <w:szCs w:val="24"/>
        </w:rPr>
        <w:t>серия вопросов, которые используют для изучения воздействия сна на дневной образ жизни.</w:t>
      </w:r>
    </w:p>
    <w:p w14:paraId="6283E4B1" w14:textId="77777777" w:rsidR="007A6ACD" w:rsidRPr="007A6ACD" w:rsidRDefault="007A6ACD" w:rsidP="007A6ACD">
      <w:pPr>
        <w:pStyle w:val="a7"/>
        <w:spacing w:line="360" w:lineRule="auto"/>
        <w:ind w:left="0"/>
        <w:jc w:val="both"/>
        <w:rPr>
          <w:rFonts w:eastAsia="Times New Roman" w:cs="Times New Roman"/>
          <w:b/>
          <w:bCs/>
          <w:sz w:val="24"/>
          <w:szCs w:val="24"/>
        </w:rPr>
      </w:pPr>
      <w:r w:rsidRPr="007A6ACD">
        <w:rPr>
          <w:rFonts w:eastAsia="Times New Roman" w:cs="Times New Roman"/>
          <w:b/>
          <w:bCs/>
          <w:sz w:val="24"/>
          <w:szCs w:val="24"/>
        </w:rPr>
        <w:t xml:space="preserve">Содержание (шаблон): </w:t>
      </w:r>
    </w:p>
    <w:tbl>
      <w:tblPr>
        <w:tblW w:w="9351" w:type="dxa"/>
        <w:tblInd w:w="-5" w:type="dxa"/>
        <w:tblLayout w:type="fixed"/>
        <w:tblCellMar>
          <w:left w:w="0" w:type="dxa"/>
          <w:right w:w="0" w:type="dxa"/>
        </w:tblCellMar>
        <w:tblLook w:val="0000" w:firstRow="0" w:lastRow="0" w:firstColumn="0" w:lastColumn="0" w:noHBand="0" w:noVBand="0"/>
      </w:tblPr>
      <w:tblGrid>
        <w:gridCol w:w="1560"/>
        <w:gridCol w:w="5607"/>
        <w:gridCol w:w="2184"/>
      </w:tblGrid>
      <w:tr w:rsidR="007A6ACD" w:rsidRPr="007A6ACD" w14:paraId="16B4BF75" w14:textId="77777777" w:rsidTr="007A6ACD">
        <w:trPr>
          <w:trHeight w:val="298"/>
        </w:trPr>
        <w:tc>
          <w:tcPr>
            <w:tcW w:w="1560" w:type="dxa"/>
            <w:tcBorders>
              <w:top w:val="single" w:sz="4" w:space="0" w:color="auto"/>
              <w:left w:val="single" w:sz="4" w:space="0" w:color="auto"/>
              <w:bottom w:val="nil"/>
              <w:right w:val="nil"/>
            </w:tcBorders>
            <w:vAlign w:val="bottom"/>
          </w:tcPr>
          <w:p w14:paraId="78E9516F" w14:textId="77777777" w:rsidR="007A6ACD" w:rsidRPr="007A6ACD" w:rsidRDefault="007A6ACD" w:rsidP="007A6ACD">
            <w:pPr>
              <w:pStyle w:val="a7"/>
              <w:jc w:val="both"/>
              <w:rPr>
                <w:rFonts w:eastAsia="Times New Roman" w:cs="Times New Roman"/>
                <w:sz w:val="24"/>
                <w:szCs w:val="24"/>
              </w:rPr>
            </w:pPr>
            <w:r w:rsidRPr="007A6ACD">
              <w:rPr>
                <w:rFonts w:eastAsia="Times New Roman" w:cs="Times New Roman"/>
                <w:b/>
                <w:bCs/>
                <w:sz w:val="24"/>
                <w:szCs w:val="24"/>
              </w:rPr>
              <w:t>№</w:t>
            </w:r>
          </w:p>
        </w:tc>
        <w:tc>
          <w:tcPr>
            <w:tcW w:w="5607" w:type="dxa"/>
            <w:tcBorders>
              <w:top w:val="single" w:sz="4" w:space="0" w:color="auto"/>
              <w:left w:val="single" w:sz="4" w:space="0" w:color="auto"/>
              <w:bottom w:val="nil"/>
              <w:right w:val="nil"/>
            </w:tcBorders>
            <w:vAlign w:val="bottom"/>
          </w:tcPr>
          <w:p w14:paraId="29E6082F" w14:textId="77777777" w:rsidR="007A6ACD" w:rsidRPr="007A6ACD" w:rsidRDefault="007A6ACD" w:rsidP="007A6ACD">
            <w:pPr>
              <w:pStyle w:val="a7"/>
              <w:jc w:val="both"/>
              <w:rPr>
                <w:rFonts w:eastAsia="Times New Roman" w:cs="Times New Roman"/>
                <w:sz w:val="24"/>
                <w:szCs w:val="24"/>
              </w:rPr>
            </w:pPr>
            <w:r w:rsidRPr="007A6ACD">
              <w:rPr>
                <w:rFonts w:eastAsia="Times New Roman" w:cs="Times New Roman"/>
                <w:b/>
                <w:bCs/>
                <w:sz w:val="24"/>
                <w:szCs w:val="24"/>
              </w:rPr>
              <w:t>Вопрос</w:t>
            </w:r>
          </w:p>
        </w:tc>
        <w:tc>
          <w:tcPr>
            <w:tcW w:w="2184" w:type="dxa"/>
            <w:tcBorders>
              <w:top w:val="single" w:sz="4" w:space="0" w:color="auto"/>
              <w:left w:val="single" w:sz="4" w:space="0" w:color="auto"/>
              <w:bottom w:val="nil"/>
              <w:right w:val="single" w:sz="4" w:space="0" w:color="auto"/>
            </w:tcBorders>
            <w:vAlign w:val="bottom"/>
          </w:tcPr>
          <w:p w14:paraId="78D4CC76" w14:textId="77777777" w:rsidR="007A6ACD" w:rsidRPr="007A6ACD" w:rsidRDefault="007A6ACD" w:rsidP="007A6ACD">
            <w:pPr>
              <w:pStyle w:val="a7"/>
              <w:jc w:val="both"/>
              <w:rPr>
                <w:rFonts w:eastAsia="Times New Roman" w:cs="Times New Roman"/>
                <w:sz w:val="24"/>
                <w:szCs w:val="24"/>
              </w:rPr>
            </w:pPr>
            <w:r w:rsidRPr="007A6ACD">
              <w:rPr>
                <w:rFonts w:eastAsia="Times New Roman" w:cs="Times New Roman"/>
                <w:b/>
                <w:bCs/>
                <w:sz w:val="24"/>
                <w:szCs w:val="24"/>
              </w:rPr>
              <w:t>Ответ</w:t>
            </w:r>
          </w:p>
        </w:tc>
      </w:tr>
      <w:tr w:rsidR="007A6ACD" w:rsidRPr="007A6ACD" w14:paraId="7F7FF032" w14:textId="77777777" w:rsidTr="007A6ACD">
        <w:trPr>
          <w:trHeight w:val="562"/>
        </w:trPr>
        <w:tc>
          <w:tcPr>
            <w:tcW w:w="1560" w:type="dxa"/>
            <w:tcBorders>
              <w:top w:val="single" w:sz="4" w:space="0" w:color="auto"/>
              <w:left w:val="single" w:sz="4" w:space="0" w:color="auto"/>
              <w:bottom w:val="nil"/>
              <w:right w:val="nil"/>
            </w:tcBorders>
          </w:tcPr>
          <w:p w14:paraId="2F21B742" w14:textId="77777777" w:rsidR="007A6ACD" w:rsidRPr="007A6ACD" w:rsidRDefault="007A6ACD" w:rsidP="007A6ACD">
            <w:pPr>
              <w:pStyle w:val="a7"/>
              <w:jc w:val="both"/>
              <w:rPr>
                <w:rFonts w:eastAsia="Times New Roman" w:cs="Times New Roman"/>
                <w:sz w:val="24"/>
                <w:szCs w:val="24"/>
              </w:rPr>
            </w:pPr>
            <w:r w:rsidRPr="007A6ACD">
              <w:rPr>
                <w:rFonts w:eastAsia="Times New Roman" w:cs="Times New Roman"/>
                <w:b/>
                <w:bCs/>
                <w:sz w:val="24"/>
                <w:szCs w:val="24"/>
              </w:rPr>
              <w:t>1</w:t>
            </w:r>
          </w:p>
        </w:tc>
        <w:tc>
          <w:tcPr>
            <w:tcW w:w="5607" w:type="dxa"/>
            <w:tcBorders>
              <w:top w:val="single" w:sz="4" w:space="0" w:color="auto"/>
              <w:left w:val="single" w:sz="4" w:space="0" w:color="auto"/>
              <w:bottom w:val="nil"/>
              <w:right w:val="nil"/>
            </w:tcBorders>
            <w:vAlign w:val="bottom"/>
          </w:tcPr>
          <w:p w14:paraId="3B802AF4" w14:textId="77777777" w:rsidR="007A6ACD" w:rsidRPr="007A6ACD" w:rsidRDefault="007A6ACD" w:rsidP="007A6ACD">
            <w:pPr>
              <w:pStyle w:val="a7"/>
              <w:ind w:left="1"/>
              <w:jc w:val="both"/>
              <w:rPr>
                <w:rFonts w:eastAsia="Times New Roman" w:cs="Times New Roman"/>
                <w:sz w:val="24"/>
                <w:szCs w:val="24"/>
              </w:rPr>
            </w:pPr>
            <w:r w:rsidRPr="007A6ACD">
              <w:rPr>
                <w:rFonts w:eastAsia="Times New Roman" w:cs="Times New Roman"/>
                <w:sz w:val="24"/>
                <w:szCs w:val="24"/>
              </w:rPr>
              <w:t xml:space="preserve">Похудели ли Вы на 5 кг и более за последние 6 </w:t>
            </w:r>
            <w:proofErr w:type="gramStart"/>
            <w:r w:rsidRPr="007A6ACD">
              <w:rPr>
                <w:rFonts w:eastAsia="Times New Roman" w:cs="Times New Roman"/>
                <w:sz w:val="24"/>
                <w:szCs w:val="24"/>
              </w:rPr>
              <w:t>месяцев?*</w:t>
            </w:r>
            <w:proofErr w:type="gramEnd"/>
          </w:p>
        </w:tc>
        <w:tc>
          <w:tcPr>
            <w:tcW w:w="2184" w:type="dxa"/>
            <w:tcBorders>
              <w:top w:val="single" w:sz="4" w:space="0" w:color="auto"/>
              <w:left w:val="single" w:sz="4" w:space="0" w:color="auto"/>
              <w:bottom w:val="nil"/>
              <w:right w:val="single" w:sz="4" w:space="0" w:color="auto"/>
            </w:tcBorders>
          </w:tcPr>
          <w:p w14:paraId="3EFCB386" w14:textId="77777777" w:rsidR="007A6ACD" w:rsidRPr="007A6ACD" w:rsidRDefault="007A6ACD" w:rsidP="007A6ACD">
            <w:pPr>
              <w:pStyle w:val="a7"/>
              <w:jc w:val="both"/>
              <w:rPr>
                <w:rFonts w:eastAsia="Times New Roman" w:cs="Times New Roman"/>
                <w:sz w:val="24"/>
                <w:szCs w:val="24"/>
              </w:rPr>
            </w:pPr>
            <w:r w:rsidRPr="007A6ACD">
              <w:rPr>
                <w:rFonts w:eastAsia="Times New Roman" w:cs="Times New Roman"/>
                <w:sz w:val="24"/>
                <w:szCs w:val="24"/>
              </w:rPr>
              <w:t>да/нет</w:t>
            </w:r>
          </w:p>
        </w:tc>
      </w:tr>
      <w:tr w:rsidR="007A6ACD" w:rsidRPr="007A6ACD" w14:paraId="365EF1F9" w14:textId="77777777" w:rsidTr="007A6ACD">
        <w:trPr>
          <w:trHeight w:val="411"/>
        </w:trPr>
        <w:tc>
          <w:tcPr>
            <w:tcW w:w="1560" w:type="dxa"/>
            <w:tcBorders>
              <w:top w:val="single" w:sz="4" w:space="0" w:color="auto"/>
              <w:left w:val="single" w:sz="4" w:space="0" w:color="auto"/>
              <w:bottom w:val="nil"/>
              <w:right w:val="nil"/>
            </w:tcBorders>
          </w:tcPr>
          <w:p w14:paraId="6A2EAA2B" w14:textId="77777777" w:rsidR="007A6ACD" w:rsidRPr="007A6ACD" w:rsidRDefault="007A6ACD" w:rsidP="007A6ACD">
            <w:pPr>
              <w:pStyle w:val="a7"/>
              <w:jc w:val="both"/>
              <w:rPr>
                <w:rFonts w:eastAsia="Times New Roman" w:cs="Times New Roman"/>
                <w:sz w:val="24"/>
                <w:szCs w:val="24"/>
              </w:rPr>
            </w:pPr>
            <w:r w:rsidRPr="007A6ACD">
              <w:rPr>
                <w:rFonts w:eastAsia="Times New Roman" w:cs="Times New Roman"/>
                <w:b/>
                <w:bCs/>
                <w:sz w:val="24"/>
                <w:szCs w:val="24"/>
              </w:rPr>
              <w:t>2</w:t>
            </w:r>
          </w:p>
        </w:tc>
        <w:tc>
          <w:tcPr>
            <w:tcW w:w="5607" w:type="dxa"/>
            <w:tcBorders>
              <w:top w:val="single" w:sz="4" w:space="0" w:color="auto"/>
              <w:left w:val="single" w:sz="4" w:space="0" w:color="auto"/>
              <w:bottom w:val="nil"/>
              <w:right w:val="nil"/>
            </w:tcBorders>
            <w:vAlign w:val="bottom"/>
          </w:tcPr>
          <w:p w14:paraId="1B432524" w14:textId="77777777" w:rsidR="007A6ACD" w:rsidRPr="007A6ACD" w:rsidRDefault="007A6ACD" w:rsidP="007A6ACD">
            <w:pPr>
              <w:pStyle w:val="a7"/>
              <w:ind w:left="1"/>
              <w:jc w:val="both"/>
              <w:rPr>
                <w:rFonts w:eastAsia="Times New Roman" w:cs="Times New Roman"/>
                <w:sz w:val="24"/>
                <w:szCs w:val="24"/>
              </w:rPr>
            </w:pPr>
            <w:r w:rsidRPr="007A6ACD">
              <w:rPr>
                <w:rFonts w:eastAsia="Times New Roman" w:cs="Times New Roman"/>
                <w:sz w:val="24"/>
                <w:szCs w:val="24"/>
              </w:rPr>
              <w:t>Испытываете ли Вы какие-либо ограничения в повседневной жизни из-за снижения зрения или слуха?</w:t>
            </w:r>
          </w:p>
        </w:tc>
        <w:tc>
          <w:tcPr>
            <w:tcW w:w="2184" w:type="dxa"/>
            <w:tcBorders>
              <w:top w:val="single" w:sz="4" w:space="0" w:color="auto"/>
              <w:left w:val="single" w:sz="4" w:space="0" w:color="auto"/>
              <w:bottom w:val="nil"/>
              <w:right w:val="single" w:sz="4" w:space="0" w:color="auto"/>
            </w:tcBorders>
          </w:tcPr>
          <w:p w14:paraId="79F490AB" w14:textId="77777777" w:rsidR="007A6ACD" w:rsidRPr="007A6ACD" w:rsidRDefault="007A6ACD" w:rsidP="007A6ACD">
            <w:pPr>
              <w:pStyle w:val="a7"/>
              <w:jc w:val="both"/>
              <w:rPr>
                <w:rFonts w:eastAsia="Times New Roman" w:cs="Times New Roman"/>
                <w:sz w:val="24"/>
                <w:szCs w:val="24"/>
              </w:rPr>
            </w:pPr>
            <w:r w:rsidRPr="007A6ACD">
              <w:rPr>
                <w:rFonts w:eastAsia="Times New Roman" w:cs="Times New Roman"/>
                <w:sz w:val="24"/>
                <w:szCs w:val="24"/>
              </w:rPr>
              <w:t>да/нет</w:t>
            </w:r>
          </w:p>
        </w:tc>
      </w:tr>
      <w:tr w:rsidR="007A6ACD" w:rsidRPr="007A6ACD" w14:paraId="4786B9C8" w14:textId="77777777" w:rsidTr="007A6ACD">
        <w:trPr>
          <w:trHeight w:val="566"/>
        </w:trPr>
        <w:tc>
          <w:tcPr>
            <w:tcW w:w="1560" w:type="dxa"/>
            <w:tcBorders>
              <w:top w:val="single" w:sz="4" w:space="0" w:color="auto"/>
              <w:left w:val="single" w:sz="4" w:space="0" w:color="auto"/>
              <w:bottom w:val="nil"/>
              <w:right w:val="nil"/>
            </w:tcBorders>
          </w:tcPr>
          <w:p w14:paraId="7375AF0D" w14:textId="77777777" w:rsidR="007A6ACD" w:rsidRPr="007A6ACD" w:rsidRDefault="007A6ACD" w:rsidP="007A6ACD">
            <w:pPr>
              <w:pStyle w:val="a7"/>
              <w:jc w:val="both"/>
              <w:rPr>
                <w:rFonts w:eastAsia="Times New Roman" w:cs="Times New Roman"/>
                <w:sz w:val="24"/>
                <w:szCs w:val="24"/>
              </w:rPr>
            </w:pPr>
            <w:r w:rsidRPr="007A6ACD">
              <w:rPr>
                <w:rFonts w:eastAsia="Times New Roman" w:cs="Times New Roman"/>
                <w:b/>
                <w:bCs/>
                <w:sz w:val="24"/>
                <w:szCs w:val="24"/>
              </w:rPr>
              <w:t>3</w:t>
            </w:r>
          </w:p>
        </w:tc>
        <w:tc>
          <w:tcPr>
            <w:tcW w:w="5607" w:type="dxa"/>
            <w:tcBorders>
              <w:top w:val="single" w:sz="4" w:space="0" w:color="auto"/>
              <w:left w:val="single" w:sz="4" w:space="0" w:color="auto"/>
              <w:bottom w:val="nil"/>
              <w:right w:val="nil"/>
            </w:tcBorders>
            <w:vAlign w:val="bottom"/>
          </w:tcPr>
          <w:p w14:paraId="04C97E83" w14:textId="77777777" w:rsidR="007A6ACD" w:rsidRPr="007A6ACD" w:rsidRDefault="007A6ACD" w:rsidP="007A6ACD">
            <w:pPr>
              <w:pStyle w:val="a7"/>
              <w:ind w:left="1"/>
              <w:jc w:val="both"/>
              <w:rPr>
                <w:rFonts w:eastAsia="Times New Roman" w:cs="Times New Roman"/>
                <w:sz w:val="24"/>
                <w:szCs w:val="24"/>
              </w:rPr>
            </w:pPr>
            <w:r w:rsidRPr="007A6ACD">
              <w:rPr>
                <w:rFonts w:eastAsia="Times New Roman" w:cs="Times New Roman"/>
                <w:sz w:val="24"/>
                <w:szCs w:val="24"/>
              </w:rPr>
              <w:t>Были ли у Вас в течение последнего года травмы, связанные с падением, или падения без травм?</w:t>
            </w:r>
          </w:p>
        </w:tc>
        <w:tc>
          <w:tcPr>
            <w:tcW w:w="2184" w:type="dxa"/>
            <w:tcBorders>
              <w:top w:val="single" w:sz="4" w:space="0" w:color="auto"/>
              <w:left w:val="single" w:sz="4" w:space="0" w:color="auto"/>
              <w:bottom w:val="nil"/>
              <w:right w:val="single" w:sz="4" w:space="0" w:color="auto"/>
            </w:tcBorders>
          </w:tcPr>
          <w:p w14:paraId="41071393" w14:textId="77777777" w:rsidR="007A6ACD" w:rsidRPr="007A6ACD" w:rsidRDefault="007A6ACD" w:rsidP="007A6ACD">
            <w:pPr>
              <w:pStyle w:val="a7"/>
              <w:jc w:val="both"/>
              <w:rPr>
                <w:rFonts w:eastAsia="Times New Roman" w:cs="Times New Roman"/>
                <w:sz w:val="24"/>
                <w:szCs w:val="24"/>
              </w:rPr>
            </w:pPr>
            <w:r w:rsidRPr="007A6ACD">
              <w:rPr>
                <w:rFonts w:eastAsia="Times New Roman" w:cs="Times New Roman"/>
                <w:sz w:val="24"/>
                <w:szCs w:val="24"/>
              </w:rPr>
              <w:t>да/нет</w:t>
            </w:r>
          </w:p>
        </w:tc>
      </w:tr>
      <w:tr w:rsidR="007A6ACD" w:rsidRPr="007A6ACD" w14:paraId="376C5D2D" w14:textId="77777777" w:rsidTr="007A6ACD">
        <w:trPr>
          <w:trHeight w:val="399"/>
        </w:trPr>
        <w:tc>
          <w:tcPr>
            <w:tcW w:w="1560" w:type="dxa"/>
            <w:tcBorders>
              <w:top w:val="single" w:sz="4" w:space="0" w:color="auto"/>
              <w:left w:val="single" w:sz="4" w:space="0" w:color="auto"/>
              <w:bottom w:val="nil"/>
              <w:right w:val="nil"/>
            </w:tcBorders>
          </w:tcPr>
          <w:p w14:paraId="1691FD28" w14:textId="77777777" w:rsidR="007A6ACD" w:rsidRPr="007A6ACD" w:rsidRDefault="007A6ACD" w:rsidP="007A6ACD">
            <w:pPr>
              <w:pStyle w:val="a7"/>
              <w:jc w:val="both"/>
              <w:rPr>
                <w:rFonts w:eastAsia="Times New Roman" w:cs="Times New Roman"/>
                <w:sz w:val="24"/>
                <w:szCs w:val="24"/>
              </w:rPr>
            </w:pPr>
            <w:r w:rsidRPr="007A6ACD">
              <w:rPr>
                <w:rFonts w:eastAsia="Times New Roman" w:cs="Times New Roman"/>
                <w:b/>
                <w:bCs/>
                <w:sz w:val="24"/>
                <w:szCs w:val="24"/>
              </w:rPr>
              <w:t>4</w:t>
            </w:r>
          </w:p>
        </w:tc>
        <w:tc>
          <w:tcPr>
            <w:tcW w:w="5607" w:type="dxa"/>
            <w:tcBorders>
              <w:top w:val="single" w:sz="4" w:space="0" w:color="auto"/>
              <w:left w:val="single" w:sz="4" w:space="0" w:color="auto"/>
              <w:bottom w:val="nil"/>
              <w:right w:val="nil"/>
            </w:tcBorders>
            <w:vAlign w:val="bottom"/>
          </w:tcPr>
          <w:p w14:paraId="79A9B6A7" w14:textId="77777777" w:rsidR="007A6ACD" w:rsidRPr="007A6ACD" w:rsidRDefault="007A6ACD" w:rsidP="007A6ACD">
            <w:pPr>
              <w:pStyle w:val="a7"/>
              <w:ind w:left="1"/>
              <w:jc w:val="both"/>
              <w:rPr>
                <w:rFonts w:eastAsia="Times New Roman" w:cs="Times New Roman"/>
                <w:sz w:val="24"/>
                <w:szCs w:val="24"/>
              </w:rPr>
            </w:pPr>
            <w:r w:rsidRPr="007A6ACD">
              <w:rPr>
                <w:rFonts w:eastAsia="Times New Roman" w:cs="Times New Roman"/>
                <w:sz w:val="24"/>
                <w:szCs w:val="24"/>
              </w:rPr>
              <w:t>Чувствуете ли Вы себя подавленным, грустным или встревоженным на протяжении последних недель?</w:t>
            </w:r>
          </w:p>
        </w:tc>
        <w:tc>
          <w:tcPr>
            <w:tcW w:w="2184" w:type="dxa"/>
            <w:tcBorders>
              <w:top w:val="single" w:sz="4" w:space="0" w:color="auto"/>
              <w:left w:val="single" w:sz="4" w:space="0" w:color="auto"/>
              <w:bottom w:val="nil"/>
              <w:right w:val="single" w:sz="4" w:space="0" w:color="auto"/>
            </w:tcBorders>
          </w:tcPr>
          <w:p w14:paraId="7ED11DAC" w14:textId="77777777" w:rsidR="007A6ACD" w:rsidRPr="007A6ACD" w:rsidRDefault="007A6ACD" w:rsidP="007A6ACD">
            <w:pPr>
              <w:pStyle w:val="a7"/>
              <w:jc w:val="both"/>
              <w:rPr>
                <w:rFonts w:eastAsia="Times New Roman" w:cs="Times New Roman"/>
                <w:sz w:val="24"/>
                <w:szCs w:val="24"/>
              </w:rPr>
            </w:pPr>
            <w:r w:rsidRPr="007A6ACD">
              <w:rPr>
                <w:rFonts w:eastAsia="Times New Roman" w:cs="Times New Roman"/>
                <w:sz w:val="24"/>
                <w:szCs w:val="24"/>
              </w:rPr>
              <w:t>да/нет</w:t>
            </w:r>
          </w:p>
        </w:tc>
      </w:tr>
      <w:tr w:rsidR="007A6ACD" w:rsidRPr="007A6ACD" w14:paraId="6E34EC01" w14:textId="77777777" w:rsidTr="007A6ACD">
        <w:trPr>
          <w:trHeight w:val="557"/>
        </w:trPr>
        <w:tc>
          <w:tcPr>
            <w:tcW w:w="1560" w:type="dxa"/>
            <w:tcBorders>
              <w:top w:val="single" w:sz="4" w:space="0" w:color="auto"/>
              <w:left w:val="single" w:sz="4" w:space="0" w:color="auto"/>
              <w:bottom w:val="nil"/>
              <w:right w:val="nil"/>
            </w:tcBorders>
          </w:tcPr>
          <w:p w14:paraId="533F4D68" w14:textId="77777777" w:rsidR="007A6ACD" w:rsidRPr="007A6ACD" w:rsidRDefault="007A6ACD" w:rsidP="007A6ACD">
            <w:pPr>
              <w:pStyle w:val="a7"/>
              <w:jc w:val="both"/>
              <w:rPr>
                <w:rFonts w:eastAsia="Times New Roman" w:cs="Times New Roman"/>
                <w:sz w:val="24"/>
                <w:szCs w:val="24"/>
              </w:rPr>
            </w:pPr>
            <w:r w:rsidRPr="007A6ACD">
              <w:rPr>
                <w:rFonts w:eastAsia="Times New Roman" w:cs="Times New Roman"/>
                <w:b/>
                <w:bCs/>
                <w:sz w:val="24"/>
                <w:szCs w:val="24"/>
              </w:rPr>
              <w:t>5</w:t>
            </w:r>
          </w:p>
        </w:tc>
        <w:tc>
          <w:tcPr>
            <w:tcW w:w="5607" w:type="dxa"/>
            <w:tcBorders>
              <w:top w:val="single" w:sz="4" w:space="0" w:color="auto"/>
              <w:left w:val="single" w:sz="4" w:space="0" w:color="auto"/>
              <w:bottom w:val="nil"/>
              <w:right w:val="nil"/>
            </w:tcBorders>
            <w:vAlign w:val="bottom"/>
          </w:tcPr>
          <w:p w14:paraId="3E896240" w14:textId="77777777" w:rsidR="007A6ACD" w:rsidRPr="007A6ACD" w:rsidRDefault="007A6ACD" w:rsidP="007A6ACD">
            <w:pPr>
              <w:pStyle w:val="a7"/>
              <w:ind w:left="1"/>
              <w:jc w:val="both"/>
              <w:rPr>
                <w:rFonts w:eastAsia="Times New Roman" w:cs="Times New Roman"/>
                <w:sz w:val="24"/>
                <w:szCs w:val="24"/>
              </w:rPr>
            </w:pPr>
            <w:r w:rsidRPr="007A6ACD">
              <w:rPr>
                <w:rFonts w:eastAsia="Times New Roman" w:cs="Times New Roman"/>
                <w:sz w:val="24"/>
                <w:szCs w:val="24"/>
              </w:rPr>
              <w:t>Есть ли у Вас проблемы с памятью, пониманием, ориентацией или способностью планировать?</w:t>
            </w:r>
          </w:p>
        </w:tc>
        <w:tc>
          <w:tcPr>
            <w:tcW w:w="2184" w:type="dxa"/>
            <w:tcBorders>
              <w:top w:val="single" w:sz="4" w:space="0" w:color="auto"/>
              <w:left w:val="single" w:sz="4" w:space="0" w:color="auto"/>
              <w:bottom w:val="nil"/>
              <w:right w:val="single" w:sz="4" w:space="0" w:color="auto"/>
            </w:tcBorders>
          </w:tcPr>
          <w:p w14:paraId="378B186D" w14:textId="77777777" w:rsidR="007A6ACD" w:rsidRPr="007A6ACD" w:rsidRDefault="007A6ACD" w:rsidP="007A6ACD">
            <w:pPr>
              <w:pStyle w:val="a7"/>
              <w:jc w:val="both"/>
              <w:rPr>
                <w:rFonts w:eastAsia="Times New Roman" w:cs="Times New Roman"/>
                <w:sz w:val="24"/>
                <w:szCs w:val="24"/>
              </w:rPr>
            </w:pPr>
            <w:r w:rsidRPr="007A6ACD">
              <w:rPr>
                <w:rFonts w:eastAsia="Times New Roman" w:cs="Times New Roman"/>
                <w:sz w:val="24"/>
                <w:szCs w:val="24"/>
              </w:rPr>
              <w:t>да/нет</w:t>
            </w:r>
          </w:p>
        </w:tc>
      </w:tr>
      <w:tr w:rsidR="007A6ACD" w:rsidRPr="007A6ACD" w14:paraId="0B3FEC69" w14:textId="77777777" w:rsidTr="007A6ACD">
        <w:trPr>
          <w:trHeight w:val="331"/>
        </w:trPr>
        <w:tc>
          <w:tcPr>
            <w:tcW w:w="1560" w:type="dxa"/>
            <w:tcBorders>
              <w:top w:val="single" w:sz="4" w:space="0" w:color="auto"/>
              <w:left w:val="single" w:sz="4" w:space="0" w:color="auto"/>
              <w:bottom w:val="nil"/>
              <w:right w:val="nil"/>
            </w:tcBorders>
            <w:vAlign w:val="center"/>
          </w:tcPr>
          <w:p w14:paraId="7F4EDD78" w14:textId="77777777" w:rsidR="007A6ACD" w:rsidRPr="007A6ACD" w:rsidRDefault="007A6ACD" w:rsidP="007A6ACD">
            <w:pPr>
              <w:pStyle w:val="a7"/>
              <w:jc w:val="both"/>
              <w:rPr>
                <w:rFonts w:eastAsia="Times New Roman" w:cs="Times New Roman"/>
                <w:sz w:val="24"/>
                <w:szCs w:val="24"/>
              </w:rPr>
            </w:pPr>
            <w:r w:rsidRPr="007A6ACD">
              <w:rPr>
                <w:rFonts w:eastAsia="Times New Roman" w:cs="Times New Roman"/>
                <w:b/>
                <w:bCs/>
                <w:sz w:val="24"/>
                <w:szCs w:val="24"/>
              </w:rPr>
              <w:t>6</w:t>
            </w:r>
          </w:p>
        </w:tc>
        <w:tc>
          <w:tcPr>
            <w:tcW w:w="5607" w:type="dxa"/>
            <w:tcBorders>
              <w:top w:val="single" w:sz="4" w:space="0" w:color="auto"/>
              <w:left w:val="single" w:sz="4" w:space="0" w:color="auto"/>
              <w:bottom w:val="nil"/>
              <w:right w:val="nil"/>
            </w:tcBorders>
            <w:vAlign w:val="center"/>
          </w:tcPr>
          <w:p w14:paraId="0F932F38" w14:textId="77777777" w:rsidR="007A6ACD" w:rsidRPr="007A6ACD" w:rsidRDefault="007A6ACD" w:rsidP="007A6ACD">
            <w:pPr>
              <w:pStyle w:val="a7"/>
              <w:ind w:left="1"/>
              <w:jc w:val="both"/>
              <w:rPr>
                <w:rFonts w:eastAsia="Times New Roman" w:cs="Times New Roman"/>
                <w:sz w:val="24"/>
                <w:szCs w:val="24"/>
              </w:rPr>
            </w:pPr>
            <w:r w:rsidRPr="007A6ACD">
              <w:rPr>
                <w:rFonts w:eastAsia="Times New Roman" w:cs="Times New Roman"/>
                <w:sz w:val="24"/>
                <w:szCs w:val="24"/>
              </w:rPr>
              <w:t>Страдаете ли Вы недержанием мочи?</w:t>
            </w:r>
          </w:p>
        </w:tc>
        <w:tc>
          <w:tcPr>
            <w:tcW w:w="2184" w:type="dxa"/>
            <w:tcBorders>
              <w:top w:val="single" w:sz="4" w:space="0" w:color="auto"/>
              <w:left w:val="single" w:sz="4" w:space="0" w:color="auto"/>
              <w:bottom w:val="nil"/>
              <w:right w:val="single" w:sz="4" w:space="0" w:color="auto"/>
            </w:tcBorders>
            <w:vAlign w:val="center"/>
          </w:tcPr>
          <w:p w14:paraId="1C873D1B" w14:textId="77777777" w:rsidR="007A6ACD" w:rsidRPr="007A6ACD" w:rsidRDefault="007A6ACD" w:rsidP="007A6ACD">
            <w:pPr>
              <w:pStyle w:val="a7"/>
              <w:jc w:val="both"/>
              <w:rPr>
                <w:rFonts w:eastAsia="Times New Roman" w:cs="Times New Roman"/>
                <w:sz w:val="24"/>
                <w:szCs w:val="24"/>
              </w:rPr>
            </w:pPr>
            <w:r w:rsidRPr="007A6ACD">
              <w:rPr>
                <w:rFonts w:eastAsia="Times New Roman" w:cs="Times New Roman"/>
                <w:sz w:val="24"/>
                <w:szCs w:val="24"/>
              </w:rPr>
              <w:t>да/нет</w:t>
            </w:r>
          </w:p>
        </w:tc>
      </w:tr>
      <w:tr w:rsidR="007A6ACD" w:rsidRPr="007A6ACD" w14:paraId="78249696" w14:textId="77777777" w:rsidTr="007A6ACD">
        <w:trPr>
          <w:trHeight w:val="845"/>
        </w:trPr>
        <w:tc>
          <w:tcPr>
            <w:tcW w:w="1560" w:type="dxa"/>
            <w:tcBorders>
              <w:top w:val="single" w:sz="4" w:space="0" w:color="auto"/>
              <w:left w:val="single" w:sz="4" w:space="0" w:color="auto"/>
              <w:bottom w:val="single" w:sz="4" w:space="0" w:color="auto"/>
              <w:right w:val="nil"/>
            </w:tcBorders>
          </w:tcPr>
          <w:p w14:paraId="2E5D2314" w14:textId="77777777" w:rsidR="007A6ACD" w:rsidRPr="007A6ACD" w:rsidRDefault="007A6ACD" w:rsidP="007A6ACD">
            <w:pPr>
              <w:pStyle w:val="a7"/>
              <w:jc w:val="both"/>
              <w:rPr>
                <w:rFonts w:eastAsia="Times New Roman" w:cs="Times New Roman"/>
                <w:sz w:val="24"/>
                <w:szCs w:val="24"/>
              </w:rPr>
            </w:pPr>
            <w:r w:rsidRPr="007A6ACD">
              <w:rPr>
                <w:rFonts w:eastAsia="Times New Roman" w:cs="Times New Roman"/>
                <w:b/>
                <w:bCs/>
                <w:sz w:val="24"/>
                <w:szCs w:val="24"/>
              </w:rPr>
              <w:t>7</w:t>
            </w:r>
          </w:p>
        </w:tc>
        <w:tc>
          <w:tcPr>
            <w:tcW w:w="5607" w:type="dxa"/>
            <w:tcBorders>
              <w:top w:val="single" w:sz="4" w:space="0" w:color="auto"/>
              <w:left w:val="single" w:sz="4" w:space="0" w:color="auto"/>
              <w:bottom w:val="single" w:sz="4" w:space="0" w:color="auto"/>
              <w:right w:val="nil"/>
            </w:tcBorders>
            <w:vAlign w:val="bottom"/>
          </w:tcPr>
          <w:p w14:paraId="4617932D" w14:textId="77777777" w:rsidR="007A6ACD" w:rsidRPr="007A6ACD" w:rsidRDefault="007A6ACD" w:rsidP="007A6ACD">
            <w:pPr>
              <w:pStyle w:val="a7"/>
              <w:ind w:left="1"/>
              <w:jc w:val="both"/>
              <w:rPr>
                <w:rFonts w:eastAsia="Times New Roman" w:cs="Times New Roman"/>
                <w:sz w:val="24"/>
                <w:szCs w:val="24"/>
              </w:rPr>
            </w:pPr>
            <w:r w:rsidRPr="007A6ACD">
              <w:rPr>
                <w:rFonts w:eastAsia="Times New Roman" w:cs="Times New Roman"/>
                <w:sz w:val="24"/>
                <w:szCs w:val="24"/>
              </w:rPr>
              <w:t>Испытываете ли Вы трудности в перемещении по дому или на улице? (Ходьба до 100 метров или подъем на 1 лестничный пролет)</w:t>
            </w:r>
          </w:p>
        </w:tc>
        <w:tc>
          <w:tcPr>
            <w:tcW w:w="2184" w:type="dxa"/>
            <w:tcBorders>
              <w:top w:val="single" w:sz="4" w:space="0" w:color="auto"/>
              <w:left w:val="single" w:sz="4" w:space="0" w:color="auto"/>
              <w:bottom w:val="single" w:sz="4" w:space="0" w:color="auto"/>
              <w:right w:val="single" w:sz="4" w:space="0" w:color="auto"/>
            </w:tcBorders>
          </w:tcPr>
          <w:p w14:paraId="1176082E" w14:textId="77777777" w:rsidR="007A6ACD" w:rsidRPr="007A6ACD" w:rsidRDefault="007A6ACD" w:rsidP="007A6ACD">
            <w:pPr>
              <w:pStyle w:val="a7"/>
              <w:jc w:val="both"/>
              <w:rPr>
                <w:rFonts w:eastAsia="Times New Roman" w:cs="Times New Roman"/>
                <w:sz w:val="24"/>
                <w:szCs w:val="24"/>
              </w:rPr>
            </w:pPr>
            <w:r w:rsidRPr="007A6ACD">
              <w:rPr>
                <w:rFonts w:eastAsia="Times New Roman" w:cs="Times New Roman"/>
                <w:sz w:val="24"/>
                <w:szCs w:val="24"/>
              </w:rPr>
              <w:t>да/нет</w:t>
            </w:r>
          </w:p>
        </w:tc>
      </w:tr>
    </w:tbl>
    <w:p w14:paraId="19319911" w14:textId="77777777" w:rsidR="00FA2C6B" w:rsidRDefault="00FA2C6B" w:rsidP="00D20939">
      <w:pPr>
        <w:pStyle w:val="a7"/>
        <w:spacing w:line="360" w:lineRule="auto"/>
        <w:ind w:left="0"/>
        <w:jc w:val="both"/>
        <w:rPr>
          <w:rFonts w:eastAsia="Times New Roman" w:cs="Times New Roman"/>
          <w:b/>
          <w:bCs/>
          <w:sz w:val="24"/>
          <w:szCs w:val="24"/>
        </w:rPr>
      </w:pPr>
    </w:p>
    <w:p w14:paraId="2EB1FC71" w14:textId="40550870" w:rsidR="00D20939" w:rsidRPr="00D20939" w:rsidRDefault="00D20939" w:rsidP="00D20939">
      <w:pPr>
        <w:pStyle w:val="a7"/>
        <w:spacing w:line="360" w:lineRule="auto"/>
        <w:ind w:left="0"/>
        <w:jc w:val="both"/>
        <w:rPr>
          <w:rFonts w:eastAsia="Times New Roman" w:cs="Times New Roman"/>
          <w:b/>
          <w:bCs/>
          <w:sz w:val="24"/>
          <w:szCs w:val="24"/>
        </w:rPr>
      </w:pPr>
      <w:r w:rsidRPr="00D20939">
        <w:rPr>
          <w:rFonts w:eastAsia="Times New Roman" w:cs="Times New Roman"/>
          <w:b/>
          <w:bCs/>
          <w:sz w:val="24"/>
          <w:szCs w:val="24"/>
        </w:rPr>
        <w:t xml:space="preserve">Ключ (интерпретация): </w:t>
      </w:r>
    </w:p>
    <w:p w14:paraId="7D2E4FF1" w14:textId="77777777" w:rsidR="00D20939" w:rsidRPr="00D20939" w:rsidRDefault="00D20939" w:rsidP="00D20939">
      <w:pPr>
        <w:pStyle w:val="a7"/>
        <w:spacing w:line="360" w:lineRule="auto"/>
        <w:ind w:left="0"/>
        <w:jc w:val="both"/>
        <w:rPr>
          <w:rFonts w:eastAsia="Times New Roman" w:cs="Times New Roman"/>
          <w:sz w:val="24"/>
          <w:szCs w:val="24"/>
        </w:rPr>
      </w:pPr>
      <w:r w:rsidRPr="00D20939">
        <w:rPr>
          <w:rFonts w:eastAsia="Times New Roman" w:cs="Times New Roman"/>
          <w:sz w:val="24"/>
          <w:szCs w:val="24"/>
        </w:rPr>
        <w:t xml:space="preserve">За каждый положительный ответ начисляется 1 балл. Результат 2 балла и менее – нет старческой астении, 3-4 балла – вероятная преастения, 5-7 баллов – вероятная старческая астения, требуется прием (осмотр, консультация) врача-гериатра </w:t>
      </w:r>
    </w:p>
    <w:p w14:paraId="74BDC908" w14:textId="77777777" w:rsidR="00972D21" w:rsidRPr="003B0E24" w:rsidRDefault="00D20939" w:rsidP="007A6ACD">
      <w:pPr>
        <w:pStyle w:val="a7"/>
        <w:spacing w:line="360" w:lineRule="auto"/>
        <w:ind w:left="0"/>
        <w:jc w:val="both"/>
        <w:rPr>
          <w:rFonts w:eastAsia="Times New Roman" w:cs="Times New Roman"/>
          <w:b/>
          <w:bCs/>
          <w:sz w:val="24"/>
          <w:szCs w:val="24"/>
        </w:rPr>
      </w:pPr>
      <w:r w:rsidRPr="00D20939">
        <w:rPr>
          <w:rFonts w:eastAsia="Times New Roman" w:cs="Times New Roman"/>
          <w:b/>
          <w:bCs/>
          <w:sz w:val="24"/>
          <w:szCs w:val="24"/>
        </w:rPr>
        <w:t xml:space="preserve">Пояснения: * </w:t>
      </w:r>
      <w:r w:rsidRPr="00D20939">
        <w:rPr>
          <w:rFonts w:eastAsia="Times New Roman" w:cs="Times New Roman"/>
          <w:sz w:val="24"/>
          <w:szCs w:val="24"/>
        </w:rPr>
        <w:t>имеется в виду непреднамеренное снижение веса. Если пациент похудел намеренно — за счет соблюдения специальной диеты или регулярной физической активности, балл не засчитывается.</w:t>
      </w:r>
      <w:r w:rsidRPr="00D20939">
        <w:rPr>
          <w:rFonts w:eastAsia="Times New Roman" w:cs="Times New Roman"/>
          <w:b/>
          <w:bCs/>
          <w:sz w:val="24"/>
          <w:szCs w:val="24"/>
        </w:rPr>
        <w:t xml:space="preserve"> </w:t>
      </w:r>
    </w:p>
    <w:p w14:paraId="2FD63B1B" w14:textId="77777777" w:rsidR="000A47D0" w:rsidRPr="003B0E24" w:rsidRDefault="000A47D0" w:rsidP="003B0E24">
      <w:pPr>
        <w:spacing w:after="0" w:line="360" w:lineRule="auto"/>
        <w:jc w:val="center"/>
        <w:rPr>
          <w:rFonts w:eastAsia="Times New Roman" w:cs="Times New Roman"/>
          <w:b/>
          <w:bCs/>
          <w:sz w:val="24"/>
          <w:szCs w:val="24"/>
          <w:lang w:val="en-US"/>
        </w:rPr>
      </w:pPr>
      <w:r w:rsidRPr="000A47D0">
        <w:rPr>
          <w:rFonts w:eastAsia="Times New Roman" w:cs="Times New Roman"/>
          <w:b/>
          <w:bCs/>
          <w:sz w:val="24"/>
          <w:szCs w:val="24"/>
        </w:rPr>
        <w:t>Оригинальная</w:t>
      </w:r>
      <w:r w:rsidRPr="000A47D0">
        <w:rPr>
          <w:rFonts w:eastAsia="Times New Roman" w:cs="Times New Roman"/>
          <w:b/>
          <w:bCs/>
          <w:sz w:val="24"/>
          <w:szCs w:val="24"/>
          <w:lang w:val="en-US"/>
        </w:rPr>
        <w:t xml:space="preserve"> </w:t>
      </w:r>
      <w:r w:rsidRPr="000A47D0">
        <w:rPr>
          <w:rFonts w:eastAsia="Times New Roman" w:cs="Times New Roman"/>
          <w:b/>
          <w:bCs/>
          <w:sz w:val="24"/>
          <w:szCs w:val="24"/>
        </w:rPr>
        <w:t>шкала</w:t>
      </w:r>
      <w:r w:rsidRPr="000A47D0">
        <w:rPr>
          <w:rFonts w:eastAsia="Times New Roman" w:cs="Times New Roman"/>
          <w:b/>
          <w:bCs/>
          <w:sz w:val="24"/>
          <w:szCs w:val="24"/>
          <w:lang w:val="en-US"/>
        </w:rPr>
        <w:t xml:space="preserve"> </w:t>
      </w:r>
      <w:r w:rsidRPr="000A47D0">
        <w:rPr>
          <w:rFonts w:eastAsia="Times New Roman" w:cs="Times New Roman"/>
          <w:b/>
          <w:bCs/>
          <w:sz w:val="24"/>
          <w:szCs w:val="24"/>
        </w:rPr>
        <w:t>Борга</w:t>
      </w:r>
      <w:r w:rsidRPr="000A47D0">
        <w:rPr>
          <w:rFonts w:eastAsia="Times New Roman" w:cs="Times New Roman"/>
          <w:b/>
          <w:bCs/>
          <w:sz w:val="24"/>
          <w:szCs w:val="24"/>
          <w:lang w:val="en-US"/>
        </w:rPr>
        <w:t xml:space="preserve"> (Borg RPE, Rating of Perceived Exertion)</w:t>
      </w:r>
    </w:p>
    <w:p w14:paraId="48A656BF" w14:textId="77777777" w:rsidR="000A47D0" w:rsidRDefault="000A47D0" w:rsidP="000A47D0">
      <w:pPr>
        <w:spacing w:after="0" w:line="360" w:lineRule="auto"/>
        <w:rPr>
          <w:rFonts w:eastAsia="Times New Roman" w:cs="Times New Roman"/>
          <w:b/>
          <w:bCs/>
          <w:sz w:val="24"/>
          <w:szCs w:val="24"/>
        </w:rPr>
      </w:pPr>
      <w:r w:rsidRPr="000A47D0">
        <w:rPr>
          <w:rFonts w:eastAsia="Times New Roman" w:cs="Times New Roman"/>
          <w:b/>
          <w:bCs/>
          <w:sz w:val="24"/>
          <w:szCs w:val="24"/>
        </w:rPr>
        <w:t>Название на русском языке:</w:t>
      </w:r>
    </w:p>
    <w:p w14:paraId="305AB25B" w14:textId="2FFBDAD9" w:rsidR="000A47D0" w:rsidRPr="000A47D0" w:rsidRDefault="000A47D0" w:rsidP="00852056">
      <w:pPr>
        <w:spacing w:after="0" w:line="360" w:lineRule="auto"/>
        <w:jc w:val="both"/>
        <w:rPr>
          <w:rFonts w:eastAsia="Times New Roman" w:cs="Times New Roman"/>
          <w:sz w:val="24"/>
          <w:szCs w:val="24"/>
        </w:rPr>
      </w:pPr>
      <w:r w:rsidRPr="000A47D0">
        <w:rPr>
          <w:rFonts w:eastAsia="Times New Roman" w:cs="Times New Roman"/>
          <w:b/>
          <w:bCs/>
          <w:sz w:val="24"/>
          <w:szCs w:val="24"/>
        </w:rPr>
        <w:lastRenderedPageBreak/>
        <w:t>Оригинальная шкала Борга Оригинальное название (если есть):</w:t>
      </w:r>
      <w:r w:rsidRPr="000A47D0">
        <w:rPr>
          <w:rFonts w:eastAsia="Times New Roman" w:cs="Times New Roman"/>
          <w:sz w:val="24"/>
          <w:szCs w:val="24"/>
        </w:rPr>
        <w:t xml:space="preserve"> Borg Rating of Perceived Exertion Источник (официальный сайт разработчиков, публикация с</w:t>
      </w:r>
      <w:r w:rsidR="00485DB0">
        <w:rPr>
          <w:rFonts w:eastAsia="Times New Roman" w:cs="Times New Roman"/>
          <w:sz w:val="24"/>
          <w:szCs w:val="24"/>
        </w:rPr>
        <w:t xml:space="preserve"> </w:t>
      </w:r>
      <w:r w:rsidRPr="000A47D0">
        <w:rPr>
          <w:rFonts w:eastAsia="Times New Roman" w:cs="Times New Roman"/>
          <w:sz w:val="24"/>
          <w:szCs w:val="24"/>
        </w:rPr>
        <w:t xml:space="preserve">валидацией): Borg GA. </w:t>
      </w:r>
    </w:p>
    <w:p w14:paraId="22792627" w14:textId="77777777" w:rsidR="000A47D0" w:rsidRPr="000A47D0" w:rsidRDefault="000A47D0" w:rsidP="00852056">
      <w:pPr>
        <w:spacing w:after="0" w:line="360" w:lineRule="auto"/>
        <w:jc w:val="both"/>
        <w:rPr>
          <w:rFonts w:eastAsia="Times New Roman" w:cs="Times New Roman"/>
          <w:sz w:val="24"/>
          <w:szCs w:val="24"/>
          <w:lang w:val="en-US"/>
        </w:rPr>
      </w:pPr>
      <w:r w:rsidRPr="000A47D0">
        <w:rPr>
          <w:rFonts w:eastAsia="Times New Roman" w:cs="Times New Roman"/>
          <w:sz w:val="24"/>
          <w:szCs w:val="24"/>
          <w:lang w:val="en-US"/>
        </w:rPr>
        <w:t>Psychophysical bases of perceived exertion. Med Sci Sports Exerc. 1982</w:t>
      </w:r>
      <w:proofErr w:type="gramStart"/>
      <w:r w:rsidRPr="000A47D0">
        <w:rPr>
          <w:rFonts w:eastAsia="Times New Roman" w:cs="Times New Roman"/>
          <w:sz w:val="24"/>
          <w:szCs w:val="24"/>
          <w:lang w:val="en-US"/>
        </w:rPr>
        <w:t>;14:377</w:t>
      </w:r>
      <w:proofErr w:type="gramEnd"/>
      <w:r w:rsidRPr="000A47D0">
        <w:rPr>
          <w:rFonts w:eastAsia="Times New Roman" w:cs="Times New Roman"/>
          <w:sz w:val="24"/>
          <w:szCs w:val="24"/>
          <w:lang w:val="en-US"/>
        </w:rPr>
        <w:t xml:space="preserve">-381. Borg G. </w:t>
      </w:r>
    </w:p>
    <w:p w14:paraId="1CB95886" w14:textId="77777777" w:rsidR="000A47D0" w:rsidRPr="000A47D0" w:rsidRDefault="000A47D0" w:rsidP="00852056">
      <w:pPr>
        <w:spacing w:after="0" w:line="360" w:lineRule="auto"/>
        <w:jc w:val="both"/>
        <w:rPr>
          <w:rFonts w:eastAsia="Times New Roman" w:cs="Times New Roman"/>
          <w:sz w:val="24"/>
          <w:szCs w:val="24"/>
          <w:lang w:val="en-US"/>
        </w:rPr>
      </w:pPr>
      <w:r w:rsidRPr="000A47D0">
        <w:rPr>
          <w:rFonts w:eastAsia="Times New Roman" w:cs="Times New Roman"/>
          <w:sz w:val="24"/>
          <w:szCs w:val="24"/>
          <w:lang w:val="en-US"/>
        </w:rPr>
        <w:t xml:space="preserve">Psychophysical scaling with applications in physical work and the perception of exertion. Scand J Work Environ Health. 1990;16(Suppl 1):55–58. </w:t>
      </w:r>
    </w:p>
    <w:p w14:paraId="0D85C28E" w14:textId="77777777" w:rsidR="000A47D0" w:rsidRPr="000A47D0" w:rsidRDefault="000A47D0" w:rsidP="00852056">
      <w:pPr>
        <w:spacing w:after="0" w:line="360" w:lineRule="auto"/>
        <w:jc w:val="both"/>
        <w:rPr>
          <w:rFonts w:eastAsia="Times New Roman" w:cs="Times New Roman"/>
          <w:b/>
          <w:bCs/>
          <w:sz w:val="24"/>
          <w:szCs w:val="24"/>
          <w:lang w:val="en-US"/>
        </w:rPr>
      </w:pPr>
      <w:r w:rsidRPr="000A47D0">
        <w:rPr>
          <w:rFonts w:eastAsia="Times New Roman" w:cs="Times New Roman"/>
          <w:b/>
          <w:bCs/>
          <w:sz w:val="24"/>
          <w:szCs w:val="24"/>
        </w:rPr>
        <w:t>Тип</w:t>
      </w:r>
      <w:r w:rsidRPr="000A47D0">
        <w:rPr>
          <w:rFonts w:eastAsia="Times New Roman" w:cs="Times New Roman"/>
          <w:b/>
          <w:bCs/>
          <w:sz w:val="24"/>
          <w:szCs w:val="24"/>
          <w:lang w:val="en-US"/>
        </w:rPr>
        <w:t xml:space="preserve"> (</w:t>
      </w:r>
      <w:r w:rsidRPr="000A47D0">
        <w:rPr>
          <w:rFonts w:eastAsia="Times New Roman" w:cs="Times New Roman"/>
          <w:b/>
          <w:bCs/>
          <w:sz w:val="24"/>
          <w:szCs w:val="24"/>
        </w:rPr>
        <w:t>подчеркнуть</w:t>
      </w:r>
      <w:r w:rsidRPr="000A47D0">
        <w:rPr>
          <w:rFonts w:eastAsia="Times New Roman" w:cs="Times New Roman"/>
          <w:b/>
          <w:bCs/>
          <w:sz w:val="24"/>
          <w:szCs w:val="24"/>
          <w:lang w:val="en-US"/>
        </w:rPr>
        <w:t xml:space="preserve">): </w:t>
      </w:r>
    </w:p>
    <w:p w14:paraId="5F858C10" w14:textId="77777777" w:rsidR="000A47D0" w:rsidRPr="00616D44" w:rsidRDefault="000A47D0" w:rsidP="00852056">
      <w:pPr>
        <w:spacing w:after="0" w:line="360" w:lineRule="auto"/>
        <w:jc w:val="both"/>
        <w:rPr>
          <w:rFonts w:eastAsia="Times New Roman" w:cs="Times New Roman"/>
          <w:sz w:val="24"/>
          <w:szCs w:val="24"/>
          <w:lang w:val="en-US"/>
        </w:rPr>
      </w:pPr>
      <w:r w:rsidRPr="000A47D0">
        <w:rPr>
          <w:rFonts w:eastAsia="Times New Roman" w:cs="Times New Roman"/>
          <w:sz w:val="24"/>
          <w:szCs w:val="24"/>
          <w:u w:val="single"/>
          <w:lang w:val="en-US"/>
        </w:rPr>
        <w:t>-</w:t>
      </w:r>
      <w:r w:rsidRPr="000A47D0">
        <w:rPr>
          <w:rFonts w:eastAsia="Times New Roman" w:cs="Times New Roman"/>
          <w:sz w:val="24"/>
          <w:szCs w:val="24"/>
          <w:u w:val="single"/>
        </w:rPr>
        <w:t>шкала</w:t>
      </w:r>
      <w:r w:rsidRPr="000A47D0">
        <w:rPr>
          <w:rFonts w:eastAsia="Times New Roman" w:cs="Times New Roman"/>
          <w:sz w:val="24"/>
          <w:szCs w:val="24"/>
          <w:u w:val="single"/>
          <w:lang w:val="en-US"/>
        </w:rPr>
        <w:t xml:space="preserve"> </w:t>
      </w:r>
      <w:r w:rsidRPr="000A47D0">
        <w:rPr>
          <w:rFonts w:eastAsia="Times New Roman" w:cs="Times New Roman"/>
          <w:sz w:val="24"/>
          <w:szCs w:val="24"/>
          <w:u w:val="single"/>
        </w:rPr>
        <w:t>оценки</w:t>
      </w:r>
      <w:r w:rsidRPr="000A47D0">
        <w:rPr>
          <w:rFonts w:eastAsia="Times New Roman" w:cs="Times New Roman"/>
          <w:sz w:val="24"/>
          <w:szCs w:val="24"/>
          <w:lang w:val="en-US"/>
        </w:rPr>
        <w:t xml:space="preserve"> </w:t>
      </w:r>
    </w:p>
    <w:p w14:paraId="215B30C9" w14:textId="77777777" w:rsidR="000A47D0" w:rsidRPr="00616D44" w:rsidRDefault="000A47D0" w:rsidP="00852056">
      <w:pPr>
        <w:spacing w:after="0" w:line="360" w:lineRule="auto"/>
        <w:jc w:val="both"/>
        <w:rPr>
          <w:rFonts w:eastAsia="Times New Roman" w:cs="Times New Roman"/>
          <w:sz w:val="24"/>
          <w:szCs w:val="24"/>
          <w:lang w:val="en-US"/>
        </w:rPr>
      </w:pPr>
      <w:r w:rsidRPr="000A47D0">
        <w:rPr>
          <w:rFonts w:eastAsia="Times New Roman" w:cs="Times New Roman"/>
          <w:sz w:val="24"/>
          <w:szCs w:val="24"/>
          <w:lang w:val="en-US"/>
        </w:rPr>
        <w:t>-</w:t>
      </w:r>
      <w:r w:rsidRPr="000A47D0">
        <w:rPr>
          <w:rFonts w:eastAsia="Times New Roman" w:cs="Times New Roman"/>
          <w:sz w:val="24"/>
          <w:szCs w:val="24"/>
        </w:rPr>
        <w:t>индекс</w:t>
      </w:r>
      <w:r w:rsidRPr="000A47D0">
        <w:rPr>
          <w:rFonts w:eastAsia="Times New Roman" w:cs="Times New Roman"/>
          <w:sz w:val="24"/>
          <w:szCs w:val="24"/>
          <w:lang w:val="en-US"/>
        </w:rPr>
        <w:t xml:space="preserve"> </w:t>
      </w:r>
    </w:p>
    <w:p w14:paraId="426B42DF" w14:textId="77777777" w:rsidR="000A47D0" w:rsidRDefault="000A47D0" w:rsidP="00852056">
      <w:pPr>
        <w:spacing w:after="0" w:line="360" w:lineRule="auto"/>
        <w:jc w:val="both"/>
        <w:rPr>
          <w:rFonts w:eastAsia="Times New Roman" w:cs="Times New Roman"/>
          <w:sz w:val="24"/>
          <w:szCs w:val="24"/>
        </w:rPr>
      </w:pPr>
      <w:r w:rsidRPr="000A47D0">
        <w:rPr>
          <w:rFonts w:eastAsia="Times New Roman" w:cs="Times New Roman"/>
          <w:sz w:val="24"/>
          <w:szCs w:val="24"/>
        </w:rPr>
        <w:t xml:space="preserve">-вопросник </w:t>
      </w:r>
    </w:p>
    <w:p w14:paraId="27F1332A" w14:textId="77777777" w:rsidR="000A47D0" w:rsidRDefault="000A47D0" w:rsidP="00852056">
      <w:pPr>
        <w:spacing w:after="0" w:line="360" w:lineRule="auto"/>
        <w:jc w:val="both"/>
        <w:rPr>
          <w:rFonts w:eastAsia="Times New Roman" w:cs="Times New Roman"/>
          <w:sz w:val="24"/>
          <w:szCs w:val="24"/>
        </w:rPr>
      </w:pPr>
      <w:r w:rsidRPr="000A47D0">
        <w:rPr>
          <w:rFonts w:eastAsia="Times New Roman" w:cs="Times New Roman"/>
          <w:sz w:val="24"/>
          <w:szCs w:val="24"/>
        </w:rPr>
        <w:t xml:space="preserve">-другое (уточнить) </w:t>
      </w:r>
    </w:p>
    <w:p w14:paraId="6B44970A" w14:textId="77777777" w:rsidR="000A47D0" w:rsidRPr="000A47D0" w:rsidRDefault="000A47D0" w:rsidP="00852056">
      <w:pPr>
        <w:spacing w:after="0" w:line="360" w:lineRule="auto"/>
        <w:jc w:val="both"/>
        <w:rPr>
          <w:rFonts w:eastAsia="Times New Roman" w:cs="Times New Roman"/>
          <w:sz w:val="24"/>
          <w:szCs w:val="24"/>
        </w:rPr>
      </w:pPr>
      <w:r w:rsidRPr="000A47D0">
        <w:rPr>
          <w:rFonts w:eastAsia="Times New Roman" w:cs="Times New Roman"/>
          <w:b/>
          <w:bCs/>
          <w:sz w:val="24"/>
          <w:szCs w:val="24"/>
        </w:rPr>
        <w:t>Назначение:</w:t>
      </w:r>
      <w:r w:rsidRPr="000A47D0">
        <w:rPr>
          <w:rFonts w:eastAsia="Times New Roman" w:cs="Times New Roman"/>
          <w:sz w:val="24"/>
          <w:szCs w:val="24"/>
        </w:rPr>
        <w:t xml:space="preserve"> субъективная оценка переносимости физического напряжения/тренирующей нагрузки </w:t>
      </w:r>
    </w:p>
    <w:p w14:paraId="41635118" w14:textId="77777777" w:rsidR="000A47D0" w:rsidRPr="000A47D0" w:rsidRDefault="000A47D0" w:rsidP="000A47D0">
      <w:pPr>
        <w:spacing w:after="0" w:line="360" w:lineRule="auto"/>
        <w:rPr>
          <w:rFonts w:eastAsia="Times New Roman" w:cs="Times New Roman"/>
          <w:b/>
          <w:bCs/>
          <w:sz w:val="24"/>
          <w:szCs w:val="24"/>
        </w:rPr>
      </w:pPr>
      <w:r w:rsidRPr="000A47D0">
        <w:rPr>
          <w:rFonts w:eastAsia="Times New Roman" w:cs="Times New Roman"/>
          <w:b/>
          <w:bCs/>
          <w:sz w:val="24"/>
          <w:szCs w:val="24"/>
        </w:rPr>
        <w:t xml:space="preserve">Содержание (шаблон): </w:t>
      </w:r>
    </w:p>
    <w:tbl>
      <w:tblPr>
        <w:tblW w:w="0" w:type="auto"/>
        <w:jc w:val="center"/>
        <w:tblLayout w:type="fixed"/>
        <w:tblCellMar>
          <w:left w:w="0" w:type="dxa"/>
          <w:right w:w="0" w:type="dxa"/>
        </w:tblCellMar>
        <w:tblLook w:val="0000" w:firstRow="0" w:lastRow="0" w:firstColumn="0" w:lastColumn="0" w:noHBand="0" w:noVBand="0"/>
      </w:tblPr>
      <w:tblGrid>
        <w:gridCol w:w="3887"/>
        <w:gridCol w:w="4739"/>
      </w:tblGrid>
      <w:tr w:rsidR="00C46305" w:rsidRPr="00C46305" w14:paraId="63FCE14F" w14:textId="77777777" w:rsidTr="00754CAA">
        <w:trPr>
          <w:trHeight w:val="274"/>
          <w:jc w:val="center"/>
        </w:trPr>
        <w:tc>
          <w:tcPr>
            <w:tcW w:w="3887" w:type="dxa"/>
            <w:tcBorders>
              <w:top w:val="single" w:sz="4" w:space="0" w:color="auto"/>
              <w:left w:val="single" w:sz="4" w:space="0" w:color="auto"/>
              <w:bottom w:val="nil"/>
              <w:right w:val="nil"/>
            </w:tcBorders>
            <w:vAlign w:val="bottom"/>
          </w:tcPr>
          <w:p w14:paraId="1A2AE64E" w14:textId="77777777" w:rsidR="00C46305" w:rsidRPr="00C46305" w:rsidRDefault="00C46305" w:rsidP="00754CAA">
            <w:pPr>
              <w:spacing w:after="0"/>
              <w:jc w:val="center"/>
              <w:rPr>
                <w:rFonts w:eastAsia="Times New Roman" w:cs="Times New Roman"/>
                <w:b/>
                <w:bCs/>
                <w:sz w:val="24"/>
                <w:szCs w:val="24"/>
              </w:rPr>
            </w:pPr>
            <w:r w:rsidRPr="00C46305">
              <w:rPr>
                <w:rFonts w:eastAsia="Times New Roman" w:cs="Times New Roman"/>
                <w:b/>
                <w:bCs/>
                <w:sz w:val="24"/>
                <w:szCs w:val="24"/>
              </w:rPr>
              <w:t xml:space="preserve">Баллы по Шкале </w:t>
            </w:r>
            <w:r w:rsidRPr="00C46305">
              <w:rPr>
                <w:rFonts w:eastAsia="Times New Roman" w:cs="Times New Roman"/>
                <w:b/>
                <w:bCs/>
                <w:sz w:val="24"/>
                <w:szCs w:val="24"/>
                <w:lang w:val="en-US"/>
              </w:rPr>
              <w:t>Borg</w:t>
            </w:r>
            <w:r w:rsidRPr="00C46305">
              <w:rPr>
                <w:rFonts w:eastAsia="Times New Roman" w:cs="Times New Roman"/>
                <w:b/>
                <w:bCs/>
                <w:sz w:val="24"/>
                <w:szCs w:val="24"/>
              </w:rPr>
              <w:t xml:space="preserve"> </w:t>
            </w:r>
            <w:r w:rsidRPr="00C46305">
              <w:rPr>
                <w:rFonts w:eastAsia="Times New Roman" w:cs="Times New Roman"/>
                <w:b/>
                <w:bCs/>
                <w:sz w:val="24"/>
                <w:szCs w:val="24"/>
                <w:lang w:val="en-US"/>
              </w:rPr>
              <w:t>RPE</w:t>
            </w:r>
          </w:p>
        </w:tc>
        <w:tc>
          <w:tcPr>
            <w:tcW w:w="4739" w:type="dxa"/>
            <w:tcBorders>
              <w:top w:val="single" w:sz="4" w:space="0" w:color="auto"/>
              <w:left w:val="single" w:sz="4" w:space="0" w:color="auto"/>
              <w:bottom w:val="nil"/>
              <w:right w:val="single" w:sz="4" w:space="0" w:color="auto"/>
            </w:tcBorders>
            <w:vAlign w:val="bottom"/>
          </w:tcPr>
          <w:p w14:paraId="7AD1F6FA" w14:textId="77777777" w:rsidR="00C46305" w:rsidRPr="00C46305" w:rsidRDefault="00C46305" w:rsidP="00754CAA">
            <w:pPr>
              <w:spacing w:after="0"/>
              <w:jc w:val="center"/>
              <w:rPr>
                <w:rFonts w:eastAsia="Times New Roman" w:cs="Times New Roman"/>
                <w:b/>
                <w:bCs/>
                <w:sz w:val="24"/>
                <w:szCs w:val="24"/>
              </w:rPr>
            </w:pPr>
            <w:r w:rsidRPr="00C46305">
              <w:rPr>
                <w:rFonts w:eastAsia="Times New Roman" w:cs="Times New Roman"/>
                <w:b/>
                <w:bCs/>
                <w:sz w:val="24"/>
                <w:szCs w:val="24"/>
              </w:rPr>
              <w:t>Интенсивность нагрузки</w:t>
            </w:r>
          </w:p>
        </w:tc>
      </w:tr>
      <w:tr w:rsidR="00C46305" w:rsidRPr="00C46305" w14:paraId="37A5E003" w14:textId="77777777" w:rsidTr="00754CAA">
        <w:trPr>
          <w:trHeight w:val="283"/>
          <w:jc w:val="center"/>
        </w:trPr>
        <w:tc>
          <w:tcPr>
            <w:tcW w:w="3887" w:type="dxa"/>
            <w:tcBorders>
              <w:top w:val="single" w:sz="4" w:space="0" w:color="auto"/>
              <w:left w:val="single" w:sz="4" w:space="0" w:color="auto"/>
              <w:bottom w:val="nil"/>
              <w:right w:val="nil"/>
            </w:tcBorders>
            <w:vAlign w:val="bottom"/>
          </w:tcPr>
          <w:p w14:paraId="775C83B7" w14:textId="77777777" w:rsidR="00C46305" w:rsidRPr="00C46305" w:rsidRDefault="00C46305" w:rsidP="00754CAA">
            <w:pPr>
              <w:spacing w:after="0"/>
              <w:jc w:val="center"/>
              <w:rPr>
                <w:rFonts w:eastAsia="Times New Roman" w:cs="Times New Roman"/>
                <w:sz w:val="24"/>
                <w:szCs w:val="24"/>
              </w:rPr>
            </w:pPr>
            <w:r w:rsidRPr="00C46305">
              <w:rPr>
                <w:rFonts w:eastAsia="Times New Roman" w:cs="Times New Roman"/>
                <w:sz w:val="24"/>
                <w:szCs w:val="24"/>
              </w:rPr>
              <w:t>6</w:t>
            </w:r>
          </w:p>
        </w:tc>
        <w:tc>
          <w:tcPr>
            <w:tcW w:w="4739" w:type="dxa"/>
            <w:tcBorders>
              <w:top w:val="single" w:sz="4" w:space="0" w:color="auto"/>
              <w:left w:val="single" w:sz="4" w:space="0" w:color="auto"/>
              <w:bottom w:val="nil"/>
              <w:right w:val="single" w:sz="4" w:space="0" w:color="auto"/>
            </w:tcBorders>
            <w:vAlign w:val="bottom"/>
          </w:tcPr>
          <w:p w14:paraId="3335F286" w14:textId="77777777" w:rsidR="00C46305" w:rsidRPr="00C46305" w:rsidRDefault="00C46305" w:rsidP="00754CAA">
            <w:pPr>
              <w:spacing w:after="0"/>
              <w:jc w:val="center"/>
              <w:rPr>
                <w:rFonts w:eastAsia="Times New Roman" w:cs="Times New Roman"/>
                <w:sz w:val="24"/>
                <w:szCs w:val="24"/>
              </w:rPr>
            </w:pPr>
            <w:r w:rsidRPr="00C46305">
              <w:rPr>
                <w:rFonts w:eastAsia="Times New Roman" w:cs="Times New Roman"/>
                <w:sz w:val="24"/>
                <w:szCs w:val="24"/>
              </w:rPr>
              <w:t>Очень, очень легкая</w:t>
            </w:r>
          </w:p>
        </w:tc>
      </w:tr>
      <w:tr w:rsidR="00C46305" w:rsidRPr="00C46305" w14:paraId="7900B28C" w14:textId="77777777" w:rsidTr="00754CAA">
        <w:trPr>
          <w:trHeight w:val="278"/>
          <w:jc w:val="center"/>
        </w:trPr>
        <w:tc>
          <w:tcPr>
            <w:tcW w:w="3887" w:type="dxa"/>
            <w:tcBorders>
              <w:top w:val="single" w:sz="4" w:space="0" w:color="auto"/>
              <w:left w:val="single" w:sz="4" w:space="0" w:color="auto"/>
              <w:bottom w:val="nil"/>
              <w:right w:val="nil"/>
            </w:tcBorders>
            <w:vAlign w:val="bottom"/>
          </w:tcPr>
          <w:p w14:paraId="718FAB0E" w14:textId="77777777" w:rsidR="00C46305" w:rsidRPr="00C46305" w:rsidRDefault="00C46305" w:rsidP="00754CAA">
            <w:pPr>
              <w:spacing w:after="0"/>
              <w:jc w:val="center"/>
              <w:rPr>
                <w:rFonts w:eastAsia="Times New Roman" w:cs="Times New Roman"/>
                <w:sz w:val="24"/>
                <w:szCs w:val="24"/>
              </w:rPr>
            </w:pPr>
            <w:r w:rsidRPr="00C46305">
              <w:rPr>
                <w:rFonts w:eastAsia="Times New Roman" w:cs="Times New Roman"/>
                <w:sz w:val="24"/>
                <w:szCs w:val="24"/>
              </w:rPr>
              <w:t>7</w:t>
            </w:r>
          </w:p>
        </w:tc>
        <w:tc>
          <w:tcPr>
            <w:tcW w:w="4739" w:type="dxa"/>
            <w:vMerge w:val="restart"/>
            <w:tcBorders>
              <w:top w:val="single" w:sz="4" w:space="0" w:color="auto"/>
              <w:left w:val="single" w:sz="4" w:space="0" w:color="auto"/>
              <w:bottom w:val="nil"/>
              <w:right w:val="single" w:sz="4" w:space="0" w:color="auto"/>
            </w:tcBorders>
          </w:tcPr>
          <w:p w14:paraId="2FA21B5E" w14:textId="77777777" w:rsidR="00C46305" w:rsidRPr="00C46305" w:rsidRDefault="00C46305" w:rsidP="00754CAA">
            <w:pPr>
              <w:spacing w:after="0"/>
              <w:jc w:val="center"/>
              <w:rPr>
                <w:rFonts w:eastAsia="Times New Roman" w:cs="Times New Roman"/>
                <w:sz w:val="24"/>
                <w:szCs w:val="24"/>
              </w:rPr>
            </w:pPr>
            <w:r w:rsidRPr="00C46305">
              <w:rPr>
                <w:rFonts w:eastAsia="Times New Roman" w:cs="Times New Roman"/>
                <w:sz w:val="24"/>
                <w:szCs w:val="24"/>
              </w:rPr>
              <w:t>Исключительно легкая</w:t>
            </w:r>
          </w:p>
        </w:tc>
      </w:tr>
      <w:tr w:rsidR="00C46305" w:rsidRPr="00C46305" w14:paraId="6B719CE1" w14:textId="77777777" w:rsidTr="00754CAA">
        <w:trPr>
          <w:trHeight w:val="274"/>
          <w:jc w:val="center"/>
        </w:trPr>
        <w:tc>
          <w:tcPr>
            <w:tcW w:w="3887" w:type="dxa"/>
            <w:tcBorders>
              <w:top w:val="single" w:sz="4" w:space="0" w:color="auto"/>
              <w:left w:val="single" w:sz="4" w:space="0" w:color="auto"/>
              <w:bottom w:val="nil"/>
              <w:right w:val="nil"/>
            </w:tcBorders>
            <w:vAlign w:val="bottom"/>
          </w:tcPr>
          <w:p w14:paraId="2ACE970D" w14:textId="77777777" w:rsidR="00C46305" w:rsidRPr="00C46305" w:rsidRDefault="00C46305" w:rsidP="00754CAA">
            <w:pPr>
              <w:spacing w:after="0"/>
              <w:jc w:val="center"/>
              <w:rPr>
                <w:rFonts w:eastAsia="Times New Roman" w:cs="Times New Roman"/>
                <w:sz w:val="24"/>
                <w:szCs w:val="24"/>
              </w:rPr>
            </w:pPr>
            <w:r w:rsidRPr="00C46305">
              <w:rPr>
                <w:rFonts w:eastAsia="Times New Roman" w:cs="Times New Roman"/>
                <w:sz w:val="24"/>
                <w:szCs w:val="24"/>
              </w:rPr>
              <w:t>8</w:t>
            </w:r>
          </w:p>
        </w:tc>
        <w:tc>
          <w:tcPr>
            <w:tcW w:w="4739" w:type="dxa"/>
            <w:vMerge/>
            <w:tcBorders>
              <w:top w:val="nil"/>
              <w:left w:val="single" w:sz="4" w:space="0" w:color="auto"/>
              <w:bottom w:val="nil"/>
              <w:right w:val="single" w:sz="4" w:space="0" w:color="auto"/>
            </w:tcBorders>
          </w:tcPr>
          <w:p w14:paraId="5285A0AB" w14:textId="77777777" w:rsidR="00C46305" w:rsidRPr="00C46305" w:rsidRDefault="00C46305" w:rsidP="00754CAA">
            <w:pPr>
              <w:spacing w:after="0"/>
              <w:jc w:val="center"/>
              <w:rPr>
                <w:rFonts w:eastAsia="Times New Roman" w:cs="Times New Roman"/>
                <w:sz w:val="24"/>
                <w:szCs w:val="24"/>
              </w:rPr>
            </w:pPr>
          </w:p>
        </w:tc>
      </w:tr>
      <w:tr w:rsidR="00C46305" w:rsidRPr="00C46305" w14:paraId="1E128530" w14:textId="77777777" w:rsidTr="00754CAA">
        <w:trPr>
          <w:trHeight w:val="278"/>
          <w:jc w:val="center"/>
        </w:trPr>
        <w:tc>
          <w:tcPr>
            <w:tcW w:w="3887" w:type="dxa"/>
            <w:tcBorders>
              <w:top w:val="single" w:sz="4" w:space="0" w:color="auto"/>
              <w:left w:val="single" w:sz="4" w:space="0" w:color="auto"/>
              <w:bottom w:val="nil"/>
              <w:right w:val="nil"/>
            </w:tcBorders>
            <w:vAlign w:val="bottom"/>
          </w:tcPr>
          <w:p w14:paraId="009C5F00" w14:textId="77777777" w:rsidR="00C46305" w:rsidRPr="00C46305" w:rsidRDefault="00C46305" w:rsidP="00754CAA">
            <w:pPr>
              <w:spacing w:after="0"/>
              <w:jc w:val="center"/>
              <w:rPr>
                <w:rFonts w:eastAsia="Times New Roman" w:cs="Times New Roman"/>
                <w:sz w:val="24"/>
                <w:szCs w:val="24"/>
              </w:rPr>
            </w:pPr>
            <w:r w:rsidRPr="00C46305">
              <w:rPr>
                <w:rFonts w:eastAsia="Times New Roman" w:cs="Times New Roman"/>
                <w:sz w:val="24"/>
                <w:szCs w:val="24"/>
              </w:rPr>
              <w:t>9</w:t>
            </w:r>
          </w:p>
        </w:tc>
        <w:tc>
          <w:tcPr>
            <w:tcW w:w="4739" w:type="dxa"/>
            <w:vMerge w:val="restart"/>
            <w:tcBorders>
              <w:top w:val="single" w:sz="4" w:space="0" w:color="auto"/>
              <w:left w:val="single" w:sz="4" w:space="0" w:color="auto"/>
              <w:bottom w:val="nil"/>
              <w:right w:val="single" w:sz="4" w:space="0" w:color="auto"/>
            </w:tcBorders>
          </w:tcPr>
          <w:p w14:paraId="09F52ED6" w14:textId="77777777" w:rsidR="00C46305" w:rsidRPr="00C46305" w:rsidRDefault="00C46305" w:rsidP="00754CAA">
            <w:pPr>
              <w:spacing w:after="0"/>
              <w:jc w:val="center"/>
              <w:rPr>
                <w:rFonts w:eastAsia="Times New Roman" w:cs="Times New Roman"/>
                <w:sz w:val="24"/>
                <w:szCs w:val="24"/>
              </w:rPr>
            </w:pPr>
            <w:r w:rsidRPr="00C46305">
              <w:rPr>
                <w:rFonts w:eastAsia="Times New Roman" w:cs="Times New Roman"/>
                <w:sz w:val="24"/>
                <w:szCs w:val="24"/>
              </w:rPr>
              <w:t>Очень легкая</w:t>
            </w:r>
          </w:p>
        </w:tc>
      </w:tr>
      <w:tr w:rsidR="00C46305" w:rsidRPr="00C46305" w14:paraId="61D38CD7" w14:textId="77777777" w:rsidTr="00754CAA">
        <w:trPr>
          <w:trHeight w:val="274"/>
          <w:jc w:val="center"/>
        </w:trPr>
        <w:tc>
          <w:tcPr>
            <w:tcW w:w="3887" w:type="dxa"/>
            <w:tcBorders>
              <w:top w:val="single" w:sz="4" w:space="0" w:color="auto"/>
              <w:left w:val="single" w:sz="4" w:space="0" w:color="auto"/>
              <w:bottom w:val="nil"/>
              <w:right w:val="nil"/>
            </w:tcBorders>
            <w:vAlign w:val="bottom"/>
          </w:tcPr>
          <w:p w14:paraId="478C3F51" w14:textId="77777777" w:rsidR="00C46305" w:rsidRPr="00C46305" w:rsidRDefault="00C46305" w:rsidP="00754CAA">
            <w:pPr>
              <w:spacing w:after="0"/>
              <w:jc w:val="center"/>
              <w:rPr>
                <w:rFonts w:eastAsia="Times New Roman" w:cs="Times New Roman"/>
                <w:sz w:val="24"/>
                <w:szCs w:val="24"/>
              </w:rPr>
            </w:pPr>
            <w:r w:rsidRPr="00C46305">
              <w:rPr>
                <w:rFonts w:eastAsia="Times New Roman" w:cs="Times New Roman"/>
                <w:sz w:val="24"/>
                <w:szCs w:val="24"/>
              </w:rPr>
              <w:t>10</w:t>
            </w:r>
          </w:p>
        </w:tc>
        <w:tc>
          <w:tcPr>
            <w:tcW w:w="4739" w:type="dxa"/>
            <w:vMerge/>
            <w:tcBorders>
              <w:top w:val="nil"/>
              <w:left w:val="single" w:sz="4" w:space="0" w:color="auto"/>
              <w:bottom w:val="nil"/>
              <w:right w:val="single" w:sz="4" w:space="0" w:color="auto"/>
            </w:tcBorders>
          </w:tcPr>
          <w:p w14:paraId="6A65E372" w14:textId="77777777" w:rsidR="00C46305" w:rsidRPr="00C46305" w:rsidRDefault="00C46305" w:rsidP="00754CAA">
            <w:pPr>
              <w:spacing w:after="0"/>
              <w:jc w:val="center"/>
              <w:rPr>
                <w:rFonts w:eastAsia="Times New Roman" w:cs="Times New Roman"/>
                <w:sz w:val="24"/>
                <w:szCs w:val="24"/>
              </w:rPr>
            </w:pPr>
          </w:p>
        </w:tc>
      </w:tr>
      <w:tr w:rsidR="00C46305" w:rsidRPr="00C46305" w14:paraId="5D495B4B" w14:textId="77777777" w:rsidTr="00754CAA">
        <w:trPr>
          <w:trHeight w:val="278"/>
          <w:jc w:val="center"/>
        </w:trPr>
        <w:tc>
          <w:tcPr>
            <w:tcW w:w="3887" w:type="dxa"/>
            <w:tcBorders>
              <w:top w:val="single" w:sz="4" w:space="0" w:color="auto"/>
              <w:left w:val="single" w:sz="4" w:space="0" w:color="auto"/>
              <w:bottom w:val="nil"/>
              <w:right w:val="nil"/>
            </w:tcBorders>
            <w:vAlign w:val="bottom"/>
          </w:tcPr>
          <w:p w14:paraId="0BCEFAB0" w14:textId="77777777" w:rsidR="00C46305" w:rsidRPr="00C46305" w:rsidRDefault="00C46305" w:rsidP="00754CAA">
            <w:pPr>
              <w:spacing w:after="0"/>
              <w:jc w:val="center"/>
              <w:rPr>
                <w:rFonts w:eastAsia="Times New Roman" w:cs="Times New Roman"/>
                <w:sz w:val="24"/>
                <w:szCs w:val="24"/>
              </w:rPr>
            </w:pPr>
            <w:r w:rsidRPr="00C46305">
              <w:rPr>
                <w:rFonts w:eastAsia="Times New Roman" w:cs="Times New Roman"/>
                <w:sz w:val="24"/>
                <w:szCs w:val="24"/>
              </w:rPr>
              <w:t>11</w:t>
            </w:r>
          </w:p>
        </w:tc>
        <w:tc>
          <w:tcPr>
            <w:tcW w:w="4739" w:type="dxa"/>
            <w:vMerge w:val="restart"/>
            <w:tcBorders>
              <w:top w:val="single" w:sz="4" w:space="0" w:color="auto"/>
              <w:left w:val="single" w:sz="4" w:space="0" w:color="auto"/>
              <w:bottom w:val="nil"/>
              <w:right w:val="single" w:sz="4" w:space="0" w:color="auto"/>
            </w:tcBorders>
          </w:tcPr>
          <w:p w14:paraId="1E73D89A" w14:textId="77777777" w:rsidR="00C46305" w:rsidRPr="00C46305" w:rsidRDefault="00C46305" w:rsidP="00754CAA">
            <w:pPr>
              <w:spacing w:after="0"/>
              <w:jc w:val="center"/>
              <w:rPr>
                <w:rFonts w:eastAsia="Times New Roman" w:cs="Times New Roman"/>
                <w:sz w:val="24"/>
                <w:szCs w:val="24"/>
              </w:rPr>
            </w:pPr>
            <w:r w:rsidRPr="00C46305">
              <w:rPr>
                <w:rFonts w:eastAsia="Times New Roman" w:cs="Times New Roman"/>
                <w:sz w:val="24"/>
                <w:szCs w:val="24"/>
              </w:rPr>
              <w:t>Легкая</w:t>
            </w:r>
          </w:p>
        </w:tc>
      </w:tr>
      <w:tr w:rsidR="00C46305" w:rsidRPr="00C46305" w14:paraId="03106425" w14:textId="77777777" w:rsidTr="00754CAA">
        <w:trPr>
          <w:trHeight w:val="278"/>
          <w:jc w:val="center"/>
        </w:trPr>
        <w:tc>
          <w:tcPr>
            <w:tcW w:w="3887" w:type="dxa"/>
            <w:tcBorders>
              <w:top w:val="single" w:sz="4" w:space="0" w:color="auto"/>
              <w:left w:val="single" w:sz="4" w:space="0" w:color="auto"/>
              <w:bottom w:val="nil"/>
              <w:right w:val="nil"/>
            </w:tcBorders>
            <w:vAlign w:val="bottom"/>
          </w:tcPr>
          <w:p w14:paraId="624033CC" w14:textId="77777777" w:rsidR="00C46305" w:rsidRPr="00C46305" w:rsidRDefault="00C46305" w:rsidP="00754CAA">
            <w:pPr>
              <w:spacing w:after="0"/>
              <w:jc w:val="center"/>
              <w:rPr>
                <w:rFonts w:eastAsia="Times New Roman" w:cs="Times New Roman"/>
                <w:sz w:val="24"/>
                <w:szCs w:val="24"/>
              </w:rPr>
            </w:pPr>
            <w:r w:rsidRPr="00C46305">
              <w:rPr>
                <w:rFonts w:eastAsia="Times New Roman" w:cs="Times New Roman"/>
                <w:sz w:val="24"/>
                <w:szCs w:val="24"/>
              </w:rPr>
              <w:t>12</w:t>
            </w:r>
          </w:p>
        </w:tc>
        <w:tc>
          <w:tcPr>
            <w:tcW w:w="4739" w:type="dxa"/>
            <w:vMerge/>
            <w:tcBorders>
              <w:top w:val="nil"/>
              <w:left w:val="single" w:sz="4" w:space="0" w:color="auto"/>
              <w:bottom w:val="nil"/>
              <w:right w:val="single" w:sz="4" w:space="0" w:color="auto"/>
            </w:tcBorders>
          </w:tcPr>
          <w:p w14:paraId="540FF3FF" w14:textId="77777777" w:rsidR="00C46305" w:rsidRPr="00C46305" w:rsidRDefault="00C46305" w:rsidP="00754CAA">
            <w:pPr>
              <w:spacing w:after="0"/>
              <w:jc w:val="center"/>
              <w:rPr>
                <w:rFonts w:eastAsia="Times New Roman" w:cs="Times New Roman"/>
                <w:sz w:val="24"/>
                <w:szCs w:val="24"/>
              </w:rPr>
            </w:pPr>
          </w:p>
        </w:tc>
      </w:tr>
      <w:tr w:rsidR="00C46305" w:rsidRPr="00C46305" w14:paraId="28C54A41" w14:textId="77777777" w:rsidTr="00754CAA">
        <w:trPr>
          <w:trHeight w:val="274"/>
          <w:jc w:val="center"/>
        </w:trPr>
        <w:tc>
          <w:tcPr>
            <w:tcW w:w="3887" w:type="dxa"/>
            <w:tcBorders>
              <w:top w:val="single" w:sz="4" w:space="0" w:color="auto"/>
              <w:left w:val="single" w:sz="4" w:space="0" w:color="auto"/>
              <w:bottom w:val="nil"/>
              <w:right w:val="nil"/>
            </w:tcBorders>
            <w:vAlign w:val="bottom"/>
          </w:tcPr>
          <w:p w14:paraId="26DE7F23" w14:textId="77777777" w:rsidR="00C46305" w:rsidRPr="00C46305" w:rsidRDefault="00C46305" w:rsidP="00754CAA">
            <w:pPr>
              <w:spacing w:after="0"/>
              <w:jc w:val="center"/>
              <w:rPr>
                <w:rFonts w:eastAsia="Times New Roman" w:cs="Times New Roman"/>
                <w:sz w:val="24"/>
                <w:szCs w:val="24"/>
              </w:rPr>
            </w:pPr>
            <w:r w:rsidRPr="00C46305">
              <w:rPr>
                <w:rFonts w:eastAsia="Times New Roman" w:cs="Times New Roman"/>
                <w:sz w:val="24"/>
                <w:szCs w:val="24"/>
              </w:rPr>
              <w:t>13</w:t>
            </w:r>
          </w:p>
        </w:tc>
        <w:tc>
          <w:tcPr>
            <w:tcW w:w="4739" w:type="dxa"/>
            <w:vMerge w:val="restart"/>
            <w:tcBorders>
              <w:top w:val="single" w:sz="4" w:space="0" w:color="auto"/>
              <w:left w:val="single" w:sz="4" w:space="0" w:color="auto"/>
              <w:bottom w:val="nil"/>
              <w:right w:val="single" w:sz="4" w:space="0" w:color="auto"/>
            </w:tcBorders>
          </w:tcPr>
          <w:p w14:paraId="40C03530" w14:textId="77777777" w:rsidR="00C46305" w:rsidRPr="00C46305" w:rsidRDefault="00C46305" w:rsidP="00754CAA">
            <w:pPr>
              <w:spacing w:after="0"/>
              <w:jc w:val="center"/>
              <w:rPr>
                <w:rFonts w:eastAsia="Times New Roman" w:cs="Times New Roman"/>
                <w:sz w:val="24"/>
                <w:szCs w:val="24"/>
              </w:rPr>
            </w:pPr>
            <w:r w:rsidRPr="00C46305">
              <w:rPr>
                <w:rFonts w:eastAsia="Times New Roman" w:cs="Times New Roman"/>
                <w:sz w:val="24"/>
                <w:szCs w:val="24"/>
              </w:rPr>
              <w:t>Умеренная</w:t>
            </w:r>
          </w:p>
        </w:tc>
      </w:tr>
      <w:tr w:rsidR="00C46305" w:rsidRPr="00C46305" w14:paraId="1F17BB84" w14:textId="77777777" w:rsidTr="00754CAA">
        <w:trPr>
          <w:trHeight w:val="278"/>
          <w:jc w:val="center"/>
        </w:trPr>
        <w:tc>
          <w:tcPr>
            <w:tcW w:w="3887" w:type="dxa"/>
            <w:tcBorders>
              <w:top w:val="single" w:sz="4" w:space="0" w:color="auto"/>
              <w:left w:val="single" w:sz="4" w:space="0" w:color="auto"/>
              <w:bottom w:val="nil"/>
              <w:right w:val="nil"/>
            </w:tcBorders>
            <w:vAlign w:val="bottom"/>
          </w:tcPr>
          <w:p w14:paraId="33BE74F5" w14:textId="77777777" w:rsidR="00C46305" w:rsidRPr="00C46305" w:rsidRDefault="00C46305" w:rsidP="00754CAA">
            <w:pPr>
              <w:spacing w:after="0"/>
              <w:jc w:val="center"/>
              <w:rPr>
                <w:rFonts w:eastAsia="Times New Roman" w:cs="Times New Roman"/>
                <w:sz w:val="24"/>
                <w:szCs w:val="24"/>
              </w:rPr>
            </w:pPr>
            <w:r w:rsidRPr="00C46305">
              <w:rPr>
                <w:rFonts w:eastAsia="Times New Roman" w:cs="Times New Roman"/>
                <w:sz w:val="24"/>
                <w:szCs w:val="24"/>
              </w:rPr>
              <w:t>14</w:t>
            </w:r>
          </w:p>
        </w:tc>
        <w:tc>
          <w:tcPr>
            <w:tcW w:w="4739" w:type="dxa"/>
            <w:vMerge/>
            <w:tcBorders>
              <w:top w:val="nil"/>
              <w:left w:val="single" w:sz="4" w:space="0" w:color="auto"/>
              <w:bottom w:val="nil"/>
              <w:right w:val="single" w:sz="4" w:space="0" w:color="auto"/>
            </w:tcBorders>
          </w:tcPr>
          <w:p w14:paraId="2C99B093" w14:textId="77777777" w:rsidR="00C46305" w:rsidRPr="00C46305" w:rsidRDefault="00C46305" w:rsidP="00754CAA">
            <w:pPr>
              <w:spacing w:after="0"/>
              <w:jc w:val="center"/>
              <w:rPr>
                <w:rFonts w:eastAsia="Times New Roman" w:cs="Times New Roman"/>
                <w:sz w:val="24"/>
                <w:szCs w:val="24"/>
              </w:rPr>
            </w:pPr>
          </w:p>
        </w:tc>
      </w:tr>
      <w:tr w:rsidR="00C46305" w:rsidRPr="00C46305" w14:paraId="2EC3E716" w14:textId="77777777" w:rsidTr="00754CAA">
        <w:trPr>
          <w:trHeight w:val="274"/>
          <w:jc w:val="center"/>
        </w:trPr>
        <w:tc>
          <w:tcPr>
            <w:tcW w:w="3887" w:type="dxa"/>
            <w:tcBorders>
              <w:top w:val="single" w:sz="4" w:space="0" w:color="auto"/>
              <w:left w:val="single" w:sz="4" w:space="0" w:color="auto"/>
              <w:bottom w:val="nil"/>
              <w:right w:val="nil"/>
            </w:tcBorders>
            <w:vAlign w:val="bottom"/>
          </w:tcPr>
          <w:p w14:paraId="6C816EB3" w14:textId="77777777" w:rsidR="00C46305" w:rsidRPr="00C46305" w:rsidRDefault="00C46305" w:rsidP="00754CAA">
            <w:pPr>
              <w:spacing w:after="0"/>
              <w:jc w:val="center"/>
              <w:rPr>
                <w:rFonts w:eastAsia="Times New Roman" w:cs="Times New Roman"/>
                <w:sz w:val="24"/>
                <w:szCs w:val="24"/>
              </w:rPr>
            </w:pPr>
            <w:r w:rsidRPr="00C46305">
              <w:rPr>
                <w:rFonts w:eastAsia="Times New Roman" w:cs="Times New Roman"/>
                <w:sz w:val="24"/>
                <w:szCs w:val="24"/>
              </w:rPr>
              <w:t>15</w:t>
            </w:r>
          </w:p>
        </w:tc>
        <w:tc>
          <w:tcPr>
            <w:tcW w:w="4739" w:type="dxa"/>
            <w:tcBorders>
              <w:top w:val="single" w:sz="4" w:space="0" w:color="auto"/>
              <w:left w:val="single" w:sz="4" w:space="0" w:color="auto"/>
              <w:bottom w:val="nil"/>
              <w:right w:val="single" w:sz="4" w:space="0" w:color="auto"/>
            </w:tcBorders>
            <w:vAlign w:val="bottom"/>
          </w:tcPr>
          <w:p w14:paraId="3C80A843" w14:textId="77777777" w:rsidR="00C46305" w:rsidRPr="00C46305" w:rsidRDefault="00C46305" w:rsidP="00754CAA">
            <w:pPr>
              <w:spacing w:after="0"/>
              <w:jc w:val="center"/>
              <w:rPr>
                <w:rFonts w:eastAsia="Times New Roman" w:cs="Times New Roman"/>
                <w:sz w:val="24"/>
                <w:szCs w:val="24"/>
              </w:rPr>
            </w:pPr>
            <w:r w:rsidRPr="00C46305">
              <w:rPr>
                <w:rFonts w:eastAsia="Times New Roman" w:cs="Times New Roman"/>
                <w:sz w:val="24"/>
                <w:szCs w:val="24"/>
              </w:rPr>
              <w:t>Довольно тяжелая</w:t>
            </w:r>
          </w:p>
        </w:tc>
      </w:tr>
      <w:tr w:rsidR="00C46305" w:rsidRPr="00C46305" w14:paraId="42297AB6" w14:textId="77777777" w:rsidTr="00754CAA">
        <w:trPr>
          <w:trHeight w:val="278"/>
          <w:jc w:val="center"/>
        </w:trPr>
        <w:tc>
          <w:tcPr>
            <w:tcW w:w="3887" w:type="dxa"/>
            <w:tcBorders>
              <w:top w:val="single" w:sz="4" w:space="0" w:color="auto"/>
              <w:left w:val="single" w:sz="4" w:space="0" w:color="auto"/>
              <w:bottom w:val="nil"/>
              <w:right w:val="nil"/>
            </w:tcBorders>
            <w:vAlign w:val="bottom"/>
          </w:tcPr>
          <w:p w14:paraId="2C84FB2E" w14:textId="77777777" w:rsidR="00C46305" w:rsidRPr="00C46305" w:rsidRDefault="00C46305" w:rsidP="00754CAA">
            <w:pPr>
              <w:spacing w:after="0"/>
              <w:jc w:val="center"/>
              <w:rPr>
                <w:rFonts w:eastAsia="Times New Roman" w:cs="Times New Roman"/>
                <w:sz w:val="24"/>
                <w:szCs w:val="24"/>
              </w:rPr>
            </w:pPr>
            <w:r w:rsidRPr="00C46305">
              <w:rPr>
                <w:rFonts w:eastAsia="Times New Roman" w:cs="Times New Roman"/>
                <w:sz w:val="24"/>
                <w:szCs w:val="24"/>
              </w:rPr>
              <w:t>16</w:t>
            </w:r>
          </w:p>
        </w:tc>
        <w:tc>
          <w:tcPr>
            <w:tcW w:w="4739" w:type="dxa"/>
            <w:tcBorders>
              <w:top w:val="single" w:sz="4" w:space="0" w:color="auto"/>
              <w:left w:val="single" w:sz="4" w:space="0" w:color="auto"/>
              <w:bottom w:val="nil"/>
              <w:right w:val="single" w:sz="4" w:space="0" w:color="auto"/>
            </w:tcBorders>
            <w:vAlign w:val="bottom"/>
          </w:tcPr>
          <w:p w14:paraId="04A4D26E" w14:textId="77777777" w:rsidR="00C46305" w:rsidRPr="00C46305" w:rsidRDefault="00C46305" w:rsidP="00754CAA">
            <w:pPr>
              <w:spacing w:after="0"/>
              <w:jc w:val="center"/>
              <w:rPr>
                <w:rFonts w:eastAsia="Times New Roman" w:cs="Times New Roman"/>
                <w:sz w:val="24"/>
                <w:szCs w:val="24"/>
              </w:rPr>
            </w:pPr>
            <w:r w:rsidRPr="00C46305">
              <w:rPr>
                <w:rFonts w:eastAsia="Times New Roman" w:cs="Times New Roman"/>
                <w:sz w:val="24"/>
                <w:szCs w:val="24"/>
              </w:rPr>
              <w:t>Тяжелая</w:t>
            </w:r>
          </w:p>
        </w:tc>
      </w:tr>
      <w:tr w:rsidR="00C46305" w:rsidRPr="00C46305" w14:paraId="173D6E3D" w14:textId="77777777" w:rsidTr="00754CAA">
        <w:trPr>
          <w:trHeight w:val="274"/>
          <w:jc w:val="center"/>
        </w:trPr>
        <w:tc>
          <w:tcPr>
            <w:tcW w:w="3887" w:type="dxa"/>
            <w:tcBorders>
              <w:top w:val="single" w:sz="4" w:space="0" w:color="auto"/>
              <w:left w:val="single" w:sz="4" w:space="0" w:color="auto"/>
              <w:bottom w:val="nil"/>
              <w:right w:val="nil"/>
            </w:tcBorders>
            <w:vAlign w:val="bottom"/>
          </w:tcPr>
          <w:p w14:paraId="4C556D29" w14:textId="77777777" w:rsidR="00C46305" w:rsidRPr="00C46305" w:rsidRDefault="00C46305" w:rsidP="00754CAA">
            <w:pPr>
              <w:spacing w:after="0"/>
              <w:jc w:val="center"/>
              <w:rPr>
                <w:rFonts w:eastAsia="Times New Roman" w:cs="Times New Roman"/>
                <w:sz w:val="24"/>
                <w:szCs w:val="24"/>
              </w:rPr>
            </w:pPr>
            <w:r w:rsidRPr="00C46305">
              <w:rPr>
                <w:rFonts w:eastAsia="Times New Roman" w:cs="Times New Roman"/>
                <w:sz w:val="24"/>
                <w:szCs w:val="24"/>
              </w:rPr>
              <w:t>17</w:t>
            </w:r>
          </w:p>
        </w:tc>
        <w:tc>
          <w:tcPr>
            <w:tcW w:w="4739" w:type="dxa"/>
            <w:vMerge w:val="restart"/>
            <w:tcBorders>
              <w:top w:val="single" w:sz="4" w:space="0" w:color="auto"/>
              <w:left w:val="single" w:sz="4" w:space="0" w:color="auto"/>
              <w:bottom w:val="nil"/>
              <w:right w:val="single" w:sz="4" w:space="0" w:color="auto"/>
            </w:tcBorders>
          </w:tcPr>
          <w:p w14:paraId="04499DF5" w14:textId="77777777" w:rsidR="00C46305" w:rsidRPr="00C46305" w:rsidRDefault="00C46305" w:rsidP="00754CAA">
            <w:pPr>
              <w:spacing w:after="0"/>
              <w:jc w:val="center"/>
              <w:rPr>
                <w:rFonts w:eastAsia="Times New Roman" w:cs="Times New Roman"/>
                <w:sz w:val="24"/>
                <w:szCs w:val="24"/>
              </w:rPr>
            </w:pPr>
            <w:r w:rsidRPr="00C46305">
              <w:rPr>
                <w:rFonts w:eastAsia="Times New Roman" w:cs="Times New Roman"/>
                <w:sz w:val="24"/>
                <w:szCs w:val="24"/>
              </w:rPr>
              <w:t>Очень тяжелая</w:t>
            </w:r>
          </w:p>
        </w:tc>
      </w:tr>
      <w:tr w:rsidR="00C46305" w:rsidRPr="00C46305" w14:paraId="581BA6CF" w14:textId="77777777" w:rsidTr="00754CAA">
        <w:trPr>
          <w:trHeight w:val="278"/>
          <w:jc w:val="center"/>
        </w:trPr>
        <w:tc>
          <w:tcPr>
            <w:tcW w:w="3887" w:type="dxa"/>
            <w:tcBorders>
              <w:top w:val="single" w:sz="4" w:space="0" w:color="auto"/>
              <w:left w:val="single" w:sz="4" w:space="0" w:color="auto"/>
              <w:bottom w:val="nil"/>
              <w:right w:val="nil"/>
            </w:tcBorders>
            <w:vAlign w:val="bottom"/>
          </w:tcPr>
          <w:p w14:paraId="2ABAD069" w14:textId="77777777" w:rsidR="00C46305" w:rsidRPr="00C46305" w:rsidRDefault="00C46305" w:rsidP="00754CAA">
            <w:pPr>
              <w:spacing w:after="0"/>
              <w:jc w:val="center"/>
              <w:rPr>
                <w:rFonts w:eastAsia="Times New Roman" w:cs="Times New Roman"/>
                <w:sz w:val="24"/>
                <w:szCs w:val="24"/>
              </w:rPr>
            </w:pPr>
            <w:r w:rsidRPr="00C46305">
              <w:rPr>
                <w:rFonts w:eastAsia="Times New Roman" w:cs="Times New Roman"/>
                <w:sz w:val="24"/>
                <w:szCs w:val="24"/>
              </w:rPr>
              <w:t>18</w:t>
            </w:r>
          </w:p>
        </w:tc>
        <w:tc>
          <w:tcPr>
            <w:tcW w:w="4739" w:type="dxa"/>
            <w:vMerge/>
            <w:tcBorders>
              <w:top w:val="nil"/>
              <w:left w:val="single" w:sz="4" w:space="0" w:color="auto"/>
              <w:bottom w:val="nil"/>
              <w:right w:val="single" w:sz="4" w:space="0" w:color="auto"/>
            </w:tcBorders>
          </w:tcPr>
          <w:p w14:paraId="5BDA131A" w14:textId="77777777" w:rsidR="00C46305" w:rsidRPr="00C46305" w:rsidRDefault="00C46305" w:rsidP="00754CAA">
            <w:pPr>
              <w:spacing w:after="0"/>
              <w:jc w:val="center"/>
              <w:rPr>
                <w:rFonts w:eastAsia="Times New Roman" w:cs="Times New Roman"/>
                <w:sz w:val="24"/>
                <w:szCs w:val="24"/>
              </w:rPr>
            </w:pPr>
          </w:p>
        </w:tc>
      </w:tr>
      <w:tr w:rsidR="00C46305" w:rsidRPr="00C46305" w14:paraId="39E1B472" w14:textId="77777777" w:rsidTr="00754CAA">
        <w:trPr>
          <w:trHeight w:val="278"/>
          <w:jc w:val="center"/>
        </w:trPr>
        <w:tc>
          <w:tcPr>
            <w:tcW w:w="3887" w:type="dxa"/>
            <w:tcBorders>
              <w:top w:val="single" w:sz="4" w:space="0" w:color="auto"/>
              <w:left w:val="single" w:sz="4" w:space="0" w:color="auto"/>
              <w:bottom w:val="nil"/>
              <w:right w:val="nil"/>
            </w:tcBorders>
            <w:vAlign w:val="bottom"/>
          </w:tcPr>
          <w:p w14:paraId="37DB2F49" w14:textId="77777777" w:rsidR="00C46305" w:rsidRPr="00C46305" w:rsidRDefault="00C46305" w:rsidP="00754CAA">
            <w:pPr>
              <w:spacing w:after="0"/>
              <w:jc w:val="center"/>
              <w:rPr>
                <w:rFonts w:eastAsia="Times New Roman" w:cs="Times New Roman"/>
                <w:sz w:val="24"/>
                <w:szCs w:val="24"/>
              </w:rPr>
            </w:pPr>
            <w:r w:rsidRPr="00C46305">
              <w:rPr>
                <w:rFonts w:eastAsia="Times New Roman" w:cs="Times New Roman"/>
                <w:sz w:val="24"/>
                <w:szCs w:val="24"/>
              </w:rPr>
              <w:t>19</w:t>
            </w:r>
          </w:p>
        </w:tc>
        <w:tc>
          <w:tcPr>
            <w:tcW w:w="4739" w:type="dxa"/>
            <w:tcBorders>
              <w:top w:val="single" w:sz="4" w:space="0" w:color="auto"/>
              <w:left w:val="single" w:sz="4" w:space="0" w:color="auto"/>
              <w:bottom w:val="nil"/>
              <w:right w:val="single" w:sz="4" w:space="0" w:color="auto"/>
            </w:tcBorders>
            <w:vAlign w:val="bottom"/>
          </w:tcPr>
          <w:p w14:paraId="6EB1E66C" w14:textId="77777777" w:rsidR="00C46305" w:rsidRPr="00C46305" w:rsidRDefault="00C46305" w:rsidP="00754CAA">
            <w:pPr>
              <w:spacing w:after="0"/>
              <w:jc w:val="center"/>
              <w:rPr>
                <w:rFonts w:eastAsia="Times New Roman" w:cs="Times New Roman"/>
                <w:sz w:val="24"/>
                <w:szCs w:val="24"/>
              </w:rPr>
            </w:pPr>
            <w:r w:rsidRPr="00C46305">
              <w:rPr>
                <w:rFonts w:eastAsia="Times New Roman" w:cs="Times New Roman"/>
                <w:sz w:val="24"/>
                <w:szCs w:val="24"/>
              </w:rPr>
              <w:t>Очень, очень тяжелая</w:t>
            </w:r>
          </w:p>
        </w:tc>
      </w:tr>
      <w:tr w:rsidR="00C46305" w:rsidRPr="00C46305" w14:paraId="19664059" w14:textId="77777777" w:rsidTr="00754CAA">
        <w:trPr>
          <w:trHeight w:val="278"/>
          <w:jc w:val="center"/>
        </w:trPr>
        <w:tc>
          <w:tcPr>
            <w:tcW w:w="3887" w:type="dxa"/>
            <w:tcBorders>
              <w:top w:val="single" w:sz="4" w:space="0" w:color="auto"/>
              <w:left w:val="single" w:sz="4" w:space="0" w:color="auto"/>
              <w:bottom w:val="single" w:sz="4" w:space="0" w:color="auto"/>
              <w:right w:val="nil"/>
            </w:tcBorders>
            <w:vAlign w:val="bottom"/>
          </w:tcPr>
          <w:p w14:paraId="22D452F5" w14:textId="77777777" w:rsidR="00C46305" w:rsidRPr="00C46305" w:rsidRDefault="00C46305" w:rsidP="00754CAA">
            <w:pPr>
              <w:spacing w:after="0"/>
              <w:jc w:val="center"/>
              <w:rPr>
                <w:rFonts w:eastAsia="Times New Roman" w:cs="Times New Roman"/>
                <w:sz w:val="24"/>
                <w:szCs w:val="24"/>
              </w:rPr>
            </w:pPr>
            <w:r w:rsidRPr="00C46305">
              <w:rPr>
                <w:rFonts w:eastAsia="Times New Roman" w:cs="Times New Roman"/>
                <w:sz w:val="24"/>
                <w:szCs w:val="24"/>
              </w:rPr>
              <w:t>20</w:t>
            </w:r>
          </w:p>
        </w:tc>
        <w:tc>
          <w:tcPr>
            <w:tcW w:w="4739" w:type="dxa"/>
            <w:tcBorders>
              <w:top w:val="single" w:sz="4" w:space="0" w:color="auto"/>
              <w:left w:val="single" w:sz="4" w:space="0" w:color="auto"/>
              <w:bottom w:val="single" w:sz="4" w:space="0" w:color="auto"/>
              <w:right w:val="single" w:sz="4" w:space="0" w:color="auto"/>
            </w:tcBorders>
            <w:vAlign w:val="bottom"/>
          </w:tcPr>
          <w:p w14:paraId="467F36CD" w14:textId="77777777" w:rsidR="00C46305" w:rsidRPr="00C46305" w:rsidRDefault="00C46305" w:rsidP="00754CAA">
            <w:pPr>
              <w:spacing w:after="0"/>
              <w:jc w:val="center"/>
              <w:rPr>
                <w:rFonts w:eastAsia="Times New Roman" w:cs="Times New Roman"/>
                <w:sz w:val="24"/>
                <w:szCs w:val="24"/>
              </w:rPr>
            </w:pPr>
            <w:r w:rsidRPr="00C46305">
              <w:rPr>
                <w:rFonts w:eastAsia="Times New Roman" w:cs="Times New Roman"/>
                <w:sz w:val="24"/>
                <w:szCs w:val="24"/>
              </w:rPr>
              <w:t>Максимальная нагрузка</w:t>
            </w:r>
          </w:p>
        </w:tc>
      </w:tr>
    </w:tbl>
    <w:p w14:paraId="02BF6310" w14:textId="77777777" w:rsidR="00130B63" w:rsidRPr="00130B63" w:rsidRDefault="00130B63" w:rsidP="00C46305">
      <w:pPr>
        <w:spacing w:after="0" w:line="360" w:lineRule="auto"/>
        <w:rPr>
          <w:rFonts w:eastAsia="Times New Roman" w:cs="Times New Roman"/>
          <w:b/>
          <w:bCs/>
          <w:sz w:val="24"/>
          <w:szCs w:val="24"/>
        </w:rPr>
      </w:pPr>
    </w:p>
    <w:p w14:paraId="0348104B" w14:textId="6C07794B" w:rsidR="00E93789" w:rsidRPr="00E93789" w:rsidRDefault="00E93789" w:rsidP="00E93789">
      <w:pPr>
        <w:spacing w:after="0" w:line="360" w:lineRule="auto"/>
        <w:jc w:val="both"/>
        <w:rPr>
          <w:rFonts w:eastAsia="Times New Roman" w:cs="Times New Roman"/>
          <w:sz w:val="24"/>
          <w:szCs w:val="24"/>
        </w:rPr>
      </w:pPr>
      <w:r w:rsidRPr="00E93789">
        <w:rPr>
          <w:rFonts w:eastAsia="Times New Roman" w:cs="Times New Roman"/>
          <w:b/>
          <w:bCs/>
          <w:sz w:val="24"/>
          <w:szCs w:val="24"/>
        </w:rPr>
        <w:t xml:space="preserve">Ключ (интерпретация): </w:t>
      </w:r>
      <w:r w:rsidRPr="00E93789">
        <w:rPr>
          <w:rFonts w:eastAsia="Times New Roman" w:cs="Times New Roman"/>
          <w:sz w:val="24"/>
          <w:szCs w:val="24"/>
        </w:rPr>
        <w:t>количество баллов соответствует ЧСС (например, 6 баллов соответствуют приблизительной ЧСС в покое = 60 уд/мин., а 20 баллов - приблизительной ЧСС макс = 200 уд.</w:t>
      </w:r>
      <w:r w:rsidR="00485DB0">
        <w:rPr>
          <w:rFonts w:eastAsia="Times New Roman" w:cs="Times New Roman"/>
          <w:sz w:val="24"/>
          <w:szCs w:val="24"/>
        </w:rPr>
        <w:t xml:space="preserve"> </w:t>
      </w:r>
      <w:r w:rsidRPr="00E93789">
        <w:rPr>
          <w:rFonts w:eastAsia="Times New Roman" w:cs="Times New Roman"/>
          <w:sz w:val="24"/>
          <w:szCs w:val="24"/>
        </w:rPr>
        <w:t xml:space="preserve">/мин.).  Данная градация усилия при выполнении нагрузки принимает во внимание все, что связанно с проявлением усталости во время тренировочного занятия. Эти характеристики согласуются с такими показателями, как ЧСС, величина легочной вентиляции, потребление кислорода и общая усталость. </w:t>
      </w:r>
    </w:p>
    <w:p w14:paraId="7EA5B88E" w14:textId="77777777" w:rsidR="00E93789" w:rsidRPr="00E93789" w:rsidRDefault="00E93789" w:rsidP="00E93789">
      <w:pPr>
        <w:spacing w:after="0" w:line="360" w:lineRule="auto"/>
        <w:jc w:val="both"/>
        <w:rPr>
          <w:rFonts w:eastAsia="Times New Roman" w:cs="Times New Roman"/>
          <w:b/>
          <w:bCs/>
          <w:sz w:val="24"/>
          <w:szCs w:val="24"/>
        </w:rPr>
      </w:pPr>
      <w:r w:rsidRPr="00E93789">
        <w:rPr>
          <w:rFonts w:eastAsia="Times New Roman" w:cs="Times New Roman"/>
          <w:b/>
          <w:bCs/>
          <w:sz w:val="24"/>
          <w:szCs w:val="24"/>
        </w:rPr>
        <w:t>Пояснения: имеется</w:t>
      </w:r>
      <w:r w:rsidRPr="00E93789">
        <w:rPr>
          <w:rFonts w:eastAsia="Times New Roman" w:cs="Times New Roman"/>
          <w:sz w:val="24"/>
          <w:szCs w:val="24"/>
        </w:rPr>
        <w:t xml:space="preserve"> высокая степень взаимосвязи между уровнем воспринимаемого напряжения, кратному 10, и фактическим сердечным ритмом; поэтому уровень </w:t>
      </w:r>
      <w:r w:rsidRPr="00E93789">
        <w:rPr>
          <w:rFonts w:eastAsia="Times New Roman" w:cs="Times New Roman"/>
          <w:sz w:val="24"/>
          <w:szCs w:val="24"/>
        </w:rPr>
        <w:lastRenderedPageBreak/>
        <w:t>воспринимаемого напряжения может дать достаточно объективную оценку фактического сердечного ритма во время физической активности.  Например, если уровень воспринимаемого напряжения равен 12, тогда 12 x 10 = 120 уд/м. То есть в данном случае ЧСС должна быть приблизительно 120 ударов в минуту. Подобное вычисление ЧСС является приблизительным, а реальное значение ЧСС может немного варьировать в зависимости от возраста человека и его физической формы.</w:t>
      </w:r>
      <w:r w:rsidRPr="00E93789">
        <w:rPr>
          <w:rFonts w:eastAsia="Times New Roman" w:cs="Times New Roman"/>
          <w:b/>
          <w:bCs/>
          <w:sz w:val="24"/>
          <w:szCs w:val="24"/>
        </w:rPr>
        <w:t xml:space="preserve"> </w:t>
      </w:r>
    </w:p>
    <w:p w14:paraId="36A60FF9" w14:textId="77777777" w:rsidR="00130B63" w:rsidRPr="00130B63" w:rsidRDefault="00130B63" w:rsidP="00E93789">
      <w:pPr>
        <w:spacing w:after="0" w:line="360" w:lineRule="auto"/>
        <w:jc w:val="both"/>
        <w:rPr>
          <w:rFonts w:eastAsia="Times New Roman" w:cs="Times New Roman"/>
          <w:sz w:val="24"/>
          <w:szCs w:val="24"/>
        </w:rPr>
      </w:pPr>
    </w:p>
    <w:sectPr w:rsidR="00130B63" w:rsidRPr="00130B63" w:rsidSect="00FA2C6B">
      <w:headerReference w:type="even" r:id="rId50"/>
      <w:headerReference w:type="default" r:id="rId51"/>
      <w:footerReference w:type="even" r:id="rId52"/>
      <w:footerReference w:type="default" r:id="rId53"/>
      <w:pgSz w:w="11900" w:h="16840"/>
      <w:pgMar w:top="993" w:right="850" w:bottom="1134" w:left="1701" w:header="709" w:footer="85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52381B" w14:textId="77777777" w:rsidR="00765F69" w:rsidRDefault="00765F69" w:rsidP="001B274E">
      <w:pPr>
        <w:spacing w:after="0"/>
      </w:pPr>
      <w:r>
        <w:separator/>
      </w:r>
    </w:p>
  </w:endnote>
  <w:endnote w:type="continuationSeparator" w:id="0">
    <w:p w14:paraId="3723B8D6" w14:textId="77777777" w:rsidR="00765F69" w:rsidRDefault="00765F69" w:rsidP="001B274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Octava">
    <w:altName w:val="Calibri"/>
    <w:panose1 w:val="00000000000000000000"/>
    <w:charset w:val="00"/>
    <w:family w:val="auto"/>
    <w:notTrueType/>
    <w:pitch w:val="default"/>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01F902" w14:textId="77777777" w:rsidR="00B03386" w:rsidRDefault="00B0338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0672643"/>
      <w:docPartObj>
        <w:docPartGallery w:val="Page Numbers (Bottom of Page)"/>
        <w:docPartUnique/>
      </w:docPartObj>
    </w:sdtPr>
    <w:sdtEndPr/>
    <w:sdtContent>
      <w:p w14:paraId="0624BA6D" w14:textId="7A7E950B" w:rsidR="00B03386" w:rsidRDefault="00B03386">
        <w:pPr>
          <w:pStyle w:val="af"/>
          <w:jc w:val="center"/>
        </w:pPr>
        <w:r>
          <w:fldChar w:fldCharType="begin"/>
        </w:r>
        <w:r>
          <w:instrText>PAGE   \* MERGEFORMAT</w:instrText>
        </w:r>
        <w:r>
          <w:fldChar w:fldCharType="separate"/>
        </w:r>
        <w:r w:rsidR="00F67021">
          <w:rPr>
            <w:noProof/>
          </w:rPr>
          <w:t>4</w:t>
        </w:r>
        <w:r>
          <w:fldChar w:fldCharType="end"/>
        </w:r>
      </w:p>
    </w:sdtContent>
  </w:sdt>
  <w:p w14:paraId="27593690" w14:textId="77777777" w:rsidR="00B03386" w:rsidRDefault="00B03386"/>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9437858"/>
      <w:docPartObj>
        <w:docPartGallery w:val="Page Numbers (Bottom of Page)"/>
        <w:docPartUnique/>
      </w:docPartObj>
    </w:sdtPr>
    <w:sdtEndPr/>
    <w:sdtContent>
      <w:p w14:paraId="2BD1B0DE" w14:textId="58F34E13" w:rsidR="00B03386" w:rsidRDefault="00B03386">
        <w:pPr>
          <w:pStyle w:val="af"/>
          <w:jc w:val="center"/>
        </w:pPr>
        <w:r>
          <w:fldChar w:fldCharType="begin"/>
        </w:r>
        <w:r>
          <w:instrText>PAGE   \* MERGEFORMAT</w:instrText>
        </w:r>
        <w:r>
          <w:fldChar w:fldCharType="separate"/>
        </w:r>
        <w:r>
          <w:t>2</w:t>
        </w:r>
        <w:r>
          <w:fldChar w:fldCharType="end"/>
        </w:r>
      </w:p>
    </w:sdtContent>
  </w:sdt>
  <w:p w14:paraId="12CA35A3" w14:textId="77777777" w:rsidR="00B03386" w:rsidRDefault="00B03386">
    <w:pPr>
      <w:spacing w:line="1" w:lineRule="exac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2870669"/>
      <w:docPartObj>
        <w:docPartGallery w:val="Page Numbers (Bottom of Page)"/>
        <w:docPartUnique/>
      </w:docPartObj>
    </w:sdtPr>
    <w:sdtEndPr/>
    <w:sdtContent>
      <w:p w14:paraId="553BAB19" w14:textId="77273026" w:rsidR="00B03386" w:rsidRDefault="00B03386">
        <w:pPr>
          <w:pStyle w:val="af"/>
          <w:jc w:val="center"/>
        </w:pPr>
        <w:r>
          <w:fldChar w:fldCharType="begin"/>
        </w:r>
        <w:r>
          <w:instrText>PAGE   \* MERGEFORMAT</w:instrText>
        </w:r>
        <w:r>
          <w:fldChar w:fldCharType="separate"/>
        </w:r>
        <w:r w:rsidR="00F67021">
          <w:rPr>
            <w:noProof/>
          </w:rPr>
          <w:t>180</w:t>
        </w:r>
        <w:r>
          <w:fldChar w:fldCharType="end"/>
        </w:r>
      </w:p>
    </w:sdtContent>
  </w:sdt>
  <w:p w14:paraId="0E34A164" w14:textId="319DA7AE" w:rsidR="00B03386" w:rsidRDefault="00B03386">
    <w:pPr>
      <w:spacing w:line="1"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C753B5" w14:textId="77777777" w:rsidR="00765F69" w:rsidRDefault="00765F69" w:rsidP="001B274E">
      <w:pPr>
        <w:spacing w:after="0"/>
      </w:pPr>
      <w:r>
        <w:separator/>
      </w:r>
    </w:p>
  </w:footnote>
  <w:footnote w:type="continuationSeparator" w:id="0">
    <w:p w14:paraId="1067C07C" w14:textId="77777777" w:rsidR="00765F69" w:rsidRDefault="00765F69" w:rsidP="001B274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7E0853" w14:textId="77777777" w:rsidR="00B03386" w:rsidRDefault="00B0338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458CBF" w14:textId="77777777" w:rsidR="00B03386" w:rsidRDefault="00B03386"/>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1CE65D" w14:textId="77777777" w:rsidR="00B03386" w:rsidRDefault="00B03386"/>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5535F1" w14:textId="77777777" w:rsidR="00B03386" w:rsidRDefault="00B0338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FFFFFFFF"/>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15:restartNumberingAfterBreak="0">
    <w:nsid w:val="00000003"/>
    <w:multiLevelType w:val="multilevel"/>
    <w:tmpl w:val="FFFFFFFF"/>
    <w:lvl w:ilvl="0">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abstractNum>
  <w:abstractNum w:abstractNumId="2" w15:restartNumberingAfterBreak="0">
    <w:nsid w:val="00000005"/>
    <w:multiLevelType w:val="multilevel"/>
    <w:tmpl w:val="FFFFFFFF"/>
    <w:lvl w:ilvl="0">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abstractNum>
  <w:abstractNum w:abstractNumId="3" w15:restartNumberingAfterBreak="0">
    <w:nsid w:val="00000007"/>
    <w:multiLevelType w:val="multilevel"/>
    <w:tmpl w:val="FFFFFFFF"/>
    <w:lvl w:ilvl="0">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abstractNum>
  <w:abstractNum w:abstractNumId="4" w15:restartNumberingAfterBreak="0">
    <w:nsid w:val="00F97CEE"/>
    <w:multiLevelType w:val="multilevel"/>
    <w:tmpl w:val="10D067AA"/>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13F017F"/>
    <w:multiLevelType w:val="multilevel"/>
    <w:tmpl w:val="2420609A"/>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4D47503"/>
    <w:multiLevelType w:val="multilevel"/>
    <w:tmpl w:val="9E8E34D4"/>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52D35A8"/>
    <w:multiLevelType w:val="hybridMultilevel"/>
    <w:tmpl w:val="23D86F84"/>
    <w:lvl w:ilvl="0" w:tplc="BA6EA5EE">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74C2B32"/>
    <w:multiLevelType w:val="multilevel"/>
    <w:tmpl w:val="9B42E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2E50B6"/>
    <w:multiLevelType w:val="multilevel"/>
    <w:tmpl w:val="134A7FB0"/>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AA925D6"/>
    <w:multiLevelType w:val="multilevel"/>
    <w:tmpl w:val="74380486"/>
    <w:lvl w:ilvl="0">
      <w:start w:val="1"/>
      <w:numFmt w:val="decimal"/>
      <w:lvlText w:val="%1"/>
      <w:lvlJc w:val="left"/>
      <w:pPr>
        <w:ind w:left="360" w:hanging="360"/>
      </w:pPr>
      <w:rPr>
        <w:rFonts w:eastAsiaTheme="majorEastAsia" w:hint="default"/>
        <w:b/>
        <w:u w:val="single"/>
      </w:rPr>
    </w:lvl>
    <w:lvl w:ilvl="1">
      <w:start w:val="2"/>
      <w:numFmt w:val="decimal"/>
      <w:lvlText w:val="%1.%2"/>
      <w:lvlJc w:val="left"/>
      <w:pPr>
        <w:ind w:left="360" w:hanging="360"/>
      </w:pPr>
      <w:rPr>
        <w:rFonts w:eastAsiaTheme="majorEastAsia" w:hint="default"/>
        <w:b/>
        <w:u w:val="single"/>
      </w:rPr>
    </w:lvl>
    <w:lvl w:ilvl="2">
      <w:start w:val="1"/>
      <w:numFmt w:val="decimal"/>
      <w:lvlText w:val="%1.%2.%3"/>
      <w:lvlJc w:val="left"/>
      <w:pPr>
        <w:ind w:left="720" w:hanging="720"/>
      </w:pPr>
      <w:rPr>
        <w:rFonts w:eastAsiaTheme="majorEastAsia" w:hint="default"/>
        <w:b/>
        <w:u w:val="single"/>
      </w:rPr>
    </w:lvl>
    <w:lvl w:ilvl="3">
      <w:start w:val="1"/>
      <w:numFmt w:val="decimal"/>
      <w:lvlText w:val="%1.%2.%3.%4"/>
      <w:lvlJc w:val="left"/>
      <w:pPr>
        <w:ind w:left="720" w:hanging="720"/>
      </w:pPr>
      <w:rPr>
        <w:rFonts w:eastAsiaTheme="majorEastAsia" w:hint="default"/>
        <w:b/>
        <w:u w:val="single"/>
      </w:rPr>
    </w:lvl>
    <w:lvl w:ilvl="4">
      <w:start w:val="1"/>
      <w:numFmt w:val="decimal"/>
      <w:lvlText w:val="%1.%2.%3.%4.%5"/>
      <w:lvlJc w:val="left"/>
      <w:pPr>
        <w:ind w:left="1080" w:hanging="1080"/>
      </w:pPr>
      <w:rPr>
        <w:rFonts w:eastAsiaTheme="majorEastAsia" w:hint="default"/>
        <w:b/>
        <w:u w:val="single"/>
      </w:rPr>
    </w:lvl>
    <w:lvl w:ilvl="5">
      <w:start w:val="1"/>
      <w:numFmt w:val="decimal"/>
      <w:lvlText w:val="%1.%2.%3.%4.%5.%6"/>
      <w:lvlJc w:val="left"/>
      <w:pPr>
        <w:ind w:left="1080" w:hanging="1080"/>
      </w:pPr>
      <w:rPr>
        <w:rFonts w:eastAsiaTheme="majorEastAsia" w:hint="default"/>
        <w:b/>
        <w:u w:val="single"/>
      </w:rPr>
    </w:lvl>
    <w:lvl w:ilvl="6">
      <w:start w:val="1"/>
      <w:numFmt w:val="decimal"/>
      <w:lvlText w:val="%1.%2.%3.%4.%5.%6.%7"/>
      <w:lvlJc w:val="left"/>
      <w:pPr>
        <w:ind w:left="1440" w:hanging="1440"/>
      </w:pPr>
      <w:rPr>
        <w:rFonts w:eastAsiaTheme="majorEastAsia" w:hint="default"/>
        <w:b/>
        <w:u w:val="single"/>
      </w:rPr>
    </w:lvl>
    <w:lvl w:ilvl="7">
      <w:start w:val="1"/>
      <w:numFmt w:val="decimal"/>
      <w:lvlText w:val="%1.%2.%3.%4.%5.%6.%7.%8"/>
      <w:lvlJc w:val="left"/>
      <w:pPr>
        <w:ind w:left="1440" w:hanging="1440"/>
      </w:pPr>
      <w:rPr>
        <w:rFonts w:eastAsiaTheme="majorEastAsia" w:hint="default"/>
        <w:b/>
        <w:u w:val="single"/>
      </w:rPr>
    </w:lvl>
    <w:lvl w:ilvl="8">
      <w:start w:val="1"/>
      <w:numFmt w:val="decimal"/>
      <w:lvlText w:val="%1.%2.%3.%4.%5.%6.%7.%8.%9"/>
      <w:lvlJc w:val="left"/>
      <w:pPr>
        <w:ind w:left="1800" w:hanging="1800"/>
      </w:pPr>
      <w:rPr>
        <w:rFonts w:eastAsiaTheme="majorEastAsia" w:hint="default"/>
        <w:b/>
        <w:u w:val="single"/>
      </w:rPr>
    </w:lvl>
  </w:abstractNum>
  <w:abstractNum w:abstractNumId="11" w15:restartNumberingAfterBreak="0">
    <w:nsid w:val="0AC4345E"/>
    <w:multiLevelType w:val="multilevel"/>
    <w:tmpl w:val="863646C6"/>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AFD3FCF"/>
    <w:multiLevelType w:val="multilevel"/>
    <w:tmpl w:val="41385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B130B70"/>
    <w:multiLevelType w:val="multilevel"/>
    <w:tmpl w:val="FFBC6FEC"/>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C926512"/>
    <w:multiLevelType w:val="multilevel"/>
    <w:tmpl w:val="797C267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DEC3EA1"/>
    <w:multiLevelType w:val="hybridMultilevel"/>
    <w:tmpl w:val="4B6E0BA6"/>
    <w:lvl w:ilvl="0" w:tplc="2EAAA5DA">
      <w:start w:val="1"/>
      <w:numFmt w:val="bullet"/>
      <w:lvlText w:val=""/>
      <w:lvlJc w:val="left"/>
      <w:pPr>
        <w:ind w:left="720" w:hanging="360"/>
      </w:pPr>
      <w:rPr>
        <w:rFonts w:ascii="Symbol" w:hAnsi="Symbol" w:hint="default"/>
        <w:sz w:val="18"/>
        <w:szCs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1CF72AF"/>
    <w:multiLevelType w:val="multilevel"/>
    <w:tmpl w:val="D0FE4A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2CB38EA"/>
    <w:multiLevelType w:val="multilevel"/>
    <w:tmpl w:val="42F4E2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2F87B2A"/>
    <w:multiLevelType w:val="multilevel"/>
    <w:tmpl w:val="756651CE"/>
    <w:lvl w:ilvl="0">
      <w:start w:val="1"/>
      <w:numFmt w:val="bullet"/>
      <w:lvlText w:val="•"/>
      <w:lvlJc w:val="left"/>
      <w:rPr>
        <w:rFonts w:ascii="Arial" w:eastAsia="Arial" w:hAnsi="Arial" w:cs="Arial"/>
        <w:b w:val="0"/>
        <w:bCs w:val="0"/>
        <w:i/>
        <w:iCs/>
        <w:smallCaps w:val="0"/>
        <w:strike w:val="0"/>
        <w:color w:val="000000"/>
        <w:spacing w:val="0"/>
        <w:w w:val="100"/>
        <w:position w:val="0"/>
        <w:sz w:val="22"/>
        <w:szCs w:val="22"/>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4900701"/>
    <w:multiLevelType w:val="hybridMultilevel"/>
    <w:tmpl w:val="E1CE3E9E"/>
    <w:lvl w:ilvl="0" w:tplc="2EAAA5DA">
      <w:start w:val="1"/>
      <w:numFmt w:val="bullet"/>
      <w:lvlText w:val=""/>
      <w:lvlJc w:val="left"/>
      <w:pPr>
        <w:ind w:left="720" w:hanging="360"/>
      </w:pPr>
      <w:rPr>
        <w:rFonts w:ascii="Symbol" w:hAnsi="Symbol" w:hint="default"/>
        <w:sz w:val="18"/>
        <w:szCs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9E069E4"/>
    <w:multiLevelType w:val="multilevel"/>
    <w:tmpl w:val="5860DAE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1F99701C"/>
    <w:multiLevelType w:val="multilevel"/>
    <w:tmpl w:val="7EDC309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3151D8B"/>
    <w:multiLevelType w:val="multilevel"/>
    <w:tmpl w:val="172A10D2"/>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361708B"/>
    <w:multiLevelType w:val="multilevel"/>
    <w:tmpl w:val="C4EE84B0"/>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239D6CF7"/>
    <w:multiLevelType w:val="hybridMultilevel"/>
    <w:tmpl w:val="AFE202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93F1903"/>
    <w:multiLevelType w:val="multilevel"/>
    <w:tmpl w:val="7A522E6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A541C7E"/>
    <w:multiLevelType w:val="multilevel"/>
    <w:tmpl w:val="8F8C9488"/>
    <w:lvl w:ilvl="0">
      <w:start w:val="1"/>
      <w:numFmt w:val="bullet"/>
      <w:lvlText w:val="•"/>
      <w:lvlJc w:val="left"/>
      <w:rPr>
        <w:rFonts w:ascii="Arial" w:eastAsia="Arial" w:hAnsi="Arial" w:cs="Arial"/>
        <w:b w:val="0"/>
        <w:bCs w:val="0"/>
        <w:i/>
        <w:iCs/>
        <w:smallCaps w:val="0"/>
        <w:strike w:val="0"/>
        <w:color w:val="000000"/>
        <w:spacing w:val="0"/>
        <w:w w:val="100"/>
        <w:position w:val="0"/>
        <w:sz w:val="22"/>
        <w:szCs w:val="22"/>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2B3A0F3E"/>
    <w:multiLevelType w:val="multilevel"/>
    <w:tmpl w:val="E5CEB14E"/>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2B7D1CB9"/>
    <w:multiLevelType w:val="multilevel"/>
    <w:tmpl w:val="26DC1A6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32E36B33"/>
    <w:multiLevelType w:val="hybridMultilevel"/>
    <w:tmpl w:val="7F14AE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88E4D30"/>
    <w:multiLevelType w:val="multilevel"/>
    <w:tmpl w:val="DE4C94FE"/>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3A4774E1"/>
    <w:multiLevelType w:val="multilevel"/>
    <w:tmpl w:val="37A62F4E"/>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3B8B74A2"/>
    <w:multiLevelType w:val="multilevel"/>
    <w:tmpl w:val="72DCDC74"/>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3CF955DE"/>
    <w:multiLevelType w:val="hybridMultilevel"/>
    <w:tmpl w:val="C3EE162C"/>
    <w:lvl w:ilvl="0" w:tplc="2EAAA5DA">
      <w:start w:val="1"/>
      <w:numFmt w:val="bullet"/>
      <w:lvlText w:val=""/>
      <w:lvlJc w:val="left"/>
      <w:pPr>
        <w:ind w:left="720" w:hanging="360"/>
      </w:pPr>
      <w:rPr>
        <w:rFonts w:ascii="Symbol" w:hAnsi="Symbol" w:hint="default"/>
        <w:sz w:val="18"/>
        <w:szCs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FE27CE0"/>
    <w:multiLevelType w:val="multilevel"/>
    <w:tmpl w:val="CECACB38"/>
    <w:lvl w:ilvl="0">
      <w:start w:val="2"/>
      <w:numFmt w:val="decimal"/>
      <w:lvlText w:val="%1"/>
      <w:lvlJc w:val="left"/>
      <w:pPr>
        <w:ind w:left="360" w:hanging="360"/>
      </w:pPr>
      <w:rPr>
        <w:rFonts w:hint="default"/>
        <w:b/>
        <w:color w:val="231F20"/>
      </w:rPr>
    </w:lvl>
    <w:lvl w:ilvl="1">
      <w:start w:val="3"/>
      <w:numFmt w:val="decimal"/>
      <w:lvlText w:val="%1.%2"/>
      <w:lvlJc w:val="left"/>
      <w:pPr>
        <w:ind w:left="360" w:hanging="360"/>
      </w:pPr>
      <w:rPr>
        <w:rFonts w:hint="default"/>
        <w:b/>
        <w:color w:val="231F20"/>
      </w:rPr>
    </w:lvl>
    <w:lvl w:ilvl="2">
      <w:start w:val="1"/>
      <w:numFmt w:val="decimal"/>
      <w:lvlText w:val="%1.%2.%3"/>
      <w:lvlJc w:val="left"/>
      <w:pPr>
        <w:ind w:left="720" w:hanging="720"/>
      </w:pPr>
      <w:rPr>
        <w:rFonts w:hint="default"/>
        <w:b/>
        <w:color w:val="231F20"/>
      </w:rPr>
    </w:lvl>
    <w:lvl w:ilvl="3">
      <w:start w:val="1"/>
      <w:numFmt w:val="decimal"/>
      <w:lvlText w:val="%1.%2.%3.%4"/>
      <w:lvlJc w:val="left"/>
      <w:pPr>
        <w:ind w:left="720" w:hanging="720"/>
      </w:pPr>
      <w:rPr>
        <w:rFonts w:hint="default"/>
        <w:b/>
        <w:color w:val="231F20"/>
      </w:rPr>
    </w:lvl>
    <w:lvl w:ilvl="4">
      <w:start w:val="1"/>
      <w:numFmt w:val="decimal"/>
      <w:lvlText w:val="%1.%2.%3.%4.%5"/>
      <w:lvlJc w:val="left"/>
      <w:pPr>
        <w:ind w:left="1080" w:hanging="1080"/>
      </w:pPr>
      <w:rPr>
        <w:rFonts w:hint="default"/>
        <w:b/>
        <w:color w:val="231F20"/>
      </w:rPr>
    </w:lvl>
    <w:lvl w:ilvl="5">
      <w:start w:val="1"/>
      <w:numFmt w:val="decimal"/>
      <w:lvlText w:val="%1.%2.%3.%4.%5.%6"/>
      <w:lvlJc w:val="left"/>
      <w:pPr>
        <w:ind w:left="1080" w:hanging="1080"/>
      </w:pPr>
      <w:rPr>
        <w:rFonts w:hint="default"/>
        <w:b/>
        <w:color w:val="231F20"/>
      </w:rPr>
    </w:lvl>
    <w:lvl w:ilvl="6">
      <w:start w:val="1"/>
      <w:numFmt w:val="decimal"/>
      <w:lvlText w:val="%1.%2.%3.%4.%5.%6.%7"/>
      <w:lvlJc w:val="left"/>
      <w:pPr>
        <w:ind w:left="1440" w:hanging="1440"/>
      </w:pPr>
      <w:rPr>
        <w:rFonts w:hint="default"/>
        <w:b/>
        <w:color w:val="231F20"/>
      </w:rPr>
    </w:lvl>
    <w:lvl w:ilvl="7">
      <w:start w:val="1"/>
      <w:numFmt w:val="decimal"/>
      <w:lvlText w:val="%1.%2.%3.%4.%5.%6.%7.%8"/>
      <w:lvlJc w:val="left"/>
      <w:pPr>
        <w:ind w:left="1440" w:hanging="1440"/>
      </w:pPr>
      <w:rPr>
        <w:rFonts w:hint="default"/>
        <w:b/>
        <w:color w:val="231F20"/>
      </w:rPr>
    </w:lvl>
    <w:lvl w:ilvl="8">
      <w:start w:val="1"/>
      <w:numFmt w:val="decimal"/>
      <w:lvlText w:val="%1.%2.%3.%4.%5.%6.%7.%8.%9"/>
      <w:lvlJc w:val="left"/>
      <w:pPr>
        <w:ind w:left="1800" w:hanging="1800"/>
      </w:pPr>
      <w:rPr>
        <w:rFonts w:hint="default"/>
        <w:b/>
        <w:color w:val="231F20"/>
      </w:rPr>
    </w:lvl>
  </w:abstractNum>
  <w:abstractNum w:abstractNumId="35" w15:restartNumberingAfterBreak="0">
    <w:nsid w:val="3FEA34D4"/>
    <w:multiLevelType w:val="hybridMultilevel"/>
    <w:tmpl w:val="AE8CB1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427421BC"/>
    <w:multiLevelType w:val="hybridMultilevel"/>
    <w:tmpl w:val="88243920"/>
    <w:lvl w:ilvl="0" w:tplc="DCFE75D4">
      <w:start w:val="1"/>
      <w:numFmt w:val="bullet"/>
      <w:lvlText w:val=""/>
      <w:lvlJc w:val="left"/>
      <w:pPr>
        <w:ind w:left="720" w:hanging="360"/>
      </w:pPr>
      <w:rPr>
        <w:rFonts w:ascii="Symbol" w:hAnsi="Symbol" w:hint="default"/>
        <w:sz w:val="18"/>
        <w:szCs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42FA2F02"/>
    <w:multiLevelType w:val="multilevel"/>
    <w:tmpl w:val="32A44CBA"/>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45621510"/>
    <w:multiLevelType w:val="multilevel"/>
    <w:tmpl w:val="515CADF4"/>
    <w:lvl w:ilvl="0">
      <w:start w:val="1"/>
      <w:numFmt w:val="bullet"/>
      <w:lvlText w:val="•"/>
      <w:lvlJc w:val="left"/>
      <w:rPr>
        <w:rFonts w:ascii="Arial" w:eastAsia="Arial" w:hAnsi="Arial" w:cs="Arial"/>
        <w:b w:val="0"/>
        <w:bCs w:val="0"/>
        <w:i w:val="0"/>
        <w:iCs w:val="0"/>
        <w:smallCaps w:val="0"/>
        <w:strike w:val="0"/>
        <w:color w:val="212121"/>
        <w:spacing w:val="0"/>
        <w:w w:val="100"/>
        <w:position w:val="0"/>
        <w:sz w:val="22"/>
        <w:szCs w:val="22"/>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4857783E"/>
    <w:multiLevelType w:val="multilevel"/>
    <w:tmpl w:val="840AED0E"/>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48786836"/>
    <w:multiLevelType w:val="multilevel"/>
    <w:tmpl w:val="746CC7B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4A2E07C6"/>
    <w:multiLevelType w:val="multilevel"/>
    <w:tmpl w:val="ACF858D6"/>
    <w:lvl w:ilvl="0">
      <w:start w:val="1"/>
      <w:numFmt w:val="bullet"/>
      <w:lvlText w:val="•"/>
      <w:lvlJc w:val="left"/>
      <w:rPr>
        <w:rFonts w:ascii="Courier New" w:eastAsia="Courier New" w:hAnsi="Courier New" w:cs="Courier New"/>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4A6B307E"/>
    <w:multiLevelType w:val="hybridMultilevel"/>
    <w:tmpl w:val="F926B3C2"/>
    <w:lvl w:ilvl="0" w:tplc="2EAAA5DA">
      <w:start w:val="1"/>
      <w:numFmt w:val="bullet"/>
      <w:lvlText w:val=""/>
      <w:lvlJc w:val="left"/>
      <w:pPr>
        <w:ind w:left="720" w:hanging="360"/>
      </w:pPr>
      <w:rPr>
        <w:rFonts w:ascii="Symbol" w:hAnsi="Symbol" w:hint="default"/>
        <w:sz w:val="18"/>
        <w:szCs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4EE91389"/>
    <w:multiLevelType w:val="multilevel"/>
    <w:tmpl w:val="6422FE6E"/>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4F29294C"/>
    <w:multiLevelType w:val="hybridMultilevel"/>
    <w:tmpl w:val="775686E2"/>
    <w:lvl w:ilvl="0" w:tplc="2EAAA5DA">
      <w:start w:val="1"/>
      <w:numFmt w:val="bullet"/>
      <w:lvlText w:val=""/>
      <w:lvlJc w:val="left"/>
      <w:pPr>
        <w:ind w:left="720" w:hanging="360"/>
      </w:pPr>
      <w:rPr>
        <w:rFonts w:ascii="Symbol" w:hAnsi="Symbol" w:hint="default"/>
        <w:sz w:val="18"/>
        <w:szCs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82A1709"/>
    <w:multiLevelType w:val="multilevel"/>
    <w:tmpl w:val="C242ECE0"/>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58504AC7"/>
    <w:multiLevelType w:val="multilevel"/>
    <w:tmpl w:val="11B46838"/>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5D600402"/>
    <w:multiLevelType w:val="multilevel"/>
    <w:tmpl w:val="CD76D9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5D6E0C49"/>
    <w:multiLevelType w:val="multilevel"/>
    <w:tmpl w:val="EBC4870E"/>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5FBF7520"/>
    <w:multiLevelType w:val="multilevel"/>
    <w:tmpl w:val="4A2AAB26"/>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61106701"/>
    <w:multiLevelType w:val="multilevel"/>
    <w:tmpl w:val="A5484484"/>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625051D2"/>
    <w:multiLevelType w:val="multilevel"/>
    <w:tmpl w:val="32626360"/>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63074AC1"/>
    <w:multiLevelType w:val="multilevel"/>
    <w:tmpl w:val="0E5E92FA"/>
    <w:lvl w:ilvl="0">
      <w:start w:val="1"/>
      <w:numFmt w:val="decimal"/>
      <w:lvlText w:val="%1"/>
      <w:lvlJc w:val="left"/>
      <w:pPr>
        <w:ind w:left="360" w:hanging="360"/>
      </w:pPr>
      <w:rPr>
        <w:rFonts w:eastAsia="Times New Roman" w:hint="default"/>
        <w:b/>
        <w:sz w:val="24"/>
        <w:u w:val="single"/>
      </w:rPr>
    </w:lvl>
    <w:lvl w:ilvl="1">
      <w:start w:val="4"/>
      <w:numFmt w:val="decimal"/>
      <w:lvlText w:val="%1.%2"/>
      <w:lvlJc w:val="left"/>
      <w:pPr>
        <w:ind w:left="360" w:hanging="360"/>
      </w:pPr>
      <w:rPr>
        <w:rFonts w:eastAsia="Times New Roman" w:hint="default"/>
        <w:b/>
        <w:sz w:val="24"/>
        <w:u w:val="single"/>
      </w:rPr>
    </w:lvl>
    <w:lvl w:ilvl="2">
      <w:start w:val="1"/>
      <w:numFmt w:val="decimal"/>
      <w:lvlText w:val="%1.%2.%3"/>
      <w:lvlJc w:val="left"/>
      <w:pPr>
        <w:ind w:left="720" w:hanging="720"/>
      </w:pPr>
      <w:rPr>
        <w:rFonts w:eastAsia="Times New Roman" w:hint="default"/>
        <w:b/>
        <w:sz w:val="24"/>
        <w:u w:val="single"/>
      </w:rPr>
    </w:lvl>
    <w:lvl w:ilvl="3">
      <w:start w:val="1"/>
      <w:numFmt w:val="decimal"/>
      <w:lvlText w:val="%1.%2.%3.%4"/>
      <w:lvlJc w:val="left"/>
      <w:pPr>
        <w:ind w:left="720" w:hanging="720"/>
      </w:pPr>
      <w:rPr>
        <w:rFonts w:eastAsia="Times New Roman" w:hint="default"/>
        <w:b/>
        <w:sz w:val="24"/>
        <w:u w:val="single"/>
      </w:rPr>
    </w:lvl>
    <w:lvl w:ilvl="4">
      <w:start w:val="1"/>
      <w:numFmt w:val="decimal"/>
      <w:lvlText w:val="%1.%2.%3.%4.%5"/>
      <w:lvlJc w:val="left"/>
      <w:pPr>
        <w:ind w:left="1080" w:hanging="1080"/>
      </w:pPr>
      <w:rPr>
        <w:rFonts w:eastAsia="Times New Roman" w:hint="default"/>
        <w:b/>
        <w:sz w:val="24"/>
        <w:u w:val="single"/>
      </w:rPr>
    </w:lvl>
    <w:lvl w:ilvl="5">
      <w:start w:val="1"/>
      <w:numFmt w:val="decimal"/>
      <w:lvlText w:val="%1.%2.%3.%4.%5.%6"/>
      <w:lvlJc w:val="left"/>
      <w:pPr>
        <w:ind w:left="1080" w:hanging="1080"/>
      </w:pPr>
      <w:rPr>
        <w:rFonts w:eastAsia="Times New Roman" w:hint="default"/>
        <w:b/>
        <w:sz w:val="24"/>
        <w:u w:val="single"/>
      </w:rPr>
    </w:lvl>
    <w:lvl w:ilvl="6">
      <w:start w:val="1"/>
      <w:numFmt w:val="decimal"/>
      <w:lvlText w:val="%1.%2.%3.%4.%5.%6.%7"/>
      <w:lvlJc w:val="left"/>
      <w:pPr>
        <w:ind w:left="1440" w:hanging="1440"/>
      </w:pPr>
      <w:rPr>
        <w:rFonts w:eastAsia="Times New Roman" w:hint="default"/>
        <w:b/>
        <w:sz w:val="24"/>
        <w:u w:val="single"/>
      </w:rPr>
    </w:lvl>
    <w:lvl w:ilvl="7">
      <w:start w:val="1"/>
      <w:numFmt w:val="decimal"/>
      <w:lvlText w:val="%1.%2.%3.%4.%5.%6.%7.%8"/>
      <w:lvlJc w:val="left"/>
      <w:pPr>
        <w:ind w:left="1440" w:hanging="1440"/>
      </w:pPr>
      <w:rPr>
        <w:rFonts w:eastAsia="Times New Roman" w:hint="default"/>
        <w:b/>
        <w:sz w:val="24"/>
        <w:u w:val="single"/>
      </w:rPr>
    </w:lvl>
    <w:lvl w:ilvl="8">
      <w:start w:val="1"/>
      <w:numFmt w:val="decimal"/>
      <w:lvlText w:val="%1.%2.%3.%4.%5.%6.%7.%8.%9"/>
      <w:lvlJc w:val="left"/>
      <w:pPr>
        <w:ind w:left="1440" w:hanging="1440"/>
      </w:pPr>
      <w:rPr>
        <w:rFonts w:eastAsia="Times New Roman" w:hint="default"/>
        <w:b/>
        <w:sz w:val="24"/>
        <w:u w:val="single"/>
      </w:rPr>
    </w:lvl>
  </w:abstractNum>
  <w:abstractNum w:abstractNumId="53" w15:restartNumberingAfterBreak="0">
    <w:nsid w:val="64B11FC9"/>
    <w:multiLevelType w:val="multilevel"/>
    <w:tmpl w:val="2D8A879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65F94B4A"/>
    <w:multiLevelType w:val="multilevel"/>
    <w:tmpl w:val="D59EA7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67445931"/>
    <w:multiLevelType w:val="multilevel"/>
    <w:tmpl w:val="D3B8AFDA"/>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67C41D56"/>
    <w:multiLevelType w:val="hybridMultilevel"/>
    <w:tmpl w:val="C28E3ECA"/>
    <w:lvl w:ilvl="0" w:tplc="2A542E1E">
      <w:start w:val="1"/>
      <w:numFmt w:val="bullet"/>
      <w:lvlText w:val=""/>
      <w:lvlJc w:val="left"/>
      <w:pPr>
        <w:ind w:left="720" w:hanging="360"/>
      </w:pPr>
      <w:rPr>
        <w:rFonts w:ascii="Symbol" w:hAnsi="Symbol" w:hint="default"/>
        <w:sz w:val="16"/>
        <w:szCs w:val="16"/>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6B695D4B"/>
    <w:multiLevelType w:val="multilevel"/>
    <w:tmpl w:val="868AC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B7658C1"/>
    <w:multiLevelType w:val="hybridMultilevel"/>
    <w:tmpl w:val="3FFC00E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9" w15:restartNumberingAfterBreak="0">
    <w:nsid w:val="6E3533BC"/>
    <w:multiLevelType w:val="multilevel"/>
    <w:tmpl w:val="E9E45CC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706F2AD1"/>
    <w:multiLevelType w:val="multilevel"/>
    <w:tmpl w:val="BD34F9C6"/>
    <w:lvl w:ilvl="0">
      <w:start w:val="1"/>
      <w:numFmt w:val="bullet"/>
      <w:lvlText w:val="-"/>
      <w:lvlJc w:val="left"/>
      <w:rPr>
        <w:rFonts w:ascii="Arial" w:eastAsia="Arial" w:hAnsi="Arial" w:cs="Arial"/>
        <w:b w:val="0"/>
        <w:bCs w:val="0"/>
        <w:i/>
        <w:iCs/>
        <w:smallCaps w:val="0"/>
        <w:strike w:val="0"/>
        <w:color w:val="000000"/>
        <w:spacing w:val="0"/>
        <w:w w:val="100"/>
        <w:position w:val="0"/>
        <w:sz w:val="22"/>
        <w:szCs w:val="22"/>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71854031"/>
    <w:multiLevelType w:val="multilevel"/>
    <w:tmpl w:val="9848AAD4"/>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772E020F"/>
    <w:multiLevelType w:val="hybridMultilevel"/>
    <w:tmpl w:val="6FE40C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786C1536"/>
    <w:multiLevelType w:val="multilevel"/>
    <w:tmpl w:val="BAD85FF4"/>
    <w:lvl w:ilvl="0">
      <w:start w:val="2"/>
      <w:numFmt w:val="decimal"/>
      <w:lvlText w:val="%1"/>
      <w:lvlJc w:val="left"/>
      <w:pPr>
        <w:ind w:left="360" w:hanging="360"/>
      </w:pPr>
      <w:rPr>
        <w:rFonts w:eastAsiaTheme="majorEastAsia" w:hint="default"/>
        <w:b/>
        <w:u w:val="single"/>
      </w:rPr>
    </w:lvl>
    <w:lvl w:ilvl="1">
      <w:start w:val="3"/>
      <w:numFmt w:val="decimal"/>
      <w:lvlText w:val="%1.%2"/>
      <w:lvlJc w:val="left"/>
      <w:pPr>
        <w:ind w:left="360" w:hanging="360"/>
      </w:pPr>
      <w:rPr>
        <w:rFonts w:eastAsiaTheme="majorEastAsia" w:hint="default"/>
        <w:b/>
        <w:u w:val="single"/>
      </w:rPr>
    </w:lvl>
    <w:lvl w:ilvl="2">
      <w:start w:val="1"/>
      <w:numFmt w:val="decimal"/>
      <w:lvlText w:val="%1.%2.%3"/>
      <w:lvlJc w:val="left"/>
      <w:pPr>
        <w:ind w:left="720" w:hanging="720"/>
      </w:pPr>
      <w:rPr>
        <w:rFonts w:eastAsiaTheme="majorEastAsia" w:hint="default"/>
        <w:b/>
        <w:u w:val="single"/>
      </w:rPr>
    </w:lvl>
    <w:lvl w:ilvl="3">
      <w:start w:val="1"/>
      <w:numFmt w:val="decimal"/>
      <w:lvlText w:val="%1.%2.%3.%4"/>
      <w:lvlJc w:val="left"/>
      <w:pPr>
        <w:ind w:left="720" w:hanging="720"/>
      </w:pPr>
      <w:rPr>
        <w:rFonts w:eastAsiaTheme="majorEastAsia" w:hint="default"/>
        <w:b/>
        <w:u w:val="single"/>
      </w:rPr>
    </w:lvl>
    <w:lvl w:ilvl="4">
      <w:start w:val="1"/>
      <w:numFmt w:val="decimal"/>
      <w:lvlText w:val="%1.%2.%3.%4.%5"/>
      <w:lvlJc w:val="left"/>
      <w:pPr>
        <w:ind w:left="1080" w:hanging="1080"/>
      </w:pPr>
      <w:rPr>
        <w:rFonts w:eastAsiaTheme="majorEastAsia" w:hint="default"/>
        <w:b/>
        <w:u w:val="single"/>
      </w:rPr>
    </w:lvl>
    <w:lvl w:ilvl="5">
      <w:start w:val="1"/>
      <w:numFmt w:val="decimal"/>
      <w:lvlText w:val="%1.%2.%3.%4.%5.%6"/>
      <w:lvlJc w:val="left"/>
      <w:pPr>
        <w:ind w:left="1080" w:hanging="1080"/>
      </w:pPr>
      <w:rPr>
        <w:rFonts w:eastAsiaTheme="majorEastAsia" w:hint="default"/>
        <w:b/>
        <w:u w:val="single"/>
      </w:rPr>
    </w:lvl>
    <w:lvl w:ilvl="6">
      <w:start w:val="1"/>
      <w:numFmt w:val="decimal"/>
      <w:lvlText w:val="%1.%2.%3.%4.%5.%6.%7"/>
      <w:lvlJc w:val="left"/>
      <w:pPr>
        <w:ind w:left="1440" w:hanging="1440"/>
      </w:pPr>
      <w:rPr>
        <w:rFonts w:eastAsiaTheme="majorEastAsia" w:hint="default"/>
        <w:b/>
        <w:u w:val="single"/>
      </w:rPr>
    </w:lvl>
    <w:lvl w:ilvl="7">
      <w:start w:val="1"/>
      <w:numFmt w:val="decimal"/>
      <w:lvlText w:val="%1.%2.%3.%4.%5.%6.%7.%8"/>
      <w:lvlJc w:val="left"/>
      <w:pPr>
        <w:ind w:left="1440" w:hanging="1440"/>
      </w:pPr>
      <w:rPr>
        <w:rFonts w:eastAsiaTheme="majorEastAsia" w:hint="default"/>
        <w:b/>
        <w:u w:val="single"/>
      </w:rPr>
    </w:lvl>
    <w:lvl w:ilvl="8">
      <w:start w:val="1"/>
      <w:numFmt w:val="decimal"/>
      <w:lvlText w:val="%1.%2.%3.%4.%5.%6.%7.%8.%9"/>
      <w:lvlJc w:val="left"/>
      <w:pPr>
        <w:ind w:left="1440" w:hanging="1440"/>
      </w:pPr>
      <w:rPr>
        <w:rFonts w:eastAsiaTheme="majorEastAsia" w:hint="default"/>
        <w:b/>
        <w:u w:val="single"/>
      </w:rPr>
    </w:lvl>
  </w:abstractNum>
  <w:abstractNum w:abstractNumId="64" w15:restartNumberingAfterBreak="0">
    <w:nsid w:val="78EF4DA0"/>
    <w:multiLevelType w:val="hybridMultilevel"/>
    <w:tmpl w:val="838AAB38"/>
    <w:lvl w:ilvl="0" w:tplc="2EAAA5DA">
      <w:start w:val="1"/>
      <w:numFmt w:val="bullet"/>
      <w:lvlText w:val=""/>
      <w:lvlJc w:val="left"/>
      <w:pPr>
        <w:ind w:left="720" w:hanging="360"/>
      </w:pPr>
      <w:rPr>
        <w:rFonts w:ascii="Symbol" w:hAnsi="Symbol" w:hint="default"/>
        <w:sz w:val="18"/>
        <w:szCs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79050E5D"/>
    <w:multiLevelType w:val="multilevel"/>
    <w:tmpl w:val="6472D998"/>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7CEE1B90"/>
    <w:multiLevelType w:val="multilevel"/>
    <w:tmpl w:val="34D67B0A"/>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7DF45DF1"/>
    <w:multiLevelType w:val="hybridMultilevel"/>
    <w:tmpl w:val="6F72C31C"/>
    <w:lvl w:ilvl="0" w:tplc="76E6D72C">
      <w:start w:val="1"/>
      <w:numFmt w:val="bullet"/>
      <w:lvlText w:val=""/>
      <w:lvlJc w:val="left"/>
      <w:pPr>
        <w:ind w:left="1320" w:hanging="360"/>
      </w:pPr>
      <w:rPr>
        <w:rFonts w:ascii="Symbol" w:hAnsi="Symbol" w:hint="default"/>
        <w:sz w:val="16"/>
        <w:szCs w:val="16"/>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68" w15:restartNumberingAfterBreak="0">
    <w:nsid w:val="7FBD5D57"/>
    <w:multiLevelType w:val="multilevel"/>
    <w:tmpl w:val="5A002E26"/>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0"/>
  </w:num>
  <w:num w:numId="2">
    <w:abstractNumId w:val="25"/>
  </w:num>
  <w:num w:numId="3">
    <w:abstractNumId w:val="16"/>
  </w:num>
  <w:num w:numId="4">
    <w:abstractNumId w:val="14"/>
  </w:num>
  <w:num w:numId="5">
    <w:abstractNumId w:val="53"/>
  </w:num>
  <w:num w:numId="6">
    <w:abstractNumId w:val="61"/>
  </w:num>
  <w:num w:numId="7">
    <w:abstractNumId w:val="41"/>
  </w:num>
  <w:num w:numId="8">
    <w:abstractNumId w:val="17"/>
  </w:num>
  <w:num w:numId="9">
    <w:abstractNumId w:val="54"/>
  </w:num>
  <w:num w:numId="10">
    <w:abstractNumId w:val="5"/>
  </w:num>
  <w:num w:numId="11">
    <w:abstractNumId w:val="37"/>
  </w:num>
  <w:num w:numId="12">
    <w:abstractNumId w:val="49"/>
  </w:num>
  <w:num w:numId="13">
    <w:abstractNumId w:val="22"/>
  </w:num>
  <w:num w:numId="14">
    <w:abstractNumId w:val="45"/>
  </w:num>
  <w:num w:numId="15">
    <w:abstractNumId w:val="30"/>
  </w:num>
  <w:num w:numId="16">
    <w:abstractNumId w:val="48"/>
  </w:num>
  <w:num w:numId="17">
    <w:abstractNumId w:val="32"/>
  </w:num>
  <w:num w:numId="18">
    <w:abstractNumId w:val="9"/>
  </w:num>
  <w:num w:numId="19">
    <w:abstractNumId w:val="50"/>
  </w:num>
  <w:num w:numId="20">
    <w:abstractNumId w:val="13"/>
  </w:num>
  <w:num w:numId="21">
    <w:abstractNumId w:val="31"/>
  </w:num>
  <w:num w:numId="22">
    <w:abstractNumId w:val="11"/>
  </w:num>
  <w:num w:numId="23">
    <w:abstractNumId w:val="39"/>
  </w:num>
  <w:num w:numId="24">
    <w:abstractNumId w:val="65"/>
  </w:num>
  <w:num w:numId="25">
    <w:abstractNumId w:val="23"/>
  </w:num>
  <w:num w:numId="26">
    <w:abstractNumId w:val="68"/>
  </w:num>
  <w:num w:numId="27">
    <w:abstractNumId w:val="4"/>
  </w:num>
  <w:num w:numId="28">
    <w:abstractNumId w:val="51"/>
  </w:num>
  <w:num w:numId="29">
    <w:abstractNumId w:val="55"/>
  </w:num>
  <w:num w:numId="30">
    <w:abstractNumId w:val="6"/>
  </w:num>
  <w:num w:numId="31">
    <w:abstractNumId w:val="38"/>
  </w:num>
  <w:num w:numId="32">
    <w:abstractNumId w:val="43"/>
  </w:num>
  <w:num w:numId="33">
    <w:abstractNumId w:val="18"/>
  </w:num>
  <w:num w:numId="34">
    <w:abstractNumId w:val="26"/>
  </w:num>
  <w:num w:numId="35">
    <w:abstractNumId w:val="60"/>
  </w:num>
  <w:num w:numId="36">
    <w:abstractNumId w:val="46"/>
  </w:num>
  <w:num w:numId="37">
    <w:abstractNumId w:val="66"/>
  </w:num>
  <w:num w:numId="38">
    <w:abstractNumId w:val="28"/>
  </w:num>
  <w:num w:numId="39">
    <w:abstractNumId w:val="20"/>
  </w:num>
  <w:num w:numId="40">
    <w:abstractNumId w:val="59"/>
  </w:num>
  <w:num w:numId="41">
    <w:abstractNumId w:val="27"/>
  </w:num>
  <w:num w:numId="42">
    <w:abstractNumId w:val="47"/>
  </w:num>
  <w:num w:numId="43">
    <w:abstractNumId w:val="10"/>
  </w:num>
  <w:num w:numId="44">
    <w:abstractNumId w:val="52"/>
  </w:num>
  <w:num w:numId="45">
    <w:abstractNumId w:val="63"/>
  </w:num>
  <w:num w:numId="46">
    <w:abstractNumId w:val="56"/>
  </w:num>
  <w:num w:numId="47">
    <w:abstractNumId w:val="67"/>
  </w:num>
  <w:num w:numId="48">
    <w:abstractNumId w:val="58"/>
  </w:num>
  <w:num w:numId="49">
    <w:abstractNumId w:val="0"/>
  </w:num>
  <w:num w:numId="50">
    <w:abstractNumId w:val="1"/>
  </w:num>
  <w:num w:numId="51">
    <w:abstractNumId w:val="2"/>
  </w:num>
  <w:num w:numId="52">
    <w:abstractNumId w:val="3"/>
  </w:num>
  <w:num w:numId="53">
    <w:abstractNumId w:val="35"/>
  </w:num>
  <w:num w:numId="54">
    <w:abstractNumId w:val="24"/>
  </w:num>
  <w:num w:numId="55">
    <w:abstractNumId w:val="29"/>
  </w:num>
  <w:num w:numId="56">
    <w:abstractNumId w:val="62"/>
  </w:num>
  <w:num w:numId="57">
    <w:abstractNumId w:val="36"/>
  </w:num>
  <w:num w:numId="58">
    <w:abstractNumId w:val="44"/>
  </w:num>
  <w:num w:numId="59">
    <w:abstractNumId w:val="15"/>
  </w:num>
  <w:num w:numId="60">
    <w:abstractNumId w:val="33"/>
  </w:num>
  <w:num w:numId="61">
    <w:abstractNumId w:val="19"/>
  </w:num>
  <w:num w:numId="62">
    <w:abstractNumId w:val="42"/>
  </w:num>
  <w:num w:numId="63">
    <w:abstractNumId w:val="64"/>
  </w:num>
  <w:num w:numId="64">
    <w:abstractNumId w:val="7"/>
  </w:num>
  <w:num w:numId="65">
    <w:abstractNumId w:val="34"/>
  </w:num>
  <w:num w:numId="66">
    <w:abstractNumId w:val="12"/>
  </w:num>
  <w:num w:numId="67">
    <w:abstractNumId w:val="8"/>
  </w:num>
  <w:num w:numId="68">
    <w:abstractNumId w:val="57"/>
  </w:num>
  <w:num w:numId="69">
    <w:abstractNumId w:val="21"/>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365"/>
    <w:rsid w:val="00003692"/>
    <w:rsid w:val="00007D83"/>
    <w:rsid w:val="00012079"/>
    <w:rsid w:val="000123D2"/>
    <w:rsid w:val="00015365"/>
    <w:rsid w:val="00020CA5"/>
    <w:rsid w:val="00021ACC"/>
    <w:rsid w:val="00026531"/>
    <w:rsid w:val="00027F27"/>
    <w:rsid w:val="00031A04"/>
    <w:rsid w:val="0003320C"/>
    <w:rsid w:val="000346D9"/>
    <w:rsid w:val="000349B5"/>
    <w:rsid w:val="00034BEA"/>
    <w:rsid w:val="000452B0"/>
    <w:rsid w:val="00046EFC"/>
    <w:rsid w:val="00051DDF"/>
    <w:rsid w:val="000546C0"/>
    <w:rsid w:val="00054931"/>
    <w:rsid w:val="000559D0"/>
    <w:rsid w:val="00061B72"/>
    <w:rsid w:val="00062AC0"/>
    <w:rsid w:val="0006542A"/>
    <w:rsid w:val="00065EC9"/>
    <w:rsid w:val="0007316C"/>
    <w:rsid w:val="0007502C"/>
    <w:rsid w:val="0007721A"/>
    <w:rsid w:val="00083F5A"/>
    <w:rsid w:val="00085CDE"/>
    <w:rsid w:val="0008732C"/>
    <w:rsid w:val="00087E19"/>
    <w:rsid w:val="00093AC0"/>
    <w:rsid w:val="00095591"/>
    <w:rsid w:val="000A4136"/>
    <w:rsid w:val="000A451A"/>
    <w:rsid w:val="000A47D0"/>
    <w:rsid w:val="000A49F4"/>
    <w:rsid w:val="000A6334"/>
    <w:rsid w:val="000B0D7B"/>
    <w:rsid w:val="000B2975"/>
    <w:rsid w:val="000C1EA4"/>
    <w:rsid w:val="000D0522"/>
    <w:rsid w:val="000D6B7F"/>
    <w:rsid w:val="000D792B"/>
    <w:rsid w:val="000E259C"/>
    <w:rsid w:val="000E7FFC"/>
    <w:rsid w:val="000F327C"/>
    <w:rsid w:val="000F47FB"/>
    <w:rsid w:val="00101960"/>
    <w:rsid w:val="00102FE6"/>
    <w:rsid w:val="00106A15"/>
    <w:rsid w:val="00110A56"/>
    <w:rsid w:val="001131A8"/>
    <w:rsid w:val="00113834"/>
    <w:rsid w:val="00120705"/>
    <w:rsid w:val="00124A29"/>
    <w:rsid w:val="00130B63"/>
    <w:rsid w:val="00133002"/>
    <w:rsid w:val="00134E0E"/>
    <w:rsid w:val="001419E5"/>
    <w:rsid w:val="00142863"/>
    <w:rsid w:val="001436D6"/>
    <w:rsid w:val="00145DC9"/>
    <w:rsid w:val="00151F88"/>
    <w:rsid w:val="00153311"/>
    <w:rsid w:val="00157077"/>
    <w:rsid w:val="001573A9"/>
    <w:rsid w:val="00164EB7"/>
    <w:rsid w:val="001701B2"/>
    <w:rsid w:val="001711B7"/>
    <w:rsid w:val="00184253"/>
    <w:rsid w:val="00191B29"/>
    <w:rsid w:val="00192708"/>
    <w:rsid w:val="001A12F4"/>
    <w:rsid w:val="001A1A33"/>
    <w:rsid w:val="001A3E4E"/>
    <w:rsid w:val="001B274E"/>
    <w:rsid w:val="001B2A32"/>
    <w:rsid w:val="001B6C25"/>
    <w:rsid w:val="001B7081"/>
    <w:rsid w:val="001B7D39"/>
    <w:rsid w:val="001C0E5E"/>
    <w:rsid w:val="001C7B9E"/>
    <w:rsid w:val="001D706F"/>
    <w:rsid w:val="001E3E50"/>
    <w:rsid w:val="001F0CA5"/>
    <w:rsid w:val="001F1F03"/>
    <w:rsid w:val="001F642A"/>
    <w:rsid w:val="001F666D"/>
    <w:rsid w:val="00201FB1"/>
    <w:rsid w:val="00217281"/>
    <w:rsid w:val="00220F50"/>
    <w:rsid w:val="00221F69"/>
    <w:rsid w:val="002230C2"/>
    <w:rsid w:val="0023095D"/>
    <w:rsid w:val="00234358"/>
    <w:rsid w:val="00236060"/>
    <w:rsid w:val="00237EB0"/>
    <w:rsid w:val="002464A9"/>
    <w:rsid w:val="002551C1"/>
    <w:rsid w:val="0026698B"/>
    <w:rsid w:val="0026739A"/>
    <w:rsid w:val="002676B4"/>
    <w:rsid w:val="00274E27"/>
    <w:rsid w:val="0028303F"/>
    <w:rsid w:val="00284E85"/>
    <w:rsid w:val="00286FAA"/>
    <w:rsid w:val="00291E63"/>
    <w:rsid w:val="002953D8"/>
    <w:rsid w:val="00297396"/>
    <w:rsid w:val="002A341A"/>
    <w:rsid w:val="002B34D1"/>
    <w:rsid w:val="002B357C"/>
    <w:rsid w:val="002B3CEE"/>
    <w:rsid w:val="002B51F0"/>
    <w:rsid w:val="002C2F68"/>
    <w:rsid w:val="002D1F92"/>
    <w:rsid w:val="002D69BC"/>
    <w:rsid w:val="002E0EFB"/>
    <w:rsid w:val="002E47DC"/>
    <w:rsid w:val="002F08F2"/>
    <w:rsid w:val="002F65EC"/>
    <w:rsid w:val="002F76B8"/>
    <w:rsid w:val="00311F9D"/>
    <w:rsid w:val="003201C9"/>
    <w:rsid w:val="00321D49"/>
    <w:rsid w:val="0032374A"/>
    <w:rsid w:val="00331249"/>
    <w:rsid w:val="00333B40"/>
    <w:rsid w:val="003421F6"/>
    <w:rsid w:val="00343B2D"/>
    <w:rsid w:val="00344A59"/>
    <w:rsid w:val="00345D59"/>
    <w:rsid w:val="00346410"/>
    <w:rsid w:val="00350B76"/>
    <w:rsid w:val="00363059"/>
    <w:rsid w:val="00366142"/>
    <w:rsid w:val="00367F3C"/>
    <w:rsid w:val="00380656"/>
    <w:rsid w:val="00385070"/>
    <w:rsid w:val="00390490"/>
    <w:rsid w:val="003905AA"/>
    <w:rsid w:val="00396CDE"/>
    <w:rsid w:val="00396D6C"/>
    <w:rsid w:val="00397F16"/>
    <w:rsid w:val="003A34D8"/>
    <w:rsid w:val="003A3DB2"/>
    <w:rsid w:val="003A4E00"/>
    <w:rsid w:val="003A7819"/>
    <w:rsid w:val="003B0BA0"/>
    <w:rsid w:val="003B0E24"/>
    <w:rsid w:val="003B2DA3"/>
    <w:rsid w:val="003B37B6"/>
    <w:rsid w:val="003B71BC"/>
    <w:rsid w:val="003B783D"/>
    <w:rsid w:val="003C70AE"/>
    <w:rsid w:val="003D0980"/>
    <w:rsid w:val="003D1033"/>
    <w:rsid w:val="003D19B1"/>
    <w:rsid w:val="003D51B3"/>
    <w:rsid w:val="003E0C26"/>
    <w:rsid w:val="003E345D"/>
    <w:rsid w:val="003E7758"/>
    <w:rsid w:val="003F1501"/>
    <w:rsid w:val="00407CE0"/>
    <w:rsid w:val="00412C75"/>
    <w:rsid w:val="00412E88"/>
    <w:rsid w:val="004152F6"/>
    <w:rsid w:val="0042368D"/>
    <w:rsid w:val="004247EC"/>
    <w:rsid w:val="00424F51"/>
    <w:rsid w:val="004302A0"/>
    <w:rsid w:val="00432C1F"/>
    <w:rsid w:val="0043550C"/>
    <w:rsid w:val="004411CF"/>
    <w:rsid w:val="00447539"/>
    <w:rsid w:val="00451CBC"/>
    <w:rsid w:val="00456909"/>
    <w:rsid w:val="004579C6"/>
    <w:rsid w:val="004678DE"/>
    <w:rsid w:val="00470725"/>
    <w:rsid w:val="00474109"/>
    <w:rsid w:val="004745EE"/>
    <w:rsid w:val="00477590"/>
    <w:rsid w:val="0048105C"/>
    <w:rsid w:val="00483268"/>
    <w:rsid w:val="00483A3E"/>
    <w:rsid w:val="00484BB0"/>
    <w:rsid w:val="00485DB0"/>
    <w:rsid w:val="0048742D"/>
    <w:rsid w:val="004878F8"/>
    <w:rsid w:val="004A099B"/>
    <w:rsid w:val="004A4F0C"/>
    <w:rsid w:val="004B0670"/>
    <w:rsid w:val="004B1151"/>
    <w:rsid w:val="004C73E8"/>
    <w:rsid w:val="004C7FAC"/>
    <w:rsid w:val="004D7F69"/>
    <w:rsid w:val="004E00A9"/>
    <w:rsid w:val="004E2A81"/>
    <w:rsid w:val="004E609E"/>
    <w:rsid w:val="004E73A4"/>
    <w:rsid w:val="004F32A9"/>
    <w:rsid w:val="004F3B15"/>
    <w:rsid w:val="0050123A"/>
    <w:rsid w:val="005012BF"/>
    <w:rsid w:val="0051422C"/>
    <w:rsid w:val="00515B90"/>
    <w:rsid w:val="00516B8E"/>
    <w:rsid w:val="00520498"/>
    <w:rsid w:val="00520D43"/>
    <w:rsid w:val="005235BD"/>
    <w:rsid w:val="00523B5D"/>
    <w:rsid w:val="00523C0E"/>
    <w:rsid w:val="00523D03"/>
    <w:rsid w:val="00530FC3"/>
    <w:rsid w:val="0053118D"/>
    <w:rsid w:val="00532863"/>
    <w:rsid w:val="005359F1"/>
    <w:rsid w:val="00535F5B"/>
    <w:rsid w:val="00537496"/>
    <w:rsid w:val="00550357"/>
    <w:rsid w:val="005503A7"/>
    <w:rsid w:val="00557A49"/>
    <w:rsid w:val="00564F95"/>
    <w:rsid w:val="00566D52"/>
    <w:rsid w:val="0057089D"/>
    <w:rsid w:val="005741AA"/>
    <w:rsid w:val="005774C4"/>
    <w:rsid w:val="00583C1F"/>
    <w:rsid w:val="005923AA"/>
    <w:rsid w:val="00592856"/>
    <w:rsid w:val="00593CA1"/>
    <w:rsid w:val="0059765D"/>
    <w:rsid w:val="005B6EB1"/>
    <w:rsid w:val="005B766F"/>
    <w:rsid w:val="005C5214"/>
    <w:rsid w:val="005D0643"/>
    <w:rsid w:val="005D5E8F"/>
    <w:rsid w:val="005F238F"/>
    <w:rsid w:val="005F5B32"/>
    <w:rsid w:val="005F7D15"/>
    <w:rsid w:val="00603109"/>
    <w:rsid w:val="0060323B"/>
    <w:rsid w:val="00616D44"/>
    <w:rsid w:val="0062190A"/>
    <w:rsid w:val="00621A34"/>
    <w:rsid w:val="00626547"/>
    <w:rsid w:val="0063145B"/>
    <w:rsid w:val="00631C38"/>
    <w:rsid w:val="0063644B"/>
    <w:rsid w:val="0065428A"/>
    <w:rsid w:val="00654663"/>
    <w:rsid w:val="00655012"/>
    <w:rsid w:val="00655BA9"/>
    <w:rsid w:val="006606A2"/>
    <w:rsid w:val="0066255F"/>
    <w:rsid w:val="006632D6"/>
    <w:rsid w:val="006635CB"/>
    <w:rsid w:val="00663A03"/>
    <w:rsid w:val="00664198"/>
    <w:rsid w:val="00665677"/>
    <w:rsid w:val="006740E0"/>
    <w:rsid w:val="00675452"/>
    <w:rsid w:val="006877B6"/>
    <w:rsid w:val="006903C5"/>
    <w:rsid w:val="00693C9D"/>
    <w:rsid w:val="00694457"/>
    <w:rsid w:val="00695091"/>
    <w:rsid w:val="006B0ADE"/>
    <w:rsid w:val="006B20D7"/>
    <w:rsid w:val="006B266D"/>
    <w:rsid w:val="006C0B77"/>
    <w:rsid w:val="006C453B"/>
    <w:rsid w:val="006D518C"/>
    <w:rsid w:val="006D7888"/>
    <w:rsid w:val="006E0F83"/>
    <w:rsid w:val="006F3077"/>
    <w:rsid w:val="006F58AF"/>
    <w:rsid w:val="00705360"/>
    <w:rsid w:val="007102E1"/>
    <w:rsid w:val="00713C8C"/>
    <w:rsid w:val="00725EBB"/>
    <w:rsid w:val="0073199D"/>
    <w:rsid w:val="00737CB4"/>
    <w:rsid w:val="00737ECE"/>
    <w:rsid w:val="007421CF"/>
    <w:rsid w:val="0075205E"/>
    <w:rsid w:val="00752B8B"/>
    <w:rsid w:val="00754CAA"/>
    <w:rsid w:val="007567B1"/>
    <w:rsid w:val="00757BD3"/>
    <w:rsid w:val="00761DC4"/>
    <w:rsid w:val="0076461E"/>
    <w:rsid w:val="00764BDE"/>
    <w:rsid w:val="00765F69"/>
    <w:rsid w:val="00786288"/>
    <w:rsid w:val="00796846"/>
    <w:rsid w:val="007A5EB5"/>
    <w:rsid w:val="007A5FE6"/>
    <w:rsid w:val="007A69D6"/>
    <w:rsid w:val="007A6ACD"/>
    <w:rsid w:val="007B1B6A"/>
    <w:rsid w:val="007C5A89"/>
    <w:rsid w:val="007D06ED"/>
    <w:rsid w:val="007D2465"/>
    <w:rsid w:val="007D2822"/>
    <w:rsid w:val="007E4A28"/>
    <w:rsid w:val="007F2E01"/>
    <w:rsid w:val="007F3F9F"/>
    <w:rsid w:val="007F584D"/>
    <w:rsid w:val="007F7A8F"/>
    <w:rsid w:val="008024F1"/>
    <w:rsid w:val="00803F2F"/>
    <w:rsid w:val="00813C34"/>
    <w:rsid w:val="008242FF"/>
    <w:rsid w:val="00825D9E"/>
    <w:rsid w:val="008263E2"/>
    <w:rsid w:val="00830E15"/>
    <w:rsid w:val="0083401A"/>
    <w:rsid w:val="0083478E"/>
    <w:rsid w:val="0083737E"/>
    <w:rsid w:val="008420E0"/>
    <w:rsid w:val="00847EF1"/>
    <w:rsid w:val="00850317"/>
    <w:rsid w:val="00852056"/>
    <w:rsid w:val="008520E0"/>
    <w:rsid w:val="00860648"/>
    <w:rsid w:val="0086265D"/>
    <w:rsid w:val="00864E15"/>
    <w:rsid w:val="00866591"/>
    <w:rsid w:val="00870751"/>
    <w:rsid w:val="00873E13"/>
    <w:rsid w:val="00884253"/>
    <w:rsid w:val="00885AE3"/>
    <w:rsid w:val="00893E83"/>
    <w:rsid w:val="00896495"/>
    <w:rsid w:val="00896FB3"/>
    <w:rsid w:val="008A2AFD"/>
    <w:rsid w:val="008B00E6"/>
    <w:rsid w:val="008B2217"/>
    <w:rsid w:val="008B3B34"/>
    <w:rsid w:val="008B67AD"/>
    <w:rsid w:val="008B7FFB"/>
    <w:rsid w:val="008D289A"/>
    <w:rsid w:val="008D4831"/>
    <w:rsid w:val="008D6E34"/>
    <w:rsid w:val="008E01A5"/>
    <w:rsid w:val="008E1CEA"/>
    <w:rsid w:val="008E4B86"/>
    <w:rsid w:val="008E7E6A"/>
    <w:rsid w:val="008F2710"/>
    <w:rsid w:val="008F5DB4"/>
    <w:rsid w:val="009022E9"/>
    <w:rsid w:val="00912067"/>
    <w:rsid w:val="00912CDB"/>
    <w:rsid w:val="00913E30"/>
    <w:rsid w:val="0091408B"/>
    <w:rsid w:val="00914E85"/>
    <w:rsid w:val="00917CE9"/>
    <w:rsid w:val="00922C48"/>
    <w:rsid w:val="00923FA6"/>
    <w:rsid w:val="0092588B"/>
    <w:rsid w:val="00930321"/>
    <w:rsid w:val="00942F4B"/>
    <w:rsid w:val="00946949"/>
    <w:rsid w:val="0095335D"/>
    <w:rsid w:val="009579CA"/>
    <w:rsid w:val="00972D21"/>
    <w:rsid w:val="00973BB6"/>
    <w:rsid w:val="00975FC5"/>
    <w:rsid w:val="009811C6"/>
    <w:rsid w:val="009817E6"/>
    <w:rsid w:val="00984563"/>
    <w:rsid w:val="00987CBD"/>
    <w:rsid w:val="00993B27"/>
    <w:rsid w:val="00994711"/>
    <w:rsid w:val="0099489E"/>
    <w:rsid w:val="009A017A"/>
    <w:rsid w:val="009A09B6"/>
    <w:rsid w:val="009A0D20"/>
    <w:rsid w:val="009A1C9B"/>
    <w:rsid w:val="009A6469"/>
    <w:rsid w:val="009B30C3"/>
    <w:rsid w:val="009B7665"/>
    <w:rsid w:val="009C5527"/>
    <w:rsid w:val="009C591B"/>
    <w:rsid w:val="009C63CF"/>
    <w:rsid w:val="009D482E"/>
    <w:rsid w:val="009E6BCB"/>
    <w:rsid w:val="009F5C98"/>
    <w:rsid w:val="00A02C81"/>
    <w:rsid w:val="00A038C1"/>
    <w:rsid w:val="00A03C23"/>
    <w:rsid w:val="00A0457F"/>
    <w:rsid w:val="00A04D11"/>
    <w:rsid w:val="00A3212B"/>
    <w:rsid w:val="00A4226D"/>
    <w:rsid w:val="00A458F7"/>
    <w:rsid w:val="00A474AE"/>
    <w:rsid w:val="00A5017E"/>
    <w:rsid w:val="00A56B9B"/>
    <w:rsid w:val="00A60173"/>
    <w:rsid w:val="00A6041D"/>
    <w:rsid w:val="00A60E6C"/>
    <w:rsid w:val="00A71D66"/>
    <w:rsid w:val="00A82265"/>
    <w:rsid w:val="00A87D4C"/>
    <w:rsid w:val="00AA0B02"/>
    <w:rsid w:val="00AA2698"/>
    <w:rsid w:val="00AA302D"/>
    <w:rsid w:val="00AA4985"/>
    <w:rsid w:val="00AA63DF"/>
    <w:rsid w:val="00AA7B93"/>
    <w:rsid w:val="00AB30C8"/>
    <w:rsid w:val="00AB5297"/>
    <w:rsid w:val="00AB652B"/>
    <w:rsid w:val="00AC286F"/>
    <w:rsid w:val="00AC555C"/>
    <w:rsid w:val="00AD132A"/>
    <w:rsid w:val="00AD19F5"/>
    <w:rsid w:val="00AD711D"/>
    <w:rsid w:val="00AE072B"/>
    <w:rsid w:val="00AE2B25"/>
    <w:rsid w:val="00AE6751"/>
    <w:rsid w:val="00AE77A3"/>
    <w:rsid w:val="00AE7F70"/>
    <w:rsid w:val="00AF14B9"/>
    <w:rsid w:val="00AF23A4"/>
    <w:rsid w:val="00AF360E"/>
    <w:rsid w:val="00AF3E61"/>
    <w:rsid w:val="00AF570E"/>
    <w:rsid w:val="00AF6F12"/>
    <w:rsid w:val="00B03386"/>
    <w:rsid w:val="00B15BF8"/>
    <w:rsid w:val="00B164E9"/>
    <w:rsid w:val="00B17730"/>
    <w:rsid w:val="00B21571"/>
    <w:rsid w:val="00B2418D"/>
    <w:rsid w:val="00B26752"/>
    <w:rsid w:val="00B27514"/>
    <w:rsid w:val="00B3757E"/>
    <w:rsid w:val="00B3782A"/>
    <w:rsid w:val="00B37D69"/>
    <w:rsid w:val="00B40675"/>
    <w:rsid w:val="00B42E8F"/>
    <w:rsid w:val="00B433BC"/>
    <w:rsid w:val="00B507AD"/>
    <w:rsid w:val="00B538A2"/>
    <w:rsid w:val="00B6097F"/>
    <w:rsid w:val="00B6714B"/>
    <w:rsid w:val="00B70EB4"/>
    <w:rsid w:val="00B73674"/>
    <w:rsid w:val="00B753C8"/>
    <w:rsid w:val="00B76FCE"/>
    <w:rsid w:val="00B829B5"/>
    <w:rsid w:val="00B84F88"/>
    <w:rsid w:val="00B875F0"/>
    <w:rsid w:val="00B90B4B"/>
    <w:rsid w:val="00B90D37"/>
    <w:rsid w:val="00B915B7"/>
    <w:rsid w:val="00B92B97"/>
    <w:rsid w:val="00BA1458"/>
    <w:rsid w:val="00BA6915"/>
    <w:rsid w:val="00BB5606"/>
    <w:rsid w:val="00BB6816"/>
    <w:rsid w:val="00BB79E9"/>
    <w:rsid w:val="00BC2F3B"/>
    <w:rsid w:val="00BC7A16"/>
    <w:rsid w:val="00BD330B"/>
    <w:rsid w:val="00BD5D90"/>
    <w:rsid w:val="00BE367E"/>
    <w:rsid w:val="00BF19FB"/>
    <w:rsid w:val="00BF1DEB"/>
    <w:rsid w:val="00C0383B"/>
    <w:rsid w:val="00C06A70"/>
    <w:rsid w:val="00C10BEC"/>
    <w:rsid w:val="00C117C5"/>
    <w:rsid w:val="00C17283"/>
    <w:rsid w:val="00C173B6"/>
    <w:rsid w:val="00C27F0F"/>
    <w:rsid w:val="00C30F7C"/>
    <w:rsid w:val="00C344BF"/>
    <w:rsid w:val="00C40460"/>
    <w:rsid w:val="00C40F03"/>
    <w:rsid w:val="00C43B2D"/>
    <w:rsid w:val="00C46305"/>
    <w:rsid w:val="00C51194"/>
    <w:rsid w:val="00C55B77"/>
    <w:rsid w:val="00C63B09"/>
    <w:rsid w:val="00C645C1"/>
    <w:rsid w:val="00C66127"/>
    <w:rsid w:val="00C668C7"/>
    <w:rsid w:val="00C679FF"/>
    <w:rsid w:val="00C712CB"/>
    <w:rsid w:val="00C73AF4"/>
    <w:rsid w:val="00C74D4D"/>
    <w:rsid w:val="00C769E7"/>
    <w:rsid w:val="00C93286"/>
    <w:rsid w:val="00C9572A"/>
    <w:rsid w:val="00C978E1"/>
    <w:rsid w:val="00CA0D7F"/>
    <w:rsid w:val="00CA4AA9"/>
    <w:rsid w:val="00CA5E90"/>
    <w:rsid w:val="00CB0514"/>
    <w:rsid w:val="00CB16CF"/>
    <w:rsid w:val="00CB5718"/>
    <w:rsid w:val="00CB781F"/>
    <w:rsid w:val="00CB783D"/>
    <w:rsid w:val="00CC0FE2"/>
    <w:rsid w:val="00CC1A5F"/>
    <w:rsid w:val="00CD126F"/>
    <w:rsid w:val="00CD1389"/>
    <w:rsid w:val="00CD1973"/>
    <w:rsid w:val="00CD1E12"/>
    <w:rsid w:val="00CD1F09"/>
    <w:rsid w:val="00D10385"/>
    <w:rsid w:val="00D10D4E"/>
    <w:rsid w:val="00D128E3"/>
    <w:rsid w:val="00D20939"/>
    <w:rsid w:val="00D2631A"/>
    <w:rsid w:val="00D26455"/>
    <w:rsid w:val="00D27EEF"/>
    <w:rsid w:val="00D31282"/>
    <w:rsid w:val="00D328DD"/>
    <w:rsid w:val="00D35B89"/>
    <w:rsid w:val="00D373DB"/>
    <w:rsid w:val="00D3749B"/>
    <w:rsid w:val="00D403B6"/>
    <w:rsid w:val="00D41F61"/>
    <w:rsid w:val="00D42025"/>
    <w:rsid w:val="00D437E8"/>
    <w:rsid w:val="00D43B3E"/>
    <w:rsid w:val="00D43D0B"/>
    <w:rsid w:val="00D45012"/>
    <w:rsid w:val="00D6027A"/>
    <w:rsid w:val="00D65AC6"/>
    <w:rsid w:val="00D6762C"/>
    <w:rsid w:val="00D70E83"/>
    <w:rsid w:val="00D749BE"/>
    <w:rsid w:val="00D74C97"/>
    <w:rsid w:val="00D76B9B"/>
    <w:rsid w:val="00D770A2"/>
    <w:rsid w:val="00D77B07"/>
    <w:rsid w:val="00DA4582"/>
    <w:rsid w:val="00DA64F2"/>
    <w:rsid w:val="00DC3C06"/>
    <w:rsid w:val="00DC7A5D"/>
    <w:rsid w:val="00DD2F84"/>
    <w:rsid w:val="00DD301F"/>
    <w:rsid w:val="00DE2B19"/>
    <w:rsid w:val="00DE6989"/>
    <w:rsid w:val="00DE6B93"/>
    <w:rsid w:val="00DF0373"/>
    <w:rsid w:val="00DF0FCD"/>
    <w:rsid w:val="00DF5B59"/>
    <w:rsid w:val="00DF6BAF"/>
    <w:rsid w:val="00E01F7B"/>
    <w:rsid w:val="00E020E2"/>
    <w:rsid w:val="00E07E79"/>
    <w:rsid w:val="00E1121C"/>
    <w:rsid w:val="00E11549"/>
    <w:rsid w:val="00E3111C"/>
    <w:rsid w:val="00E33FE8"/>
    <w:rsid w:val="00E409F6"/>
    <w:rsid w:val="00E44A5B"/>
    <w:rsid w:val="00E50673"/>
    <w:rsid w:val="00E52942"/>
    <w:rsid w:val="00E53063"/>
    <w:rsid w:val="00E540FB"/>
    <w:rsid w:val="00E7280B"/>
    <w:rsid w:val="00E7569C"/>
    <w:rsid w:val="00E764BB"/>
    <w:rsid w:val="00E76724"/>
    <w:rsid w:val="00E777CD"/>
    <w:rsid w:val="00E87904"/>
    <w:rsid w:val="00E903CB"/>
    <w:rsid w:val="00E93789"/>
    <w:rsid w:val="00E9538D"/>
    <w:rsid w:val="00E97894"/>
    <w:rsid w:val="00E97E1C"/>
    <w:rsid w:val="00EA05EB"/>
    <w:rsid w:val="00EA1526"/>
    <w:rsid w:val="00EA2902"/>
    <w:rsid w:val="00EA3430"/>
    <w:rsid w:val="00EA59B4"/>
    <w:rsid w:val="00EA59DF"/>
    <w:rsid w:val="00EA6544"/>
    <w:rsid w:val="00EB0223"/>
    <w:rsid w:val="00EB0CB0"/>
    <w:rsid w:val="00EB241A"/>
    <w:rsid w:val="00EB397A"/>
    <w:rsid w:val="00EC04DD"/>
    <w:rsid w:val="00ED2521"/>
    <w:rsid w:val="00EE2A45"/>
    <w:rsid w:val="00EE3312"/>
    <w:rsid w:val="00EE4070"/>
    <w:rsid w:val="00EF138D"/>
    <w:rsid w:val="00EF1FF5"/>
    <w:rsid w:val="00F00689"/>
    <w:rsid w:val="00F01A8F"/>
    <w:rsid w:val="00F02187"/>
    <w:rsid w:val="00F03632"/>
    <w:rsid w:val="00F05685"/>
    <w:rsid w:val="00F100D6"/>
    <w:rsid w:val="00F1093E"/>
    <w:rsid w:val="00F12A09"/>
    <w:rsid w:val="00F12C76"/>
    <w:rsid w:val="00F12D6F"/>
    <w:rsid w:val="00F13847"/>
    <w:rsid w:val="00F228F6"/>
    <w:rsid w:val="00F24EE5"/>
    <w:rsid w:val="00F2626E"/>
    <w:rsid w:val="00F267C6"/>
    <w:rsid w:val="00F403C4"/>
    <w:rsid w:val="00F432C8"/>
    <w:rsid w:val="00F45EE5"/>
    <w:rsid w:val="00F462CA"/>
    <w:rsid w:val="00F5172E"/>
    <w:rsid w:val="00F53D43"/>
    <w:rsid w:val="00F566BA"/>
    <w:rsid w:val="00F56FB3"/>
    <w:rsid w:val="00F621FB"/>
    <w:rsid w:val="00F66753"/>
    <w:rsid w:val="00F67021"/>
    <w:rsid w:val="00F71673"/>
    <w:rsid w:val="00F87AB3"/>
    <w:rsid w:val="00F90844"/>
    <w:rsid w:val="00F95388"/>
    <w:rsid w:val="00FA2C6B"/>
    <w:rsid w:val="00FA5F74"/>
    <w:rsid w:val="00FB33EA"/>
    <w:rsid w:val="00FB3E16"/>
    <w:rsid w:val="00FC2D10"/>
    <w:rsid w:val="00FD2617"/>
    <w:rsid w:val="00FE211C"/>
    <w:rsid w:val="00FE247E"/>
    <w:rsid w:val="00FE67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19EB41"/>
  <w15:docId w15:val="{F3AA692D-0BED-49E4-9F19-D77A04D3A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01536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153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015365"/>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01536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015365"/>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015365"/>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015365"/>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015365"/>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015365"/>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1536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1536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01536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15365"/>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015365"/>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015365"/>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015365"/>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015365"/>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015365"/>
    <w:rPr>
      <w:rFonts w:eastAsiaTheme="majorEastAsia" w:cstheme="majorBidi"/>
      <w:color w:val="272727" w:themeColor="text1" w:themeTint="D8"/>
      <w:sz w:val="28"/>
    </w:rPr>
  </w:style>
  <w:style w:type="paragraph" w:styleId="a3">
    <w:name w:val="Title"/>
    <w:basedOn w:val="a"/>
    <w:next w:val="a"/>
    <w:link w:val="a4"/>
    <w:uiPriority w:val="10"/>
    <w:qFormat/>
    <w:rsid w:val="00015365"/>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0153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15365"/>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01536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15365"/>
    <w:pPr>
      <w:spacing w:before="160"/>
      <w:jc w:val="center"/>
    </w:pPr>
    <w:rPr>
      <w:i/>
      <w:iCs/>
      <w:color w:val="404040" w:themeColor="text1" w:themeTint="BF"/>
    </w:rPr>
  </w:style>
  <w:style w:type="character" w:customStyle="1" w:styleId="22">
    <w:name w:val="Цитата 2 Знак"/>
    <w:basedOn w:val="a0"/>
    <w:link w:val="21"/>
    <w:uiPriority w:val="29"/>
    <w:rsid w:val="00015365"/>
    <w:rPr>
      <w:rFonts w:ascii="Times New Roman" w:hAnsi="Times New Roman"/>
      <w:i/>
      <w:iCs/>
      <w:color w:val="404040" w:themeColor="text1" w:themeTint="BF"/>
      <w:sz w:val="28"/>
    </w:rPr>
  </w:style>
  <w:style w:type="paragraph" w:styleId="a7">
    <w:name w:val="List Paragraph"/>
    <w:basedOn w:val="a"/>
    <w:uiPriority w:val="34"/>
    <w:qFormat/>
    <w:rsid w:val="00015365"/>
    <w:pPr>
      <w:ind w:left="720"/>
      <w:contextualSpacing/>
    </w:pPr>
  </w:style>
  <w:style w:type="character" w:styleId="a8">
    <w:name w:val="Intense Emphasis"/>
    <w:basedOn w:val="a0"/>
    <w:uiPriority w:val="21"/>
    <w:qFormat/>
    <w:rsid w:val="00015365"/>
    <w:rPr>
      <w:i/>
      <w:iCs/>
      <w:color w:val="2F5496" w:themeColor="accent1" w:themeShade="BF"/>
    </w:rPr>
  </w:style>
  <w:style w:type="paragraph" w:styleId="a9">
    <w:name w:val="Intense Quote"/>
    <w:basedOn w:val="a"/>
    <w:next w:val="a"/>
    <w:link w:val="aa"/>
    <w:uiPriority w:val="30"/>
    <w:qFormat/>
    <w:rsid w:val="000153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15365"/>
    <w:rPr>
      <w:rFonts w:ascii="Times New Roman" w:hAnsi="Times New Roman"/>
      <w:i/>
      <w:iCs/>
      <w:color w:val="2F5496" w:themeColor="accent1" w:themeShade="BF"/>
      <w:sz w:val="28"/>
    </w:rPr>
  </w:style>
  <w:style w:type="character" w:styleId="ab">
    <w:name w:val="Intense Reference"/>
    <w:basedOn w:val="a0"/>
    <w:uiPriority w:val="32"/>
    <w:qFormat/>
    <w:rsid w:val="00015365"/>
    <w:rPr>
      <w:b/>
      <w:bCs/>
      <w:smallCaps/>
      <w:color w:val="2F5496" w:themeColor="accent1" w:themeShade="BF"/>
      <w:spacing w:val="5"/>
    </w:rPr>
  </w:style>
  <w:style w:type="character" w:customStyle="1" w:styleId="ac">
    <w:name w:val="Основной текст_"/>
    <w:basedOn w:val="a0"/>
    <w:link w:val="11"/>
    <w:rsid w:val="00015365"/>
    <w:rPr>
      <w:rFonts w:ascii="Times New Roman" w:eastAsia="Times New Roman" w:hAnsi="Times New Roman" w:cs="Times New Roman"/>
    </w:rPr>
  </w:style>
  <w:style w:type="character" w:customStyle="1" w:styleId="23">
    <w:name w:val="Основной текст (2)_"/>
    <w:basedOn w:val="a0"/>
    <w:link w:val="24"/>
    <w:uiPriority w:val="99"/>
    <w:rsid w:val="00015365"/>
    <w:rPr>
      <w:rFonts w:ascii="Times New Roman" w:eastAsia="Times New Roman" w:hAnsi="Times New Roman" w:cs="Times New Roman"/>
      <w:b/>
      <w:bCs/>
      <w:sz w:val="40"/>
      <w:szCs w:val="40"/>
    </w:rPr>
  </w:style>
  <w:style w:type="paragraph" w:customStyle="1" w:styleId="11">
    <w:name w:val="Основной текст1"/>
    <w:basedOn w:val="a"/>
    <w:link w:val="ac"/>
    <w:rsid w:val="00015365"/>
    <w:pPr>
      <w:widowControl w:val="0"/>
      <w:spacing w:after="0" w:line="360" w:lineRule="auto"/>
      <w:ind w:firstLine="400"/>
    </w:pPr>
    <w:rPr>
      <w:rFonts w:eastAsia="Times New Roman" w:cs="Times New Roman"/>
      <w:sz w:val="22"/>
    </w:rPr>
  </w:style>
  <w:style w:type="paragraph" w:customStyle="1" w:styleId="24">
    <w:name w:val="Основной текст (2)"/>
    <w:basedOn w:val="a"/>
    <w:link w:val="23"/>
    <w:uiPriority w:val="99"/>
    <w:rsid w:val="00015365"/>
    <w:pPr>
      <w:widowControl w:val="0"/>
      <w:spacing w:after="600"/>
      <w:jc w:val="center"/>
    </w:pPr>
    <w:rPr>
      <w:rFonts w:eastAsia="Times New Roman" w:cs="Times New Roman"/>
      <w:b/>
      <w:bCs/>
      <w:sz w:val="40"/>
      <w:szCs w:val="40"/>
    </w:rPr>
  </w:style>
  <w:style w:type="paragraph" w:styleId="ad">
    <w:name w:val="header"/>
    <w:basedOn w:val="a"/>
    <w:link w:val="ae"/>
    <w:uiPriority w:val="99"/>
    <w:unhideWhenUsed/>
    <w:rsid w:val="001B274E"/>
    <w:pPr>
      <w:tabs>
        <w:tab w:val="center" w:pos="4677"/>
        <w:tab w:val="right" w:pos="9355"/>
      </w:tabs>
      <w:spacing w:after="0"/>
    </w:pPr>
  </w:style>
  <w:style w:type="character" w:customStyle="1" w:styleId="ae">
    <w:name w:val="Верхний колонтитул Знак"/>
    <w:basedOn w:val="a0"/>
    <w:link w:val="ad"/>
    <w:uiPriority w:val="99"/>
    <w:rsid w:val="001B274E"/>
    <w:rPr>
      <w:rFonts w:ascii="Times New Roman" w:hAnsi="Times New Roman"/>
      <w:sz w:val="28"/>
    </w:rPr>
  </w:style>
  <w:style w:type="paragraph" w:styleId="af">
    <w:name w:val="footer"/>
    <w:basedOn w:val="a"/>
    <w:link w:val="af0"/>
    <w:uiPriority w:val="99"/>
    <w:unhideWhenUsed/>
    <w:rsid w:val="001B274E"/>
    <w:pPr>
      <w:tabs>
        <w:tab w:val="center" w:pos="4677"/>
        <w:tab w:val="right" w:pos="9355"/>
      </w:tabs>
      <w:spacing w:after="0"/>
    </w:pPr>
  </w:style>
  <w:style w:type="character" w:customStyle="1" w:styleId="af0">
    <w:name w:val="Нижний колонтитул Знак"/>
    <w:basedOn w:val="a0"/>
    <w:link w:val="af"/>
    <w:uiPriority w:val="99"/>
    <w:rsid w:val="001B274E"/>
    <w:rPr>
      <w:rFonts w:ascii="Times New Roman" w:hAnsi="Times New Roman"/>
      <w:sz w:val="28"/>
    </w:rPr>
  </w:style>
  <w:style w:type="character" w:customStyle="1" w:styleId="51">
    <w:name w:val="Основной текст (5)_"/>
    <w:basedOn w:val="a0"/>
    <w:link w:val="52"/>
    <w:rsid w:val="001B274E"/>
    <w:rPr>
      <w:rFonts w:ascii="Times New Roman" w:eastAsia="Times New Roman" w:hAnsi="Times New Roman" w:cs="Times New Roman"/>
      <w:b/>
      <w:bCs/>
      <w:sz w:val="28"/>
      <w:szCs w:val="28"/>
    </w:rPr>
  </w:style>
  <w:style w:type="paragraph" w:customStyle="1" w:styleId="52">
    <w:name w:val="Основной текст (5)"/>
    <w:basedOn w:val="a"/>
    <w:link w:val="51"/>
    <w:rsid w:val="001B274E"/>
    <w:pPr>
      <w:widowControl w:val="0"/>
      <w:spacing w:after="500"/>
      <w:ind w:firstLine="620"/>
    </w:pPr>
    <w:rPr>
      <w:rFonts w:eastAsia="Times New Roman" w:cs="Times New Roman"/>
      <w:b/>
      <w:bCs/>
      <w:szCs w:val="28"/>
    </w:rPr>
  </w:style>
  <w:style w:type="character" w:customStyle="1" w:styleId="af1">
    <w:name w:val="Другое_"/>
    <w:basedOn w:val="a0"/>
    <w:link w:val="af2"/>
    <w:uiPriority w:val="99"/>
    <w:rsid w:val="00CB781F"/>
    <w:rPr>
      <w:rFonts w:ascii="Times New Roman" w:eastAsia="Times New Roman" w:hAnsi="Times New Roman" w:cs="Times New Roman"/>
    </w:rPr>
  </w:style>
  <w:style w:type="paragraph" w:customStyle="1" w:styleId="af2">
    <w:name w:val="Другое"/>
    <w:basedOn w:val="a"/>
    <w:link w:val="af1"/>
    <w:uiPriority w:val="99"/>
    <w:rsid w:val="00CB781F"/>
    <w:pPr>
      <w:widowControl w:val="0"/>
      <w:spacing w:after="0" w:line="360" w:lineRule="auto"/>
      <w:ind w:firstLine="400"/>
    </w:pPr>
    <w:rPr>
      <w:rFonts w:eastAsia="Times New Roman" w:cs="Times New Roman"/>
      <w:sz w:val="22"/>
    </w:rPr>
  </w:style>
  <w:style w:type="character" w:customStyle="1" w:styleId="af3">
    <w:name w:val="Сноска_"/>
    <w:basedOn w:val="a0"/>
    <w:link w:val="af4"/>
    <w:rsid w:val="00CB781F"/>
    <w:rPr>
      <w:rFonts w:ascii="Times New Roman" w:eastAsia="Times New Roman" w:hAnsi="Times New Roman" w:cs="Times New Roman"/>
    </w:rPr>
  </w:style>
  <w:style w:type="character" w:customStyle="1" w:styleId="25">
    <w:name w:val="Колонтитул (2)_"/>
    <w:basedOn w:val="a0"/>
    <w:link w:val="26"/>
    <w:rsid w:val="00CB781F"/>
    <w:rPr>
      <w:rFonts w:ascii="Times New Roman" w:eastAsia="Times New Roman" w:hAnsi="Times New Roman" w:cs="Times New Roman"/>
      <w:sz w:val="20"/>
      <w:szCs w:val="20"/>
    </w:rPr>
  </w:style>
  <w:style w:type="character" w:customStyle="1" w:styleId="af5">
    <w:name w:val="Оглавление_"/>
    <w:basedOn w:val="a0"/>
    <w:link w:val="af6"/>
    <w:rsid w:val="00CB781F"/>
    <w:rPr>
      <w:rFonts w:ascii="Times New Roman" w:eastAsia="Times New Roman" w:hAnsi="Times New Roman" w:cs="Times New Roman"/>
      <w:b/>
      <w:bCs/>
    </w:rPr>
  </w:style>
  <w:style w:type="character" w:customStyle="1" w:styleId="af7">
    <w:name w:val="Подпись к таблице_"/>
    <w:basedOn w:val="a0"/>
    <w:link w:val="af8"/>
    <w:rsid w:val="00CB781F"/>
    <w:rPr>
      <w:rFonts w:ascii="Times New Roman" w:eastAsia="Times New Roman" w:hAnsi="Times New Roman" w:cs="Times New Roman"/>
      <w:b/>
      <w:bCs/>
    </w:rPr>
  </w:style>
  <w:style w:type="character" w:customStyle="1" w:styleId="61">
    <w:name w:val="Основной текст (6)_"/>
    <w:basedOn w:val="a0"/>
    <w:link w:val="62"/>
    <w:rsid w:val="00CB781F"/>
    <w:rPr>
      <w:rFonts w:ascii="Arial" w:eastAsia="Arial" w:hAnsi="Arial" w:cs="Arial"/>
      <w:color w:val="333333"/>
      <w:sz w:val="10"/>
      <w:szCs w:val="10"/>
    </w:rPr>
  </w:style>
  <w:style w:type="character" w:customStyle="1" w:styleId="af9">
    <w:name w:val="Подпись к картинке_"/>
    <w:basedOn w:val="a0"/>
    <w:link w:val="afa"/>
    <w:rsid w:val="00CB781F"/>
    <w:rPr>
      <w:rFonts w:ascii="Arial" w:eastAsia="Arial" w:hAnsi="Arial" w:cs="Arial"/>
      <w:color w:val="333333"/>
      <w:sz w:val="10"/>
      <w:szCs w:val="10"/>
    </w:rPr>
  </w:style>
  <w:style w:type="character" w:customStyle="1" w:styleId="81">
    <w:name w:val="Основной текст (8)_"/>
    <w:basedOn w:val="a0"/>
    <w:link w:val="82"/>
    <w:rsid w:val="00CB781F"/>
    <w:rPr>
      <w:rFonts w:ascii="Times New Roman" w:eastAsia="Times New Roman" w:hAnsi="Times New Roman" w:cs="Times New Roman"/>
      <w:color w:val="222222"/>
      <w:sz w:val="20"/>
      <w:szCs w:val="20"/>
    </w:rPr>
  </w:style>
  <w:style w:type="character" w:customStyle="1" w:styleId="71">
    <w:name w:val="Основной текст (7)_"/>
    <w:basedOn w:val="a0"/>
    <w:link w:val="72"/>
    <w:rsid w:val="00CB781F"/>
    <w:rPr>
      <w:rFonts w:ascii="Arial" w:eastAsia="Arial" w:hAnsi="Arial" w:cs="Arial"/>
      <w:color w:val="333333"/>
      <w:sz w:val="8"/>
      <w:szCs w:val="8"/>
    </w:rPr>
  </w:style>
  <w:style w:type="character" w:customStyle="1" w:styleId="91">
    <w:name w:val="Основной текст (9)_"/>
    <w:basedOn w:val="a0"/>
    <w:link w:val="92"/>
    <w:rsid w:val="00CB781F"/>
    <w:rPr>
      <w:rFonts w:ascii="Arial" w:eastAsia="Arial" w:hAnsi="Arial" w:cs="Arial"/>
      <w:b/>
      <w:bCs/>
      <w:color w:val="212121"/>
      <w:sz w:val="15"/>
      <w:szCs w:val="15"/>
    </w:rPr>
  </w:style>
  <w:style w:type="character" w:customStyle="1" w:styleId="12">
    <w:name w:val="Заголовок №1_"/>
    <w:basedOn w:val="a0"/>
    <w:link w:val="13"/>
    <w:rsid w:val="00CB781F"/>
    <w:rPr>
      <w:rFonts w:ascii="Times New Roman" w:eastAsia="Times New Roman" w:hAnsi="Times New Roman" w:cs="Times New Roman"/>
      <w:i/>
      <w:iCs/>
      <w:sz w:val="32"/>
      <w:szCs w:val="32"/>
    </w:rPr>
  </w:style>
  <w:style w:type="character" w:customStyle="1" w:styleId="afb">
    <w:name w:val="Колонтитул_"/>
    <w:basedOn w:val="a0"/>
    <w:link w:val="afc"/>
    <w:rsid w:val="00CB781F"/>
    <w:rPr>
      <w:rFonts w:ascii="Times New Roman" w:eastAsia="Times New Roman" w:hAnsi="Times New Roman" w:cs="Times New Roman"/>
      <w:sz w:val="20"/>
      <w:szCs w:val="20"/>
    </w:rPr>
  </w:style>
  <w:style w:type="character" w:customStyle="1" w:styleId="27">
    <w:name w:val="Заголовок №2_"/>
    <w:basedOn w:val="a0"/>
    <w:link w:val="28"/>
    <w:rsid w:val="00CB781F"/>
    <w:rPr>
      <w:rFonts w:ascii="Times New Roman" w:eastAsia="Times New Roman" w:hAnsi="Times New Roman" w:cs="Times New Roman"/>
      <w:i/>
      <w:iCs/>
      <w:color w:val="333333"/>
      <w:sz w:val="26"/>
      <w:szCs w:val="26"/>
    </w:rPr>
  </w:style>
  <w:style w:type="paragraph" w:customStyle="1" w:styleId="af4">
    <w:name w:val="Сноска"/>
    <w:basedOn w:val="a"/>
    <w:link w:val="af3"/>
    <w:rsid w:val="00CB781F"/>
    <w:pPr>
      <w:widowControl w:val="0"/>
      <w:spacing w:after="0"/>
      <w:ind w:firstLine="440"/>
    </w:pPr>
    <w:rPr>
      <w:rFonts w:eastAsia="Times New Roman" w:cs="Times New Roman"/>
      <w:sz w:val="22"/>
    </w:rPr>
  </w:style>
  <w:style w:type="paragraph" w:customStyle="1" w:styleId="26">
    <w:name w:val="Колонтитул (2)"/>
    <w:basedOn w:val="a"/>
    <w:link w:val="25"/>
    <w:rsid w:val="00CB781F"/>
    <w:pPr>
      <w:widowControl w:val="0"/>
      <w:spacing w:after="0"/>
    </w:pPr>
    <w:rPr>
      <w:rFonts w:eastAsia="Times New Roman" w:cs="Times New Roman"/>
      <w:sz w:val="20"/>
      <w:szCs w:val="20"/>
    </w:rPr>
  </w:style>
  <w:style w:type="paragraph" w:customStyle="1" w:styleId="af6">
    <w:name w:val="Оглавление"/>
    <w:basedOn w:val="a"/>
    <w:link w:val="af5"/>
    <w:rsid w:val="00CB781F"/>
    <w:pPr>
      <w:widowControl w:val="0"/>
      <w:spacing w:after="80"/>
    </w:pPr>
    <w:rPr>
      <w:rFonts w:eastAsia="Times New Roman" w:cs="Times New Roman"/>
      <w:b/>
      <w:bCs/>
      <w:sz w:val="22"/>
    </w:rPr>
  </w:style>
  <w:style w:type="paragraph" w:customStyle="1" w:styleId="af8">
    <w:name w:val="Подпись к таблице"/>
    <w:basedOn w:val="a"/>
    <w:link w:val="af7"/>
    <w:rsid w:val="00CB781F"/>
    <w:pPr>
      <w:widowControl w:val="0"/>
      <w:spacing w:after="0" w:line="300" w:lineRule="auto"/>
      <w:ind w:firstLine="580"/>
    </w:pPr>
    <w:rPr>
      <w:rFonts w:eastAsia="Times New Roman" w:cs="Times New Roman"/>
      <w:b/>
      <w:bCs/>
      <w:sz w:val="22"/>
    </w:rPr>
  </w:style>
  <w:style w:type="paragraph" w:customStyle="1" w:styleId="62">
    <w:name w:val="Основной текст (6)"/>
    <w:basedOn w:val="a"/>
    <w:link w:val="61"/>
    <w:rsid w:val="00CB781F"/>
    <w:pPr>
      <w:widowControl w:val="0"/>
      <w:spacing w:after="0" w:line="322" w:lineRule="auto"/>
    </w:pPr>
    <w:rPr>
      <w:rFonts w:ascii="Arial" w:eastAsia="Arial" w:hAnsi="Arial" w:cs="Arial"/>
      <w:color w:val="333333"/>
      <w:sz w:val="10"/>
      <w:szCs w:val="10"/>
    </w:rPr>
  </w:style>
  <w:style w:type="paragraph" w:customStyle="1" w:styleId="afa">
    <w:name w:val="Подпись к картинке"/>
    <w:basedOn w:val="a"/>
    <w:link w:val="af9"/>
    <w:rsid w:val="00CB781F"/>
    <w:pPr>
      <w:widowControl w:val="0"/>
      <w:spacing w:after="0" w:line="324" w:lineRule="auto"/>
    </w:pPr>
    <w:rPr>
      <w:rFonts w:ascii="Arial" w:eastAsia="Arial" w:hAnsi="Arial" w:cs="Arial"/>
      <w:color w:val="333333"/>
      <w:sz w:val="10"/>
      <w:szCs w:val="10"/>
    </w:rPr>
  </w:style>
  <w:style w:type="paragraph" w:customStyle="1" w:styleId="82">
    <w:name w:val="Основной текст (8)"/>
    <w:basedOn w:val="a"/>
    <w:link w:val="81"/>
    <w:rsid w:val="00CB781F"/>
    <w:pPr>
      <w:widowControl w:val="0"/>
      <w:spacing w:after="30"/>
      <w:ind w:left="1400"/>
    </w:pPr>
    <w:rPr>
      <w:rFonts w:eastAsia="Times New Roman" w:cs="Times New Roman"/>
      <w:color w:val="222222"/>
      <w:sz w:val="20"/>
      <w:szCs w:val="20"/>
    </w:rPr>
  </w:style>
  <w:style w:type="paragraph" w:customStyle="1" w:styleId="72">
    <w:name w:val="Основной текст (7)"/>
    <w:basedOn w:val="a"/>
    <w:link w:val="71"/>
    <w:rsid w:val="00CB781F"/>
    <w:pPr>
      <w:widowControl w:val="0"/>
      <w:spacing w:after="0" w:line="341" w:lineRule="auto"/>
    </w:pPr>
    <w:rPr>
      <w:rFonts w:ascii="Arial" w:eastAsia="Arial" w:hAnsi="Arial" w:cs="Arial"/>
      <w:color w:val="333333"/>
      <w:sz w:val="8"/>
      <w:szCs w:val="8"/>
    </w:rPr>
  </w:style>
  <w:style w:type="paragraph" w:customStyle="1" w:styleId="92">
    <w:name w:val="Основной текст (9)"/>
    <w:basedOn w:val="a"/>
    <w:link w:val="91"/>
    <w:rsid w:val="00CB781F"/>
    <w:pPr>
      <w:widowControl w:val="0"/>
      <w:spacing w:after="0" w:line="298" w:lineRule="auto"/>
      <w:jc w:val="center"/>
    </w:pPr>
    <w:rPr>
      <w:rFonts w:ascii="Arial" w:eastAsia="Arial" w:hAnsi="Arial" w:cs="Arial"/>
      <w:b/>
      <w:bCs/>
      <w:color w:val="212121"/>
      <w:sz w:val="15"/>
      <w:szCs w:val="15"/>
    </w:rPr>
  </w:style>
  <w:style w:type="paragraph" w:customStyle="1" w:styleId="13">
    <w:name w:val="Заголовок №1"/>
    <w:basedOn w:val="a"/>
    <w:link w:val="12"/>
    <w:rsid w:val="00CB781F"/>
    <w:pPr>
      <w:widowControl w:val="0"/>
      <w:spacing w:after="0"/>
      <w:jc w:val="center"/>
      <w:outlineLvl w:val="0"/>
    </w:pPr>
    <w:rPr>
      <w:rFonts w:eastAsia="Times New Roman" w:cs="Times New Roman"/>
      <w:i/>
      <w:iCs/>
      <w:sz w:val="32"/>
      <w:szCs w:val="32"/>
    </w:rPr>
  </w:style>
  <w:style w:type="paragraph" w:customStyle="1" w:styleId="afc">
    <w:name w:val="Колонтитул"/>
    <w:basedOn w:val="a"/>
    <w:link w:val="afb"/>
    <w:rsid w:val="00CB781F"/>
    <w:pPr>
      <w:widowControl w:val="0"/>
      <w:spacing w:after="0"/>
    </w:pPr>
    <w:rPr>
      <w:rFonts w:eastAsia="Times New Roman" w:cs="Times New Roman"/>
      <w:sz w:val="20"/>
      <w:szCs w:val="20"/>
    </w:rPr>
  </w:style>
  <w:style w:type="paragraph" w:customStyle="1" w:styleId="28">
    <w:name w:val="Заголовок №2"/>
    <w:basedOn w:val="a"/>
    <w:link w:val="27"/>
    <w:rsid w:val="00CB781F"/>
    <w:pPr>
      <w:widowControl w:val="0"/>
      <w:spacing w:after="0"/>
      <w:outlineLvl w:val="1"/>
    </w:pPr>
    <w:rPr>
      <w:rFonts w:eastAsia="Times New Roman" w:cs="Times New Roman"/>
      <w:i/>
      <w:iCs/>
      <w:color w:val="333333"/>
      <w:sz w:val="26"/>
      <w:szCs w:val="26"/>
    </w:rPr>
  </w:style>
  <w:style w:type="character" w:styleId="afd">
    <w:name w:val="Hyperlink"/>
    <w:basedOn w:val="a0"/>
    <w:uiPriority w:val="99"/>
    <w:unhideWhenUsed/>
    <w:rsid w:val="00BA6915"/>
    <w:rPr>
      <w:color w:val="0563C1" w:themeColor="hyperlink"/>
      <w:u w:val="single"/>
    </w:rPr>
  </w:style>
  <w:style w:type="character" w:customStyle="1" w:styleId="14">
    <w:name w:val="Неразрешенное упоминание1"/>
    <w:basedOn w:val="a0"/>
    <w:uiPriority w:val="99"/>
    <w:semiHidden/>
    <w:unhideWhenUsed/>
    <w:rsid w:val="00BA6915"/>
    <w:rPr>
      <w:color w:val="605E5C"/>
      <w:shd w:val="clear" w:color="auto" w:fill="E1DFDD"/>
    </w:rPr>
  </w:style>
  <w:style w:type="table" w:styleId="afe">
    <w:name w:val="Table Grid"/>
    <w:basedOn w:val="a1"/>
    <w:uiPriority w:val="59"/>
    <w:rsid w:val="00191B29"/>
    <w:pPr>
      <w:spacing w:after="0" w:line="240" w:lineRule="auto"/>
    </w:pPr>
    <w:rPr>
      <w:rFonts w:eastAsiaTheme="minorEastAsia"/>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No Spacing"/>
    <w:link w:val="aff0"/>
    <w:uiPriority w:val="1"/>
    <w:qFormat/>
    <w:rsid w:val="00191B29"/>
    <w:pPr>
      <w:spacing w:after="0" w:line="240" w:lineRule="auto"/>
    </w:pPr>
    <w:rPr>
      <w:rFonts w:ascii="Times New Roman" w:hAnsi="Times New Roman"/>
      <w:sz w:val="28"/>
    </w:rPr>
  </w:style>
  <w:style w:type="character" w:customStyle="1" w:styleId="aff0">
    <w:name w:val="Без интервала Знак"/>
    <w:basedOn w:val="a0"/>
    <w:link w:val="aff"/>
    <w:uiPriority w:val="1"/>
    <w:locked/>
    <w:rsid w:val="00191B29"/>
    <w:rPr>
      <w:rFonts w:ascii="Times New Roman" w:hAnsi="Times New Roman"/>
      <w:sz w:val="28"/>
    </w:rPr>
  </w:style>
  <w:style w:type="paragraph" w:styleId="aff1">
    <w:name w:val="annotation text"/>
    <w:basedOn w:val="a"/>
    <w:link w:val="aff2"/>
    <w:uiPriority w:val="99"/>
    <w:unhideWhenUsed/>
    <w:rsid w:val="00191B29"/>
    <w:rPr>
      <w:kern w:val="0"/>
      <w:sz w:val="20"/>
      <w:szCs w:val="20"/>
    </w:rPr>
  </w:style>
  <w:style w:type="character" w:customStyle="1" w:styleId="aff2">
    <w:name w:val="Текст примечания Знак"/>
    <w:basedOn w:val="a0"/>
    <w:link w:val="aff1"/>
    <w:uiPriority w:val="99"/>
    <w:rsid w:val="00191B29"/>
    <w:rPr>
      <w:rFonts w:ascii="Times New Roman" w:hAnsi="Times New Roman"/>
      <w:kern w:val="0"/>
      <w:sz w:val="20"/>
      <w:szCs w:val="20"/>
    </w:rPr>
  </w:style>
  <w:style w:type="character" w:styleId="aff3">
    <w:name w:val="annotation reference"/>
    <w:basedOn w:val="a0"/>
    <w:uiPriority w:val="99"/>
    <w:semiHidden/>
    <w:unhideWhenUsed/>
    <w:rsid w:val="00191B29"/>
    <w:rPr>
      <w:sz w:val="16"/>
      <w:szCs w:val="16"/>
    </w:rPr>
  </w:style>
  <w:style w:type="paragraph" w:styleId="aff4">
    <w:name w:val="TOC Heading"/>
    <w:basedOn w:val="1"/>
    <w:next w:val="a"/>
    <w:uiPriority w:val="39"/>
    <w:unhideWhenUsed/>
    <w:qFormat/>
    <w:rsid w:val="0008732C"/>
    <w:pPr>
      <w:spacing w:before="240" w:after="0" w:line="259" w:lineRule="auto"/>
      <w:outlineLvl w:val="9"/>
    </w:pPr>
    <w:rPr>
      <w:kern w:val="0"/>
      <w:sz w:val="32"/>
      <w:szCs w:val="32"/>
      <w:lang w:eastAsia="ru-RU"/>
    </w:rPr>
  </w:style>
  <w:style w:type="paragraph" w:styleId="15">
    <w:name w:val="toc 1"/>
    <w:basedOn w:val="a"/>
    <w:next w:val="a"/>
    <w:autoRedefine/>
    <w:uiPriority w:val="39"/>
    <w:unhideWhenUsed/>
    <w:rsid w:val="00350B76"/>
    <w:pPr>
      <w:spacing w:after="100"/>
    </w:pPr>
  </w:style>
  <w:style w:type="paragraph" w:styleId="29">
    <w:name w:val="toc 2"/>
    <w:basedOn w:val="a"/>
    <w:next w:val="a"/>
    <w:autoRedefine/>
    <w:uiPriority w:val="39"/>
    <w:unhideWhenUsed/>
    <w:rsid w:val="0059765D"/>
    <w:pPr>
      <w:tabs>
        <w:tab w:val="left" w:pos="960"/>
        <w:tab w:val="right" w:leader="dot" w:pos="9338"/>
      </w:tabs>
      <w:spacing w:after="100" w:line="360" w:lineRule="auto"/>
      <w:ind w:left="280"/>
    </w:pPr>
  </w:style>
  <w:style w:type="paragraph" w:styleId="aff5">
    <w:name w:val="Balloon Text"/>
    <w:basedOn w:val="a"/>
    <w:link w:val="aff6"/>
    <w:uiPriority w:val="99"/>
    <w:semiHidden/>
    <w:unhideWhenUsed/>
    <w:rsid w:val="00D45012"/>
    <w:pPr>
      <w:spacing w:after="0"/>
    </w:pPr>
    <w:rPr>
      <w:rFonts w:ascii="Tahoma" w:hAnsi="Tahoma" w:cs="Tahoma"/>
      <w:sz w:val="16"/>
      <w:szCs w:val="16"/>
    </w:rPr>
  </w:style>
  <w:style w:type="character" w:customStyle="1" w:styleId="aff6">
    <w:name w:val="Текст выноски Знак"/>
    <w:basedOn w:val="a0"/>
    <w:link w:val="aff5"/>
    <w:uiPriority w:val="99"/>
    <w:semiHidden/>
    <w:rsid w:val="00D45012"/>
    <w:rPr>
      <w:rFonts w:ascii="Tahoma" w:hAnsi="Tahoma" w:cs="Tahoma"/>
      <w:sz w:val="16"/>
      <w:szCs w:val="16"/>
    </w:rPr>
  </w:style>
  <w:style w:type="paragraph" w:styleId="aff7">
    <w:name w:val="annotation subject"/>
    <w:basedOn w:val="aff1"/>
    <w:next w:val="aff1"/>
    <w:link w:val="aff8"/>
    <w:uiPriority w:val="99"/>
    <w:semiHidden/>
    <w:unhideWhenUsed/>
    <w:rsid w:val="00D45012"/>
    <w:rPr>
      <w:b/>
      <w:bCs/>
      <w:kern w:val="2"/>
    </w:rPr>
  </w:style>
  <w:style w:type="character" w:customStyle="1" w:styleId="aff8">
    <w:name w:val="Тема примечания Знак"/>
    <w:basedOn w:val="aff2"/>
    <w:link w:val="aff7"/>
    <w:uiPriority w:val="99"/>
    <w:semiHidden/>
    <w:rsid w:val="00D45012"/>
    <w:rPr>
      <w:rFonts w:ascii="Times New Roman" w:hAnsi="Times New Roman"/>
      <w:b/>
      <w:bCs/>
      <w:kern w:val="0"/>
      <w:sz w:val="20"/>
      <w:szCs w:val="20"/>
    </w:rPr>
  </w:style>
  <w:style w:type="character" w:styleId="aff9">
    <w:name w:val="Strong"/>
    <w:basedOn w:val="a0"/>
    <w:uiPriority w:val="22"/>
    <w:qFormat/>
    <w:rsid w:val="0042368D"/>
    <w:rPr>
      <w:b/>
      <w:bCs/>
    </w:rPr>
  </w:style>
  <w:style w:type="paragraph" w:styleId="affa">
    <w:name w:val="Normal (Web)"/>
    <w:basedOn w:val="a"/>
    <w:uiPriority w:val="99"/>
    <w:unhideWhenUsed/>
    <w:rsid w:val="009A017A"/>
    <w:pPr>
      <w:spacing w:before="100" w:beforeAutospacing="1" w:after="100" w:afterAutospacing="1"/>
    </w:pPr>
    <w:rPr>
      <w:rFonts w:eastAsia="Times New Roman" w:cs="Times New Roman"/>
      <w:kern w:val="0"/>
      <w:sz w:val="24"/>
      <w:szCs w:val="24"/>
      <w:lang w:eastAsia="ru-RU"/>
    </w:rPr>
  </w:style>
  <w:style w:type="paragraph" w:customStyle="1" w:styleId="ds-markdown-paragraph">
    <w:name w:val="ds-markdown-paragraph"/>
    <w:basedOn w:val="a"/>
    <w:rsid w:val="008263E2"/>
    <w:pPr>
      <w:spacing w:before="100" w:beforeAutospacing="1" w:after="100" w:afterAutospacing="1"/>
    </w:pPr>
    <w:rPr>
      <w:rFonts w:eastAsia="Times New Roman" w:cs="Times New Roman"/>
      <w:kern w:val="0"/>
      <w:sz w:val="24"/>
      <w:szCs w:val="24"/>
      <w:lang w:eastAsia="ru-RU"/>
    </w:rPr>
  </w:style>
  <w:style w:type="character" w:customStyle="1" w:styleId="16">
    <w:name w:val="Основной текст Знак1"/>
    <w:basedOn w:val="a0"/>
    <w:link w:val="affb"/>
    <w:uiPriority w:val="99"/>
    <w:rsid w:val="00D77B07"/>
    <w:rPr>
      <w:rFonts w:ascii="Times New Roman" w:hAnsi="Times New Roman" w:cs="Times New Roman"/>
      <w:color w:val="000000"/>
    </w:rPr>
  </w:style>
  <w:style w:type="paragraph" w:styleId="affb">
    <w:name w:val="Body Text"/>
    <w:basedOn w:val="a"/>
    <w:link w:val="16"/>
    <w:uiPriority w:val="99"/>
    <w:qFormat/>
    <w:rsid w:val="00D77B07"/>
    <w:pPr>
      <w:spacing w:after="0" w:line="254" w:lineRule="auto"/>
    </w:pPr>
    <w:rPr>
      <w:rFonts w:cs="Times New Roman"/>
      <w:color w:val="000000"/>
      <w:sz w:val="22"/>
    </w:rPr>
  </w:style>
  <w:style w:type="character" w:customStyle="1" w:styleId="affc">
    <w:name w:val="Основной текст Знак"/>
    <w:basedOn w:val="a0"/>
    <w:uiPriority w:val="99"/>
    <w:semiHidden/>
    <w:rsid w:val="00D77B07"/>
    <w:rPr>
      <w:rFonts w:ascii="Times New Roman" w:hAnsi="Times New Roman"/>
      <w:sz w:val="28"/>
    </w:rPr>
  </w:style>
  <w:style w:type="character" w:styleId="affd">
    <w:name w:val="Emphasis"/>
    <w:basedOn w:val="a0"/>
    <w:uiPriority w:val="20"/>
    <w:qFormat/>
    <w:rsid w:val="009C591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870139">
      <w:bodyDiv w:val="1"/>
      <w:marLeft w:val="0"/>
      <w:marRight w:val="0"/>
      <w:marTop w:val="0"/>
      <w:marBottom w:val="0"/>
      <w:divBdr>
        <w:top w:val="none" w:sz="0" w:space="0" w:color="auto"/>
        <w:left w:val="none" w:sz="0" w:space="0" w:color="auto"/>
        <w:bottom w:val="none" w:sz="0" w:space="0" w:color="auto"/>
        <w:right w:val="none" w:sz="0" w:space="0" w:color="auto"/>
      </w:divBdr>
    </w:div>
    <w:div w:id="46805586">
      <w:bodyDiv w:val="1"/>
      <w:marLeft w:val="0"/>
      <w:marRight w:val="0"/>
      <w:marTop w:val="0"/>
      <w:marBottom w:val="0"/>
      <w:divBdr>
        <w:top w:val="none" w:sz="0" w:space="0" w:color="auto"/>
        <w:left w:val="none" w:sz="0" w:space="0" w:color="auto"/>
        <w:bottom w:val="none" w:sz="0" w:space="0" w:color="auto"/>
        <w:right w:val="none" w:sz="0" w:space="0" w:color="auto"/>
      </w:divBdr>
    </w:div>
    <w:div w:id="81417905">
      <w:bodyDiv w:val="1"/>
      <w:marLeft w:val="0"/>
      <w:marRight w:val="0"/>
      <w:marTop w:val="0"/>
      <w:marBottom w:val="0"/>
      <w:divBdr>
        <w:top w:val="none" w:sz="0" w:space="0" w:color="auto"/>
        <w:left w:val="none" w:sz="0" w:space="0" w:color="auto"/>
        <w:bottom w:val="none" w:sz="0" w:space="0" w:color="auto"/>
        <w:right w:val="none" w:sz="0" w:space="0" w:color="auto"/>
      </w:divBdr>
    </w:div>
    <w:div w:id="112409596">
      <w:bodyDiv w:val="1"/>
      <w:marLeft w:val="0"/>
      <w:marRight w:val="0"/>
      <w:marTop w:val="0"/>
      <w:marBottom w:val="0"/>
      <w:divBdr>
        <w:top w:val="none" w:sz="0" w:space="0" w:color="auto"/>
        <w:left w:val="none" w:sz="0" w:space="0" w:color="auto"/>
        <w:bottom w:val="none" w:sz="0" w:space="0" w:color="auto"/>
        <w:right w:val="none" w:sz="0" w:space="0" w:color="auto"/>
      </w:divBdr>
    </w:div>
    <w:div w:id="117335473">
      <w:bodyDiv w:val="1"/>
      <w:marLeft w:val="0"/>
      <w:marRight w:val="0"/>
      <w:marTop w:val="0"/>
      <w:marBottom w:val="0"/>
      <w:divBdr>
        <w:top w:val="none" w:sz="0" w:space="0" w:color="auto"/>
        <w:left w:val="none" w:sz="0" w:space="0" w:color="auto"/>
        <w:bottom w:val="none" w:sz="0" w:space="0" w:color="auto"/>
        <w:right w:val="none" w:sz="0" w:space="0" w:color="auto"/>
      </w:divBdr>
    </w:div>
    <w:div w:id="131757621">
      <w:bodyDiv w:val="1"/>
      <w:marLeft w:val="0"/>
      <w:marRight w:val="0"/>
      <w:marTop w:val="0"/>
      <w:marBottom w:val="0"/>
      <w:divBdr>
        <w:top w:val="none" w:sz="0" w:space="0" w:color="auto"/>
        <w:left w:val="none" w:sz="0" w:space="0" w:color="auto"/>
        <w:bottom w:val="none" w:sz="0" w:space="0" w:color="auto"/>
        <w:right w:val="none" w:sz="0" w:space="0" w:color="auto"/>
      </w:divBdr>
    </w:div>
    <w:div w:id="139613586">
      <w:bodyDiv w:val="1"/>
      <w:marLeft w:val="0"/>
      <w:marRight w:val="0"/>
      <w:marTop w:val="0"/>
      <w:marBottom w:val="0"/>
      <w:divBdr>
        <w:top w:val="none" w:sz="0" w:space="0" w:color="auto"/>
        <w:left w:val="none" w:sz="0" w:space="0" w:color="auto"/>
        <w:bottom w:val="none" w:sz="0" w:space="0" w:color="auto"/>
        <w:right w:val="none" w:sz="0" w:space="0" w:color="auto"/>
      </w:divBdr>
    </w:div>
    <w:div w:id="140778427">
      <w:bodyDiv w:val="1"/>
      <w:marLeft w:val="0"/>
      <w:marRight w:val="0"/>
      <w:marTop w:val="0"/>
      <w:marBottom w:val="0"/>
      <w:divBdr>
        <w:top w:val="none" w:sz="0" w:space="0" w:color="auto"/>
        <w:left w:val="none" w:sz="0" w:space="0" w:color="auto"/>
        <w:bottom w:val="none" w:sz="0" w:space="0" w:color="auto"/>
        <w:right w:val="none" w:sz="0" w:space="0" w:color="auto"/>
      </w:divBdr>
    </w:div>
    <w:div w:id="214239939">
      <w:bodyDiv w:val="1"/>
      <w:marLeft w:val="0"/>
      <w:marRight w:val="0"/>
      <w:marTop w:val="0"/>
      <w:marBottom w:val="0"/>
      <w:divBdr>
        <w:top w:val="none" w:sz="0" w:space="0" w:color="auto"/>
        <w:left w:val="none" w:sz="0" w:space="0" w:color="auto"/>
        <w:bottom w:val="none" w:sz="0" w:space="0" w:color="auto"/>
        <w:right w:val="none" w:sz="0" w:space="0" w:color="auto"/>
      </w:divBdr>
    </w:div>
    <w:div w:id="235630762">
      <w:bodyDiv w:val="1"/>
      <w:marLeft w:val="0"/>
      <w:marRight w:val="0"/>
      <w:marTop w:val="0"/>
      <w:marBottom w:val="0"/>
      <w:divBdr>
        <w:top w:val="none" w:sz="0" w:space="0" w:color="auto"/>
        <w:left w:val="none" w:sz="0" w:space="0" w:color="auto"/>
        <w:bottom w:val="none" w:sz="0" w:space="0" w:color="auto"/>
        <w:right w:val="none" w:sz="0" w:space="0" w:color="auto"/>
      </w:divBdr>
    </w:div>
    <w:div w:id="268590615">
      <w:bodyDiv w:val="1"/>
      <w:marLeft w:val="0"/>
      <w:marRight w:val="0"/>
      <w:marTop w:val="0"/>
      <w:marBottom w:val="0"/>
      <w:divBdr>
        <w:top w:val="none" w:sz="0" w:space="0" w:color="auto"/>
        <w:left w:val="none" w:sz="0" w:space="0" w:color="auto"/>
        <w:bottom w:val="none" w:sz="0" w:space="0" w:color="auto"/>
        <w:right w:val="none" w:sz="0" w:space="0" w:color="auto"/>
      </w:divBdr>
    </w:div>
    <w:div w:id="281038152">
      <w:bodyDiv w:val="1"/>
      <w:marLeft w:val="0"/>
      <w:marRight w:val="0"/>
      <w:marTop w:val="0"/>
      <w:marBottom w:val="0"/>
      <w:divBdr>
        <w:top w:val="none" w:sz="0" w:space="0" w:color="auto"/>
        <w:left w:val="none" w:sz="0" w:space="0" w:color="auto"/>
        <w:bottom w:val="none" w:sz="0" w:space="0" w:color="auto"/>
        <w:right w:val="none" w:sz="0" w:space="0" w:color="auto"/>
      </w:divBdr>
    </w:div>
    <w:div w:id="305397914">
      <w:bodyDiv w:val="1"/>
      <w:marLeft w:val="0"/>
      <w:marRight w:val="0"/>
      <w:marTop w:val="0"/>
      <w:marBottom w:val="0"/>
      <w:divBdr>
        <w:top w:val="none" w:sz="0" w:space="0" w:color="auto"/>
        <w:left w:val="none" w:sz="0" w:space="0" w:color="auto"/>
        <w:bottom w:val="none" w:sz="0" w:space="0" w:color="auto"/>
        <w:right w:val="none" w:sz="0" w:space="0" w:color="auto"/>
      </w:divBdr>
    </w:div>
    <w:div w:id="314724429">
      <w:bodyDiv w:val="1"/>
      <w:marLeft w:val="0"/>
      <w:marRight w:val="0"/>
      <w:marTop w:val="0"/>
      <w:marBottom w:val="0"/>
      <w:divBdr>
        <w:top w:val="none" w:sz="0" w:space="0" w:color="auto"/>
        <w:left w:val="none" w:sz="0" w:space="0" w:color="auto"/>
        <w:bottom w:val="none" w:sz="0" w:space="0" w:color="auto"/>
        <w:right w:val="none" w:sz="0" w:space="0" w:color="auto"/>
      </w:divBdr>
    </w:div>
    <w:div w:id="316997690">
      <w:bodyDiv w:val="1"/>
      <w:marLeft w:val="0"/>
      <w:marRight w:val="0"/>
      <w:marTop w:val="0"/>
      <w:marBottom w:val="0"/>
      <w:divBdr>
        <w:top w:val="none" w:sz="0" w:space="0" w:color="auto"/>
        <w:left w:val="none" w:sz="0" w:space="0" w:color="auto"/>
        <w:bottom w:val="none" w:sz="0" w:space="0" w:color="auto"/>
        <w:right w:val="none" w:sz="0" w:space="0" w:color="auto"/>
      </w:divBdr>
    </w:div>
    <w:div w:id="319578392">
      <w:bodyDiv w:val="1"/>
      <w:marLeft w:val="0"/>
      <w:marRight w:val="0"/>
      <w:marTop w:val="0"/>
      <w:marBottom w:val="0"/>
      <w:divBdr>
        <w:top w:val="none" w:sz="0" w:space="0" w:color="auto"/>
        <w:left w:val="none" w:sz="0" w:space="0" w:color="auto"/>
        <w:bottom w:val="none" w:sz="0" w:space="0" w:color="auto"/>
        <w:right w:val="none" w:sz="0" w:space="0" w:color="auto"/>
      </w:divBdr>
    </w:div>
    <w:div w:id="340592464">
      <w:bodyDiv w:val="1"/>
      <w:marLeft w:val="0"/>
      <w:marRight w:val="0"/>
      <w:marTop w:val="0"/>
      <w:marBottom w:val="0"/>
      <w:divBdr>
        <w:top w:val="none" w:sz="0" w:space="0" w:color="auto"/>
        <w:left w:val="none" w:sz="0" w:space="0" w:color="auto"/>
        <w:bottom w:val="none" w:sz="0" w:space="0" w:color="auto"/>
        <w:right w:val="none" w:sz="0" w:space="0" w:color="auto"/>
      </w:divBdr>
    </w:div>
    <w:div w:id="343752945">
      <w:bodyDiv w:val="1"/>
      <w:marLeft w:val="0"/>
      <w:marRight w:val="0"/>
      <w:marTop w:val="0"/>
      <w:marBottom w:val="0"/>
      <w:divBdr>
        <w:top w:val="none" w:sz="0" w:space="0" w:color="auto"/>
        <w:left w:val="none" w:sz="0" w:space="0" w:color="auto"/>
        <w:bottom w:val="none" w:sz="0" w:space="0" w:color="auto"/>
        <w:right w:val="none" w:sz="0" w:space="0" w:color="auto"/>
      </w:divBdr>
    </w:div>
    <w:div w:id="416243809">
      <w:bodyDiv w:val="1"/>
      <w:marLeft w:val="0"/>
      <w:marRight w:val="0"/>
      <w:marTop w:val="0"/>
      <w:marBottom w:val="0"/>
      <w:divBdr>
        <w:top w:val="none" w:sz="0" w:space="0" w:color="auto"/>
        <w:left w:val="none" w:sz="0" w:space="0" w:color="auto"/>
        <w:bottom w:val="none" w:sz="0" w:space="0" w:color="auto"/>
        <w:right w:val="none" w:sz="0" w:space="0" w:color="auto"/>
      </w:divBdr>
    </w:div>
    <w:div w:id="420639635">
      <w:bodyDiv w:val="1"/>
      <w:marLeft w:val="0"/>
      <w:marRight w:val="0"/>
      <w:marTop w:val="0"/>
      <w:marBottom w:val="0"/>
      <w:divBdr>
        <w:top w:val="none" w:sz="0" w:space="0" w:color="auto"/>
        <w:left w:val="none" w:sz="0" w:space="0" w:color="auto"/>
        <w:bottom w:val="none" w:sz="0" w:space="0" w:color="auto"/>
        <w:right w:val="none" w:sz="0" w:space="0" w:color="auto"/>
      </w:divBdr>
    </w:div>
    <w:div w:id="452556097">
      <w:bodyDiv w:val="1"/>
      <w:marLeft w:val="0"/>
      <w:marRight w:val="0"/>
      <w:marTop w:val="0"/>
      <w:marBottom w:val="0"/>
      <w:divBdr>
        <w:top w:val="none" w:sz="0" w:space="0" w:color="auto"/>
        <w:left w:val="none" w:sz="0" w:space="0" w:color="auto"/>
        <w:bottom w:val="none" w:sz="0" w:space="0" w:color="auto"/>
        <w:right w:val="none" w:sz="0" w:space="0" w:color="auto"/>
      </w:divBdr>
    </w:div>
    <w:div w:id="453250601">
      <w:bodyDiv w:val="1"/>
      <w:marLeft w:val="0"/>
      <w:marRight w:val="0"/>
      <w:marTop w:val="0"/>
      <w:marBottom w:val="0"/>
      <w:divBdr>
        <w:top w:val="none" w:sz="0" w:space="0" w:color="auto"/>
        <w:left w:val="none" w:sz="0" w:space="0" w:color="auto"/>
        <w:bottom w:val="none" w:sz="0" w:space="0" w:color="auto"/>
        <w:right w:val="none" w:sz="0" w:space="0" w:color="auto"/>
      </w:divBdr>
    </w:div>
    <w:div w:id="601689612">
      <w:bodyDiv w:val="1"/>
      <w:marLeft w:val="0"/>
      <w:marRight w:val="0"/>
      <w:marTop w:val="0"/>
      <w:marBottom w:val="0"/>
      <w:divBdr>
        <w:top w:val="none" w:sz="0" w:space="0" w:color="auto"/>
        <w:left w:val="none" w:sz="0" w:space="0" w:color="auto"/>
        <w:bottom w:val="none" w:sz="0" w:space="0" w:color="auto"/>
        <w:right w:val="none" w:sz="0" w:space="0" w:color="auto"/>
      </w:divBdr>
    </w:div>
    <w:div w:id="615721757">
      <w:bodyDiv w:val="1"/>
      <w:marLeft w:val="0"/>
      <w:marRight w:val="0"/>
      <w:marTop w:val="0"/>
      <w:marBottom w:val="0"/>
      <w:divBdr>
        <w:top w:val="none" w:sz="0" w:space="0" w:color="auto"/>
        <w:left w:val="none" w:sz="0" w:space="0" w:color="auto"/>
        <w:bottom w:val="none" w:sz="0" w:space="0" w:color="auto"/>
        <w:right w:val="none" w:sz="0" w:space="0" w:color="auto"/>
      </w:divBdr>
    </w:div>
    <w:div w:id="626667919">
      <w:bodyDiv w:val="1"/>
      <w:marLeft w:val="0"/>
      <w:marRight w:val="0"/>
      <w:marTop w:val="0"/>
      <w:marBottom w:val="0"/>
      <w:divBdr>
        <w:top w:val="none" w:sz="0" w:space="0" w:color="auto"/>
        <w:left w:val="none" w:sz="0" w:space="0" w:color="auto"/>
        <w:bottom w:val="none" w:sz="0" w:space="0" w:color="auto"/>
        <w:right w:val="none" w:sz="0" w:space="0" w:color="auto"/>
      </w:divBdr>
    </w:div>
    <w:div w:id="649596663">
      <w:bodyDiv w:val="1"/>
      <w:marLeft w:val="0"/>
      <w:marRight w:val="0"/>
      <w:marTop w:val="0"/>
      <w:marBottom w:val="0"/>
      <w:divBdr>
        <w:top w:val="none" w:sz="0" w:space="0" w:color="auto"/>
        <w:left w:val="none" w:sz="0" w:space="0" w:color="auto"/>
        <w:bottom w:val="none" w:sz="0" w:space="0" w:color="auto"/>
        <w:right w:val="none" w:sz="0" w:space="0" w:color="auto"/>
      </w:divBdr>
    </w:div>
    <w:div w:id="665479055">
      <w:bodyDiv w:val="1"/>
      <w:marLeft w:val="0"/>
      <w:marRight w:val="0"/>
      <w:marTop w:val="0"/>
      <w:marBottom w:val="0"/>
      <w:divBdr>
        <w:top w:val="none" w:sz="0" w:space="0" w:color="auto"/>
        <w:left w:val="none" w:sz="0" w:space="0" w:color="auto"/>
        <w:bottom w:val="none" w:sz="0" w:space="0" w:color="auto"/>
        <w:right w:val="none" w:sz="0" w:space="0" w:color="auto"/>
      </w:divBdr>
    </w:div>
    <w:div w:id="668023908">
      <w:bodyDiv w:val="1"/>
      <w:marLeft w:val="0"/>
      <w:marRight w:val="0"/>
      <w:marTop w:val="0"/>
      <w:marBottom w:val="0"/>
      <w:divBdr>
        <w:top w:val="none" w:sz="0" w:space="0" w:color="auto"/>
        <w:left w:val="none" w:sz="0" w:space="0" w:color="auto"/>
        <w:bottom w:val="none" w:sz="0" w:space="0" w:color="auto"/>
        <w:right w:val="none" w:sz="0" w:space="0" w:color="auto"/>
      </w:divBdr>
    </w:div>
    <w:div w:id="674957023">
      <w:bodyDiv w:val="1"/>
      <w:marLeft w:val="0"/>
      <w:marRight w:val="0"/>
      <w:marTop w:val="0"/>
      <w:marBottom w:val="0"/>
      <w:divBdr>
        <w:top w:val="none" w:sz="0" w:space="0" w:color="auto"/>
        <w:left w:val="none" w:sz="0" w:space="0" w:color="auto"/>
        <w:bottom w:val="none" w:sz="0" w:space="0" w:color="auto"/>
        <w:right w:val="none" w:sz="0" w:space="0" w:color="auto"/>
      </w:divBdr>
    </w:div>
    <w:div w:id="808784935">
      <w:bodyDiv w:val="1"/>
      <w:marLeft w:val="0"/>
      <w:marRight w:val="0"/>
      <w:marTop w:val="0"/>
      <w:marBottom w:val="0"/>
      <w:divBdr>
        <w:top w:val="none" w:sz="0" w:space="0" w:color="auto"/>
        <w:left w:val="none" w:sz="0" w:space="0" w:color="auto"/>
        <w:bottom w:val="none" w:sz="0" w:space="0" w:color="auto"/>
        <w:right w:val="none" w:sz="0" w:space="0" w:color="auto"/>
      </w:divBdr>
    </w:div>
    <w:div w:id="810710021">
      <w:bodyDiv w:val="1"/>
      <w:marLeft w:val="0"/>
      <w:marRight w:val="0"/>
      <w:marTop w:val="0"/>
      <w:marBottom w:val="0"/>
      <w:divBdr>
        <w:top w:val="none" w:sz="0" w:space="0" w:color="auto"/>
        <w:left w:val="none" w:sz="0" w:space="0" w:color="auto"/>
        <w:bottom w:val="none" w:sz="0" w:space="0" w:color="auto"/>
        <w:right w:val="none" w:sz="0" w:space="0" w:color="auto"/>
      </w:divBdr>
    </w:div>
    <w:div w:id="851458061">
      <w:bodyDiv w:val="1"/>
      <w:marLeft w:val="0"/>
      <w:marRight w:val="0"/>
      <w:marTop w:val="0"/>
      <w:marBottom w:val="0"/>
      <w:divBdr>
        <w:top w:val="none" w:sz="0" w:space="0" w:color="auto"/>
        <w:left w:val="none" w:sz="0" w:space="0" w:color="auto"/>
        <w:bottom w:val="none" w:sz="0" w:space="0" w:color="auto"/>
        <w:right w:val="none" w:sz="0" w:space="0" w:color="auto"/>
      </w:divBdr>
    </w:div>
    <w:div w:id="877205056">
      <w:bodyDiv w:val="1"/>
      <w:marLeft w:val="0"/>
      <w:marRight w:val="0"/>
      <w:marTop w:val="0"/>
      <w:marBottom w:val="0"/>
      <w:divBdr>
        <w:top w:val="none" w:sz="0" w:space="0" w:color="auto"/>
        <w:left w:val="none" w:sz="0" w:space="0" w:color="auto"/>
        <w:bottom w:val="none" w:sz="0" w:space="0" w:color="auto"/>
        <w:right w:val="none" w:sz="0" w:space="0" w:color="auto"/>
      </w:divBdr>
    </w:div>
    <w:div w:id="899756010">
      <w:bodyDiv w:val="1"/>
      <w:marLeft w:val="0"/>
      <w:marRight w:val="0"/>
      <w:marTop w:val="0"/>
      <w:marBottom w:val="0"/>
      <w:divBdr>
        <w:top w:val="none" w:sz="0" w:space="0" w:color="auto"/>
        <w:left w:val="none" w:sz="0" w:space="0" w:color="auto"/>
        <w:bottom w:val="none" w:sz="0" w:space="0" w:color="auto"/>
        <w:right w:val="none" w:sz="0" w:space="0" w:color="auto"/>
      </w:divBdr>
    </w:div>
    <w:div w:id="935795352">
      <w:bodyDiv w:val="1"/>
      <w:marLeft w:val="0"/>
      <w:marRight w:val="0"/>
      <w:marTop w:val="0"/>
      <w:marBottom w:val="0"/>
      <w:divBdr>
        <w:top w:val="none" w:sz="0" w:space="0" w:color="auto"/>
        <w:left w:val="none" w:sz="0" w:space="0" w:color="auto"/>
        <w:bottom w:val="none" w:sz="0" w:space="0" w:color="auto"/>
        <w:right w:val="none" w:sz="0" w:space="0" w:color="auto"/>
      </w:divBdr>
    </w:div>
    <w:div w:id="950665780">
      <w:bodyDiv w:val="1"/>
      <w:marLeft w:val="0"/>
      <w:marRight w:val="0"/>
      <w:marTop w:val="0"/>
      <w:marBottom w:val="0"/>
      <w:divBdr>
        <w:top w:val="none" w:sz="0" w:space="0" w:color="auto"/>
        <w:left w:val="none" w:sz="0" w:space="0" w:color="auto"/>
        <w:bottom w:val="none" w:sz="0" w:space="0" w:color="auto"/>
        <w:right w:val="none" w:sz="0" w:space="0" w:color="auto"/>
      </w:divBdr>
    </w:div>
    <w:div w:id="952596938">
      <w:bodyDiv w:val="1"/>
      <w:marLeft w:val="0"/>
      <w:marRight w:val="0"/>
      <w:marTop w:val="0"/>
      <w:marBottom w:val="0"/>
      <w:divBdr>
        <w:top w:val="none" w:sz="0" w:space="0" w:color="auto"/>
        <w:left w:val="none" w:sz="0" w:space="0" w:color="auto"/>
        <w:bottom w:val="none" w:sz="0" w:space="0" w:color="auto"/>
        <w:right w:val="none" w:sz="0" w:space="0" w:color="auto"/>
      </w:divBdr>
    </w:div>
    <w:div w:id="987704785">
      <w:bodyDiv w:val="1"/>
      <w:marLeft w:val="0"/>
      <w:marRight w:val="0"/>
      <w:marTop w:val="0"/>
      <w:marBottom w:val="0"/>
      <w:divBdr>
        <w:top w:val="none" w:sz="0" w:space="0" w:color="auto"/>
        <w:left w:val="none" w:sz="0" w:space="0" w:color="auto"/>
        <w:bottom w:val="none" w:sz="0" w:space="0" w:color="auto"/>
        <w:right w:val="none" w:sz="0" w:space="0" w:color="auto"/>
      </w:divBdr>
    </w:div>
    <w:div w:id="1021587242">
      <w:bodyDiv w:val="1"/>
      <w:marLeft w:val="0"/>
      <w:marRight w:val="0"/>
      <w:marTop w:val="0"/>
      <w:marBottom w:val="0"/>
      <w:divBdr>
        <w:top w:val="none" w:sz="0" w:space="0" w:color="auto"/>
        <w:left w:val="none" w:sz="0" w:space="0" w:color="auto"/>
        <w:bottom w:val="none" w:sz="0" w:space="0" w:color="auto"/>
        <w:right w:val="none" w:sz="0" w:space="0" w:color="auto"/>
      </w:divBdr>
    </w:div>
    <w:div w:id="1105733704">
      <w:bodyDiv w:val="1"/>
      <w:marLeft w:val="0"/>
      <w:marRight w:val="0"/>
      <w:marTop w:val="0"/>
      <w:marBottom w:val="0"/>
      <w:divBdr>
        <w:top w:val="none" w:sz="0" w:space="0" w:color="auto"/>
        <w:left w:val="none" w:sz="0" w:space="0" w:color="auto"/>
        <w:bottom w:val="none" w:sz="0" w:space="0" w:color="auto"/>
        <w:right w:val="none" w:sz="0" w:space="0" w:color="auto"/>
      </w:divBdr>
    </w:div>
    <w:div w:id="1113020580">
      <w:bodyDiv w:val="1"/>
      <w:marLeft w:val="0"/>
      <w:marRight w:val="0"/>
      <w:marTop w:val="0"/>
      <w:marBottom w:val="0"/>
      <w:divBdr>
        <w:top w:val="none" w:sz="0" w:space="0" w:color="auto"/>
        <w:left w:val="none" w:sz="0" w:space="0" w:color="auto"/>
        <w:bottom w:val="none" w:sz="0" w:space="0" w:color="auto"/>
        <w:right w:val="none" w:sz="0" w:space="0" w:color="auto"/>
      </w:divBdr>
    </w:div>
    <w:div w:id="1189758415">
      <w:bodyDiv w:val="1"/>
      <w:marLeft w:val="0"/>
      <w:marRight w:val="0"/>
      <w:marTop w:val="0"/>
      <w:marBottom w:val="0"/>
      <w:divBdr>
        <w:top w:val="none" w:sz="0" w:space="0" w:color="auto"/>
        <w:left w:val="none" w:sz="0" w:space="0" w:color="auto"/>
        <w:bottom w:val="none" w:sz="0" w:space="0" w:color="auto"/>
        <w:right w:val="none" w:sz="0" w:space="0" w:color="auto"/>
      </w:divBdr>
    </w:div>
    <w:div w:id="1198271741">
      <w:bodyDiv w:val="1"/>
      <w:marLeft w:val="0"/>
      <w:marRight w:val="0"/>
      <w:marTop w:val="0"/>
      <w:marBottom w:val="0"/>
      <w:divBdr>
        <w:top w:val="none" w:sz="0" w:space="0" w:color="auto"/>
        <w:left w:val="none" w:sz="0" w:space="0" w:color="auto"/>
        <w:bottom w:val="none" w:sz="0" w:space="0" w:color="auto"/>
        <w:right w:val="none" w:sz="0" w:space="0" w:color="auto"/>
      </w:divBdr>
    </w:div>
    <w:div w:id="1211575228">
      <w:bodyDiv w:val="1"/>
      <w:marLeft w:val="0"/>
      <w:marRight w:val="0"/>
      <w:marTop w:val="0"/>
      <w:marBottom w:val="0"/>
      <w:divBdr>
        <w:top w:val="none" w:sz="0" w:space="0" w:color="auto"/>
        <w:left w:val="none" w:sz="0" w:space="0" w:color="auto"/>
        <w:bottom w:val="none" w:sz="0" w:space="0" w:color="auto"/>
        <w:right w:val="none" w:sz="0" w:space="0" w:color="auto"/>
      </w:divBdr>
    </w:div>
    <w:div w:id="1274556774">
      <w:bodyDiv w:val="1"/>
      <w:marLeft w:val="0"/>
      <w:marRight w:val="0"/>
      <w:marTop w:val="0"/>
      <w:marBottom w:val="0"/>
      <w:divBdr>
        <w:top w:val="none" w:sz="0" w:space="0" w:color="auto"/>
        <w:left w:val="none" w:sz="0" w:space="0" w:color="auto"/>
        <w:bottom w:val="none" w:sz="0" w:space="0" w:color="auto"/>
        <w:right w:val="none" w:sz="0" w:space="0" w:color="auto"/>
      </w:divBdr>
    </w:div>
    <w:div w:id="1286347258">
      <w:bodyDiv w:val="1"/>
      <w:marLeft w:val="0"/>
      <w:marRight w:val="0"/>
      <w:marTop w:val="0"/>
      <w:marBottom w:val="0"/>
      <w:divBdr>
        <w:top w:val="none" w:sz="0" w:space="0" w:color="auto"/>
        <w:left w:val="none" w:sz="0" w:space="0" w:color="auto"/>
        <w:bottom w:val="none" w:sz="0" w:space="0" w:color="auto"/>
        <w:right w:val="none" w:sz="0" w:space="0" w:color="auto"/>
      </w:divBdr>
    </w:div>
    <w:div w:id="1306739939">
      <w:bodyDiv w:val="1"/>
      <w:marLeft w:val="0"/>
      <w:marRight w:val="0"/>
      <w:marTop w:val="0"/>
      <w:marBottom w:val="0"/>
      <w:divBdr>
        <w:top w:val="none" w:sz="0" w:space="0" w:color="auto"/>
        <w:left w:val="none" w:sz="0" w:space="0" w:color="auto"/>
        <w:bottom w:val="none" w:sz="0" w:space="0" w:color="auto"/>
        <w:right w:val="none" w:sz="0" w:space="0" w:color="auto"/>
      </w:divBdr>
    </w:div>
    <w:div w:id="1309282552">
      <w:bodyDiv w:val="1"/>
      <w:marLeft w:val="0"/>
      <w:marRight w:val="0"/>
      <w:marTop w:val="0"/>
      <w:marBottom w:val="0"/>
      <w:divBdr>
        <w:top w:val="none" w:sz="0" w:space="0" w:color="auto"/>
        <w:left w:val="none" w:sz="0" w:space="0" w:color="auto"/>
        <w:bottom w:val="none" w:sz="0" w:space="0" w:color="auto"/>
        <w:right w:val="none" w:sz="0" w:space="0" w:color="auto"/>
      </w:divBdr>
    </w:div>
    <w:div w:id="1343581127">
      <w:bodyDiv w:val="1"/>
      <w:marLeft w:val="0"/>
      <w:marRight w:val="0"/>
      <w:marTop w:val="0"/>
      <w:marBottom w:val="0"/>
      <w:divBdr>
        <w:top w:val="none" w:sz="0" w:space="0" w:color="auto"/>
        <w:left w:val="none" w:sz="0" w:space="0" w:color="auto"/>
        <w:bottom w:val="none" w:sz="0" w:space="0" w:color="auto"/>
        <w:right w:val="none" w:sz="0" w:space="0" w:color="auto"/>
      </w:divBdr>
    </w:div>
    <w:div w:id="1374692986">
      <w:bodyDiv w:val="1"/>
      <w:marLeft w:val="0"/>
      <w:marRight w:val="0"/>
      <w:marTop w:val="0"/>
      <w:marBottom w:val="0"/>
      <w:divBdr>
        <w:top w:val="none" w:sz="0" w:space="0" w:color="auto"/>
        <w:left w:val="none" w:sz="0" w:space="0" w:color="auto"/>
        <w:bottom w:val="none" w:sz="0" w:space="0" w:color="auto"/>
        <w:right w:val="none" w:sz="0" w:space="0" w:color="auto"/>
      </w:divBdr>
    </w:div>
    <w:div w:id="1392070465">
      <w:bodyDiv w:val="1"/>
      <w:marLeft w:val="0"/>
      <w:marRight w:val="0"/>
      <w:marTop w:val="0"/>
      <w:marBottom w:val="0"/>
      <w:divBdr>
        <w:top w:val="none" w:sz="0" w:space="0" w:color="auto"/>
        <w:left w:val="none" w:sz="0" w:space="0" w:color="auto"/>
        <w:bottom w:val="none" w:sz="0" w:space="0" w:color="auto"/>
        <w:right w:val="none" w:sz="0" w:space="0" w:color="auto"/>
      </w:divBdr>
    </w:div>
    <w:div w:id="1500269108">
      <w:bodyDiv w:val="1"/>
      <w:marLeft w:val="0"/>
      <w:marRight w:val="0"/>
      <w:marTop w:val="0"/>
      <w:marBottom w:val="0"/>
      <w:divBdr>
        <w:top w:val="none" w:sz="0" w:space="0" w:color="auto"/>
        <w:left w:val="none" w:sz="0" w:space="0" w:color="auto"/>
        <w:bottom w:val="none" w:sz="0" w:space="0" w:color="auto"/>
        <w:right w:val="none" w:sz="0" w:space="0" w:color="auto"/>
      </w:divBdr>
    </w:div>
    <w:div w:id="1530290043">
      <w:bodyDiv w:val="1"/>
      <w:marLeft w:val="0"/>
      <w:marRight w:val="0"/>
      <w:marTop w:val="0"/>
      <w:marBottom w:val="0"/>
      <w:divBdr>
        <w:top w:val="none" w:sz="0" w:space="0" w:color="auto"/>
        <w:left w:val="none" w:sz="0" w:space="0" w:color="auto"/>
        <w:bottom w:val="none" w:sz="0" w:space="0" w:color="auto"/>
        <w:right w:val="none" w:sz="0" w:space="0" w:color="auto"/>
      </w:divBdr>
    </w:div>
    <w:div w:id="1541429414">
      <w:bodyDiv w:val="1"/>
      <w:marLeft w:val="0"/>
      <w:marRight w:val="0"/>
      <w:marTop w:val="0"/>
      <w:marBottom w:val="0"/>
      <w:divBdr>
        <w:top w:val="none" w:sz="0" w:space="0" w:color="auto"/>
        <w:left w:val="none" w:sz="0" w:space="0" w:color="auto"/>
        <w:bottom w:val="none" w:sz="0" w:space="0" w:color="auto"/>
        <w:right w:val="none" w:sz="0" w:space="0" w:color="auto"/>
      </w:divBdr>
    </w:div>
    <w:div w:id="1572933205">
      <w:bodyDiv w:val="1"/>
      <w:marLeft w:val="0"/>
      <w:marRight w:val="0"/>
      <w:marTop w:val="0"/>
      <w:marBottom w:val="0"/>
      <w:divBdr>
        <w:top w:val="none" w:sz="0" w:space="0" w:color="auto"/>
        <w:left w:val="none" w:sz="0" w:space="0" w:color="auto"/>
        <w:bottom w:val="none" w:sz="0" w:space="0" w:color="auto"/>
        <w:right w:val="none" w:sz="0" w:space="0" w:color="auto"/>
      </w:divBdr>
    </w:div>
    <w:div w:id="1587617183">
      <w:bodyDiv w:val="1"/>
      <w:marLeft w:val="0"/>
      <w:marRight w:val="0"/>
      <w:marTop w:val="0"/>
      <w:marBottom w:val="0"/>
      <w:divBdr>
        <w:top w:val="none" w:sz="0" w:space="0" w:color="auto"/>
        <w:left w:val="none" w:sz="0" w:space="0" w:color="auto"/>
        <w:bottom w:val="none" w:sz="0" w:space="0" w:color="auto"/>
        <w:right w:val="none" w:sz="0" w:space="0" w:color="auto"/>
      </w:divBdr>
    </w:div>
    <w:div w:id="1605574516">
      <w:bodyDiv w:val="1"/>
      <w:marLeft w:val="0"/>
      <w:marRight w:val="0"/>
      <w:marTop w:val="0"/>
      <w:marBottom w:val="0"/>
      <w:divBdr>
        <w:top w:val="none" w:sz="0" w:space="0" w:color="auto"/>
        <w:left w:val="none" w:sz="0" w:space="0" w:color="auto"/>
        <w:bottom w:val="none" w:sz="0" w:space="0" w:color="auto"/>
        <w:right w:val="none" w:sz="0" w:space="0" w:color="auto"/>
      </w:divBdr>
    </w:div>
    <w:div w:id="1622685967">
      <w:bodyDiv w:val="1"/>
      <w:marLeft w:val="0"/>
      <w:marRight w:val="0"/>
      <w:marTop w:val="0"/>
      <w:marBottom w:val="0"/>
      <w:divBdr>
        <w:top w:val="none" w:sz="0" w:space="0" w:color="auto"/>
        <w:left w:val="none" w:sz="0" w:space="0" w:color="auto"/>
        <w:bottom w:val="none" w:sz="0" w:space="0" w:color="auto"/>
        <w:right w:val="none" w:sz="0" w:space="0" w:color="auto"/>
      </w:divBdr>
    </w:div>
    <w:div w:id="1645968376">
      <w:bodyDiv w:val="1"/>
      <w:marLeft w:val="0"/>
      <w:marRight w:val="0"/>
      <w:marTop w:val="0"/>
      <w:marBottom w:val="0"/>
      <w:divBdr>
        <w:top w:val="none" w:sz="0" w:space="0" w:color="auto"/>
        <w:left w:val="none" w:sz="0" w:space="0" w:color="auto"/>
        <w:bottom w:val="none" w:sz="0" w:space="0" w:color="auto"/>
        <w:right w:val="none" w:sz="0" w:space="0" w:color="auto"/>
      </w:divBdr>
    </w:div>
    <w:div w:id="1652438220">
      <w:bodyDiv w:val="1"/>
      <w:marLeft w:val="0"/>
      <w:marRight w:val="0"/>
      <w:marTop w:val="0"/>
      <w:marBottom w:val="0"/>
      <w:divBdr>
        <w:top w:val="none" w:sz="0" w:space="0" w:color="auto"/>
        <w:left w:val="none" w:sz="0" w:space="0" w:color="auto"/>
        <w:bottom w:val="none" w:sz="0" w:space="0" w:color="auto"/>
        <w:right w:val="none" w:sz="0" w:space="0" w:color="auto"/>
      </w:divBdr>
    </w:div>
    <w:div w:id="1658537107">
      <w:bodyDiv w:val="1"/>
      <w:marLeft w:val="0"/>
      <w:marRight w:val="0"/>
      <w:marTop w:val="0"/>
      <w:marBottom w:val="0"/>
      <w:divBdr>
        <w:top w:val="none" w:sz="0" w:space="0" w:color="auto"/>
        <w:left w:val="none" w:sz="0" w:space="0" w:color="auto"/>
        <w:bottom w:val="none" w:sz="0" w:space="0" w:color="auto"/>
        <w:right w:val="none" w:sz="0" w:space="0" w:color="auto"/>
      </w:divBdr>
    </w:div>
    <w:div w:id="1672485057">
      <w:bodyDiv w:val="1"/>
      <w:marLeft w:val="0"/>
      <w:marRight w:val="0"/>
      <w:marTop w:val="0"/>
      <w:marBottom w:val="0"/>
      <w:divBdr>
        <w:top w:val="none" w:sz="0" w:space="0" w:color="auto"/>
        <w:left w:val="none" w:sz="0" w:space="0" w:color="auto"/>
        <w:bottom w:val="none" w:sz="0" w:space="0" w:color="auto"/>
        <w:right w:val="none" w:sz="0" w:space="0" w:color="auto"/>
      </w:divBdr>
    </w:div>
    <w:div w:id="1675646116">
      <w:bodyDiv w:val="1"/>
      <w:marLeft w:val="0"/>
      <w:marRight w:val="0"/>
      <w:marTop w:val="0"/>
      <w:marBottom w:val="0"/>
      <w:divBdr>
        <w:top w:val="none" w:sz="0" w:space="0" w:color="auto"/>
        <w:left w:val="none" w:sz="0" w:space="0" w:color="auto"/>
        <w:bottom w:val="none" w:sz="0" w:space="0" w:color="auto"/>
        <w:right w:val="none" w:sz="0" w:space="0" w:color="auto"/>
      </w:divBdr>
    </w:div>
    <w:div w:id="1714308858">
      <w:bodyDiv w:val="1"/>
      <w:marLeft w:val="0"/>
      <w:marRight w:val="0"/>
      <w:marTop w:val="0"/>
      <w:marBottom w:val="0"/>
      <w:divBdr>
        <w:top w:val="none" w:sz="0" w:space="0" w:color="auto"/>
        <w:left w:val="none" w:sz="0" w:space="0" w:color="auto"/>
        <w:bottom w:val="none" w:sz="0" w:space="0" w:color="auto"/>
        <w:right w:val="none" w:sz="0" w:space="0" w:color="auto"/>
      </w:divBdr>
    </w:div>
    <w:div w:id="1714427936">
      <w:bodyDiv w:val="1"/>
      <w:marLeft w:val="0"/>
      <w:marRight w:val="0"/>
      <w:marTop w:val="0"/>
      <w:marBottom w:val="0"/>
      <w:divBdr>
        <w:top w:val="none" w:sz="0" w:space="0" w:color="auto"/>
        <w:left w:val="none" w:sz="0" w:space="0" w:color="auto"/>
        <w:bottom w:val="none" w:sz="0" w:space="0" w:color="auto"/>
        <w:right w:val="none" w:sz="0" w:space="0" w:color="auto"/>
      </w:divBdr>
    </w:div>
    <w:div w:id="1768381072">
      <w:bodyDiv w:val="1"/>
      <w:marLeft w:val="0"/>
      <w:marRight w:val="0"/>
      <w:marTop w:val="0"/>
      <w:marBottom w:val="0"/>
      <w:divBdr>
        <w:top w:val="none" w:sz="0" w:space="0" w:color="auto"/>
        <w:left w:val="none" w:sz="0" w:space="0" w:color="auto"/>
        <w:bottom w:val="none" w:sz="0" w:space="0" w:color="auto"/>
        <w:right w:val="none" w:sz="0" w:space="0" w:color="auto"/>
      </w:divBdr>
    </w:div>
    <w:div w:id="1789011084">
      <w:bodyDiv w:val="1"/>
      <w:marLeft w:val="0"/>
      <w:marRight w:val="0"/>
      <w:marTop w:val="0"/>
      <w:marBottom w:val="0"/>
      <w:divBdr>
        <w:top w:val="none" w:sz="0" w:space="0" w:color="auto"/>
        <w:left w:val="none" w:sz="0" w:space="0" w:color="auto"/>
        <w:bottom w:val="none" w:sz="0" w:space="0" w:color="auto"/>
        <w:right w:val="none" w:sz="0" w:space="0" w:color="auto"/>
      </w:divBdr>
    </w:div>
    <w:div w:id="1805804439">
      <w:bodyDiv w:val="1"/>
      <w:marLeft w:val="0"/>
      <w:marRight w:val="0"/>
      <w:marTop w:val="0"/>
      <w:marBottom w:val="0"/>
      <w:divBdr>
        <w:top w:val="none" w:sz="0" w:space="0" w:color="auto"/>
        <w:left w:val="none" w:sz="0" w:space="0" w:color="auto"/>
        <w:bottom w:val="none" w:sz="0" w:space="0" w:color="auto"/>
        <w:right w:val="none" w:sz="0" w:space="0" w:color="auto"/>
      </w:divBdr>
    </w:div>
    <w:div w:id="1818761134">
      <w:bodyDiv w:val="1"/>
      <w:marLeft w:val="0"/>
      <w:marRight w:val="0"/>
      <w:marTop w:val="0"/>
      <w:marBottom w:val="0"/>
      <w:divBdr>
        <w:top w:val="none" w:sz="0" w:space="0" w:color="auto"/>
        <w:left w:val="none" w:sz="0" w:space="0" w:color="auto"/>
        <w:bottom w:val="none" w:sz="0" w:space="0" w:color="auto"/>
        <w:right w:val="none" w:sz="0" w:space="0" w:color="auto"/>
      </w:divBdr>
    </w:div>
    <w:div w:id="1819766831">
      <w:bodyDiv w:val="1"/>
      <w:marLeft w:val="0"/>
      <w:marRight w:val="0"/>
      <w:marTop w:val="0"/>
      <w:marBottom w:val="0"/>
      <w:divBdr>
        <w:top w:val="none" w:sz="0" w:space="0" w:color="auto"/>
        <w:left w:val="none" w:sz="0" w:space="0" w:color="auto"/>
        <w:bottom w:val="none" w:sz="0" w:space="0" w:color="auto"/>
        <w:right w:val="none" w:sz="0" w:space="0" w:color="auto"/>
      </w:divBdr>
    </w:div>
    <w:div w:id="1835022767">
      <w:bodyDiv w:val="1"/>
      <w:marLeft w:val="0"/>
      <w:marRight w:val="0"/>
      <w:marTop w:val="0"/>
      <w:marBottom w:val="0"/>
      <w:divBdr>
        <w:top w:val="none" w:sz="0" w:space="0" w:color="auto"/>
        <w:left w:val="none" w:sz="0" w:space="0" w:color="auto"/>
        <w:bottom w:val="none" w:sz="0" w:space="0" w:color="auto"/>
        <w:right w:val="none" w:sz="0" w:space="0" w:color="auto"/>
      </w:divBdr>
    </w:div>
    <w:div w:id="1881626850">
      <w:bodyDiv w:val="1"/>
      <w:marLeft w:val="0"/>
      <w:marRight w:val="0"/>
      <w:marTop w:val="0"/>
      <w:marBottom w:val="0"/>
      <w:divBdr>
        <w:top w:val="none" w:sz="0" w:space="0" w:color="auto"/>
        <w:left w:val="none" w:sz="0" w:space="0" w:color="auto"/>
        <w:bottom w:val="none" w:sz="0" w:space="0" w:color="auto"/>
        <w:right w:val="none" w:sz="0" w:space="0" w:color="auto"/>
      </w:divBdr>
    </w:div>
    <w:div w:id="1882352861">
      <w:bodyDiv w:val="1"/>
      <w:marLeft w:val="0"/>
      <w:marRight w:val="0"/>
      <w:marTop w:val="0"/>
      <w:marBottom w:val="0"/>
      <w:divBdr>
        <w:top w:val="none" w:sz="0" w:space="0" w:color="auto"/>
        <w:left w:val="none" w:sz="0" w:space="0" w:color="auto"/>
        <w:bottom w:val="none" w:sz="0" w:space="0" w:color="auto"/>
        <w:right w:val="none" w:sz="0" w:space="0" w:color="auto"/>
      </w:divBdr>
    </w:div>
    <w:div w:id="1890341455">
      <w:bodyDiv w:val="1"/>
      <w:marLeft w:val="0"/>
      <w:marRight w:val="0"/>
      <w:marTop w:val="0"/>
      <w:marBottom w:val="0"/>
      <w:divBdr>
        <w:top w:val="none" w:sz="0" w:space="0" w:color="auto"/>
        <w:left w:val="none" w:sz="0" w:space="0" w:color="auto"/>
        <w:bottom w:val="none" w:sz="0" w:space="0" w:color="auto"/>
        <w:right w:val="none" w:sz="0" w:space="0" w:color="auto"/>
      </w:divBdr>
    </w:div>
    <w:div w:id="1904562646">
      <w:bodyDiv w:val="1"/>
      <w:marLeft w:val="0"/>
      <w:marRight w:val="0"/>
      <w:marTop w:val="0"/>
      <w:marBottom w:val="0"/>
      <w:divBdr>
        <w:top w:val="none" w:sz="0" w:space="0" w:color="auto"/>
        <w:left w:val="none" w:sz="0" w:space="0" w:color="auto"/>
        <w:bottom w:val="none" w:sz="0" w:space="0" w:color="auto"/>
        <w:right w:val="none" w:sz="0" w:space="0" w:color="auto"/>
      </w:divBdr>
    </w:div>
    <w:div w:id="1924296005">
      <w:bodyDiv w:val="1"/>
      <w:marLeft w:val="0"/>
      <w:marRight w:val="0"/>
      <w:marTop w:val="0"/>
      <w:marBottom w:val="0"/>
      <w:divBdr>
        <w:top w:val="none" w:sz="0" w:space="0" w:color="auto"/>
        <w:left w:val="none" w:sz="0" w:space="0" w:color="auto"/>
        <w:bottom w:val="none" w:sz="0" w:space="0" w:color="auto"/>
        <w:right w:val="none" w:sz="0" w:space="0" w:color="auto"/>
      </w:divBdr>
    </w:div>
    <w:div w:id="1928685285">
      <w:bodyDiv w:val="1"/>
      <w:marLeft w:val="0"/>
      <w:marRight w:val="0"/>
      <w:marTop w:val="0"/>
      <w:marBottom w:val="0"/>
      <w:divBdr>
        <w:top w:val="none" w:sz="0" w:space="0" w:color="auto"/>
        <w:left w:val="none" w:sz="0" w:space="0" w:color="auto"/>
        <w:bottom w:val="none" w:sz="0" w:space="0" w:color="auto"/>
        <w:right w:val="none" w:sz="0" w:space="0" w:color="auto"/>
      </w:divBdr>
    </w:div>
    <w:div w:id="1939020303">
      <w:bodyDiv w:val="1"/>
      <w:marLeft w:val="0"/>
      <w:marRight w:val="0"/>
      <w:marTop w:val="0"/>
      <w:marBottom w:val="0"/>
      <w:divBdr>
        <w:top w:val="none" w:sz="0" w:space="0" w:color="auto"/>
        <w:left w:val="none" w:sz="0" w:space="0" w:color="auto"/>
        <w:bottom w:val="none" w:sz="0" w:space="0" w:color="auto"/>
        <w:right w:val="none" w:sz="0" w:space="0" w:color="auto"/>
      </w:divBdr>
      <w:divsChild>
        <w:div w:id="1884368404">
          <w:marLeft w:val="660"/>
          <w:marRight w:val="660"/>
          <w:marTop w:val="0"/>
          <w:marBottom w:val="0"/>
          <w:divBdr>
            <w:top w:val="none" w:sz="0" w:space="0" w:color="auto"/>
            <w:left w:val="none" w:sz="0" w:space="0" w:color="auto"/>
            <w:bottom w:val="none" w:sz="0" w:space="0" w:color="auto"/>
            <w:right w:val="none" w:sz="0" w:space="0" w:color="auto"/>
          </w:divBdr>
          <w:divsChild>
            <w:div w:id="966423963">
              <w:marLeft w:val="0"/>
              <w:marRight w:val="0"/>
              <w:marTop w:val="0"/>
              <w:marBottom w:val="0"/>
              <w:divBdr>
                <w:top w:val="none" w:sz="0" w:space="0" w:color="auto"/>
                <w:left w:val="none" w:sz="0" w:space="0" w:color="auto"/>
                <w:bottom w:val="none" w:sz="0" w:space="0" w:color="auto"/>
                <w:right w:val="none" w:sz="0" w:space="0" w:color="auto"/>
              </w:divBdr>
              <w:divsChild>
                <w:div w:id="1506701378">
                  <w:marLeft w:val="0"/>
                  <w:marRight w:val="0"/>
                  <w:marTop w:val="0"/>
                  <w:marBottom w:val="0"/>
                  <w:divBdr>
                    <w:top w:val="none" w:sz="0" w:space="0" w:color="auto"/>
                    <w:left w:val="none" w:sz="0" w:space="0" w:color="auto"/>
                    <w:bottom w:val="none" w:sz="0" w:space="0" w:color="auto"/>
                    <w:right w:val="none" w:sz="0" w:space="0" w:color="auto"/>
                  </w:divBdr>
                  <w:divsChild>
                    <w:div w:id="497817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9869072">
      <w:bodyDiv w:val="1"/>
      <w:marLeft w:val="0"/>
      <w:marRight w:val="0"/>
      <w:marTop w:val="0"/>
      <w:marBottom w:val="0"/>
      <w:divBdr>
        <w:top w:val="none" w:sz="0" w:space="0" w:color="auto"/>
        <w:left w:val="none" w:sz="0" w:space="0" w:color="auto"/>
        <w:bottom w:val="none" w:sz="0" w:space="0" w:color="auto"/>
        <w:right w:val="none" w:sz="0" w:space="0" w:color="auto"/>
      </w:divBdr>
    </w:div>
    <w:div w:id="1958098414">
      <w:bodyDiv w:val="1"/>
      <w:marLeft w:val="0"/>
      <w:marRight w:val="0"/>
      <w:marTop w:val="0"/>
      <w:marBottom w:val="0"/>
      <w:divBdr>
        <w:top w:val="none" w:sz="0" w:space="0" w:color="auto"/>
        <w:left w:val="none" w:sz="0" w:space="0" w:color="auto"/>
        <w:bottom w:val="none" w:sz="0" w:space="0" w:color="auto"/>
        <w:right w:val="none" w:sz="0" w:space="0" w:color="auto"/>
      </w:divBdr>
    </w:div>
    <w:div w:id="1977175479">
      <w:bodyDiv w:val="1"/>
      <w:marLeft w:val="0"/>
      <w:marRight w:val="0"/>
      <w:marTop w:val="0"/>
      <w:marBottom w:val="0"/>
      <w:divBdr>
        <w:top w:val="none" w:sz="0" w:space="0" w:color="auto"/>
        <w:left w:val="none" w:sz="0" w:space="0" w:color="auto"/>
        <w:bottom w:val="none" w:sz="0" w:space="0" w:color="auto"/>
        <w:right w:val="none" w:sz="0" w:space="0" w:color="auto"/>
      </w:divBdr>
    </w:div>
    <w:div w:id="1979533719">
      <w:bodyDiv w:val="1"/>
      <w:marLeft w:val="0"/>
      <w:marRight w:val="0"/>
      <w:marTop w:val="0"/>
      <w:marBottom w:val="0"/>
      <w:divBdr>
        <w:top w:val="none" w:sz="0" w:space="0" w:color="auto"/>
        <w:left w:val="none" w:sz="0" w:space="0" w:color="auto"/>
        <w:bottom w:val="none" w:sz="0" w:space="0" w:color="auto"/>
        <w:right w:val="none" w:sz="0" w:space="0" w:color="auto"/>
      </w:divBdr>
    </w:div>
    <w:div w:id="1988508390">
      <w:bodyDiv w:val="1"/>
      <w:marLeft w:val="0"/>
      <w:marRight w:val="0"/>
      <w:marTop w:val="0"/>
      <w:marBottom w:val="0"/>
      <w:divBdr>
        <w:top w:val="none" w:sz="0" w:space="0" w:color="auto"/>
        <w:left w:val="none" w:sz="0" w:space="0" w:color="auto"/>
        <w:bottom w:val="none" w:sz="0" w:space="0" w:color="auto"/>
        <w:right w:val="none" w:sz="0" w:space="0" w:color="auto"/>
      </w:divBdr>
    </w:div>
    <w:div w:id="2008825003">
      <w:bodyDiv w:val="1"/>
      <w:marLeft w:val="0"/>
      <w:marRight w:val="0"/>
      <w:marTop w:val="0"/>
      <w:marBottom w:val="0"/>
      <w:divBdr>
        <w:top w:val="none" w:sz="0" w:space="0" w:color="auto"/>
        <w:left w:val="none" w:sz="0" w:space="0" w:color="auto"/>
        <w:bottom w:val="none" w:sz="0" w:space="0" w:color="auto"/>
        <w:right w:val="none" w:sz="0" w:space="0" w:color="auto"/>
      </w:divBdr>
    </w:div>
    <w:div w:id="2024283166">
      <w:bodyDiv w:val="1"/>
      <w:marLeft w:val="0"/>
      <w:marRight w:val="0"/>
      <w:marTop w:val="0"/>
      <w:marBottom w:val="0"/>
      <w:divBdr>
        <w:top w:val="none" w:sz="0" w:space="0" w:color="auto"/>
        <w:left w:val="none" w:sz="0" w:space="0" w:color="auto"/>
        <w:bottom w:val="none" w:sz="0" w:space="0" w:color="auto"/>
        <w:right w:val="none" w:sz="0" w:space="0" w:color="auto"/>
      </w:divBdr>
    </w:div>
    <w:div w:id="2035299029">
      <w:bodyDiv w:val="1"/>
      <w:marLeft w:val="0"/>
      <w:marRight w:val="0"/>
      <w:marTop w:val="0"/>
      <w:marBottom w:val="0"/>
      <w:divBdr>
        <w:top w:val="none" w:sz="0" w:space="0" w:color="auto"/>
        <w:left w:val="none" w:sz="0" w:space="0" w:color="auto"/>
        <w:bottom w:val="none" w:sz="0" w:space="0" w:color="auto"/>
        <w:right w:val="none" w:sz="0" w:space="0" w:color="auto"/>
      </w:divBdr>
    </w:div>
    <w:div w:id="2044598191">
      <w:bodyDiv w:val="1"/>
      <w:marLeft w:val="0"/>
      <w:marRight w:val="0"/>
      <w:marTop w:val="0"/>
      <w:marBottom w:val="0"/>
      <w:divBdr>
        <w:top w:val="none" w:sz="0" w:space="0" w:color="auto"/>
        <w:left w:val="none" w:sz="0" w:space="0" w:color="auto"/>
        <w:bottom w:val="none" w:sz="0" w:space="0" w:color="auto"/>
        <w:right w:val="none" w:sz="0" w:space="0" w:color="auto"/>
      </w:divBdr>
    </w:div>
    <w:div w:id="2054648995">
      <w:bodyDiv w:val="1"/>
      <w:marLeft w:val="0"/>
      <w:marRight w:val="0"/>
      <w:marTop w:val="0"/>
      <w:marBottom w:val="0"/>
      <w:divBdr>
        <w:top w:val="none" w:sz="0" w:space="0" w:color="auto"/>
        <w:left w:val="none" w:sz="0" w:space="0" w:color="auto"/>
        <w:bottom w:val="none" w:sz="0" w:space="0" w:color="auto"/>
        <w:right w:val="none" w:sz="0" w:space="0" w:color="auto"/>
      </w:divBdr>
    </w:div>
    <w:div w:id="2108502409">
      <w:bodyDiv w:val="1"/>
      <w:marLeft w:val="0"/>
      <w:marRight w:val="0"/>
      <w:marTop w:val="0"/>
      <w:marBottom w:val="0"/>
      <w:divBdr>
        <w:top w:val="none" w:sz="0" w:space="0" w:color="auto"/>
        <w:left w:val="none" w:sz="0" w:space="0" w:color="auto"/>
        <w:bottom w:val="none" w:sz="0" w:space="0" w:color="auto"/>
        <w:right w:val="none" w:sz="0" w:space="0" w:color="auto"/>
      </w:divBdr>
    </w:div>
    <w:div w:id="2114977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r.minzdrav.gov.ru/recomend/613_1" TargetMode="External"/><Relationship Id="rId18" Type="http://schemas.openxmlformats.org/officeDocument/2006/relationships/hyperlink" Target="http://dx.doi.org/10.1038/nrendo.2016.209" TargetMode="External"/><Relationship Id="rId26" Type="http://schemas.openxmlformats.org/officeDocument/2006/relationships/hyperlink" Target="mailto:pubs@smfm.org" TargetMode="External"/><Relationship Id="rId39" Type="http://schemas.openxmlformats.org/officeDocument/2006/relationships/image" Target="media/image7.png"/><Relationship Id="rId21" Type="http://schemas.openxmlformats.org/officeDocument/2006/relationships/hyperlink" Target="https://cr.minzdrav.gov.ru/recomend/382_1" TargetMode="External"/><Relationship Id="rId34" Type="http://schemas.openxmlformats.org/officeDocument/2006/relationships/image" Target="media/image2.png"/><Relationship Id="rId42" Type="http://schemas.openxmlformats.org/officeDocument/2006/relationships/image" Target="media/image10.png"/><Relationship Id="rId47" Type="http://schemas.openxmlformats.org/officeDocument/2006/relationships/image" Target="media/image15.png"/><Relationship Id="rId50" Type="http://schemas.openxmlformats.org/officeDocument/2006/relationships/header" Target="header3.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dic.academic.ru/dic.nsf/enc_medicine/28878/%d0%a1%d0%b8%d0%bd%d0%b4%d1%80%d0%be%d0%bc" TargetMode="External"/><Relationship Id="rId17" Type="http://schemas.openxmlformats.org/officeDocument/2006/relationships/hyperlink" Target="https://www.who.int/europe/activities/promoting-a-more-responsible-use-of-medicines%c2%bb" TargetMode="External"/><Relationship Id="rId25" Type="http://schemas.openxmlformats.org/officeDocument/2006/relationships/hyperlink" Target="https://doi.org/10.1007/s11906-023-01234-8" TargetMode="External"/><Relationship Id="rId33" Type="http://schemas.openxmlformats.org/officeDocument/2006/relationships/image" Target="media/image1.png"/><Relationship Id="rId38" Type="http://schemas.openxmlformats.org/officeDocument/2006/relationships/image" Target="media/image6.png"/><Relationship Id="rId46"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hyperlink" Target="https://cr.minzdrav.gov.ru/recomend/290_2" TargetMode="External"/><Relationship Id="rId20" Type="http://schemas.openxmlformats.org/officeDocument/2006/relationships/hyperlink" Target="https://grls.rosminzdrav.ru/Grls_View_v2.aspx?routingGuid=d5c7f87f-8a1d-49cf-a3df-c80df3ab5159%c2%bb" TargetMode="External"/><Relationship Id="rId29" Type="http://schemas.openxmlformats.org/officeDocument/2006/relationships/hyperlink" Target="https://www.garant.ru/products/ipo/prime/doc/74581688/" TargetMode="External"/><Relationship Id="rId41" Type="http://schemas.openxmlformats.org/officeDocument/2006/relationships/image" Target="media/image9.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1097/HJH.0000000000002256" TargetMode="External"/><Relationship Id="rId32" Type="http://schemas.openxmlformats.org/officeDocument/2006/relationships/hyperlink" Target="https://mos03.ru/" TargetMode="External"/><Relationship Id="rId37" Type="http://schemas.openxmlformats.org/officeDocument/2006/relationships/image" Target="media/image5.png"/><Relationship Id="rId40" Type="http://schemas.openxmlformats.org/officeDocument/2006/relationships/image" Target="media/image8.png"/><Relationship Id="rId45" Type="http://schemas.openxmlformats.org/officeDocument/2006/relationships/image" Target="media/image13.png"/><Relationship Id="rId53"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doi.org/10.1093/eurheartj/ehab309" TargetMode="External"/><Relationship Id="rId23" Type="http://schemas.openxmlformats.org/officeDocument/2006/relationships/hyperlink" Target="https://doi.org/10.1161/JAHA.120.018494" TargetMode="External"/><Relationship Id="rId28" Type="http://schemas.openxmlformats.org/officeDocument/2006/relationships/hyperlink" Target="https://cr.minzdrav.gov.ru/recomend/117_2" TargetMode="External"/><Relationship Id="rId36" Type="http://schemas.openxmlformats.org/officeDocument/2006/relationships/image" Target="media/image4.png"/><Relationship Id="rId49" Type="http://schemas.openxmlformats.org/officeDocument/2006/relationships/image" Target="media/image17.png"/><Relationship Id="rId10" Type="http://schemas.openxmlformats.org/officeDocument/2006/relationships/footer" Target="footer1.xml"/><Relationship Id="rId19" Type="http://schemas.openxmlformats.org/officeDocument/2006/relationships/hyperlink" Target="https://doi.org/10.1056/NEJMoa1009492" TargetMode="External"/><Relationship Id="rId31" Type="http://schemas.openxmlformats.org/officeDocument/2006/relationships/hyperlink" Target="https://echo-books.com/avtor/vyortkin-a-l-sveshnikov-k-a/" TargetMode="External"/><Relationship Id="rId44" Type="http://schemas.openxmlformats.org/officeDocument/2006/relationships/image" Target="media/image12.png"/><Relationship Id="rId52"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1093/eurheartj/ehab312" TargetMode="External"/><Relationship Id="rId22" Type="http://schemas.openxmlformats.org/officeDocument/2006/relationships/hyperlink" Target="https://doi.org/10.15829/1560-4071-2018-7-156-200" TargetMode="External"/><Relationship Id="rId27" Type="http://schemas.openxmlformats.org/officeDocument/2006/relationships/hyperlink" Target="http://apps.who.int/iris/bitstream/10665/42907/1/" TargetMode="External"/><Relationship Id="rId30" Type="http://schemas.openxmlformats.org/officeDocument/2006/relationships/hyperlink" Target="https://market.yandex.ru/catalog--nekhudozhestvennaia-literatura/20598950/list?hid=18540670&amp;glfilter=7893318:15495434" TargetMode="External"/><Relationship Id="rId35" Type="http://schemas.openxmlformats.org/officeDocument/2006/relationships/image" Target="media/image3.png"/><Relationship Id="rId43" Type="http://schemas.openxmlformats.org/officeDocument/2006/relationships/image" Target="media/image11.png"/><Relationship Id="rId48" Type="http://schemas.openxmlformats.org/officeDocument/2006/relationships/image" Target="media/image16.png"/><Relationship Id="rId8" Type="http://schemas.openxmlformats.org/officeDocument/2006/relationships/header" Target="header1.xml"/><Relationship Id="rId51" Type="http://schemas.openxmlformats.org/officeDocument/2006/relationships/header" Target="header4.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553E86-E2DD-436F-9D76-9FEA45FAC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77291</Words>
  <Characters>440564</Characters>
  <Application>Microsoft Office Word</Application>
  <DocSecurity>0</DocSecurity>
  <Lines>3671</Lines>
  <Paragraphs>1033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516822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Вячеслав Малиёв</dc:creator>
  <cp:lastModifiedBy>Дяченко Анжела Григорьевна</cp:lastModifiedBy>
  <cp:revision>11</cp:revision>
  <cp:lastPrinted>2025-09-12T08:53:00Z</cp:lastPrinted>
  <dcterms:created xsi:type="dcterms:W3CDTF">2025-09-12T08:41:00Z</dcterms:created>
  <dcterms:modified xsi:type="dcterms:W3CDTF">2026-06-04T09:04:00Z</dcterms:modified>
</cp:coreProperties>
</file>