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39934" w14:textId="77777777" w:rsidR="00A44531" w:rsidRDefault="002C7340" w:rsidP="00A419DB">
      <w:pPr>
        <w:pStyle w:val="24"/>
        <w:suppressAutoHyphens/>
        <w:spacing w:after="0"/>
      </w:pPr>
      <w:r>
        <w:t xml:space="preserve">Приложение к Приказу </w:t>
      </w:r>
    </w:p>
    <w:p w14:paraId="11224B99" w14:textId="77777777" w:rsidR="00A44531" w:rsidRDefault="002C7340" w:rsidP="00A419DB">
      <w:pPr>
        <w:pStyle w:val="24"/>
        <w:suppressAutoHyphens/>
        <w:spacing w:after="0"/>
      </w:pPr>
      <w:r>
        <w:t xml:space="preserve">Министерства здравоохранения </w:t>
      </w:r>
    </w:p>
    <w:p w14:paraId="0FDB612F" w14:textId="22A08C46" w:rsidR="004C062E" w:rsidRDefault="002C7340" w:rsidP="00BA4C9F">
      <w:pPr>
        <w:pStyle w:val="24"/>
        <w:suppressAutoHyphens/>
        <w:spacing w:after="0"/>
        <w:ind w:left="5103"/>
      </w:pPr>
      <w:r>
        <w:t>Приднестровской Молдавской Республики от «__</w:t>
      </w:r>
      <w:r w:rsidR="009B3B17">
        <w:t>10</w:t>
      </w:r>
      <w:r>
        <w:t>_»</w:t>
      </w:r>
      <w:r w:rsidR="00A44531">
        <w:t>__</w:t>
      </w:r>
      <w:r w:rsidR="009B3B17">
        <w:t>августа</w:t>
      </w:r>
      <w:r w:rsidR="00A44531">
        <w:t>______</w:t>
      </w:r>
      <w:r>
        <w:t xml:space="preserve"> 202</w:t>
      </w:r>
      <w:r w:rsidR="006E1E13">
        <w:t>6</w:t>
      </w:r>
      <w:r>
        <w:t xml:space="preserve"> года №</w:t>
      </w:r>
      <w:r w:rsidR="00A44531">
        <w:t xml:space="preserve"> __</w:t>
      </w:r>
      <w:r w:rsidR="009B3B17">
        <w:t>818</w:t>
      </w:r>
      <w:r w:rsidR="00A44531">
        <w:t>______</w:t>
      </w:r>
    </w:p>
    <w:p w14:paraId="6E2C092F" w14:textId="77777777" w:rsidR="004C062E" w:rsidRDefault="004C062E" w:rsidP="00A419DB">
      <w:pPr>
        <w:suppressAutoHyphens/>
        <w:spacing w:after="0" w:line="360" w:lineRule="auto"/>
        <w:ind w:firstLineChars="295" w:firstLine="708"/>
        <w:contextualSpacing/>
        <w:jc w:val="both"/>
        <w:rPr>
          <w:rFonts w:ascii="Times New Roman" w:hAnsi="Times New Roman" w:cs="Times New Roman"/>
          <w:color w:val="000000" w:themeColor="text1"/>
          <w:sz w:val="24"/>
          <w:szCs w:val="24"/>
        </w:rPr>
      </w:pPr>
    </w:p>
    <w:p w14:paraId="2A694A5C" w14:textId="77777777" w:rsidR="004C062E" w:rsidRDefault="004C062E" w:rsidP="00A419DB">
      <w:pPr>
        <w:suppressAutoHyphens/>
        <w:spacing w:after="0" w:line="360" w:lineRule="auto"/>
        <w:ind w:firstLineChars="295" w:firstLine="708"/>
        <w:contextualSpacing/>
        <w:jc w:val="both"/>
        <w:rPr>
          <w:rFonts w:ascii="Times New Roman" w:hAnsi="Times New Roman" w:cs="Times New Roman"/>
          <w:color w:val="000000" w:themeColor="text1"/>
          <w:sz w:val="24"/>
          <w:szCs w:val="24"/>
          <w:lang w:val="uk-UA"/>
        </w:rPr>
      </w:pPr>
    </w:p>
    <w:p w14:paraId="24566FAF" w14:textId="77777777" w:rsidR="004C062E" w:rsidRDefault="004C062E" w:rsidP="00A419DB">
      <w:pPr>
        <w:suppressAutoHyphens/>
        <w:spacing w:after="0" w:line="360" w:lineRule="auto"/>
        <w:ind w:firstLineChars="295" w:firstLine="708"/>
        <w:contextualSpacing/>
        <w:jc w:val="both"/>
        <w:rPr>
          <w:rFonts w:ascii="Times New Roman" w:hAnsi="Times New Roman" w:cs="Times New Roman"/>
          <w:color w:val="000000" w:themeColor="text1"/>
          <w:sz w:val="24"/>
          <w:szCs w:val="24"/>
          <w:lang w:val="uk-UA"/>
        </w:rPr>
      </w:pPr>
    </w:p>
    <w:p w14:paraId="23075242" w14:textId="77777777" w:rsidR="004C062E" w:rsidRDefault="004C062E" w:rsidP="00A419DB">
      <w:pPr>
        <w:suppressAutoHyphens/>
        <w:spacing w:after="0" w:line="360" w:lineRule="auto"/>
        <w:ind w:firstLineChars="295" w:firstLine="708"/>
        <w:contextualSpacing/>
        <w:jc w:val="both"/>
        <w:rPr>
          <w:rFonts w:ascii="Times New Roman" w:hAnsi="Times New Roman" w:cs="Times New Roman"/>
          <w:color w:val="000000" w:themeColor="text1"/>
          <w:sz w:val="24"/>
          <w:szCs w:val="24"/>
          <w:lang w:val="uk-UA"/>
        </w:rPr>
      </w:pPr>
    </w:p>
    <w:p w14:paraId="6AEB84F7" w14:textId="77777777" w:rsidR="004C062E" w:rsidRDefault="004C062E" w:rsidP="00A419DB">
      <w:pPr>
        <w:suppressAutoHyphens/>
        <w:spacing w:after="0" w:line="360" w:lineRule="auto"/>
        <w:ind w:firstLineChars="295" w:firstLine="708"/>
        <w:contextualSpacing/>
        <w:jc w:val="both"/>
        <w:rPr>
          <w:rFonts w:ascii="Times New Roman" w:hAnsi="Times New Roman" w:cs="Times New Roman"/>
          <w:color w:val="000000" w:themeColor="text1"/>
          <w:sz w:val="24"/>
          <w:szCs w:val="24"/>
          <w:lang w:val="uk-UA"/>
        </w:rPr>
      </w:pPr>
    </w:p>
    <w:p w14:paraId="6858F383" w14:textId="125AECA8" w:rsidR="004C062E" w:rsidRDefault="002C7340" w:rsidP="00A419DB">
      <w:pPr>
        <w:suppressAutoHyphens/>
        <w:spacing w:after="0" w:line="360" w:lineRule="auto"/>
        <w:contextualSpacing/>
        <w:jc w:val="center"/>
        <w:rPr>
          <w:rFonts w:ascii="Times New Roman" w:hAnsi="Times New Roman" w:cs="Times New Roman"/>
          <w:b/>
          <w:color w:val="000000" w:themeColor="text1"/>
          <w:sz w:val="32"/>
          <w:szCs w:val="32"/>
          <w:lang w:val="uk-UA"/>
        </w:rPr>
      </w:pPr>
      <w:r>
        <w:rPr>
          <w:rFonts w:ascii="Times New Roman" w:hAnsi="Times New Roman" w:cs="Times New Roman"/>
          <w:b/>
          <w:color w:val="000000" w:themeColor="text1"/>
          <w:sz w:val="32"/>
          <w:szCs w:val="32"/>
          <w:lang w:val="uk-UA"/>
        </w:rPr>
        <w:t>Клинические</w:t>
      </w:r>
      <w:r w:rsidR="00485F61" w:rsidRPr="00485F61">
        <w:rPr>
          <w:rFonts w:ascii="Times New Roman" w:hAnsi="Times New Roman" w:cs="Times New Roman"/>
          <w:b/>
          <w:color w:val="000000" w:themeColor="text1"/>
          <w:sz w:val="32"/>
          <w:szCs w:val="32"/>
        </w:rPr>
        <w:t xml:space="preserve"> </w:t>
      </w:r>
      <w:r>
        <w:rPr>
          <w:rFonts w:ascii="Times New Roman" w:hAnsi="Times New Roman" w:cs="Times New Roman"/>
          <w:b/>
          <w:color w:val="000000" w:themeColor="text1"/>
          <w:sz w:val="32"/>
          <w:szCs w:val="32"/>
          <w:lang w:val="uk-UA"/>
        </w:rPr>
        <w:t>рекомендации</w:t>
      </w:r>
    </w:p>
    <w:p w14:paraId="3782C521" w14:textId="77777777" w:rsidR="004C062E" w:rsidRDefault="004C062E" w:rsidP="00A419DB">
      <w:pPr>
        <w:suppressAutoHyphens/>
        <w:spacing w:after="0" w:line="360" w:lineRule="auto"/>
        <w:contextualSpacing/>
        <w:jc w:val="center"/>
        <w:rPr>
          <w:rFonts w:ascii="Times New Roman" w:hAnsi="Times New Roman" w:cs="Times New Roman"/>
          <w:b/>
          <w:color w:val="000000" w:themeColor="text1"/>
          <w:sz w:val="32"/>
          <w:szCs w:val="32"/>
          <w:lang w:val="uk-UA"/>
        </w:rPr>
      </w:pPr>
    </w:p>
    <w:p w14:paraId="2ED142FA" w14:textId="3B30D71B" w:rsidR="004C062E" w:rsidRDefault="002C7340" w:rsidP="00A419DB">
      <w:pPr>
        <w:suppressAutoHyphens/>
        <w:spacing w:after="0" w:line="360" w:lineRule="auto"/>
        <w:contextualSpacing/>
        <w:jc w:val="center"/>
        <w:rPr>
          <w:rFonts w:ascii="Times New Roman" w:hAnsi="Times New Roman" w:cs="Times New Roman"/>
          <w:b/>
          <w:color w:val="000000" w:themeColor="text1"/>
          <w:sz w:val="32"/>
          <w:szCs w:val="32"/>
          <w:lang w:val="uk-UA"/>
        </w:rPr>
      </w:pPr>
      <w:r>
        <w:rPr>
          <w:rFonts w:ascii="Times New Roman" w:hAnsi="Times New Roman" w:cs="Times New Roman"/>
          <w:b/>
          <w:color w:val="000000" w:themeColor="text1"/>
          <w:sz w:val="32"/>
          <w:szCs w:val="32"/>
          <w:lang w:val="uk-UA"/>
        </w:rPr>
        <w:t>«Острый</w:t>
      </w:r>
      <w:r w:rsidR="006E1E13">
        <w:rPr>
          <w:rFonts w:ascii="Times New Roman" w:hAnsi="Times New Roman" w:cs="Times New Roman"/>
          <w:b/>
          <w:color w:val="000000" w:themeColor="text1"/>
          <w:sz w:val="32"/>
          <w:szCs w:val="32"/>
          <w:lang w:val="uk-UA"/>
        </w:rPr>
        <w:t xml:space="preserve"> </w:t>
      </w:r>
      <w:r>
        <w:rPr>
          <w:rFonts w:ascii="Times New Roman" w:hAnsi="Times New Roman" w:cs="Times New Roman"/>
          <w:b/>
          <w:color w:val="000000" w:themeColor="text1"/>
          <w:sz w:val="32"/>
          <w:szCs w:val="32"/>
          <w:lang w:val="uk-UA"/>
        </w:rPr>
        <w:t xml:space="preserve">коронарный синдром с подъёмом сегмента </w:t>
      </w:r>
      <w:r>
        <w:rPr>
          <w:rFonts w:ascii="Times New Roman" w:hAnsi="Times New Roman" w:cs="Times New Roman"/>
          <w:b/>
          <w:color w:val="000000" w:themeColor="text1"/>
          <w:sz w:val="32"/>
          <w:szCs w:val="32"/>
          <w:lang w:val="en-US"/>
        </w:rPr>
        <w:t>ST</w:t>
      </w:r>
      <w:r>
        <w:rPr>
          <w:rFonts w:ascii="Times New Roman" w:hAnsi="Times New Roman" w:cs="Times New Roman"/>
          <w:b/>
          <w:color w:val="000000" w:themeColor="text1"/>
          <w:sz w:val="32"/>
          <w:szCs w:val="32"/>
          <w:lang w:val="uk-UA"/>
        </w:rPr>
        <w:t>»</w:t>
      </w:r>
    </w:p>
    <w:p w14:paraId="2D034F4E" w14:textId="77777777" w:rsidR="004C062E" w:rsidRDefault="004C062E" w:rsidP="00A419DB">
      <w:pPr>
        <w:suppressAutoHyphens/>
        <w:spacing w:after="0" w:line="360" w:lineRule="auto"/>
        <w:ind w:firstLineChars="295" w:firstLine="948"/>
        <w:contextualSpacing/>
        <w:jc w:val="center"/>
        <w:rPr>
          <w:rFonts w:ascii="Times New Roman" w:hAnsi="Times New Roman" w:cs="Times New Roman"/>
          <w:b/>
          <w:color w:val="000000" w:themeColor="text1"/>
          <w:sz w:val="32"/>
          <w:szCs w:val="32"/>
          <w:lang w:val="uk-UA"/>
        </w:rPr>
      </w:pPr>
    </w:p>
    <w:p w14:paraId="73063F0C" w14:textId="77777777" w:rsidR="004C062E" w:rsidRDefault="004C062E" w:rsidP="00A419DB">
      <w:pPr>
        <w:suppressAutoHyphens/>
        <w:spacing w:after="0" w:line="360" w:lineRule="auto"/>
        <w:ind w:firstLineChars="295" w:firstLine="708"/>
        <w:contextualSpacing/>
        <w:jc w:val="both"/>
        <w:rPr>
          <w:rFonts w:ascii="Times New Roman" w:hAnsi="Times New Roman" w:cs="Times New Roman"/>
          <w:color w:val="000000" w:themeColor="text1"/>
          <w:sz w:val="24"/>
          <w:szCs w:val="24"/>
          <w:lang w:val="uk-UA"/>
        </w:rPr>
      </w:pPr>
    </w:p>
    <w:p w14:paraId="4FA54A6B" w14:textId="17A3215F" w:rsidR="004C062E" w:rsidRDefault="002C7340" w:rsidP="000821D6">
      <w:pPr>
        <w:suppressAutoHyphens/>
        <w:spacing w:after="0" w:line="360" w:lineRule="auto"/>
        <w:contextualSpacing/>
        <w:jc w:val="both"/>
        <w:rPr>
          <w:rFonts w:ascii="Times New Roman" w:hAnsi="Times New Roman" w:cs="Times New Roman"/>
          <w:b/>
          <w:color w:val="000000" w:themeColor="text1"/>
          <w:sz w:val="28"/>
          <w:szCs w:val="24"/>
          <w:lang w:val="uk-UA"/>
        </w:rPr>
      </w:pPr>
      <w:r w:rsidRPr="00A44531">
        <w:rPr>
          <w:rFonts w:ascii="Times New Roman" w:eastAsia="Times New Roman" w:hAnsi="Times New Roman" w:cs="Times New Roman"/>
          <w:b/>
          <w:bCs/>
          <w:color w:val="000000"/>
          <w:sz w:val="28"/>
          <w:szCs w:val="28"/>
        </w:rPr>
        <w:t>Коды</w:t>
      </w:r>
      <w:r w:rsidR="00A44531" w:rsidRPr="00A44531">
        <w:rPr>
          <w:rFonts w:ascii="Times New Roman" w:eastAsia="Times New Roman" w:hAnsi="Times New Roman" w:cs="Times New Roman"/>
          <w:b/>
          <w:bCs/>
          <w:color w:val="000000"/>
          <w:sz w:val="28"/>
          <w:szCs w:val="28"/>
          <w:lang w:val="en-US"/>
        </w:rPr>
        <w:t xml:space="preserve"> </w:t>
      </w:r>
      <w:r w:rsidRPr="00A44531">
        <w:rPr>
          <w:rFonts w:ascii="Times New Roman" w:eastAsia="Times New Roman" w:hAnsi="Times New Roman" w:cs="Times New Roman"/>
          <w:b/>
          <w:bCs/>
          <w:color w:val="000000"/>
          <w:sz w:val="28"/>
          <w:szCs w:val="28"/>
        </w:rPr>
        <w:t>по</w:t>
      </w:r>
      <w:r w:rsidR="00A44531" w:rsidRPr="00A44531">
        <w:rPr>
          <w:rFonts w:ascii="Times New Roman" w:eastAsia="Times New Roman" w:hAnsi="Times New Roman" w:cs="Times New Roman"/>
          <w:b/>
          <w:bCs/>
          <w:color w:val="000000"/>
          <w:sz w:val="28"/>
          <w:szCs w:val="28"/>
          <w:lang w:val="en-US"/>
        </w:rPr>
        <w:t xml:space="preserve"> </w:t>
      </w:r>
      <w:r w:rsidRPr="00A44531">
        <w:rPr>
          <w:rFonts w:ascii="Times New Roman" w:eastAsia="Times New Roman" w:hAnsi="Times New Roman" w:cs="Times New Roman"/>
          <w:b/>
          <w:bCs/>
          <w:color w:val="000000"/>
          <w:sz w:val="28"/>
          <w:szCs w:val="28"/>
        </w:rPr>
        <w:t>МКБ</w:t>
      </w:r>
      <w:r w:rsidR="00A44531" w:rsidRPr="00A44531">
        <w:rPr>
          <w:rFonts w:ascii="Times New Roman" w:eastAsia="Times New Roman" w:hAnsi="Times New Roman" w:cs="Times New Roman"/>
          <w:b/>
          <w:bCs/>
          <w:color w:val="000000"/>
          <w:sz w:val="28"/>
          <w:szCs w:val="28"/>
          <w:lang w:val="en-US"/>
        </w:rPr>
        <w:t xml:space="preserve"> </w:t>
      </w:r>
      <w:r w:rsidRPr="00A44531">
        <w:rPr>
          <w:rFonts w:ascii="Times New Roman" w:eastAsia="Times New Roman" w:hAnsi="Times New Roman" w:cs="Times New Roman"/>
          <w:b/>
          <w:bCs/>
          <w:color w:val="000000"/>
          <w:sz w:val="28"/>
          <w:szCs w:val="28"/>
          <w:lang w:val="en-US"/>
        </w:rPr>
        <w:t>10</w:t>
      </w:r>
      <w:r>
        <w:rPr>
          <w:rFonts w:ascii="Times New Roman" w:hAnsi="Times New Roman" w:cs="Times New Roman"/>
          <w:color w:val="000000" w:themeColor="text1"/>
          <w:sz w:val="24"/>
          <w:szCs w:val="24"/>
          <w:lang w:val="uk-UA"/>
        </w:rPr>
        <w:t xml:space="preserve">: </w:t>
      </w:r>
      <w:r>
        <w:rPr>
          <w:rFonts w:ascii="Times New Roman" w:hAnsi="Times New Roman" w:cs="Times New Roman"/>
          <w:b/>
          <w:sz w:val="24"/>
          <w:lang w:val="en-US"/>
        </w:rPr>
        <w:t>I21.0</w:t>
      </w:r>
      <w:r w:rsidR="00B64B3A" w:rsidRPr="00B64B3A">
        <w:rPr>
          <w:rFonts w:ascii="Times New Roman" w:hAnsi="Times New Roman" w:cs="Times New Roman"/>
          <w:b/>
          <w:sz w:val="24"/>
          <w:lang w:val="en-US"/>
        </w:rPr>
        <w:t>/</w:t>
      </w:r>
      <w:r>
        <w:rPr>
          <w:rFonts w:ascii="Times New Roman" w:hAnsi="Times New Roman" w:cs="Times New Roman"/>
          <w:b/>
          <w:sz w:val="24"/>
          <w:lang w:val="en-US"/>
        </w:rPr>
        <w:t>I21.1</w:t>
      </w:r>
      <w:r w:rsidR="00B64B3A" w:rsidRPr="00B64B3A">
        <w:rPr>
          <w:rFonts w:ascii="Times New Roman" w:hAnsi="Times New Roman" w:cs="Times New Roman"/>
          <w:b/>
          <w:sz w:val="24"/>
          <w:lang w:val="en-US"/>
        </w:rPr>
        <w:t>/</w:t>
      </w:r>
      <w:r>
        <w:rPr>
          <w:rFonts w:ascii="Times New Roman" w:hAnsi="Times New Roman" w:cs="Times New Roman"/>
          <w:b/>
          <w:sz w:val="24"/>
          <w:lang w:val="en-US"/>
        </w:rPr>
        <w:t xml:space="preserve"> I21.2</w:t>
      </w:r>
      <w:r w:rsidR="00B64B3A" w:rsidRPr="00B64B3A">
        <w:rPr>
          <w:rFonts w:ascii="Times New Roman" w:hAnsi="Times New Roman" w:cs="Times New Roman"/>
          <w:b/>
          <w:sz w:val="24"/>
          <w:lang w:val="en-US"/>
        </w:rPr>
        <w:t>/</w:t>
      </w:r>
      <w:r>
        <w:rPr>
          <w:rFonts w:ascii="Times New Roman" w:hAnsi="Times New Roman" w:cs="Times New Roman"/>
          <w:b/>
          <w:sz w:val="24"/>
          <w:lang w:val="en-US"/>
        </w:rPr>
        <w:t xml:space="preserve"> I21.3</w:t>
      </w:r>
      <w:r w:rsidR="00B64B3A" w:rsidRPr="00B64B3A">
        <w:rPr>
          <w:rFonts w:ascii="Times New Roman" w:hAnsi="Times New Roman" w:cs="Times New Roman"/>
          <w:b/>
          <w:sz w:val="24"/>
          <w:lang w:val="en-US"/>
        </w:rPr>
        <w:t>/</w:t>
      </w:r>
      <w:r>
        <w:rPr>
          <w:rFonts w:ascii="Times New Roman" w:hAnsi="Times New Roman" w:cs="Times New Roman"/>
          <w:b/>
          <w:sz w:val="24"/>
          <w:lang w:val="en-US"/>
        </w:rPr>
        <w:t>I21.9</w:t>
      </w:r>
      <w:r w:rsidR="00B64B3A" w:rsidRPr="00B64B3A">
        <w:rPr>
          <w:rFonts w:ascii="Times New Roman" w:hAnsi="Times New Roman" w:cs="Times New Roman"/>
          <w:b/>
          <w:sz w:val="24"/>
          <w:lang w:val="en-US"/>
        </w:rPr>
        <w:t>/</w:t>
      </w:r>
      <w:r>
        <w:rPr>
          <w:rFonts w:ascii="Times New Roman" w:hAnsi="Times New Roman" w:cs="Times New Roman"/>
          <w:b/>
          <w:sz w:val="24"/>
          <w:lang w:val="en-US"/>
        </w:rPr>
        <w:t xml:space="preserve"> I22.0</w:t>
      </w:r>
      <w:r w:rsidR="00B64B3A" w:rsidRPr="00B64B3A">
        <w:rPr>
          <w:rFonts w:ascii="Times New Roman" w:hAnsi="Times New Roman" w:cs="Times New Roman"/>
          <w:b/>
          <w:sz w:val="24"/>
          <w:lang w:val="en-US"/>
        </w:rPr>
        <w:t>/</w:t>
      </w:r>
      <w:r>
        <w:rPr>
          <w:rFonts w:ascii="Times New Roman" w:hAnsi="Times New Roman" w:cs="Times New Roman"/>
          <w:b/>
          <w:sz w:val="24"/>
          <w:lang w:val="en-US"/>
        </w:rPr>
        <w:t>I22.1</w:t>
      </w:r>
      <w:r w:rsidR="00B64B3A" w:rsidRPr="00B64B3A">
        <w:rPr>
          <w:rFonts w:ascii="Times New Roman" w:hAnsi="Times New Roman" w:cs="Times New Roman"/>
          <w:b/>
          <w:sz w:val="24"/>
          <w:lang w:val="en-US"/>
        </w:rPr>
        <w:t>/</w:t>
      </w:r>
      <w:r>
        <w:rPr>
          <w:rFonts w:ascii="Times New Roman" w:hAnsi="Times New Roman" w:cs="Times New Roman"/>
          <w:b/>
          <w:sz w:val="24"/>
          <w:lang w:val="en-US"/>
        </w:rPr>
        <w:t>I22.8</w:t>
      </w:r>
      <w:r w:rsidR="00B64B3A" w:rsidRPr="00B64B3A">
        <w:rPr>
          <w:rFonts w:ascii="Times New Roman" w:hAnsi="Times New Roman" w:cs="Times New Roman"/>
          <w:b/>
          <w:sz w:val="24"/>
          <w:lang w:val="en-US"/>
        </w:rPr>
        <w:t>/</w:t>
      </w:r>
      <w:r>
        <w:rPr>
          <w:rFonts w:ascii="Times New Roman" w:hAnsi="Times New Roman" w:cs="Times New Roman"/>
          <w:b/>
          <w:sz w:val="24"/>
          <w:lang w:val="en-US"/>
        </w:rPr>
        <w:t>I22.9</w:t>
      </w:r>
      <w:r w:rsidR="00B64B3A" w:rsidRPr="00B64B3A">
        <w:rPr>
          <w:rFonts w:ascii="Times New Roman" w:hAnsi="Times New Roman" w:cs="Times New Roman"/>
          <w:b/>
          <w:sz w:val="24"/>
          <w:lang w:val="en-US"/>
        </w:rPr>
        <w:t>/</w:t>
      </w:r>
      <w:r>
        <w:rPr>
          <w:rFonts w:ascii="Times New Roman" w:hAnsi="Times New Roman" w:cs="Times New Roman"/>
          <w:b/>
          <w:sz w:val="24"/>
          <w:lang w:val="en-US"/>
        </w:rPr>
        <w:t>I24.0</w:t>
      </w:r>
      <w:r w:rsidR="00B64B3A" w:rsidRPr="00B64B3A">
        <w:rPr>
          <w:rFonts w:ascii="Times New Roman" w:hAnsi="Times New Roman" w:cs="Times New Roman"/>
          <w:b/>
          <w:sz w:val="24"/>
          <w:lang w:val="en-US"/>
        </w:rPr>
        <w:t>/</w:t>
      </w:r>
      <w:r>
        <w:rPr>
          <w:rFonts w:ascii="Times New Roman" w:hAnsi="Times New Roman" w:cs="Times New Roman"/>
          <w:b/>
          <w:sz w:val="24"/>
          <w:lang w:val="en-US"/>
        </w:rPr>
        <w:t>I24.8</w:t>
      </w:r>
      <w:r w:rsidR="00B64B3A" w:rsidRPr="00B64B3A">
        <w:rPr>
          <w:rFonts w:ascii="Times New Roman" w:hAnsi="Times New Roman" w:cs="Times New Roman"/>
          <w:b/>
          <w:sz w:val="24"/>
          <w:lang w:val="en-US"/>
        </w:rPr>
        <w:t>/</w:t>
      </w:r>
      <w:r>
        <w:rPr>
          <w:rFonts w:ascii="Times New Roman" w:hAnsi="Times New Roman" w:cs="Times New Roman"/>
          <w:b/>
          <w:sz w:val="24"/>
          <w:lang w:val="en-US"/>
        </w:rPr>
        <w:t>I25.2</w:t>
      </w:r>
    </w:p>
    <w:p w14:paraId="1324CD8E" w14:textId="77777777" w:rsidR="004C062E" w:rsidRDefault="004C062E" w:rsidP="00A419DB">
      <w:pPr>
        <w:suppressAutoHyphens/>
        <w:spacing w:after="0" w:line="360" w:lineRule="auto"/>
        <w:ind w:firstLineChars="295" w:firstLine="708"/>
        <w:contextualSpacing/>
        <w:jc w:val="both"/>
        <w:rPr>
          <w:rFonts w:ascii="Times New Roman" w:hAnsi="Times New Roman" w:cs="Times New Roman"/>
          <w:color w:val="000000" w:themeColor="text1"/>
          <w:sz w:val="24"/>
          <w:szCs w:val="24"/>
          <w:lang w:val="uk-UA"/>
        </w:rPr>
      </w:pPr>
    </w:p>
    <w:p w14:paraId="05EE7C88" w14:textId="77777777" w:rsidR="004C062E" w:rsidRDefault="004C062E" w:rsidP="00A419DB">
      <w:pPr>
        <w:suppressAutoHyphens/>
        <w:spacing w:after="0" w:line="360" w:lineRule="auto"/>
        <w:ind w:firstLineChars="295" w:firstLine="708"/>
        <w:contextualSpacing/>
        <w:jc w:val="both"/>
        <w:rPr>
          <w:rFonts w:ascii="Times New Roman" w:hAnsi="Times New Roman" w:cs="Times New Roman"/>
          <w:color w:val="000000" w:themeColor="text1"/>
          <w:sz w:val="24"/>
          <w:szCs w:val="24"/>
          <w:lang w:val="uk-UA"/>
        </w:rPr>
      </w:pPr>
    </w:p>
    <w:p w14:paraId="292C2CDF" w14:textId="77777777" w:rsidR="004C062E" w:rsidRDefault="004C062E" w:rsidP="00A419DB">
      <w:pPr>
        <w:suppressAutoHyphens/>
        <w:spacing w:after="0" w:line="360" w:lineRule="auto"/>
        <w:ind w:firstLineChars="295" w:firstLine="708"/>
        <w:contextualSpacing/>
        <w:jc w:val="both"/>
        <w:rPr>
          <w:rFonts w:ascii="Times New Roman" w:hAnsi="Times New Roman" w:cs="Times New Roman"/>
          <w:color w:val="000000" w:themeColor="text1"/>
          <w:sz w:val="24"/>
          <w:szCs w:val="24"/>
          <w:lang w:val="uk-UA"/>
        </w:rPr>
      </w:pPr>
    </w:p>
    <w:p w14:paraId="1EC23B15" w14:textId="77777777" w:rsidR="004C062E" w:rsidRDefault="004C062E" w:rsidP="00A419DB">
      <w:pPr>
        <w:suppressAutoHyphens/>
        <w:spacing w:after="0" w:line="360" w:lineRule="auto"/>
        <w:ind w:firstLineChars="295" w:firstLine="708"/>
        <w:contextualSpacing/>
        <w:jc w:val="both"/>
        <w:rPr>
          <w:rFonts w:ascii="Times New Roman" w:hAnsi="Times New Roman" w:cs="Times New Roman"/>
          <w:color w:val="000000" w:themeColor="text1"/>
          <w:sz w:val="24"/>
          <w:szCs w:val="24"/>
          <w:lang w:val="uk-UA"/>
        </w:rPr>
      </w:pPr>
    </w:p>
    <w:p w14:paraId="1C6166D4" w14:textId="77777777" w:rsidR="004C062E" w:rsidRPr="00A44531" w:rsidRDefault="002C7340" w:rsidP="00A419DB">
      <w:pPr>
        <w:suppressAutoHyphens/>
        <w:spacing w:line="360" w:lineRule="auto"/>
        <w:rPr>
          <w:rFonts w:ascii="Times New Roman" w:eastAsia="Times New Roman" w:hAnsi="Times New Roman" w:cs="Times New Roman"/>
          <w:color w:val="000000"/>
          <w:sz w:val="28"/>
          <w:szCs w:val="28"/>
        </w:rPr>
      </w:pPr>
      <w:r w:rsidRPr="00A44531">
        <w:rPr>
          <w:rFonts w:ascii="Times New Roman" w:eastAsia="Times New Roman" w:hAnsi="Times New Roman" w:cs="Times New Roman"/>
          <w:b/>
          <w:bCs/>
          <w:color w:val="000000"/>
          <w:sz w:val="28"/>
          <w:szCs w:val="28"/>
        </w:rPr>
        <w:t>Возрастная группа</w:t>
      </w:r>
      <w:r w:rsidRPr="00A44531">
        <w:rPr>
          <w:rFonts w:ascii="Times New Roman" w:eastAsia="Times New Roman" w:hAnsi="Times New Roman" w:cs="Times New Roman"/>
          <w:color w:val="000000"/>
          <w:sz w:val="28"/>
          <w:szCs w:val="28"/>
        </w:rPr>
        <w:t xml:space="preserve">: взрослые </w:t>
      </w:r>
    </w:p>
    <w:p w14:paraId="5FB29075" w14:textId="77777777" w:rsidR="004C062E" w:rsidRPr="00A44531" w:rsidRDefault="004C062E" w:rsidP="00A419DB">
      <w:pPr>
        <w:suppressAutoHyphens/>
        <w:spacing w:line="360" w:lineRule="auto"/>
        <w:rPr>
          <w:rFonts w:ascii="Times New Roman" w:eastAsia="Times New Roman" w:hAnsi="Times New Roman" w:cs="Times New Roman"/>
          <w:sz w:val="28"/>
          <w:szCs w:val="28"/>
        </w:rPr>
      </w:pPr>
    </w:p>
    <w:p w14:paraId="605CB03E" w14:textId="55ABC7C2" w:rsidR="004C062E" w:rsidRPr="00A44531" w:rsidRDefault="002C7340" w:rsidP="00A419DB">
      <w:pPr>
        <w:suppressAutoHyphens/>
        <w:spacing w:line="360" w:lineRule="auto"/>
        <w:ind w:left="284"/>
        <w:rPr>
          <w:rFonts w:ascii="Times New Roman" w:eastAsia="Times New Roman" w:hAnsi="Times New Roman" w:cs="Times New Roman"/>
          <w:b/>
          <w:bCs/>
          <w:color w:val="000000"/>
          <w:sz w:val="28"/>
          <w:szCs w:val="28"/>
        </w:rPr>
      </w:pPr>
      <w:r w:rsidRPr="00545863">
        <w:rPr>
          <w:rFonts w:ascii="Times New Roman" w:eastAsia="Times New Roman" w:hAnsi="Times New Roman" w:cs="Times New Roman"/>
          <w:b/>
          <w:bCs/>
          <w:color w:val="000000"/>
          <w:sz w:val="28"/>
          <w:szCs w:val="28"/>
        </w:rPr>
        <w:t>Год утверждения</w:t>
      </w:r>
      <w:r w:rsidR="00A44531" w:rsidRPr="00545863">
        <w:rPr>
          <w:rFonts w:ascii="Times New Roman" w:eastAsia="Times New Roman" w:hAnsi="Times New Roman" w:cs="Times New Roman"/>
          <w:color w:val="000000"/>
          <w:sz w:val="28"/>
          <w:szCs w:val="28"/>
        </w:rPr>
        <w:t xml:space="preserve"> </w:t>
      </w:r>
      <w:r w:rsidR="00A44531" w:rsidRPr="00545863">
        <w:rPr>
          <w:rFonts w:ascii="Times New Roman" w:hAnsi="Times New Roman" w:cs="Times New Roman"/>
          <w:b/>
          <w:sz w:val="28"/>
          <w:szCs w:val="28"/>
        </w:rPr>
        <w:t>(частота пересмотра)</w:t>
      </w:r>
      <w:r w:rsidRPr="00545863">
        <w:rPr>
          <w:rFonts w:ascii="Times New Roman" w:eastAsia="Times New Roman" w:hAnsi="Times New Roman" w:cs="Times New Roman"/>
          <w:color w:val="000000"/>
          <w:sz w:val="28"/>
          <w:szCs w:val="28"/>
        </w:rPr>
        <w:t xml:space="preserve">: </w:t>
      </w:r>
      <w:r w:rsidRPr="00545863">
        <w:rPr>
          <w:rFonts w:ascii="Times New Roman" w:eastAsia="Times New Roman" w:hAnsi="Times New Roman" w:cs="Times New Roman"/>
          <w:b/>
          <w:bCs/>
          <w:color w:val="000000"/>
          <w:sz w:val="28"/>
          <w:szCs w:val="28"/>
        </w:rPr>
        <w:t>202</w:t>
      </w:r>
      <w:r w:rsidR="006E1E13" w:rsidRPr="00545863">
        <w:rPr>
          <w:rFonts w:ascii="Times New Roman" w:eastAsia="Times New Roman" w:hAnsi="Times New Roman" w:cs="Times New Roman"/>
          <w:b/>
          <w:bCs/>
          <w:color w:val="000000"/>
          <w:sz w:val="28"/>
          <w:szCs w:val="28"/>
        </w:rPr>
        <w:t>6</w:t>
      </w:r>
      <w:r w:rsidR="00A44531" w:rsidRPr="00545863">
        <w:rPr>
          <w:rFonts w:ascii="Times New Roman" w:eastAsia="Times New Roman" w:hAnsi="Times New Roman" w:cs="Times New Roman"/>
          <w:b/>
          <w:bCs/>
          <w:color w:val="000000"/>
          <w:sz w:val="28"/>
          <w:szCs w:val="28"/>
        </w:rPr>
        <w:t xml:space="preserve"> (пересмотр каждые 5 лет)</w:t>
      </w:r>
    </w:p>
    <w:p w14:paraId="5EE22F43" w14:textId="77777777" w:rsidR="004C062E" w:rsidRDefault="004C062E" w:rsidP="00A419DB">
      <w:pPr>
        <w:suppressAutoHyphens/>
        <w:spacing w:line="360" w:lineRule="auto"/>
        <w:rPr>
          <w:rFonts w:ascii="Times New Roman" w:eastAsia="Times New Roman" w:hAnsi="Times New Roman" w:cs="Times New Roman"/>
          <w:b/>
          <w:bCs/>
          <w:color w:val="000000"/>
          <w:sz w:val="24"/>
          <w:szCs w:val="24"/>
        </w:rPr>
      </w:pPr>
    </w:p>
    <w:p w14:paraId="263BF708" w14:textId="77777777" w:rsidR="004C062E" w:rsidRDefault="002C7340" w:rsidP="00A419DB">
      <w:pPr>
        <w:suppressAutoHyphens/>
        <w:spacing w:after="0" w:line="360" w:lineRule="auto"/>
        <w:ind w:left="1701"/>
        <w:contextualSpacing/>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br w:type="page"/>
      </w:r>
    </w:p>
    <w:sdt>
      <w:sdtPr>
        <w:rPr>
          <w:rFonts w:ascii="Times New Roman" w:eastAsiaTheme="minorHAnsi" w:hAnsi="Times New Roman" w:cs="Times New Roman"/>
          <w:b w:val="0"/>
          <w:bCs w:val="0"/>
          <w:color w:val="000000" w:themeColor="text1"/>
          <w:sz w:val="24"/>
          <w:szCs w:val="24"/>
          <w:lang w:eastAsia="en-US"/>
        </w:rPr>
        <w:id w:val="-1321651164"/>
        <w:docPartObj>
          <w:docPartGallery w:val="Table of Contents"/>
          <w:docPartUnique/>
        </w:docPartObj>
      </w:sdtPr>
      <w:sdtEndPr>
        <w:rPr>
          <w:rFonts w:eastAsiaTheme="minorEastAsia"/>
          <w:bCs/>
          <w:lang w:eastAsia="ru-RU"/>
        </w:rPr>
      </w:sdtEndPr>
      <w:sdtContent>
        <w:p w14:paraId="6580B1A4" w14:textId="77777777" w:rsidR="004C062E" w:rsidRDefault="002C7340" w:rsidP="00A419DB">
          <w:pPr>
            <w:pStyle w:val="13"/>
            <w:suppressAutoHyphens/>
            <w:spacing w:before="0" w:line="360" w:lineRule="auto"/>
            <w:ind w:left="1134" w:firstLineChars="295" w:firstLine="708"/>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Оглавление</w:t>
          </w:r>
        </w:p>
        <w:p w14:paraId="3F0792BA" w14:textId="1AE6F11C" w:rsidR="00157390" w:rsidRPr="00157390" w:rsidRDefault="00197F39" w:rsidP="00A419DB">
          <w:pPr>
            <w:pStyle w:val="12"/>
            <w:tabs>
              <w:tab w:val="right" w:leader="dot" w:pos="9736"/>
            </w:tabs>
            <w:suppressAutoHyphens/>
            <w:rPr>
              <w:rFonts w:ascii="Times New Roman" w:hAnsi="Times New Roman" w:cs="Times New Roman"/>
              <w:bCs/>
              <w:noProof/>
              <w:kern w:val="2"/>
              <w:sz w:val="24"/>
              <w:szCs w:val="24"/>
              <w14:ligatures w14:val="standardContextual"/>
            </w:rPr>
          </w:pPr>
          <w:r w:rsidRPr="00157390">
            <w:rPr>
              <w:rFonts w:ascii="Times New Roman" w:hAnsi="Times New Roman" w:cs="Times New Roman"/>
              <w:bCs/>
              <w:color w:val="000000" w:themeColor="text1"/>
              <w:sz w:val="24"/>
              <w:szCs w:val="24"/>
            </w:rPr>
            <w:fldChar w:fldCharType="begin"/>
          </w:r>
          <w:r w:rsidR="002C7340" w:rsidRPr="00157390">
            <w:rPr>
              <w:rFonts w:ascii="Times New Roman" w:hAnsi="Times New Roman" w:cs="Times New Roman"/>
              <w:bCs/>
              <w:color w:val="000000" w:themeColor="text1"/>
              <w:sz w:val="24"/>
              <w:szCs w:val="24"/>
            </w:rPr>
            <w:instrText xml:space="preserve"> TOC \o "1-3" \h \z \u </w:instrText>
          </w:r>
          <w:r w:rsidRPr="00157390">
            <w:rPr>
              <w:rFonts w:ascii="Times New Roman" w:hAnsi="Times New Roman" w:cs="Times New Roman"/>
              <w:bCs/>
              <w:color w:val="000000" w:themeColor="text1"/>
              <w:sz w:val="24"/>
              <w:szCs w:val="24"/>
            </w:rPr>
            <w:fldChar w:fldCharType="separate"/>
          </w:r>
          <w:hyperlink w:anchor="_Toc236138909" w:history="1">
            <w:r w:rsidR="00157390" w:rsidRPr="00157390">
              <w:rPr>
                <w:rStyle w:val="a6"/>
                <w:rFonts w:ascii="Times New Roman" w:hAnsi="Times New Roman" w:cs="Times New Roman"/>
                <w:bCs/>
                <w:noProof/>
                <w:sz w:val="24"/>
                <w:szCs w:val="24"/>
              </w:rPr>
              <w:t>Список сокращений и условных обозначений.</w:t>
            </w:r>
            <w:r w:rsidR="00157390" w:rsidRPr="00157390">
              <w:rPr>
                <w:rFonts w:ascii="Times New Roman" w:hAnsi="Times New Roman" w:cs="Times New Roman"/>
                <w:bCs/>
                <w:noProof/>
                <w:webHidden/>
                <w:sz w:val="24"/>
                <w:szCs w:val="24"/>
              </w:rPr>
              <w:tab/>
            </w:r>
            <w:r w:rsidR="00157390" w:rsidRPr="00157390">
              <w:rPr>
                <w:rFonts w:ascii="Times New Roman" w:hAnsi="Times New Roman" w:cs="Times New Roman"/>
                <w:bCs/>
                <w:noProof/>
                <w:webHidden/>
                <w:sz w:val="24"/>
                <w:szCs w:val="24"/>
              </w:rPr>
              <w:fldChar w:fldCharType="begin"/>
            </w:r>
            <w:r w:rsidR="00157390" w:rsidRPr="00157390">
              <w:rPr>
                <w:rFonts w:ascii="Times New Roman" w:hAnsi="Times New Roman" w:cs="Times New Roman"/>
                <w:bCs/>
                <w:noProof/>
                <w:webHidden/>
                <w:sz w:val="24"/>
                <w:szCs w:val="24"/>
              </w:rPr>
              <w:instrText xml:space="preserve"> PAGEREF _Toc236138909 \h </w:instrText>
            </w:r>
            <w:r w:rsidR="00157390" w:rsidRPr="00157390">
              <w:rPr>
                <w:rFonts w:ascii="Times New Roman" w:hAnsi="Times New Roman" w:cs="Times New Roman"/>
                <w:bCs/>
                <w:noProof/>
                <w:webHidden/>
                <w:sz w:val="24"/>
                <w:szCs w:val="24"/>
              </w:rPr>
            </w:r>
            <w:r w:rsidR="00157390" w:rsidRPr="00157390">
              <w:rPr>
                <w:rFonts w:ascii="Times New Roman" w:hAnsi="Times New Roman" w:cs="Times New Roman"/>
                <w:bCs/>
                <w:noProof/>
                <w:webHidden/>
                <w:sz w:val="24"/>
                <w:szCs w:val="24"/>
              </w:rPr>
              <w:fldChar w:fldCharType="separate"/>
            </w:r>
            <w:r w:rsidR="00C36A53">
              <w:rPr>
                <w:rFonts w:ascii="Times New Roman" w:hAnsi="Times New Roman" w:cs="Times New Roman"/>
                <w:bCs/>
                <w:noProof/>
                <w:webHidden/>
                <w:sz w:val="24"/>
                <w:szCs w:val="24"/>
              </w:rPr>
              <w:t>2</w:t>
            </w:r>
            <w:r w:rsidR="00157390" w:rsidRPr="00157390">
              <w:rPr>
                <w:rFonts w:ascii="Times New Roman" w:hAnsi="Times New Roman" w:cs="Times New Roman"/>
                <w:bCs/>
                <w:noProof/>
                <w:webHidden/>
                <w:sz w:val="24"/>
                <w:szCs w:val="24"/>
              </w:rPr>
              <w:fldChar w:fldCharType="end"/>
            </w:r>
          </w:hyperlink>
        </w:p>
        <w:p w14:paraId="2094C56F" w14:textId="5F7D7437" w:rsidR="00157390" w:rsidRPr="00157390" w:rsidRDefault="00152B1F" w:rsidP="00A419DB">
          <w:pPr>
            <w:pStyle w:val="12"/>
            <w:tabs>
              <w:tab w:val="right" w:leader="dot" w:pos="9736"/>
            </w:tabs>
            <w:suppressAutoHyphens/>
            <w:rPr>
              <w:rFonts w:ascii="Times New Roman" w:hAnsi="Times New Roman" w:cs="Times New Roman"/>
              <w:bCs/>
              <w:noProof/>
              <w:kern w:val="2"/>
              <w:sz w:val="24"/>
              <w:szCs w:val="24"/>
              <w14:ligatures w14:val="standardContextual"/>
            </w:rPr>
          </w:pPr>
          <w:hyperlink w:anchor="_Toc236138910" w:history="1">
            <w:r w:rsidR="00157390" w:rsidRPr="00157390">
              <w:rPr>
                <w:rStyle w:val="a6"/>
                <w:rFonts w:ascii="Times New Roman" w:hAnsi="Times New Roman" w:cs="Times New Roman"/>
                <w:bCs/>
                <w:noProof/>
                <w:sz w:val="24"/>
                <w:szCs w:val="24"/>
              </w:rPr>
              <w:t>Термины и определения</w:t>
            </w:r>
            <w:r w:rsidR="00157390" w:rsidRPr="00157390">
              <w:rPr>
                <w:rFonts w:ascii="Times New Roman" w:hAnsi="Times New Roman" w:cs="Times New Roman"/>
                <w:bCs/>
                <w:noProof/>
                <w:webHidden/>
                <w:sz w:val="24"/>
                <w:szCs w:val="24"/>
              </w:rPr>
              <w:tab/>
            </w:r>
            <w:r w:rsidR="00157390" w:rsidRPr="00157390">
              <w:rPr>
                <w:rFonts w:ascii="Times New Roman" w:hAnsi="Times New Roman" w:cs="Times New Roman"/>
                <w:bCs/>
                <w:noProof/>
                <w:webHidden/>
                <w:sz w:val="24"/>
                <w:szCs w:val="24"/>
              </w:rPr>
              <w:fldChar w:fldCharType="begin"/>
            </w:r>
            <w:r w:rsidR="00157390" w:rsidRPr="00157390">
              <w:rPr>
                <w:rFonts w:ascii="Times New Roman" w:hAnsi="Times New Roman" w:cs="Times New Roman"/>
                <w:bCs/>
                <w:noProof/>
                <w:webHidden/>
                <w:sz w:val="24"/>
                <w:szCs w:val="24"/>
              </w:rPr>
              <w:instrText xml:space="preserve"> PAGEREF _Toc236138910 \h </w:instrText>
            </w:r>
            <w:r w:rsidR="00157390" w:rsidRPr="00157390">
              <w:rPr>
                <w:rFonts w:ascii="Times New Roman" w:hAnsi="Times New Roman" w:cs="Times New Roman"/>
                <w:bCs/>
                <w:noProof/>
                <w:webHidden/>
                <w:sz w:val="24"/>
                <w:szCs w:val="24"/>
              </w:rPr>
            </w:r>
            <w:r w:rsidR="00157390" w:rsidRPr="00157390">
              <w:rPr>
                <w:rFonts w:ascii="Times New Roman" w:hAnsi="Times New Roman" w:cs="Times New Roman"/>
                <w:bCs/>
                <w:noProof/>
                <w:webHidden/>
                <w:sz w:val="24"/>
                <w:szCs w:val="24"/>
              </w:rPr>
              <w:fldChar w:fldCharType="separate"/>
            </w:r>
            <w:r w:rsidR="00C36A53">
              <w:rPr>
                <w:rFonts w:ascii="Times New Roman" w:hAnsi="Times New Roman" w:cs="Times New Roman"/>
                <w:bCs/>
                <w:noProof/>
                <w:webHidden/>
                <w:sz w:val="24"/>
                <w:szCs w:val="24"/>
              </w:rPr>
              <w:t>5</w:t>
            </w:r>
            <w:r w:rsidR="00157390" w:rsidRPr="00157390">
              <w:rPr>
                <w:rFonts w:ascii="Times New Roman" w:hAnsi="Times New Roman" w:cs="Times New Roman"/>
                <w:bCs/>
                <w:noProof/>
                <w:webHidden/>
                <w:sz w:val="24"/>
                <w:szCs w:val="24"/>
              </w:rPr>
              <w:fldChar w:fldCharType="end"/>
            </w:r>
          </w:hyperlink>
        </w:p>
        <w:p w14:paraId="06670154" w14:textId="570DDF83" w:rsidR="00157390" w:rsidRPr="00157390" w:rsidRDefault="00152B1F" w:rsidP="00A419DB">
          <w:pPr>
            <w:pStyle w:val="12"/>
            <w:tabs>
              <w:tab w:val="right" w:leader="dot" w:pos="9736"/>
            </w:tabs>
            <w:suppressAutoHyphens/>
            <w:rPr>
              <w:rFonts w:ascii="Times New Roman" w:hAnsi="Times New Roman" w:cs="Times New Roman"/>
              <w:bCs/>
              <w:noProof/>
              <w:kern w:val="2"/>
              <w:sz w:val="24"/>
              <w:szCs w:val="24"/>
              <w14:ligatures w14:val="standardContextual"/>
            </w:rPr>
          </w:pPr>
          <w:hyperlink w:anchor="_Toc236138911" w:history="1">
            <w:r w:rsidR="00157390" w:rsidRPr="00157390">
              <w:rPr>
                <w:rStyle w:val="a6"/>
                <w:rFonts w:ascii="Times New Roman" w:hAnsi="Times New Roman" w:cs="Times New Roman"/>
                <w:bCs/>
                <w:noProof/>
                <w:sz w:val="24"/>
                <w:szCs w:val="24"/>
              </w:rPr>
              <w:t>1. Краткая информация.</w:t>
            </w:r>
            <w:r w:rsidR="00157390" w:rsidRPr="00157390">
              <w:rPr>
                <w:rFonts w:ascii="Times New Roman" w:hAnsi="Times New Roman" w:cs="Times New Roman"/>
                <w:bCs/>
                <w:noProof/>
                <w:webHidden/>
                <w:sz w:val="24"/>
                <w:szCs w:val="24"/>
              </w:rPr>
              <w:tab/>
            </w:r>
            <w:r w:rsidR="00157390" w:rsidRPr="00157390">
              <w:rPr>
                <w:rFonts w:ascii="Times New Roman" w:hAnsi="Times New Roman" w:cs="Times New Roman"/>
                <w:bCs/>
                <w:noProof/>
                <w:webHidden/>
                <w:sz w:val="24"/>
                <w:szCs w:val="24"/>
              </w:rPr>
              <w:fldChar w:fldCharType="begin"/>
            </w:r>
            <w:r w:rsidR="00157390" w:rsidRPr="00157390">
              <w:rPr>
                <w:rFonts w:ascii="Times New Roman" w:hAnsi="Times New Roman" w:cs="Times New Roman"/>
                <w:bCs/>
                <w:noProof/>
                <w:webHidden/>
                <w:sz w:val="24"/>
                <w:szCs w:val="24"/>
              </w:rPr>
              <w:instrText xml:space="preserve"> PAGEREF _Toc236138911 \h </w:instrText>
            </w:r>
            <w:r w:rsidR="00157390" w:rsidRPr="00157390">
              <w:rPr>
                <w:rFonts w:ascii="Times New Roman" w:hAnsi="Times New Roman" w:cs="Times New Roman"/>
                <w:bCs/>
                <w:noProof/>
                <w:webHidden/>
                <w:sz w:val="24"/>
                <w:szCs w:val="24"/>
              </w:rPr>
            </w:r>
            <w:r w:rsidR="00157390" w:rsidRPr="00157390">
              <w:rPr>
                <w:rFonts w:ascii="Times New Roman" w:hAnsi="Times New Roman" w:cs="Times New Roman"/>
                <w:bCs/>
                <w:noProof/>
                <w:webHidden/>
                <w:sz w:val="24"/>
                <w:szCs w:val="24"/>
              </w:rPr>
              <w:fldChar w:fldCharType="separate"/>
            </w:r>
            <w:r w:rsidR="00C36A53">
              <w:rPr>
                <w:rFonts w:ascii="Times New Roman" w:hAnsi="Times New Roman" w:cs="Times New Roman"/>
                <w:bCs/>
                <w:noProof/>
                <w:webHidden/>
                <w:sz w:val="24"/>
                <w:szCs w:val="24"/>
              </w:rPr>
              <w:t>7</w:t>
            </w:r>
            <w:r w:rsidR="00157390" w:rsidRPr="00157390">
              <w:rPr>
                <w:rFonts w:ascii="Times New Roman" w:hAnsi="Times New Roman" w:cs="Times New Roman"/>
                <w:bCs/>
                <w:noProof/>
                <w:webHidden/>
                <w:sz w:val="24"/>
                <w:szCs w:val="24"/>
              </w:rPr>
              <w:fldChar w:fldCharType="end"/>
            </w:r>
          </w:hyperlink>
        </w:p>
        <w:p w14:paraId="38AAAA5D" w14:textId="34B93C15" w:rsidR="00157390" w:rsidRPr="00157390" w:rsidRDefault="00152B1F" w:rsidP="00A419DB">
          <w:pPr>
            <w:pStyle w:val="22"/>
            <w:tabs>
              <w:tab w:val="right" w:leader="dot" w:pos="9736"/>
            </w:tabs>
            <w:suppressAutoHyphens/>
            <w:rPr>
              <w:rFonts w:ascii="Times New Roman" w:hAnsi="Times New Roman" w:cs="Times New Roman"/>
              <w:bCs/>
              <w:noProof/>
              <w:kern w:val="2"/>
              <w:sz w:val="24"/>
              <w:szCs w:val="24"/>
              <w14:ligatures w14:val="standardContextual"/>
            </w:rPr>
          </w:pPr>
          <w:hyperlink w:anchor="_Toc236138912" w:history="1">
            <w:r w:rsidR="00157390" w:rsidRPr="00157390">
              <w:rPr>
                <w:rStyle w:val="a6"/>
                <w:rFonts w:ascii="Times New Roman" w:hAnsi="Times New Roman" w:cs="Times New Roman"/>
                <w:bCs/>
                <w:noProof/>
                <w:sz w:val="24"/>
                <w:szCs w:val="24"/>
              </w:rPr>
              <w:t>1.1. Определение.</w:t>
            </w:r>
            <w:r w:rsidR="00157390" w:rsidRPr="00157390">
              <w:rPr>
                <w:rFonts w:ascii="Times New Roman" w:hAnsi="Times New Roman" w:cs="Times New Roman"/>
                <w:bCs/>
                <w:noProof/>
                <w:webHidden/>
                <w:sz w:val="24"/>
                <w:szCs w:val="24"/>
              </w:rPr>
              <w:tab/>
            </w:r>
            <w:r w:rsidR="00157390" w:rsidRPr="00157390">
              <w:rPr>
                <w:rFonts w:ascii="Times New Roman" w:hAnsi="Times New Roman" w:cs="Times New Roman"/>
                <w:bCs/>
                <w:noProof/>
                <w:webHidden/>
                <w:sz w:val="24"/>
                <w:szCs w:val="24"/>
              </w:rPr>
              <w:fldChar w:fldCharType="begin"/>
            </w:r>
            <w:r w:rsidR="00157390" w:rsidRPr="00157390">
              <w:rPr>
                <w:rFonts w:ascii="Times New Roman" w:hAnsi="Times New Roman" w:cs="Times New Roman"/>
                <w:bCs/>
                <w:noProof/>
                <w:webHidden/>
                <w:sz w:val="24"/>
                <w:szCs w:val="24"/>
              </w:rPr>
              <w:instrText xml:space="preserve"> PAGEREF _Toc236138912 \h </w:instrText>
            </w:r>
            <w:r w:rsidR="00157390" w:rsidRPr="00157390">
              <w:rPr>
                <w:rFonts w:ascii="Times New Roman" w:hAnsi="Times New Roman" w:cs="Times New Roman"/>
                <w:bCs/>
                <w:noProof/>
                <w:webHidden/>
                <w:sz w:val="24"/>
                <w:szCs w:val="24"/>
              </w:rPr>
            </w:r>
            <w:r w:rsidR="00157390" w:rsidRPr="00157390">
              <w:rPr>
                <w:rFonts w:ascii="Times New Roman" w:hAnsi="Times New Roman" w:cs="Times New Roman"/>
                <w:bCs/>
                <w:noProof/>
                <w:webHidden/>
                <w:sz w:val="24"/>
                <w:szCs w:val="24"/>
              </w:rPr>
              <w:fldChar w:fldCharType="separate"/>
            </w:r>
            <w:r w:rsidR="00C36A53">
              <w:rPr>
                <w:rFonts w:ascii="Times New Roman" w:hAnsi="Times New Roman" w:cs="Times New Roman"/>
                <w:bCs/>
                <w:noProof/>
                <w:webHidden/>
                <w:sz w:val="24"/>
                <w:szCs w:val="24"/>
              </w:rPr>
              <w:t>7</w:t>
            </w:r>
            <w:r w:rsidR="00157390" w:rsidRPr="00157390">
              <w:rPr>
                <w:rFonts w:ascii="Times New Roman" w:hAnsi="Times New Roman" w:cs="Times New Roman"/>
                <w:bCs/>
                <w:noProof/>
                <w:webHidden/>
                <w:sz w:val="24"/>
                <w:szCs w:val="24"/>
              </w:rPr>
              <w:fldChar w:fldCharType="end"/>
            </w:r>
          </w:hyperlink>
        </w:p>
        <w:p w14:paraId="06568A21" w14:textId="18EB8D34" w:rsidR="00157390" w:rsidRPr="00157390" w:rsidRDefault="00152B1F" w:rsidP="00A419DB">
          <w:pPr>
            <w:pStyle w:val="22"/>
            <w:tabs>
              <w:tab w:val="right" w:leader="dot" w:pos="9736"/>
            </w:tabs>
            <w:suppressAutoHyphens/>
            <w:rPr>
              <w:rFonts w:ascii="Times New Roman" w:hAnsi="Times New Roman" w:cs="Times New Roman"/>
              <w:bCs/>
              <w:noProof/>
              <w:kern w:val="2"/>
              <w:sz w:val="24"/>
              <w:szCs w:val="24"/>
              <w14:ligatures w14:val="standardContextual"/>
            </w:rPr>
          </w:pPr>
          <w:hyperlink w:anchor="_Toc236138913" w:history="1">
            <w:r w:rsidR="00157390" w:rsidRPr="00157390">
              <w:rPr>
                <w:rStyle w:val="a6"/>
                <w:rFonts w:ascii="Times New Roman" w:hAnsi="Times New Roman" w:cs="Times New Roman"/>
                <w:bCs/>
                <w:noProof/>
                <w:sz w:val="24"/>
                <w:szCs w:val="24"/>
              </w:rPr>
              <w:t>1.2. Этиология и патогенез.</w:t>
            </w:r>
            <w:r w:rsidR="00157390" w:rsidRPr="00157390">
              <w:rPr>
                <w:rFonts w:ascii="Times New Roman" w:hAnsi="Times New Roman" w:cs="Times New Roman"/>
                <w:bCs/>
                <w:noProof/>
                <w:webHidden/>
                <w:sz w:val="24"/>
                <w:szCs w:val="24"/>
              </w:rPr>
              <w:tab/>
            </w:r>
            <w:r w:rsidR="00157390" w:rsidRPr="00157390">
              <w:rPr>
                <w:rFonts w:ascii="Times New Roman" w:hAnsi="Times New Roman" w:cs="Times New Roman"/>
                <w:bCs/>
                <w:noProof/>
                <w:webHidden/>
                <w:sz w:val="24"/>
                <w:szCs w:val="24"/>
              </w:rPr>
              <w:fldChar w:fldCharType="begin"/>
            </w:r>
            <w:r w:rsidR="00157390" w:rsidRPr="00157390">
              <w:rPr>
                <w:rFonts w:ascii="Times New Roman" w:hAnsi="Times New Roman" w:cs="Times New Roman"/>
                <w:bCs/>
                <w:noProof/>
                <w:webHidden/>
                <w:sz w:val="24"/>
                <w:szCs w:val="24"/>
              </w:rPr>
              <w:instrText xml:space="preserve"> PAGEREF _Toc236138913 \h </w:instrText>
            </w:r>
            <w:r w:rsidR="00157390" w:rsidRPr="00157390">
              <w:rPr>
                <w:rFonts w:ascii="Times New Roman" w:hAnsi="Times New Roman" w:cs="Times New Roman"/>
                <w:bCs/>
                <w:noProof/>
                <w:webHidden/>
                <w:sz w:val="24"/>
                <w:szCs w:val="24"/>
              </w:rPr>
            </w:r>
            <w:r w:rsidR="00157390" w:rsidRPr="00157390">
              <w:rPr>
                <w:rFonts w:ascii="Times New Roman" w:hAnsi="Times New Roman" w:cs="Times New Roman"/>
                <w:bCs/>
                <w:noProof/>
                <w:webHidden/>
                <w:sz w:val="24"/>
                <w:szCs w:val="24"/>
              </w:rPr>
              <w:fldChar w:fldCharType="separate"/>
            </w:r>
            <w:r w:rsidR="00C36A53">
              <w:rPr>
                <w:rFonts w:ascii="Times New Roman" w:hAnsi="Times New Roman" w:cs="Times New Roman"/>
                <w:bCs/>
                <w:noProof/>
                <w:webHidden/>
                <w:sz w:val="24"/>
                <w:szCs w:val="24"/>
              </w:rPr>
              <w:t>9</w:t>
            </w:r>
            <w:r w:rsidR="00157390" w:rsidRPr="00157390">
              <w:rPr>
                <w:rFonts w:ascii="Times New Roman" w:hAnsi="Times New Roman" w:cs="Times New Roman"/>
                <w:bCs/>
                <w:noProof/>
                <w:webHidden/>
                <w:sz w:val="24"/>
                <w:szCs w:val="24"/>
              </w:rPr>
              <w:fldChar w:fldCharType="end"/>
            </w:r>
          </w:hyperlink>
        </w:p>
        <w:p w14:paraId="40FDCD62" w14:textId="4D348152" w:rsidR="00157390" w:rsidRPr="00157390" w:rsidRDefault="00152B1F" w:rsidP="00A419DB">
          <w:pPr>
            <w:pStyle w:val="22"/>
            <w:tabs>
              <w:tab w:val="right" w:leader="dot" w:pos="9736"/>
            </w:tabs>
            <w:suppressAutoHyphens/>
            <w:rPr>
              <w:rFonts w:ascii="Times New Roman" w:hAnsi="Times New Roman" w:cs="Times New Roman"/>
              <w:bCs/>
              <w:noProof/>
              <w:kern w:val="2"/>
              <w:sz w:val="24"/>
              <w:szCs w:val="24"/>
              <w14:ligatures w14:val="standardContextual"/>
            </w:rPr>
          </w:pPr>
          <w:hyperlink w:anchor="_Toc236138914" w:history="1">
            <w:r w:rsidR="00157390" w:rsidRPr="00157390">
              <w:rPr>
                <w:rStyle w:val="a6"/>
                <w:rFonts w:ascii="Times New Roman" w:hAnsi="Times New Roman" w:cs="Times New Roman"/>
                <w:bCs/>
                <w:noProof/>
                <w:sz w:val="24"/>
                <w:szCs w:val="24"/>
              </w:rPr>
              <w:t>1.3. Эпидемиология.</w:t>
            </w:r>
            <w:r w:rsidR="00157390" w:rsidRPr="00157390">
              <w:rPr>
                <w:rFonts w:ascii="Times New Roman" w:hAnsi="Times New Roman" w:cs="Times New Roman"/>
                <w:bCs/>
                <w:noProof/>
                <w:webHidden/>
                <w:sz w:val="24"/>
                <w:szCs w:val="24"/>
              </w:rPr>
              <w:tab/>
            </w:r>
            <w:r w:rsidR="00157390" w:rsidRPr="00157390">
              <w:rPr>
                <w:rFonts w:ascii="Times New Roman" w:hAnsi="Times New Roman" w:cs="Times New Roman"/>
                <w:bCs/>
                <w:noProof/>
                <w:webHidden/>
                <w:sz w:val="24"/>
                <w:szCs w:val="24"/>
              </w:rPr>
              <w:fldChar w:fldCharType="begin"/>
            </w:r>
            <w:r w:rsidR="00157390" w:rsidRPr="00157390">
              <w:rPr>
                <w:rFonts w:ascii="Times New Roman" w:hAnsi="Times New Roman" w:cs="Times New Roman"/>
                <w:bCs/>
                <w:noProof/>
                <w:webHidden/>
                <w:sz w:val="24"/>
                <w:szCs w:val="24"/>
              </w:rPr>
              <w:instrText xml:space="preserve"> PAGEREF _Toc236138914 \h </w:instrText>
            </w:r>
            <w:r w:rsidR="00157390" w:rsidRPr="00157390">
              <w:rPr>
                <w:rFonts w:ascii="Times New Roman" w:hAnsi="Times New Roman" w:cs="Times New Roman"/>
                <w:bCs/>
                <w:noProof/>
                <w:webHidden/>
                <w:sz w:val="24"/>
                <w:szCs w:val="24"/>
              </w:rPr>
            </w:r>
            <w:r w:rsidR="00157390" w:rsidRPr="00157390">
              <w:rPr>
                <w:rFonts w:ascii="Times New Roman" w:hAnsi="Times New Roman" w:cs="Times New Roman"/>
                <w:bCs/>
                <w:noProof/>
                <w:webHidden/>
                <w:sz w:val="24"/>
                <w:szCs w:val="24"/>
              </w:rPr>
              <w:fldChar w:fldCharType="separate"/>
            </w:r>
            <w:r w:rsidR="00C36A53">
              <w:rPr>
                <w:rFonts w:ascii="Times New Roman" w:hAnsi="Times New Roman" w:cs="Times New Roman"/>
                <w:bCs/>
                <w:noProof/>
                <w:webHidden/>
                <w:sz w:val="24"/>
                <w:szCs w:val="24"/>
              </w:rPr>
              <w:t>10</w:t>
            </w:r>
            <w:r w:rsidR="00157390" w:rsidRPr="00157390">
              <w:rPr>
                <w:rFonts w:ascii="Times New Roman" w:hAnsi="Times New Roman" w:cs="Times New Roman"/>
                <w:bCs/>
                <w:noProof/>
                <w:webHidden/>
                <w:sz w:val="24"/>
                <w:szCs w:val="24"/>
              </w:rPr>
              <w:fldChar w:fldCharType="end"/>
            </w:r>
          </w:hyperlink>
        </w:p>
        <w:p w14:paraId="63BD07AF" w14:textId="66572140" w:rsidR="00157390" w:rsidRPr="00157390" w:rsidRDefault="00152B1F" w:rsidP="00A419DB">
          <w:pPr>
            <w:pStyle w:val="22"/>
            <w:tabs>
              <w:tab w:val="right" w:leader="dot" w:pos="9736"/>
            </w:tabs>
            <w:suppressAutoHyphens/>
            <w:rPr>
              <w:rFonts w:ascii="Times New Roman" w:hAnsi="Times New Roman" w:cs="Times New Roman"/>
              <w:bCs/>
              <w:noProof/>
              <w:kern w:val="2"/>
              <w:sz w:val="24"/>
              <w:szCs w:val="24"/>
              <w14:ligatures w14:val="standardContextual"/>
            </w:rPr>
          </w:pPr>
          <w:hyperlink w:anchor="_Toc236138915" w:history="1">
            <w:r w:rsidR="00157390" w:rsidRPr="00157390">
              <w:rPr>
                <w:rStyle w:val="a6"/>
                <w:rFonts w:ascii="Times New Roman" w:hAnsi="Times New Roman" w:cs="Times New Roman"/>
                <w:bCs/>
                <w:noProof/>
                <w:sz w:val="24"/>
                <w:szCs w:val="24"/>
              </w:rPr>
              <w:t>1.4. Кодирование по МКБ - 10.</w:t>
            </w:r>
            <w:r w:rsidR="00157390" w:rsidRPr="00157390">
              <w:rPr>
                <w:rFonts w:ascii="Times New Roman" w:hAnsi="Times New Roman" w:cs="Times New Roman"/>
                <w:bCs/>
                <w:noProof/>
                <w:webHidden/>
                <w:sz w:val="24"/>
                <w:szCs w:val="24"/>
              </w:rPr>
              <w:tab/>
            </w:r>
            <w:r w:rsidR="00157390" w:rsidRPr="00157390">
              <w:rPr>
                <w:rFonts w:ascii="Times New Roman" w:hAnsi="Times New Roman" w:cs="Times New Roman"/>
                <w:bCs/>
                <w:noProof/>
                <w:webHidden/>
                <w:sz w:val="24"/>
                <w:szCs w:val="24"/>
              </w:rPr>
              <w:fldChar w:fldCharType="begin"/>
            </w:r>
            <w:r w:rsidR="00157390" w:rsidRPr="00157390">
              <w:rPr>
                <w:rFonts w:ascii="Times New Roman" w:hAnsi="Times New Roman" w:cs="Times New Roman"/>
                <w:bCs/>
                <w:noProof/>
                <w:webHidden/>
                <w:sz w:val="24"/>
                <w:szCs w:val="24"/>
              </w:rPr>
              <w:instrText xml:space="preserve"> PAGEREF _Toc236138915 \h </w:instrText>
            </w:r>
            <w:r w:rsidR="00157390" w:rsidRPr="00157390">
              <w:rPr>
                <w:rFonts w:ascii="Times New Roman" w:hAnsi="Times New Roman" w:cs="Times New Roman"/>
                <w:bCs/>
                <w:noProof/>
                <w:webHidden/>
                <w:sz w:val="24"/>
                <w:szCs w:val="24"/>
              </w:rPr>
            </w:r>
            <w:r w:rsidR="00157390" w:rsidRPr="00157390">
              <w:rPr>
                <w:rFonts w:ascii="Times New Roman" w:hAnsi="Times New Roman" w:cs="Times New Roman"/>
                <w:bCs/>
                <w:noProof/>
                <w:webHidden/>
                <w:sz w:val="24"/>
                <w:szCs w:val="24"/>
              </w:rPr>
              <w:fldChar w:fldCharType="separate"/>
            </w:r>
            <w:r w:rsidR="00C36A53">
              <w:rPr>
                <w:rFonts w:ascii="Times New Roman" w:hAnsi="Times New Roman" w:cs="Times New Roman"/>
                <w:bCs/>
                <w:noProof/>
                <w:webHidden/>
                <w:sz w:val="24"/>
                <w:szCs w:val="24"/>
              </w:rPr>
              <w:t>11</w:t>
            </w:r>
            <w:r w:rsidR="00157390" w:rsidRPr="00157390">
              <w:rPr>
                <w:rFonts w:ascii="Times New Roman" w:hAnsi="Times New Roman" w:cs="Times New Roman"/>
                <w:bCs/>
                <w:noProof/>
                <w:webHidden/>
                <w:sz w:val="24"/>
                <w:szCs w:val="24"/>
              </w:rPr>
              <w:fldChar w:fldCharType="end"/>
            </w:r>
          </w:hyperlink>
        </w:p>
        <w:p w14:paraId="65DCB1AB" w14:textId="673D9946" w:rsidR="00157390" w:rsidRPr="00157390" w:rsidRDefault="00152B1F" w:rsidP="00A419DB">
          <w:pPr>
            <w:pStyle w:val="22"/>
            <w:tabs>
              <w:tab w:val="right" w:leader="dot" w:pos="9736"/>
            </w:tabs>
            <w:suppressAutoHyphens/>
            <w:rPr>
              <w:rFonts w:ascii="Times New Roman" w:hAnsi="Times New Roman" w:cs="Times New Roman"/>
              <w:bCs/>
              <w:noProof/>
              <w:kern w:val="2"/>
              <w:sz w:val="24"/>
              <w:szCs w:val="24"/>
              <w14:ligatures w14:val="standardContextual"/>
            </w:rPr>
          </w:pPr>
          <w:hyperlink w:anchor="_Toc236138916" w:history="1">
            <w:r w:rsidR="00157390" w:rsidRPr="00157390">
              <w:rPr>
                <w:rStyle w:val="a6"/>
                <w:rFonts w:ascii="Times New Roman" w:hAnsi="Times New Roman" w:cs="Times New Roman"/>
                <w:bCs/>
                <w:noProof/>
                <w:sz w:val="24"/>
                <w:szCs w:val="24"/>
              </w:rPr>
              <w:t>1.5. Классификация.</w:t>
            </w:r>
            <w:r w:rsidR="00157390" w:rsidRPr="00157390">
              <w:rPr>
                <w:rFonts w:ascii="Times New Roman" w:hAnsi="Times New Roman" w:cs="Times New Roman"/>
                <w:bCs/>
                <w:noProof/>
                <w:webHidden/>
                <w:sz w:val="24"/>
                <w:szCs w:val="24"/>
              </w:rPr>
              <w:tab/>
            </w:r>
            <w:r w:rsidR="00157390" w:rsidRPr="00157390">
              <w:rPr>
                <w:rFonts w:ascii="Times New Roman" w:hAnsi="Times New Roman" w:cs="Times New Roman"/>
                <w:bCs/>
                <w:noProof/>
                <w:webHidden/>
                <w:sz w:val="24"/>
                <w:szCs w:val="24"/>
              </w:rPr>
              <w:fldChar w:fldCharType="begin"/>
            </w:r>
            <w:r w:rsidR="00157390" w:rsidRPr="00157390">
              <w:rPr>
                <w:rFonts w:ascii="Times New Roman" w:hAnsi="Times New Roman" w:cs="Times New Roman"/>
                <w:bCs/>
                <w:noProof/>
                <w:webHidden/>
                <w:sz w:val="24"/>
                <w:szCs w:val="24"/>
              </w:rPr>
              <w:instrText xml:space="preserve"> PAGEREF _Toc236138916 \h </w:instrText>
            </w:r>
            <w:r w:rsidR="00157390" w:rsidRPr="00157390">
              <w:rPr>
                <w:rFonts w:ascii="Times New Roman" w:hAnsi="Times New Roman" w:cs="Times New Roman"/>
                <w:bCs/>
                <w:noProof/>
                <w:webHidden/>
                <w:sz w:val="24"/>
                <w:szCs w:val="24"/>
              </w:rPr>
            </w:r>
            <w:r w:rsidR="00157390" w:rsidRPr="00157390">
              <w:rPr>
                <w:rFonts w:ascii="Times New Roman" w:hAnsi="Times New Roman" w:cs="Times New Roman"/>
                <w:bCs/>
                <w:noProof/>
                <w:webHidden/>
                <w:sz w:val="24"/>
                <w:szCs w:val="24"/>
              </w:rPr>
              <w:fldChar w:fldCharType="separate"/>
            </w:r>
            <w:r w:rsidR="00C36A53">
              <w:rPr>
                <w:rFonts w:ascii="Times New Roman" w:hAnsi="Times New Roman" w:cs="Times New Roman"/>
                <w:bCs/>
                <w:noProof/>
                <w:webHidden/>
                <w:sz w:val="24"/>
                <w:szCs w:val="24"/>
              </w:rPr>
              <w:t>11</w:t>
            </w:r>
            <w:r w:rsidR="00157390" w:rsidRPr="00157390">
              <w:rPr>
                <w:rFonts w:ascii="Times New Roman" w:hAnsi="Times New Roman" w:cs="Times New Roman"/>
                <w:bCs/>
                <w:noProof/>
                <w:webHidden/>
                <w:sz w:val="24"/>
                <w:szCs w:val="24"/>
              </w:rPr>
              <w:fldChar w:fldCharType="end"/>
            </w:r>
          </w:hyperlink>
        </w:p>
        <w:p w14:paraId="5E98D8F1" w14:textId="3B3F5473" w:rsidR="00157390" w:rsidRPr="00157390" w:rsidRDefault="00152B1F" w:rsidP="00A419DB">
          <w:pPr>
            <w:pStyle w:val="22"/>
            <w:tabs>
              <w:tab w:val="right" w:leader="dot" w:pos="9736"/>
            </w:tabs>
            <w:suppressAutoHyphens/>
            <w:rPr>
              <w:rFonts w:ascii="Times New Roman" w:hAnsi="Times New Roman" w:cs="Times New Roman"/>
              <w:bCs/>
              <w:noProof/>
              <w:kern w:val="2"/>
              <w:sz w:val="24"/>
              <w:szCs w:val="24"/>
              <w14:ligatures w14:val="standardContextual"/>
            </w:rPr>
          </w:pPr>
          <w:hyperlink w:anchor="_Toc236138917" w:history="1">
            <w:r w:rsidR="00157390" w:rsidRPr="00157390">
              <w:rPr>
                <w:rStyle w:val="a6"/>
                <w:rFonts w:ascii="Times New Roman" w:hAnsi="Times New Roman" w:cs="Times New Roman"/>
                <w:bCs/>
                <w:noProof/>
                <w:sz w:val="24"/>
                <w:szCs w:val="24"/>
              </w:rPr>
              <w:t>1.6. Клиническая картина.</w:t>
            </w:r>
            <w:r w:rsidR="00157390" w:rsidRPr="00157390">
              <w:rPr>
                <w:rFonts w:ascii="Times New Roman" w:hAnsi="Times New Roman" w:cs="Times New Roman"/>
                <w:bCs/>
                <w:noProof/>
                <w:webHidden/>
                <w:sz w:val="24"/>
                <w:szCs w:val="24"/>
              </w:rPr>
              <w:tab/>
            </w:r>
            <w:r w:rsidR="00157390" w:rsidRPr="00157390">
              <w:rPr>
                <w:rFonts w:ascii="Times New Roman" w:hAnsi="Times New Roman" w:cs="Times New Roman"/>
                <w:bCs/>
                <w:noProof/>
                <w:webHidden/>
                <w:sz w:val="24"/>
                <w:szCs w:val="24"/>
              </w:rPr>
              <w:fldChar w:fldCharType="begin"/>
            </w:r>
            <w:r w:rsidR="00157390" w:rsidRPr="00157390">
              <w:rPr>
                <w:rFonts w:ascii="Times New Roman" w:hAnsi="Times New Roman" w:cs="Times New Roman"/>
                <w:bCs/>
                <w:noProof/>
                <w:webHidden/>
                <w:sz w:val="24"/>
                <w:szCs w:val="24"/>
              </w:rPr>
              <w:instrText xml:space="preserve"> PAGEREF _Toc236138917 \h </w:instrText>
            </w:r>
            <w:r w:rsidR="00157390" w:rsidRPr="00157390">
              <w:rPr>
                <w:rFonts w:ascii="Times New Roman" w:hAnsi="Times New Roman" w:cs="Times New Roman"/>
                <w:bCs/>
                <w:noProof/>
                <w:webHidden/>
                <w:sz w:val="24"/>
                <w:szCs w:val="24"/>
              </w:rPr>
            </w:r>
            <w:r w:rsidR="00157390" w:rsidRPr="00157390">
              <w:rPr>
                <w:rFonts w:ascii="Times New Roman" w:hAnsi="Times New Roman" w:cs="Times New Roman"/>
                <w:bCs/>
                <w:noProof/>
                <w:webHidden/>
                <w:sz w:val="24"/>
                <w:szCs w:val="24"/>
              </w:rPr>
              <w:fldChar w:fldCharType="separate"/>
            </w:r>
            <w:r w:rsidR="00C36A53">
              <w:rPr>
                <w:rFonts w:ascii="Times New Roman" w:hAnsi="Times New Roman" w:cs="Times New Roman"/>
                <w:bCs/>
                <w:noProof/>
                <w:webHidden/>
                <w:sz w:val="24"/>
                <w:szCs w:val="24"/>
              </w:rPr>
              <w:t>14</w:t>
            </w:r>
            <w:r w:rsidR="00157390" w:rsidRPr="00157390">
              <w:rPr>
                <w:rFonts w:ascii="Times New Roman" w:hAnsi="Times New Roman" w:cs="Times New Roman"/>
                <w:bCs/>
                <w:noProof/>
                <w:webHidden/>
                <w:sz w:val="24"/>
                <w:szCs w:val="24"/>
              </w:rPr>
              <w:fldChar w:fldCharType="end"/>
            </w:r>
          </w:hyperlink>
        </w:p>
        <w:p w14:paraId="28C77E01" w14:textId="0E440CF1" w:rsidR="00157390" w:rsidRPr="00157390" w:rsidRDefault="00152B1F" w:rsidP="00A419DB">
          <w:pPr>
            <w:pStyle w:val="12"/>
            <w:tabs>
              <w:tab w:val="right" w:leader="dot" w:pos="9736"/>
            </w:tabs>
            <w:suppressAutoHyphens/>
            <w:rPr>
              <w:rFonts w:ascii="Times New Roman" w:hAnsi="Times New Roman" w:cs="Times New Roman"/>
              <w:bCs/>
              <w:noProof/>
              <w:kern w:val="2"/>
              <w:sz w:val="24"/>
              <w:szCs w:val="24"/>
              <w14:ligatures w14:val="standardContextual"/>
            </w:rPr>
          </w:pPr>
          <w:hyperlink w:anchor="_Toc236138918" w:history="1">
            <w:r w:rsidR="00157390" w:rsidRPr="00157390">
              <w:rPr>
                <w:rStyle w:val="a6"/>
                <w:rFonts w:ascii="Times New Roman" w:hAnsi="Times New Roman" w:cs="Times New Roman"/>
                <w:bCs/>
                <w:noProof/>
                <w:sz w:val="24"/>
                <w:szCs w:val="24"/>
              </w:rPr>
              <w:t>2. Диагностика.</w:t>
            </w:r>
            <w:r w:rsidR="00157390" w:rsidRPr="00157390">
              <w:rPr>
                <w:rFonts w:ascii="Times New Roman" w:hAnsi="Times New Roman" w:cs="Times New Roman"/>
                <w:bCs/>
                <w:noProof/>
                <w:webHidden/>
                <w:sz w:val="24"/>
                <w:szCs w:val="24"/>
              </w:rPr>
              <w:tab/>
            </w:r>
            <w:r w:rsidR="00157390" w:rsidRPr="00157390">
              <w:rPr>
                <w:rFonts w:ascii="Times New Roman" w:hAnsi="Times New Roman" w:cs="Times New Roman"/>
                <w:bCs/>
                <w:noProof/>
                <w:webHidden/>
                <w:sz w:val="24"/>
                <w:szCs w:val="24"/>
              </w:rPr>
              <w:fldChar w:fldCharType="begin"/>
            </w:r>
            <w:r w:rsidR="00157390" w:rsidRPr="00157390">
              <w:rPr>
                <w:rFonts w:ascii="Times New Roman" w:hAnsi="Times New Roman" w:cs="Times New Roman"/>
                <w:bCs/>
                <w:noProof/>
                <w:webHidden/>
                <w:sz w:val="24"/>
                <w:szCs w:val="24"/>
              </w:rPr>
              <w:instrText xml:space="preserve"> PAGEREF _Toc236138918 \h </w:instrText>
            </w:r>
            <w:r w:rsidR="00157390" w:rsidRPr="00157390">
              <w:rPr>
                <w:rFonts w:ascii="Times New Roman" w:hAnsi="Times New Roman" w:cs="Times New Roman"/>
                <w:bCs/>
                <w:noProof/>
                <w:webHidden/>
                <w:sz w:val="24"/>
                <w:szCs w:val="24"/>
              </w:rPr>
            </w:r>
            <w:r w:rsidR="00157390" w:rsidRPr="00157390">
              <w:rPr>
                <w:rFonts w:ascii="Times New Roman" w:hAnsi="Times New Roman" w:cs="Times New Roman"/>
                <w:bCs/>
                <w:noProof/>
                <w:webHidden/>
                <w:sz w:val="24"/>
                <w:szCs w:val="24"/>
              </w:rPr>
              <w:fldChar w:fldCharType="separate"/>
            </w:r>
            <w:r w:rsidR="00C36A53">
              <w:rPr>
                <w:rFonts w:ascii="Times New Roman" w:hAnsi="Times New Roman" w:cs="Times New Roman"/>
                <w:bCs/>
                <w:noProof/>
                <w:webHidden/>
                <w:sz w:val="24"/>
                <w:szCs w:val="24"/>
              </w:rPr>
              <w:t>14</w:t>
            </w:r>
            <w:r w:rsidR="00157390" w:rsidRPr="00157390">
              <w:rPr>
                <w:rFonts w:ascii="Times New Roman" w:hAnsi="Times New Roman" w:cs="Times New Roman"/>
                <w:bCs/>
                <w:noProof/>
                <w:webHidden/>
                <w:sz w:val="24"/>
                <w:szCs w:val="24"/>
              </w:rPr>
              <w:fldChar w:fldCharType="end"/>
            </w:r>
          </w:hyperlink>
        </w:p>
        <w:p w14:paraId="0839A7C9" w14:textId="74D250C1" w:rsidR="00157390" w:rsidRPr="00157390" w:rsidRDefault="00152B1F" w:rsidP="00A419DB">
          <w:pPr>
            <w:pStyle w:val="22"/>
            <w:tabs>
              <w:tab w:val="right" w:leader="dot" w:pos="9736"/>
            </w:tabs>
            <w:suppressAutoHyphens/>
            <w:rPr>
              <w:rFonts w:ascii="Times New Roman" w:hAnsi="Times New Roman" w:cs="Times New Roman"/>
              <w:bCs/>
              <w:noProof/>
              <w:kern w:val="2"/>
              <w:sz w:val="24"/>
              <w:szCs w:val="24"/>
              <w14:ligatures w14:val="standardContextual"/>
            </w:rPr>
          </w:pPr>
          <w:hyperlink w:anchor="_Toc236138919" w:history="1">
            <w:r w:rsidR="00157390" w:rsidRPr="00157390">
              <w:rPr>
                <w:rStyle w:val="a6"/>
                <w:rFonts w:ascii="Times New Roman" w:hAnsi="Times New Roman" w:cs="Times New Roman"/>
                <w:bCs/>
                <w:noProof/>
                <w:sz w:val="24"/>
                <w:szCs w:val="24"/>
              </w:rPr>
              <w:t>2.1. Жалобы и анамнез</w:t>
            </w:r>
            <w:r w:rsidR="00157390" w:rsidRPr="00157390">
              <w:rPr>
                <w:rFonts w:ascii="Times New Roman" w:hAnsi="Times New Roman" w:cs="Times New Roman"/>
                <w:bCs/>
                <w:noProof/>
                <w:webHidden/>
                <w:sz w:val="24"/>
                <w:szCs w:val="24"/>
              </w:rPr>
              <w:tab/>
            </w:r>
            <w:r w:rsidR="00157390" w:rsidRPr="00157390">
              <w:rPr>
                <w:rFonts w:ascii="Times New Roman" w:hAnsi="Times New Roman" w:cs="Times New Roman"/>
                <w:bCs/>
                <w:noProof/>
                <w:webHidden/>
                <w:sz w:val="24"/>
                <w:szCs w:val="24"/>
              </w:rPr>
              <w:fldChar w:fldCharType="begin"/>
            </w:r>
            <w:r w:rsidR="00157390" w:rsidRPr="00157390">
              <w:rPr>
                <w:rFonts w:ascii="Times New Roman" w:hAnsi="Times New Roman" w:cs="Times New Roman"/>
                <w:bCs/>
                <w:noProof/>
                <w:webHidden/>
                <w:sz w:val="24"/>
                <w:szCs w:val="24"/>
              </w:rPr>
              <w:instrText xml:space="preserve"> PAGEREF _Toc236138919 \h </w:instrText>
            </w:r>
            <w:r w:rsidR="00157390" w:rsidRPr="00157390">
              <w:rPr>
                <w:rFonts w:ascii="Times New Roman" w:hAnsi="Times New Roman" w:cs="Times New Roman"/>
                <w:bCs/>
                <w:noProof/>
                <w:webHidden/>
                <w:sz w:val="24"/>
                <w:szCs w:val="24"/>
              </w:rPr>
            </w:r>
            <w:r w:rsidR="00157390" w:rsidRPr="00157390">
              <w:rPr>
                <w:rFonts w:ascii="Times New Roman" w:hAnsi="Times New Roman" w:cs="Times New Roman"/>
                <w:bCs/>
                <w:noProof/>
                <w:webHidden/>
                <w:sz w:val="24"/>
                <w:szCs w:val="24"/>
              </w:rPr>
              <w:fldChar w:fldCharType="separate"/>
            </w:r>
            <w:r w:rsidR="00C36A53">
              <w:rPr>
                <w:rFonts w:ascii="Times New Roman" w:hAnsi="Times New Roman" w:cs="Times New Roman"/>
                <w:bCs/>
                <w:noProof/>
                <w:webHidden/>
                <w:sz w:val="24"/>
                <w:szCs w:val="24"/>
              </w:rPr>
              <w:t>15</w:t>
            </w:r>
            <w:r w:rsidR="00157390" w:rsidRPr="00157390">
              <w:rPr>
                <w:rFonts w:ascii="Times New Roman" w:hAnsi="Times New Roman" w:cs="Times New Roman"/>
                <w:bCs/>
                <w:noProof/>
                <w:webHidden/>
                <w:sz w:val="24"/>
                <w:szCs w:val="24"/>
              </w:rPr>
              <w:fldChar w:fldCharType="end"/>
            </w:r>
          </w:hyperlink>
        </w:p>
        <w:p w14:paraId="26E67F12" w14:textId="0F44631D" w:rsidR="00157390" w:rsidRPr="00157390" w:rsidRDefault="00152B1F" w:rsidP="00A419DB">
          <w:pPr>
            <w:pStyle w:val="22"/>
            <w:tabs>
              <w:tab w:val="right" w:leader="dot" w:pos="9736"/>
            </w:tabs>
            <w:suppressAutoHyphens/>
            <w:rPr>
              <w:rFonts w:ascii="Times New Roman" w:hAnsi="Times New Roman" w:cs="Times New Roman"/>
              <w:bCs/>
              <w:noProof/>
              <w:kern w:val="2"/>
              <w:sz w:val="24"/>
              <w:szCs w:val="24"/>
              <w14:ligatures w14:val="standardContextual"/>
            </w:rPr>
          </w:pPr>
          <w:hyperlink w:anchor="_Toc236138920" w:history="1">
            <w:r w:rsidR="00157390" w:rsidRPr="00157390">
              <w:rPr>
                <w:rStyle w:val="a6"/>
                <w:rFonts w:ascii="Times New Roman" w:hAnsi="Times New Roman" w:cs="Times New Roman"/>
                <w:bCs/>
                <w:noProof/>
                <w:sz w:val="24"/>
                <w:szCs w:val="24"/>
              </w:rPr>
              <w:t>2.2. Физикальное обследование.</w:t>
            </w:r>
            <w:r w:rsidR="00157390" w:rsidRPr="00157390">
              <w:rPr>
                <w:rFonts w:ascii="Times New Roman" w:hAnsi="Times New Roman" w:cs="Times New Roman"/>
                <w:bCs/>
                <w:noProof/>
                <w:webHidden/>
                <w:sz w:val="24"/>
                <w:szCs w:val="24"/>
              </w:rPr>
              <w:tab/>
            </w:r>
            <w:r w:rsidR="00157390" w:rsidRPr="00157390">
              <w:rPr>
                <w:rFonts w:ascii="Times New Roman" w:hAnsi="Times New Roman" w:cs="Times New Roman"/>
                <w:bCs/>
                <w:noProof/>
                <w:webHidden/>
                <w:sz w:val="24"/>
                <w:szCs w:val="24"/>
              </w:rPr>
              <w:fldChar w:fldCharType="begin"/>
            </w:r>
            <w:r w:rsidR="00157390" w:rsidRPr="00157390">
              <w:rPr>
                <w:rFonts w:ascii="Times New Roman" w:hAnsi="Times New Roman" w:cs="Times New Roman"/>
                <w:bCs/>
                <w:noProof/>
                <w:webHidden/>
                <w:sz w:val="24"/>
                <w:szCs w:val="24"/>
              </w:rPr>
              <w:instrText xml:space="preserve"> PAGEREF _Toc236138920 \h </w:instrText>
            </w:r>
            <w:r w:rsidR="00157390" w:rsidRPr="00157390">
              <w:rPr>
                <w:rFonts w:ascii="Times New Roman" w:hAnsi="Times New Roman" w:cs="Times New Roman"/>
                <w:bCs/>
                <w:noProof/>
                <w:webHidden/>
                <w:sz w:val="24"/>
                <w:szCs w:val="24"/>
              </w:rPr>
            </w:r>
            <w:r w:rsidR="00157390" w:rsidRPr="00157390">
              <w:rPr>
                <w:rFonts w:ascii="Times New Roman" w:hAnsi="Times New Roman" w:cs="Times New Roman"/>
                <w:bCs/>
                <w:noProof/>
                <w:webHidden/>
                <w:sz w:val="24"/>
                <w:szCs w:val="24"/>
              </w:rPr>
              <w:fldChar w:fldCharType="separate"/>
            </w:r>
            <w:r w:rsidR="00C36A53">
              <w:rPr>
                <w:rFonts w:ascii="Times New Roman" w:hAnsi="Times New Roman" w:cs="Times New Roman"/>
                <w:bCs/>
                <w:noProof/>
                <w:webHidden/>
                <w:sz w:val="24"/>
                <w:szCs w:val="24"/>
              </w:rPr>
              <w:t>15</w:t>
            </w:r>
            <w:r w:rsidR="00157390" w:rsidRPr="00157390">
              <w:rPr>
                <w:rFonts w:ascii="Times New Roman" w:hAnsi="Times New Roman" w:cs="Times New Roman"/>
                <w:bCs/>
                <w:noProof/>
                <w:webHidden/>
                <w:sz w:val="24"/>
                <w:szCs w:val="24"/>
              </w:rPr>
              <w:fldChar w:fldCharType="end"/>
            </w:r>
          </w:hyperlink>
        </w:p>
        <w:p w14:paraId="73A5A017" w14:textId="6FC0306D" w:rsidR="00157390" w:rsidRPr="00157390" w:rsidRDefault="00152B1F" w:rsidP="00A419DB">
          <w:pPr>
            <w:pStyle w:val="22"/>
            <w:tabs>
              <w:tab w:val="right" w:leader="dot" w:pos="9736"/>
            </w:tabs>
            <w:suppressAutoHyphens/>
            <w:rPr>
              <w:rFonts w:ascii="Times New Roman" w:hAnsi="Times New Roman" w:cs="Times New Roman"/>
              <w:bCs/>
              <w:noProof/>
              <w:kern w:val="2"/>
              <w:sz w:val="24"/>
              <w:szCs w:val="24"/>
              <w14:ligatures w14:val="standardContextual"/>
            </w:rPr>
          </w:pPr>
          <w:hyperlink w:anchor="_Toc236138921" w:history="1">
            <w:r w:rsidR="00157390" w:rsidRPr="00157390">
              <w:rPr>
                <w:rStyle w:val="a6"/>
                <w:rFonts w:ascii="Times New Roman" w:hAnsi="Times New Roman" w:cs="Times New Roman"/>
                <w:bCs/>
                <w:noProof/>
                <w:sz w:val="24"/>
                <w:szCs w:val="24"/>
              </w:rPr>
              <w:t>2.3. Ла</w:t>
            </w:r>
            <w:r w:rsidR="00157390" w:rsidRPr="00545863">
              <w:rPr>
                <w:rStyle w:val="a6"/>
                <w:rFonts w:ascii="Times New Roman" w:hAnsi="Times New Roman" w:cs="Times New Roman"/>
                <w:bCs/>
                <w:noProof/>
                <w:sz w:val="24"/>
                <w:szCs w:val="24"/>
              </w:rPr>
              <w:t>бораторн</w:t>
            </w:r>
            <w:r w:rsidR="003A519E" w:rsidRPr="00545863">
              <w:rPr>
                <w:rStyle w:val="a6"/>
                <w:rFonts w:ascii="Times New Roman" w:hAnsi="Times New Roman" w:cs="Times New Roman"/>
                <w:bCs/>
                <w:noProof/>
                <w:sz w:val="24"/>
                <w:szCs w:val="24"/>
              </w:rPr>
              <w:t>ая диагностика</w:t>
            </w:r>
            <w:r w:rsidR="00157390" w:rsidRPr="00157390">
              <w:rPr>
                <w:rFonts w:ascii="Times New Roman" w:hAnsi="Times New Roman" w:cs="Times New Roman"/>
                <w:bCs/>
                <w:noProof/>
                <w:webHidden/>
                <w:sz w:val="24"/>
                <w:szCs w:val="24"/>
              </w:rPr>
              <w:tab/>
            </w:r>
            <w:r w:rsidR="00157390" w:rsidRPr="00157390">
              <w:rPr>
                <w:rFonts w:ascii="Times New Roman" w:hAnsi="Times New Roman" w:cs="Times New Roman"/>
                <w:bCs/>
                <w:noProof/>
                <w:webHidden/>
                <w:sz w:val="24"/>
                <w:szCs w:val="24"/>
              </w:rPr>
              <w:fldChar w:fldCharType="begin"/>
            </w:r>
            <w:r w:rsidR="00157390" w:rsidRPr="00157390">
              <w:rPr>
                <w:rFonts w:ascii="Times New Roman" w:hAnsi="Times New Roman" w:cs="Times New Roman"/>
                <w:bCs/>
                <w:noProof/>
                <w:webHidden/>
                <w:sz w:val="24"/>
                <w:szCs w:val="24"/>
              </w:rPr>
              <w:instrText xml:space="preserve"> PAGEREF _Toc236138921 \h </w:instrText>
            </w:r>
            <w:r w:rsidR="00157390" w:rsidRPr="00157390">
              <w:rPr>
                <w:rFonts w:ascii="Times New Roman" w:hAnsi="Times New Roman" w:cs="Times New Roman"/>
                <w:bCs/>
                <w:noProof/>
                <w:webHidden/>
                <w:sz w:val="24"/>
                <w:szCs w:val="24"/>
              </w:rPr>
            </w:r>
            <w:r w:rsidR="00157390" w:rsidRPr="00157390">
              <w:rPr>
                <w:rFonts w:ascii="Times New Roman" w:hAnsi="Times New Roman" w:cs="Times New Roman"/>
                <w:bCs/>
                <w:noProof/>
                <w:webHidden/>
                <w:sz w:val="24"/>
                <w:szCs w:val="24"/>
              </w:rPr>
              <w:fldChar w:fldCharType="separate"/>
            </w:r>
            <w:r w:rsidR="00C36A53">
              <w:rPr>
                <w:rFonts w:ascii="Times New Roman" w:hAnsi="Times New Roman" w:cs="Times New Roman"/>
                <w:bCs/>
                <w:noProof/>
                <w:webHidden/>
                <w:sz w:val="24"/>
                <w:szCs w:val="24"/>
              </w:rPr>
              <w:t>16</w:t>
            </w:r>
            <w:r w:rsidR="00157390" w:rsidRPr="00157390">
              <w:rPr>
                <w:rFonts w:ascii="Times New Roman" w:hAnsi="Times New Roman" w:cs="Times New Roman"/>
                <w:bCs/>
                <w:noProof/>
                <w:webHidden/>
                <w:sz w:val="24"/>
                <w:szCs w:val="24"/>
              </w:rPr>
              <w:fldChar w:fldCharType="end"/>
            </w:r>
          </w:hyperlink>
        </w:p>
        <w:p w14:paraId="33FB884B" w14:textId="5068EB7F" w:rsidR="00157390" w:rsidRPr="00157390" w:rsidRDefault="00152B1F" w:rsidP="00A419DB">
          <w:pPr>
            <w:pStyle w:val="22"/>
            <w:tabs>
              <w:tab w:val="right" w:leader="dot" w:pos="9736"/>
            </w:tabs>
            <w:suppressAutoHyphens/>
            <w:rPr>
              <w:rFonts w:ascii="Times New Roman" w:hAnsi="Times New Roman" w:cs="Times New Roman"/>
              <w:bCs/>
              <w:noProof/>
              <w:kern w:val="2"/>
              <w:sz w:val="24"/>
              <w:szCs w:val="24"/>
              <w14:ligatures w14:val="standardContextual"/>
            </w:rPr>
          </w:pPr>
          <w:hyperlink w:anchor="_Toc236138922" w:history="1">
            <w:r w:rsidR="00157390" w:rsidRPr="00157390">
              <w:rPr>
                <w:rStyle w:val="a6"/>
                <w:rFonts w:ascii="Times New Roman" w:hAnsi="Times New Roman" w:cs="Times New Roman"/>
                <w:bCs/>
                <w:noProof/>
                <w:sz w:val="24"/>
                <w:szCs w:val="24"/>
              </w:rPr>
              <w:t>2.4. Инструментальная диагностика.</w:t>
            </w:r>
            <w:r w:rsidR="00157390" w:rsidRPr="00157390">
              <w:rPr>
                <w:rFonts w:ascii="Times New Roman" w:hAnsi="Times New Roman" w:cs="Times New Roman"/>
                <w:bCs/>
                <w:noProof/>
                <w:webHidden/>
                <w:sz w:val="24"/>
                <w:szCs w:val="24"/>
              </w:rPr>
              <w:tab/>
            </w:r>
            <w:r w:rsidR="00157390" w:rsidRPr="00157390">
              <w:rPr>
                <w:rFonts w:ascii="Times New Roman" w:hAnsi="Times New Roman" w:cs="Times New Roman"/>
                <w:bCs/>
                <w:noProof/>
                <w:webHidden/>
                <w:sz w:val="24"/>
                <w:szCs w:val="24"/>
              </w:rPr>
              <w:fldChar w:fldCharType="begin"/>
            </w:r>
            <w:r w:rsidR="00157390" w:rsidRPr="00157390">
              <w:rPr>
                <w:rFonts w:ascii="Times New Roman" w:hAnsi="Times New Roman" w:cs="Times New Roman"/>
                <w:bCs/>
                <w:noProof/>
                <w:webHidden/>
                <w:sz w:val="24"/>
                <w:szCs w:val="24"/>
              </w:rPr>
              <w:instrText xml:space="preserve"> PAGEREF _Toc236138922 \h </w:instrText>
            </w:r>
            <w:r w:rsidR="00157390" w:rsidRPr="00157390">
              <w:rPr>
                <w:rFonts w:ascii="Times New Roman" w:hAnsi="Times New Roman" w:cs="Times New Roman"/>
                <w:bCs/>
                <w:noProof/>
                <w:webHidden/>
                <w:sz w:val="24"/>
                <w:szCs w:val="24"/>
              </w:rPr>
            </w:r>
            <w:r w:rsidR="00157390" w:rsidRPr="00157390">
              <w:rPr>
                <w:rFonts w:ascii="Times New Roman" w:hAnsi="Times New Roman" w:cs="Times New Roman"/>
                <w:bCs/>
                <w:noProof/>
                <w:webHidden/>
                <w:sz w:val="24"/>
                <w:szCs w:val="24"/>
              </w:rPr>
              <w:fldChar w:fldCharType="separate"/>
            </w:r>
            <w:r w:rsidR="00C36A53">
              <w:rPr>
                <w:rFonts w:ascii="Times New Roman" w:hAnsi="Times New Roman" w:cs="Times New Roman"/>
                <w:bCs/>
                <w:noProof/>
                <w:webHidden/>
                <w:sz w:val="24"/>
                <w:szCs w:val="24"/>
              </w:rPr>
              <w:t>18</w:t>
            </w:r>
            <w:r w:rsidR="00157390" w:rsidRPr="00157390">
              <w:rPr>
                <w:rFonts w:ascii="Times New Roman" w:hAnsi="Times New Roman" w:cs="Times New Roman"/>
                <w:bCs/>
                <w:noProof/>
                <w:webHidden/>
                <w:sz w:val="24"/>
                <w:szCs w:val="24"/>
              </w:rPr>
              <w:fldChar w:fldCharType="end"/>
            </w:r>
          </w:hyperlink>
        </w:p>
        <w:p w14:paraId="53A87B7D" w14:textId="547C0D4B" w:rsidR="00157390" w:rsidRPr="00157390" w:rsidRDefault="00152B1F" w:rsidP="00A419DB">
          <w:pPr>
            <w:pStyle w:val="22"/>
            <w:tabs>
              <w:tab w:val="right" w:leader="dot" w:pos="9736"/>
            </w:tabs>
            <w:suppressAutoHyphens/>
            <w:rPr>
              <w:rFonts w:ascii="Times New Roman" w:hAnsi="Times New Roman" w:cs="Times New Roman"/>
              <w:bCs/>
              <w:noProof/>
              <w:kern w:val="2"/>
              <w:sz w:val="24"/>
              <w:szCs w:val="24"/>
              <w14:ligatures w14:val="standardContextual"/>
            </w:rPr>
          </w:pPr>
          <w:hyperlink w:anchor="_Toc236138923" w:history="1">
            <w:r w:rsidR="00157390" w:rsidRPr="00157390">
              <w:rPr>
                <w:rStyle w:val="a6"/>
                <w:rFonts w:ascii="Times New Roman" w:hAnsi="Times New Roman" w:cs="Times New Roman"/>
                <w:bCs/>
                <w:noProof/>
                <w:sz w:val="24"/>
                <w:szCs w:val="24"/>
              </w:rPr>
              <w:t>2.5. Иная диагностика.</w:t>
            </w:r>
            <w:r w:rsidR="00157390" w:rsidRPr="00157390">
              <w:rPr>
                <w:rFonts w:ascii="Times New Roman" w:hAnsi="Times New Roman" w:cs="Times New Roman"/>
                <w:bCs/>
                <w:noProof/>
                <w:webHidden/>
                <w:sz w:val="24"/>
                <w:szCs w:val="24"/>
              </w:rPr>
              <w:tab/>
            </w:r>
            <w:r w:rsidR="00157390" w:rsidRPr="00157390">
              <w:rPr>
                <w:rFonts w:ascii="Times New Roman" w:hAnsi="Times New Roman" w:cs="Times New Roman"/>
                <w:bCs/>
                <w:noProof/>
                <w:webHidden/>
                <w:sz w:val="24"/>
                <w:szCs w:val="24"/>
              </w:rPr>
              <w:fldChar w:fldCharType="begin"/>
            </w:r>
            <w:r w:rsidR="00157390" w:rsidRPr="00157390">
              <w:rPr>
                <w:rFonts w:ascii="Times New Roman" w:hAnsi="Times New Roman" w:cs="Times New Roman"/>
                <w:bCs/>
                <w:noProof/>
                <w:webHidden/>
                <w:sz w:val="24"/>
                <w:szCs w:val="24"/>
              </w:rPr>
              <w:instrText xml:space="preserve"> PAGEREF _Toc236138923 \h </w:instrText>
            </w:r>
            <w:r w:rsidR="00157390" w:rsidRPr="00157390">
              <w:rPr>
                <w:rFonts w:ascii="Times New Roman" w:hAnsi="Times New Roman" w:cs="Times New Roman"/>
                <w:bCs/>
                <w:noProof/>
                <w:webHidden/>
                <w:sz w:val="24"/>
                <w:szCs w:val="24"/>
              </w:rPr>
            </w:r>
            <w:r w:rsidR="00157390" w:rsidRPr="00157390">
              <w:rPr>
                <w:rFonts w:ascii="Times New Roman" w:hAnsi="Times New Roman" w:cs="Times New Roman"/>
                <w:bCs/>
                <w:noProof/>
                <w:webHidden/>
                <w:sz w:val="24"/>
                <w:szCs w:val="24"/>
              </w:rPr>
              <w:fldChar w:fldCharType="separate"/>
            </w:r>
            <w:r w:rsidR="00C36A53">
              <w:rPr>
                <w:rFonts w:ascii="Times New Roman" w:hAnsi="Times New Roman" w:cs="Times New Roman"/>
                <w:bCs/>
                <w:noProof/>
                <w:webHidden/>
                <w:sz w:val="24"/>
                <w:szCs w:val="24"/>
              </w:rPr>
              <w:t>19</w:t>
            </w:r>
            <w:r w:rsidR="00157390" w:rsidRPr="00157390">
              <w:rPr>
                <w:rFonts w:ascii="Times New Roman" w:hAnsi="Times New Roman" w:cs="Times New Roman"/>
                <w:bCs/>
                <w:noProof/>
                <w:webHidden/>
                <w:sz w:val="24"/>
                <w:szCs w:val="24"/>
              </w:rPr>
              <w:fldChar w:fldCharType="end"/>
            </w:r>
          </w:hyperlink>
        </w:p>
        <w:p w14:paraId="019646E0" w14:textId="0915EFEC" w:rsidR="00157390" w:rsidRPr="00157390" w:rsidRDefault="00152B1F" w:rsidP="00A419DB">
          <w:pPr>
            <w:pStyle w:val="12"/>
            <w:tabs>
              <w:tab w:val="left" w:pos="440"/>
              <w:tab w:val="right" w:leader="dot" w:pos="9736"/>
            </w:tabs>
            <w:suppressAutoHyphens/>
            <w:rPr>
              <w:rFonts w:ascii="Times New Roman" w:hAnsi="Times New Roman" w:cs="Times New Roman"/>
              <w:bCs/>
              <w:noProof/>
              <w:kern w:val="2"/>
              <w:sz w:val="24"/>
              <w:szCs w:val="24"/>
              <w14:ligatures w14:val="standardContextual"/>
            </w:rPr>
          </w:pPr>
          <w:hyperlink w:anchor="_Toc236138924" w:history="1">
            <w:r w:rsidR="00157390" w:rsidRPr="00157390">
              <w:rPr>
                <w:rStyle w:val="a6"/>
                <w:rFonts w:ascii="Times New Roman" w:eastAsia="Calibri" w:hAnsi="Times New Roman" w:cs="Times New Roman"/>
                <w:bCs/>
                <w:noProof/>
                <w:sz w:val="24"/>
                <w:szCs w:val="24"/>
              </w:rPr>
              <w:t>3.</w:t>
            </w:r>
            <w:r w:rsidR="00157390" w:rsidRPr="00157390">
              <w:rPr>
                <w:rFonts w:ascii="Times New Roman" w:hAnsi="Times New Roman" w:cs="Times New Roman"/>
                <w:bCs/>
                <w:noProof/>
                <w:kern w:val="2"/>
                <w:sz w:val="24"/>
                <w:szCs w:val="24"/>
                <w14:ligatures w14:val="standardContextual"/>
              </w:rPr>
              <w:tab/>
            </w:r>
            <w:r w:rsidR="00157390" w:rsidRPr="00157390">
              <w:rPr>
                <w:rStyle w:val="a6"/>
                <w:rFonts w:ascii="Times New Roman" w:eastAsia="Calibri" w:hAnsi="Times New Roman" w:cs="Times New Roman"/>
                <w:bCs/>
                <w:noProof/>
                <w:sz w:val="24"/>
                <w:szCs w:val="24"/>
              </w:rPr>
              <w:t>Лечение.</w:t>
            </w:r>
            <w:r w:rsidR="00157390" w:rsidRPr="00157390">
              <w:rPr>
                <w:rFonts w:ascii="Times New Roman" w:hAnsi="Times New Roman" w:cs="Times New Roman"/>
                <w:bCs/>
                <w:noProof/>
                <w:webHidden/>
                <w:sz w:val="24"/>
                <w:szCs w:val="24"/>
              </w:rPr>
              <w:tab/>
            </w:r>
            <w:r w:rsidR="00157390" w:rsidRPr="00157390">
              <w:rPr>
                <w:rFonts w:ascii="Times New Roman" w:hAnsi="Times New Roman" w:cs="Times New Roman"/>
                <w:bCs/>
                <w:noProof/>
                <w:webHidden/>
                <w:sz w:val="24"/>
                <w:szCs w:val="24"/>
              </w:rPr>
              <w:fldChar w:fldCharType="begin"/>
            </w:r>
            <w:r w:rsidR="00157390" w:rsidRPr="00157390">
              <w:rPr>
                <w:rFonts w:ascii="Times New Roman" w:hAnsi="Times New Roman" w:cs="Times New Roman"/>
                <w:bCs/>
                <w:noProof/>
                <w:webHidden/>
                <w:sz w:val="24"/>
                <w:szCs w:val="24"/>
              </w:rPr>
              <w:instrText xml:space="preserve"> PAGEREF _Toc236138924 \h </w:instrText>
            </w:r>
            <w:r w:rsidR="00157390" w:rsidRPr="00157390">
              <w:rPr>
                <w:rFonts w:ascii="Times New Roman" w:hAnsi="Times New Roman" w:cs="Times New Roman"/>
                <w:bCs/>
                <w:noProof/>
                <w:webHidden/>
                <w:sz w:val="24"/>
                <w:szCs w:val="24"/>
              </w:rPr>
            </w:r>
            <w:r w:rsidR="00157390" w:rsidRPr="00157390">
              <w:rPr>
                <w:rFonts w:ascii="Times New Roman" w:hAnsi="Times New Roman" w:cs="Times New Roman"/>
                <w:bCs/>
                <w:noProof/>
                <w:webHidden/>
                <w:sz w:val="24"/>
                <w:szCs w:val="24"/>
              </w:rPr>
              <w:fldChar w:fldCharType="separate"/>
            </w:r>
            <w:r w:rsidR="00C36A53">
              <w:rPr>
                <w:rFonts w:ascii="Times New Roman" w:hAnsi="Times New Roman" w:cs="Times New Roman"/>
                <w:bCs/>
                <w:noProof/>
                <w:webHidden/>
                <w:sz w:val="24"/>
                <w:szCs w:val="24"/>
              </w:rPr>
              <w:t>19</w:t>
            </w:r>
            <w:r w:rsidR="00157390" w:rsidRPr="00157390">
              <w:rPr>
                <w:rFonts w:ascii="Times New Roman" w:hAnsi="Times New Roman" w:cs="Times New Roman"/>
                <w:bCs/>
                <w:noProof/>
                <w:webHidden/>
                <w:sz w:val="24"/>
                <w:szCs w:val="24"/>
              </w:rPr>
              <w:fldChar w:fldCharType="end"/>
            </w:r>
          </w:hyperlink>
        </w:p>
        <w:p w14:paraId="2894BBDE" w14:textId="4ADC9899" w:rsidR="00157390" w:rsidRPr="00157390" w:rsidRDefault="00152B1F" w:rsidP="00A419DB">
          <w:pPr>
            <w:pStyle w:val="22"/>
            <w:tabs>
              <w:tab w:val="right" w:leader="dot" w:pos="9736"/>
            </w:tabs>
            <w:suppressAutoHyphens/>
            <w:rPr>
              <w:rFonts w:ascii="Times New Roman" w:hAnsi="Times New Roman" w:cs="Times New Roman"/>
              <w:bCs/>
              <w:noProof/>
              <w:kern w:val="2"/>
              <w:sz w:val="24"/>
              <w:szCs w:val="24"/>
              <w14:ligatures w14:val="standardContextual"/>
            </w:rPr>
          </w:pPr>
          <w:hyperlink w:anchor="_Toc236138925" w:history="1">
            <w:r w:rsidR="00157390" w:rsidRPr="00157390">
              <w:rPr>
                <w:rStyle w:val="a6"/>
                <w:rFonts w:ascii="Times New Roman" w:eastAsia="Calibri" w:hAnsi="Times New Roman" w:cs="Times New Roman"/>
                <w:bCs/>
                <w:iCs/>
                <w:noProof/>
                <w:sz w:val="24"/>
                <w:szCs w:val="24"/>
              </w:rPr>
              <w:t>3.1. Консервативное лечение.</w:t>
            </w:r>
            <w:r w:rsidR="00157390" w:rsidRPr="00157390">
              <w:rPr>
                <w:rFonts w:ascii="Times New Roman" w:hAnsi="Times New Roman" w:cs="Times New Roman"/>
                <w:bCs/>
                <w:noProof/>
                <w:webHidden/>
                <w:sz w:val="24"/>
                <w:szCs w:val="24"/>
              </w:rPr>
              <w:tab/>
            </w:r>
            <w:r w:rsidR="00157390" w:rsidRPr="00157390">
              <w:rPr>
                <w:rFonts w:ascii="Times New Roman" w:hAnsi="Times New Roman" w:cs="Times New Roman"/>
                <w:bCs/>
                <w:noProof/>
                <w:webHidden/>
                <w:sz w:val="24"/>
                <w:szCs w:val="24"/>
              </w:rPr>
              <w:fldChar w:fldCharType="begin"/>
            </w:r>
            <w:r w:rsidR="00157390" w:rsidRPr="00157390">
              <w:rPr>
                <w:rFonts w:ascii="Times New Roman" w:hAnsi="Times New Roman" w:cs="Times New Roman"/>
                <w:bCs/>
                <w:noProof/>
                <w:webHidden/>
                <w:sz w:val="24"/>
                <w:szCs w:val="24"/>
              </w:rPr>
              <w:instrText xml:space="preserve"> PAGEREF _Toc236138925 \h </w:instrText>
            </w:r>
            <w:r w:rsidR="00157390" w:rsidRPr="00157390">
              <w:rPr>
                <w:rFonts w:ascii="Times New Roman" w:hAnsi="Times New Roman" w:cs="Times New Roman"/>
                <w:bCs/>
                <w:noProof/>
                <w:webHidden/>
                <w:sz w:val="24"/>
                <w:szCs w:val="24"/>
              </w:rPr>
            </w:r>
            <w:r w:rsidR="00157390" w:rsidRPr="00157390">
              <w:rPr>
                <w:rFonts w:ascii="Times New Roman" w:hAnsi="Times New Roman" w:cs="Times New Roman"/>
                <w:bCs/>
                <w:noProof/>
                <w:webHidden/>
                <w:sz w:val="24"/>
                <w:szCs w:val="24"/>
              </w:rPr>
              <w:fldChar w:fldCharType="separate"/>
            </w:r>
            <w:r w:rsidR="00C36A53">
              <w:rPr>
                <w:rFonts w:ascii="Times New Roman" w:hAnsi="Times New Roman" w:cs="Times New Roman"/>
                <w:bCs/>
                <w:noProof/>
                <w:webHidden/>
                <w:sz w:val="24"/>
                <w:szCs w:val="24"/>
              </w:rPr>
              <w:t>20</w:t>
            </w:r>
            <w:r w:rsidR="00157390" w:rsidRPr="00157390">
              <w:rPr>
                <w:rFonts w:ascii="Times New Roman" w:hAnsi="Times New Roman" w:cs="Times New Roman"/>
                <w:bCs/>
                <w:noProof/>
                <w:webHidden/>
                <w:sz w:val="24"/>
                <w:szCs w:val="24"/>
              </w:rPr>
              <w:fldChar w:fldCharType="end"/>
            </w:r>
          </w:hyperlink>
        </w:p>
        <w:p w14:paraId="1057A060" w14:textId="3DB4A1B0" w:rsidR="00157390" w:rsidRPr="00157390" w:rsidRDefault="00152B1F" w:rsidP="00A419DB">
          <w:pPr>
            <w:pStyle w:val="22"/>
            <w:tabs>
              <w:tab w:val="right" w:leader="dot" w:pos="9736"/>
            </w:tabs>
            <w:suppressAutoHyphens/>
            <w:rPr>
              <w:rFonts w:ascii="Times New Roman" w:hAnsi="Times New Roman" w:cs="Times New Roman"/>
              <w:bCs/>
              <w:noProof/>
              <w:kern w:val="2"/>
              <w:sz w:val="24"/>
              <w:szCs w:val="24"/>
              <w14:ligatures w14:val="standardContextual"/>
            </w:rPr>
          </w:pPr>
          <w:hyperlink w:anchor="_Toc236138938" w:history="1">
            <w:r w:rsidR="00157390" w:rsidRPr="00157390">
              <w:rPr>
                <w:rStyle w:val="a6"/>
                <w:rFonts w:ascii="Times New Roman" w:eastAsia="Calibri" w:hAnsi="Times New Roman" w:cs="Times New Roman"/>
                <w:bCs/>
                <w:noProof/>
                <w:sz w:val="24"/>
                <w:szCs w:val="24"/>
              </w:rPr>
              <w:t>3.2 Хирургическое лечение</w:t>
            </w:r>
            <w:r w:rsidR="00157390" w:rsidRPr="00157390">
              <w:rPr>
                <w:rFonts w:ascii="Times New Roman" w:hAnsi="Times New Roman" w:cs="Times New Roman"/>
                <w:bCs/>
                <w:noProof/>
                <w:webHidden/>
                <w:sz w:val="24"/>
                <w:szCs w:val="24"/>
              </w:rPr>
              <w:tab/>
            </w:r>
            <w:r w:rsidR="00157390" w:rsidRPr="00157390">
              <w:rPr>
                <w:rFonts w:ascii="Times New Roman" w:hAnsi="Times New Roman" w:cs="Times New Roman"/>
                <w:bCs/>
                <w:noProof/>
                <w:webHidden/>
                <w:sz w:val="24"/>
                <w:szCs w:val="24"/>
              </w:rPr>
              <w:fldChar w:fldCharType="begin"/>
            </w:r>
            <w:r w:rsidR="00157390" w:rsidRPr="00157390">
              <w:rPr>
                <w:rFonts w:ascii="Times New Roman" w:hAnsi="Times New Roman" w:cs="Times New Roman"/>
                <w:bCs/>
                <w:noProof/>
                <w:webHidden/>
                <w:sz w:val="24"/>
                <w:szCs w:val="24"/>
              </w:rPr>
              <w:instrText xml:space="preserve"> PAGEREF _Toc236138938 \h </w:instrText>
            </w:r>
            <w:r w:rsidR="00157390" w:rsidRPr="00157390">
              <w:rPr>
                <w:rFonts w:ascii="Times New Roman" w:hAnsi="Times New Roman" w:cs="Times New Roman"/>
                <w:bCs/>
                <w:noProof/>
                <w:webHidden/>
                <w:sz w:val="24"/>
                <w:szCs w:val="24"/>
              </w:rPr>
            </w:r>
            <w:r w:rsidR="00157390" w:rsidRPr="00157390">
              <w:rPr>
                <w:rFonts w:ascii="Times New Roman" w:hAnsi="Times New Roman" w:cs="Times New Roman"/>
                <w:bCs/>
                <w:noProof/>
                <w:webHidden/>
                <w:sz w:val="24"/>
                <w:szCs w:val="24"/>
              </w:rPr>
              <w:fldChar w:fldCharType="separate"/>
            </w:r>
            <w:r w:rsidR="00C36A53">
              <w:rPr>
                <w:rFonts w:ascii="Times New Roman" w:hAnsi="Times New Roman" w:cs="Times New Roman"/>
                <w:bCs/>
                <w:noProof/>
                <w:webHidden/>
                <w:sz w:val="24"/>
                <w:szCs w:val="24"/>
              </w:rPr>
              <w:t>42</w:t>
            </w:r>
            <w:r w:rsidR="00157390" w:rsidRPr="00157390">
              <w:rPr>
                <w:rFonts w:ascii="Times New Roman" w:hAnsi="Times New Roman" w:cs="Times New Roman"/>
                <w:bCs/>
                <w:noProof/>
                <w:webHidden/>
                <w:sz w:val="24"/>
                <w:szCs w:val="24"/>
              </w:rPr>
              <w:fldChar w:fldCharType="end"/>
            </w:r>
          </w:hyperlink>
        </w:p>
        <w:p w14:paraId="323A90E0" w14:textId="119A44A9" w:rsidR="00157390" w:rsidRPr="00157390" w:rsidRDefault="00152B1F" w:rsidP="00A419DB">
          <w:pPr>
            <w:pStyle w:val="22"/>
            <w:tabs>
              <w:tab w:val="right" w:leader="dot" w:pos="9736"/>
            </w:tabs>
            <w:suppressAutoHyphens/>
            <w:rPr>
              <w:rFonts w:ascii="Times New Roman" w:hAnsi="Times New Roman" w:cs="Times New Roman"/>
              <w:bCs/>
              <w:noProof/>
              <w:kern w:val="2"/>
              <w:sz w:val="24"/>
              <w:szCs w:val="24"/>
              <w14:ligatures w14:val="standardContextual"/>
            </w:rPr>
          </w:pPr>
          <w:hyperlink w:anchor="_Toc236138945" w:history="1">
            <w:r w:rsidR="00157390" w:rsidRPr="00157390">
              <w:rPr>
                <w:rStyle w:val="a6"/>
                <w:rFonts w:ascii="Times New Roman" w:eastAsia="Calibri" w:hAnsi="Times New Roman" w:cs="Times New Roman"/>
                <w:bCs/>
                <w:iCs/>
                <w:noProof/>
                <w:sz w:val="24"/>
                <w:szCs w:val="24"/>
              </w:rPr>
              <w:t>3.3 Иное лечение.</w:t>
            </w:r>
            <w:r w:rsidR="00157390" w:rsidRPr="00157390">
              <w:rPr>
                <w:rFonts w:ascii="Times New Roman" w:hAnsi="Times New Roman" w:cs="Times New Roman"/>
                <w:bCs/>
                <w:noProof/>
                <w:webHidden/>
                <w:sz w:val="24"/>
                <w:szCs w:val="24"/>
              </w:rPr>
              <w:tab/>
            </w:r>
            <w:r w:rsidR="00157390" w:rsidRPr="00157390">
              <w:rPr>
                <w:rFonts w:ascii="Times New Roman" w:hAnsi="Times New Roman" w:cs="Times New Roman"/>
                <w:bCs/>
                <w:noProof/>
                <w:webHidden/>
                <w:sz w:val="24"/>
                <w:szCs w:val="24"/>
              </w:rPr>
              <w:fldChar w:fldCharType="begin"/>
            </w:r>
            <w:r w:rsidR="00157390" w:rsidRPr="00157390">
              <w:rPr>
                <w:rFonts w:ascii="Times New Roman" w:hAnsi="Times New Roman" w:cs="Times New Roman"/>
                <w:bCs/>
                <w:noProof/>
                <w:webHidden/>
                <w:sz w:val="24"/>
                <w:szCs w:val="24"/>
              </w:rPr>
              <w:instrText xml:space="preserve"> PAGEREF _Toc236138945 \h </w:instrText>
            </w:r>
            <w:r w:rsidR="00157390" w:rsidRPr="00157390">
              <w:rPr>
                <w:rFonts w:ascii="Times New Roman" w:hAnsi="Times New Roman" w:cs="Times New Roman"/>
                <w:bCs/>
                <w:noProof/>
                <w:webHidden/>
                <w:sz w:val="24"/>
                <w:szCs w:val="24"/>
              </w:rPr>
            </w:r>
            <w:r w:rsidR="00157390" w:rsidRPr="00157390">
              <w:rPr>
                <w:rFonts w:ascii="Times New Roman" w:hAnsi="Times New Roman" w:cs="Times New Roman"/>
                <w:bCs/>
                <w:noProof/>
                <w:webHidden/>
                <w:sz w:val="24"/>
                <w:szCs w:val="24"/>
              </w:rPr>
              <w:fldChar w:fldCharType="separate"/>
            </w:r>
            <w:r w:rsidR="00C36A53">
              <w:rPr>
                <w:rFonts w:ascii="Times New Roman" w:hAnsi="Times New Roman" w:cs="Times New Roman"/>
                <w:bCs/>
                <w:noProof/>
                <w:webHidden/>
                <w:sz w:val="24"/>
                <w:szCs w:val="24"/>
              </w:rPr>
              <w:t>50</w:t>
            </w:r>
            <w:r w:rsidR="00157390" w:rsidRPr="00157390">
              <w:rPr>
                <w:rFonts w:ascii="Times New Roman" w:hAnsi="Times New Roman" w:cs="Times New Roman"/>
                <w:bCs/>
                <w:noProof/>
                <w:webHidden/>
                <w:sz w:val="24"/>
                <w:szCs w:val="24"/>
              </w:rPr>
              <w:fldChar w:fldCharType="end"/>
            </w:r>
          </w:hyperlink>
        </w:p>
        <w:p w14:paraId="0BD49F92" w14:textId="4AD8841D" w:rsidR="00157390" w:rsidRPr="00157390" w:rsidRDefault="00152B1F" w:rsidP="00A419DB">
          <w:pPr>
            <w:pStyle w:val="12"/>
            <w:tabs>
              <w:tab w:val="left" w:pos="440"/>
              <w:tab w:val="right" w:leader="dot" w:pos="9736"/>
            </w:tabs>
            <w:suppressAutoHyphens/>
            <w:rPr>
              <w:rFonts w:ascii="Times New Roman" w:hAnsi="Times New Roman" w:cs="Times New Roman"/>
              <w:bCs/>
              <w:noProof/>
              <w:kern w:val="2"/>
              <w:sz w:val="24"/>
              <w:szCs w:val="24"/>
              <w14:ligatures w14:val="standardContextual"/>
            </w:rPr>
          </w:pPr>
          <w:hyperlink w:anchor="_Toc236138958" w:history="1">
            <w:r w:rsidR="00157390" w:rsidRPr="00157390">
              <w:rPr>
                <w:rStyle w:val="a6"/>
                <w:rFonts w:ascii="Times New Roman" w:hAnsi="Times New Roman" w:cs="Times New Roman"/>
                <w:bCs/>
                <w:noProof/>
                <w:sz w:val="24"/>
                <w:szCs w:val="24"/>
              </w:rPr>
              <w:t>4.</w:t>
            </w:r>
            <w:r w:rsidR="00157390" w:rsidRPr="00157390">
              <w:rPr>
                <w:rFonts w:ascii="Times New Roman" w:hAnsi="Times New Roman" w:cs="Times New Roman"/>
                <w:bCs/>
                <w:noProof/>
                <w:kern w:val="2"/>
                <w:sz w:val="24"/>
                <w:szCs w:val="24"/>
                <w14:ligatures w14:val="standardContextual"/>
              </w:rPr>
              <w:tab/>
            </w:r>
            <w:r w:rsidR="00157390" w:rsidRPr="00157390">
              <w:rPr>
                <w:rStyle w:val="a6"/>
                <w:rFonts w:ascii="Times New Roman" w:hAnsi="Times New Roman" w:cs="Times New Roman"/>
                <w:bCs/>
                <w:noProof/>
                <w:sz w:val="24"/>
                <w:szCs w:val="24"/>
              </w:rPr>
              <w:t>Реабилитация.</w:t>
            </w:r>
            <w:r w:rsidR="00157390" w:rsidRPr="00157390">
              <w:rPr>
                <w:rFonts w:ascii="Times New Roman" w:hAnsi="Times New Roman" w:cs="Times New Roman"/>
                <w:bCs/>
                <w:noProof/>
                <w:webHidden/>
                <w:sz w:val="24"/>
                <w:szCs w:val="24"/>
              </w:rPr>
              <w:tab/>
            </w:r>
            <w:r w:rsidR="00157390" w:rsidRPr="00157390">
              <w:rPr>
                <w:rFonts w:ascii="Times New Roman" w:hAnsi="Times New Roman" w:cs="Times New Roman"/>
                <w:bCs/>
                <w:noProof/>
                <w:webHidden/>
                <w:sz w:val="24"/>
                <w:szCs w:val="24"/>
              </w:rPr>
              <w:fldChar w:fldCharType="begin"/>
            </w:r>
            <w:r w:rsidR="00157390" w:rsidRPr="00157390">
              <w:rPr>
                <w:rFonts w:ascii="Times New Roman" w:hAnsi="Times New Roman" w:cs="Times New Roman"/>
                <w:bCs/>
                <w:noProof/>
                <w:webHidden/>
                <w:sz w:val="24"/>
                <w:szCs w:val="24"/>
              </w:rPr>
              <w:instrText xml:space="preserve"> PAGEREF _Toc236138958 \h </w:instrText>
            </w:r>
            <w:r w:rsidR="00157390" w:rsidRPr="00157390">
              <w:rPr>
                <w:rFonts w:ascii="Times New Roman" w:hAnsi="Times New Roman" w:cs="Times New Roman"/>
                <w:bCs/>
                <w:noProof/>
                <w:webHidden/>
                <w:sz w:val="24"/>
                <w:szCs w:val="24"/>
              </w:rPr>
            </w:r>
            <w:r w:rsidR="00157390" w:rsidRPr="00157390">
              <w:rPr>
                <w:rFonts w:ascii="Times New Roman" w:hAnsi="Times New Roman" w:cs="Times New Roman"/>
                <w:bCs/>
                <w:noProof/>
                <w:webHidden/>
                <w:sz w:val="24"/>
                <w:szCs w:val="24"/>
              </w:rPr>
              <w:fldChar w:fldCharType="separate"/>
            </w:r>
            <w:r w:rsidR="00C36A53">
              <w:rPr>
                <w:rFonts w:ascii="Times New Roman" w:hAnsi="Times New Roman" w:cs="Times New Roman"/>
                <w:bCs/>
                <w:noProof/>
                <w:webHidden/>
                <w:sz w:val="24"/>
                <w:szCs w:val="24"/>
              </w:rPr>
              <w:t>65</w:t>
            </w:r>
            <w:r w:rsidR="00157390" w:rsidRPr="00157390">
              <w:rPr>
                <w:rFonts w:ascii="Times New Roman" w:hAnsi="Times New Roman" w:cs="Times New Roman"/>
                <w:bCs/>
                <w:noProof/>
                <w:webHidden/>
                <w:sz w:val="24"/>
                <w:szCs w:val="24"/>
              </w:rPr>
              <w:fldChar w:fldCharType="end"/>
            </w:r>
          </w:hyperlink>
        </w:p>
        <w:p w14:paraId="76FA4E5F" w14:textId="28FB55A7" w:rsidR="00157390" w:rsidRPr="00157390" w:rsidRDefault="00152B1F" w:rsidP="00A419DB">
          <w:pPr>
            <w:pStyle w:val="22"/>
            <w:tabs>
              <w:tab w:val="right" w:leader="dot" w:pos="9736"/>
            </w:tabs>
            <w:suppressAutoHyphens/>
            <w:rPr>
              <w:rFonts w:ascii="Times New Roman" w:hAnsi="Times New Roman" w:cs="Times New Roman"/>
              <w:bCs/>
              <w:noProof/>
              <w:kern w:val="2"/>
              <w:sz w:val="24"/>
              <w:szCs w:val="24"/>
              <w14:ligatures w14:val="standardContextual"/>
            </w:rPr>
          </w:pPr>
          <w:hyperlink w:anchor="_Toc236138959" w:history="1">
            <w:r w:rsidR="00157390" w:rsidRPr="00157390">
              <w:rPr>
                <w:rStyle w:val="a6"/>
                <w:rFonts w:ascii="Times New Roman" w:eastAsia="Calibri" w:hAnsi="Times New Roman" w:cs="Times New Roman"/>
                <w:bCs/>
                <w:iCs/>
                <w:noProof/>
                <w:sz w:val="24"/>
                <w:szCs w:val="24"/>
              </w:rPr>
              <w:t>5. Профилактика и диспансерное наблюдение.</w:t>
            </w:r>
            <w:r w:rsidR="00157390" w:rsidRPr="00157390">
              <w:rPr>
                <w:rFonts w:ascii="Times New Roman" w:hAnsi="Times New Roman" w:cs="Times New Roman"/>
                <w:bCs/>
                <w:noProof/>
                <w:webHidden/>
                <w:sz w:val="24"/>
                <w:szCs w:val="24"/>
              </w:rPr>
              <w:tab/>
            </w:r>
            <w:r w:rsidR="00157390" w:rsidRPr="00157390">
              <w:rPr>
                <w:rFonts w:ascii="Times New Roman" w:hAnsi="Times New Roman" w:cs="Times New Roman"/>
                <w:bCs/>
                <w:noProof/>
                <w:webHidden/>
                <w:sz w:val="24"/>
                <w:szCs w:val="24"/>
              </w:rPr>
              <w:fldChar w:fldCharType="begin"/>
            </w:r>
            <w:r w:rsidR="00157390" w:rsidRPr="00157390">
              <w:rPr>
                <w:rFonts w:ascii="Times New Roman" w:hAnsi="Times New Roman" w:cs="Times New Roman"/>
                <w:bCs/>
                <w:noProof/>
                <w:webHidden/>
                <w:sz w:val="24"/>
                <w:szCs w:val="24"/>
              </w:rPr>
              <w:instrText xml:space="preserve"> PAGEREF _Toc236138959 \h </w:instrText>
            </w:r>
            <w:r w:rsidR="00157390" w:rsidRPr="00157390">
              <w:rPr>
                <w:rFonts w:ascii="Times New Roman" w:hAnsi="Times New Roman" w:cs="Times New Roman"/>
                <w:bCs/>
                <w:noProof/>
                <w:webHidden/>
                <w:sz w:val="24"/>
                <w:szCs w:val="24"/>
              </w:rPr>
            </w:r>
            <w:r w:rsidR="00157390" w:rsidRPr="00157390">
              <w:rPr>
                <w:rFonts w:ascii="Times New Roman" w:hAnsi="Times New Roman" w:cs="Times New Roman"/>
                <w:bCs/>
                <w:noProof/>
                <w:webHidden/>
                <w:sz w:val="24"/>
                <w:szCs w:val="24"/>
              </w:rPr>
              <w:fldChar w:fldCharType="separate"/>
            </w:r>
            <w:r w:rsidR="00C36A53">
              <w:rPr>
                <w:rFonts w:ascii="Times New Roman" w:hAnsi="Times New Roman" w:cs="Times New Roman"/>
                <w:bCs/>
                <w:noProof/>
                <w:webHidden/>
                <w:sz w:val="24"/>
                <w:szCs w:val="24"/>
              </w:rPr>
              <w:t>66</w:t>
            </w:r>
            <w:r w:rsidR="00157390" w:rsidRPr="00157390">
              <w:rPr>
                <w:rFonts w:ascii="Times New Roman" w:hAnsi="Times New Roman" w:cs="Times New Roman"/>
                <w:bCs/>
                <w:noProof/>
                <w:webHidden/>
                <w:sz w:val="24"/>
                <w:szCs w:val="24"/>
              </w:rPr>
              <w:fldChar w:fldCharType="end"/>
            </w:r>
          </w:hyperlink>
        </w:p>
        <w:p w14:paraId="64ED40DA" w14:textId="7F48EF69" w:rsidR="00157390" w:rsidRPr="00157390" w:rsidRDefault="00152B1F" w:rsidP="00A419DB">
          <w:pPr>
            <w:pStyle w:val="22"/>
            <w:tabs>
              <w:tab w:val="right" w:leader="dot" w:pos="9736"/>
            </w:tabs>
            <w:suppressAutoHyphens/>
            <w:rPr>
              <w:rFonts w:ascii="Times New Roman" w:hAnsi="Times New Roman" w:cs="Times New Roman"/>
              <w:bCs/>
              <w:noProof/>
              <w:kern w:val="2"/>
              <w:sz w:val="24"/>
              <w:szCs w:val="24"/>
              <w14:ligatures w14:val="standardContextual"/>
            </w:rPr>
          </w:pPr>
          <w:hyperlink w:anchor="_Toc236138961" w:history="1">
            <w:r w:rsidR="00157390" w:rsidRPr="00157390">
              <w:rPr>
                <w:rStyle w:val="a6"/>
                <w:rFonts w:ascii="Times New Roman" w:hAnsi="Times New Roman" w:cs="Times New Roman"/>
                <w:bCs/>
                <w:noProof/>
                <w:sz w:val="24"/>
                <w:szCs w:val="24"/>
              </w:rPr>
              <w:t>6. Организация медицинской помощи</w:t>
            </w:r>
            <w:r w:rsidR="00157390" w:rsidRPr="00157390">
              <w:rPr>
                <w:rFonts w:ascii="Times New Roman" w:hAnsi="Times New Roman" w:cs="Times New Roman"/>
                <w:bCs/>
                <w:noProof/>
                <w:webHidden/>
                <w:sz w:val="24"/>
                <w:szCs w:val="24"/>
              </w:rPr>
              <w:tab/>
            </w:r>
            <w:r w:rsidR="00157390" w:rsidRPr="00157390">
              <w:rPr>
                <w:rFonts w:ascii="Times New Roman" w:hAnsi="Times New Roman" w:cs="Times New Roman"/>
                <w:bCs/>
                <w:noProof/>
                <w:webHidden/>
                <w:sz w:val="24"/>
                <w:szCs w:val="24"/>
              </w:rPr>
              <w:fldChar w:fldCharType="begin"/>
            </w:r>
            <w:r w:rsidR="00157390" w:rsidRPr="00157390">
              <w:rPr>
                <w:rFonts w:ascii="Times New Roman" w:hAnsi="Times New Roman" w:cs="Times New Roman"/>
                <w:bCs/>
                <w:noProof/>
                <w:webHidden/>
                <w:sz w:val="24"/>
                <w:szCs w:val="24"/>
              </w:rPr>
              <w:instrText xml:space="preserve"> PAGEREF _Toc236138961 \h </w:instrText>
            </w:r>
            <w:r w:rsidR="00157390" w:rsidRPr="00157390">
              <w:rPr>
                <w:rFonts w:ascii="Times New Roman" w:hAnsi="Times New Roman" w:cs="Times New Roman"/>
                <w:bCs/>
                <w:noProof/>
                <w:webHidden/>
                <w:sz w:val="24"/>
                <w:szCs w:val="24"/>
              </w:rPr>
            </w:r>
            <w:r w:rsidR="00157390" w:rsidRPr="00157390">
              <w:rPr>
                <w:rFonts w:ascii="Times New Roman" w:hAnsi="Times New Roman" w:cs="Times New Roman"/>
                <w:bCs/>
                <w:noProof/>
                <w:webHidden/>
                <w:sz w:val="24"/>
                <w:szCs w:val="24"/>
              </w:rPr>
              <w:fldChar w:fldCharType="separate"/>
            </w:r>
            <w:r w:rsidR="00C36A53">
              <w:rPr>
                <w:rFonts w:ascii="Times New Roman" w:hAnsi="Times New Roman" w:cs="Times New Roman"/>
                <w:bCs/>
                <w:noProof/>
                <w:webHidden/>
                <w:sz w:val="24"/>
                <w:szCs w:val="24"/>
              </w:rPr>
              <w:t>71</w:t>
            </w:r>
            <w:r w:rsidR="00157390" w:rsidRPr="00157390">
              <w:rPr>
                <w:rFonts w:ascii="Times New Roman" w:hAnsi="Times New Roman" w:cs="Times New Roman"/>
                <w:bCs/>
                <w:noProof/>
                <w:webHidden/>
                <w:sz w:val="24"/>
                <w:szCs w:val="24"/>
              </w:rPr>
              <w:fldChar w:fldCharType="end"/>
            </w:r>
          </w:hyperlink>
        </w:p>
        <w:p w14:paraId="48A671AA" w14:textId="4087990D" w:rsidR="00157390" w:rsidRPr="00157390" w:rsidRDefault="00152B1F" w:rsidP="00A419DB">
          <w:pPr>
            <w:pStyle w:val="12"/>
            <w:tabs>
              <w:tab w:val="right" w:leader="dot" w:pos="9736"/>
            </w:tabs>
            <w:suppressAutoHyphens/>
            <w:rPr>
              <w:rFonts w:ascii="Times New Roman" w:hAnsi="Times New Roman" w:cs="Times New Roman"/>
              <w:bCs/>
              <w:noProof/>
              <w:kern w:val="2"/>
              <w:sz w:val="24"/>
              <w:szCs w:val="24"/>
              <w14:ligatures w14:val="standardContextual"/>
            </w:rPr>
          </w:pPr>
          <w:hyperlink w:anchor="_Toc236138964" w:history="1">
            <w:r w:rsidR="00157390" w:rsidRPr="00157390">
              <w:rPr>
                <w:rStyle w:val="a6"/>
                <w:rFonts w:ascii="Times New Roman" w:hAnsi="Times New Roman" w:cs="Times New Roman"/>
                <w:bCs/>
                <w:caps/>
                <w:noProof/>
                <w:sz w:val="24"/>
                <w:szCs w:val="24"/>
              </w:rPr>
              <w:t>Критерии оценки качества медицинской помощи</w:t>
            </w:r>
            <w:r w:rsidR="00157390" w:rsidRPr="00157390">
              <w:rPr>
                <w:rFonts w:ascii="Times New Roman" w:hAnsi="Times New Roman" w:cs="Times New Roman"/>
                <w:bCs/>
                <w:noProof/>
                <w:webHidden/>
                <w:sz w:val="24"/>
                <w:szCs w:val="24"/>
              </w:rPr>
              <w:tab/>
            </w:r>
            <w:r w:rsidR="00157390" w:rsidRPr="00157390">
              <w:rPr>
                <w:rFonts w:ascii="Times New Roman" w:hAnsi="Times New Roman" w:cs="Times New Roman"/>
                <w:bCs/>
                <w:noProof/>
                <w:webHidden/>
                <w:sz w:val="24"/>
                <w:szCs w:val="24"/>
              </w:rPr>
              <w:fldChar w:fldCharType="begin"/>
            </w:r>
            <w:r w:rsidR="00157390" w:rsidRPr="00157390">
              <w:rPr>
                <w:rFonts w:ascii="Times New Roman" w:hAnsi="Times New Roman" w:cs="Times New Roman"/>
                <w:bCs/>
                <w:noProof/>
                <w:webHidden/>
                <w:sz w:val="24"/>
                <w:szCs w:val="24"/>
              </w:rPr>
              <w:instrText xml:space="preserve"> PAGEREF _Toc236138964 \h </w:instrText>
            </w:r>
            <w:r w:rsidR="00157390" w:rsidRPr="00157390">
              <w:rPr>
                <w:rFonts w:ascii="Times New Roman" w:hAnsi="Times New Roman" w:cs="Times New Roman"/>
                <w:bCs/>
                <w:noProof/>
                <w:webHidden/>
                <w:sz w:val="24"/>
                <w:szCs w:val="24"/>
              </w:rPr>
            </w:r>
            <w:r w:rsidR="00157390" w:rsidRPr="00157390">
              <w:rPr>
                <w:rFonts w:ascii="Times New Roman" w:hAnsi="Times New Roman" w:cs="Times New Roman"/>
                <w:bCs/>
                <w:noProof/>
                <w:webHidden/>
                <w:sz w:val="24"/>
                <w:szCs w:val="24"/>
              </w:rPr>
              <w:fldChar w:fldCharType="separate"/>
            </w:r>
            <w:r w:rsidR="00C36A53">
              <w:rPr>
                <w:rFonts w:ascii="Times New Roman" w:hAnsi="Times New Roman" w:cs="Times New Roman"/>
                <w:bCs/>
                <w:noProof/>
                <w:webHidden/>
                <w:sz w:val="24"/>
                <w:szCs w:val="24"/>
              </w:rPr>
              <w:t>73</w:t>
            </w:r>
            <w:r w:rsidR="00157390" w:rsidRPr="00157390">
              <w:rPr>
                <w:rFonts w:ascii="Times New Roman" w:hAnsi="Times New Roman" w:cs="Times New Roman"/>
                <w:bCs/>
                <w:noProof/>
                <w:webHidden/>
                <w:sz w:val="24"/>
                <w:szCs w:val="24"/>
              </w:rPr>
              <w:fldChar w:fldCharType="end"/>
            </w:r>
          </w:hyperlink>
        </w:p>
        <w:p w14:paraId="3463513D" w14:textId="18D4D32D" w:rsidR="00157390" w:rsidRPr="00157390" w:rsidRDefault="00152B1F" w:rsidP="00A419DB">
          <w:pPr>
            <w:pStyle w:val="12"/>
            <w:tabs>
              <w:tab w:val="right" w:leader="dot" w:pos="9736"/>
            </w:tabs>
            <w:suppressAutoHyphens/>
            <w:rPr>
              <w:rFonts w:ascii="Times New Roman" w:hAnsi="Times New Roman" w:cs="Times New Roman"/>
              <w:bCs/>
              <w:noProof/>
              <w:kern w:val="2"/>
              <w:sz w:val="24"/>
              <w:szCs w:val="24"/>
              <w14:ligatures w14:val="standardContextual"/>
            </w:rPr>
          </w:pPr>
          <w:hyperlink w:anchor="_Toc236138965" w:history="1">
            <w:r w:rsidR="00157390" w:rsidRPr="00157390">
              <w:rPr>
                <w:rStyle w:val="a6"/>
                <w:rFonts w:ascii="Times New Roman" w:hAnsi="Times New Roman" w:cs="Times New Roman"/>
                <w:bCs/>
                <w:noProof/>
                <w:sz w:val="24"/>
                <w:szCs w:val="24"/>
              </w:rPr>
              <w:t>Список литературы</w:t>
            </w:r>
            <w:r w:rsidR="00157390" w:rsidRPr="00157390">
              <w:rPr>
                <w:rFonts w:ascii="Times New Roman" w:hAnsi="Times New Roman" w:cs="Times New Roman"/>
                <w:bCs/>
                <w:noProof/>
                <w:webHidden/>
                <w:sz w:val="24"/>
                <w:szCs w:val="24"/>
              </w:rPr>
              <w:tab/>
            </w:r>
            <w:r w:rsidR="00157390" w:rsidRPr="00157390">
              <w:rPr>
                <w:rFonts w:ascii="Times New Roman" w:hAnsi="Times New Roman" w:cs="Times New Roman"/>
                <w:bCs/>
                <w:noProof/>
                <w:webHidden/>
                <w:sz w:val="24"/>
                <w:szCs w:val="24"/>
              </w:rPr>
              <w:fldChar w:fldCharType="begin"/>
            </w:r>
            <w:r w:rsidR="00157390" w:rsidRPr="00157390">
              <w:rPr>
                <w:rFonts w:ascii="Times New Roman" w:hAnsi="Times New Roman" w:cs="Times New Roman"/>
                <w:bCs/>
                <w:noProof/>
                <w:webHidden/>
                <w:sz w:val="24"/>
                <w:szCs w:val="24"/>
              </w:rPr>
              <w:instrText xml:space="preserve"> PAGEREF _Toc236138965 \h </w:instrText>
            </w:r>
            <w:r w:rsidR="00157390" w:rsidRPr="00157390">
              <w:rPr>
                <w:rFonts w:ascii="Times New Roman" w:hAnsi="Times New Roman" w:cs="Times New Roman"/>
                <w:bCs/>
                <w:noProof/>
                <w:webHidden/>
                <w:sz w:val="24"/>
                <w:szCs w:val="24"/>
              </w:rPr>
            </w:r>
            <w:r w:rsidR="00157390" w:rsidRPr="00157390">
              <w:rPr>
                <w:rFonts w:ascii="Times New Roman" w:hAnsi="Times New Roman" w:cs="Times New Roman"/>
                <w:bCs/>
                <w:noProof/>
                <w:webHidden/>
                <w:sz w:val="24"/>
                <w:szCs w:val="24"/>
              </w:rPr>
              <w:fldChar w:fldCharType="separate"/>
            </w:r>
            <w:r w:rsidR="00C36A53">
              <w:rPr>
                <w:rFonts w:ascii="Times New Roman" w:hAnsi="Times New Roman" w:cs="Times New Roman"/>
                <w:bCs/>
                <w:noProof/>
                <w:webHidden/>
                <w:sz w:val="24"/>
                <w:szCs w:val="24"/>
              </w:rPr>
              <w:t>77</w:t>
            </w:r>
            <w:r w:rsidR="00157390" w:rsidRPr="00157390">
              <w:rPr>
                <w:rFonts w:ascii="Times New Roman" w:hAnsi="Times New Roman" w:cs="Times New Roman"/>
                <w:bCs/>
                <w:noProof/>
                <w:webHidden/>
                <w:sz w:val="24"/>
                <w:szCs w:val="24"/>
              </w:rPr>
              <w:fldChar w:fldCharType="end"/>
            </w:r>
          </w:hyperlink>
        </w:p>
        <w:p w14:paraId="613059C4" w14:textId="0BEA3773" w:rsidR="00157390" w:rsidRPr="00157390" w:rsidRDefault="00152B1F" w:rsidP="00A419DB">
          <w:pPr>
            <w:pStyle w:val="12"/>
            <w:tabs>
              <w:tab w:val="right" w:leader="dot" w:pos="9736"/>
            </w:tabs>
            <w:suppressAutoHyphens/>
            <w:rPr>
              <w:rFonts w:ascii="Times New Roman" w:hAnsi="Times New Roman" w:cs="Times New Roman"/>
              <w:bCs/>
              <w:noProof/>
              <w:kern w:val="2"/>
              <w:sz w:val="24"/>
              <w:szCs w:val="24"/>
              <w14:ligatures w14:val="standardContextual"/>
            </w:rPr>
          </w:pPr>
          <w:hyperlink w:anchor="_Toc236138966" w:history="1">
            <w:r w:rsidR="00157390" w:rsidRPr="00157390">
              <w:rPr>
                <w:rStyle w:val="a6"/>
                <w:rFonts w:ascii="Times New Roman" w:hAnsi="Times New Roman" w:cs="Times New Roman"/>
                <w:bCs/>
                <w:noProof/>
                <w:sz w:val="24"/>
                <w:szCs w:val="24"/>
              </w:rPr>
              <w:t>Приложение А1. Состав Рабочей группы</w:t>
            </w:r>
            <w:r w:rsidR="00157390" w:rsidRPr="00157390">
              <w:rPr>
                <w:rFonts w:ascii="Times New Roman" w:hAnsi="Times New Roman" w:cs="Times New Roman"/>
                <w:bCs/>
                <w:noProof/>
                <w:webHidden/>
                <w:sz w:val="24"/>
                <w:szCs w:val="24"/>
              </w:rPr>
              <w:tab/>
            </w:r>
            <w:r w:rsidR="00157390" w:rsidRPr="00157390">
              <w:rPr>
                <w:rFonts w:ascii="Times New Roman" w:hAnsi="Times New Roman" w:cs="Times New Roman"/>
                <w:bCs/>
                <w:noProof/>
                <w:webHidden/>
                <w:sz w:val="24"/>
                <w:szCs w:val="24"/>
              </w:rPr>
              <w:fldChar w:fldCharType="begin"/>
            </w:r>
            <w:r w:rsidR="00157390" w:rsidRPr="00157390">
              <w:rPr>
                <w:rFonts w:ascii="Times New Roman" w:hAnsi="Times New Roman" w:cs="Times New Roman"/>
                <w:bCs/>
                <w:noProof/>
                <w:webHidden/>
                <w:sz w:val="24"/>
                <w:szCs w:val="24"/>
              </w:rPr>
              <w:instrText xml:space="preserve"> PAGEREF _Toc236138966 \h </w:instrText>
            </w:r>
            <w:r w:rsidR="00157390" w:rsidRPr="00157390">
              <w:rPr>
                <w:rFonts w:ascii="Times New Roman" w:hAnsi="Times New Roman" w:cs="Times New Roman"/>
                <w:bCs/>
                <w:noProof/>
                <w:webHidden/>
                <w:sz w:val="24"/>
                <w:szCs w:val="24"/>
              </w:rPr>
            </w:r>
            <w:r w:rsidR="00157390" w:rsidRPr="00157390">
              <w:rPr>
                <w:rFonts w:ascii="Times New Roman" w:hAnsi="Times New Roman" w:cs="Times New Roman"/>
                <w:bCs/>
                <w:noProof/>
                <w:webHidden/>
                <w:sz w:val="24"/>
                <w:szCs w:val="24"/>
              </w:rPr>
              <w:fldChar w:fldCharType="separate"/>
            </w:r>
            <w:r w:rsidR="00C36A53">
              <w:rPr>
                <w:rFonts w:ascii="Times New Roman" w:hAnsi="Times New Roman" w:cs="Times New Roman"/>
                <w:bCs/>
                <w:noProof/>
                <w:webHidden/>
                <w:sz w:val="24"/>
                <w:szCs w:val="24"/>
              </w:rPr>
              <w:t>132</w:t>
            </w:r>
            <w:r w:rsidR="00157390" w:rsidRPr="00157390">
              <w:rPr>
                <w:rFonts w:ascii="Times New Roman" w:hAnsi="Times New Roman" w:cs="Times New Roman"/>
                <w:bCs/>
                <w:noProof/>
                <w:webHidden/>
                <w:sz w:val="24"/>
                <w:szCs w:val="24"/>
              </w:rPr>
              <w:fldChar w:fldCharType="end"/>
            </w:r>
          </w:hyperlink>
        </w:p>
        <w:p w14:paraId="16F08E6B" w14:textId="20335BB8" w:rsidR="00157390" w:rsidRPr="00157390" w:rsidRDefault="00152B1F" w:rsidP="00A419DB">
          <w:pPr>
            <w:pStyle w:val="12"/>
            <w:tabs>
              <w:tab w:val="right" w:leader="dot" w:pos="9736"/>
            </w:tabs>
            <w:suppressAutoHyphens/>
            <w:rPr>
              <w:rFonts w:ascii="Times New Roman" w:hAnsi="Times New Roman" w:cs="Times New Roman"/>
              <w:bCs/>
              <w:noProof/>
              <w:kern w:val="2"/>
              <w:sz w:val="24"/>
              <w:szCs w:val="24"/>
              <w14:ligatures w14:val="standardContextual"/>
            </w:rPr>
          </w:pPr>
          <w:hyperlink w:anchor="_Toc236138967" w:history="1">
            <w:r w:rsidR="00157390" w:rsidRPr="00157390">
              <w:rPr>
                <w:rStyle w:val="a6"/>
                <w:rFonts w:ascii="Times New Roman" w:hAnsi="Times New Roman" w:cs="Times New Roman"/>
                <w:bCs/>
                <w:noProof/>
                <w:sz w:val="24"/>
                <w:szCs w:val="24"/>
              </w:rPr>
              <w:t>Приложение А2.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157390" w:rsidRPr="00157390">
              <w:rPr>
                <w:rFonts w:ascii="Times New Roman" w:hAnsi="Times New Roman" w:cs="Times New Roman"/>
                <w:bCs/>
                <w:noProof/>
                <w:webHidden/>
                <w:sz w:val="24"/>
                <w:szCs w:val="24"/>
              </w:rPr>
              <w:tab/>
            </w:r>
            <w:r w:rsidR="00157390" w:rsidRPr="00157390">
              <w:rPr>
                <w:rFonts w:ascii="Times New Roman" w:hAnsi="Times New Roman" w:cs="Times New Roman"/>
                <w:bCs/>
                <w:noProof/>
                <w:webHidden/>
                <w:sz w:val="24"/>
                <w:szCs w:val="24"/>
              </w:rPr>
              <w:fldChar w:fldCharType="begin"/>
            </w:r>
            <w:r w:rsidR="00157390" w:rsidRPr="00157390">
              <w:rPr>
                <w:rFonts w:ascii="Times New Roman" w:hAnsi="Times New Roman" w:cs="Times New Roman"/>
                <w:bCs/>
                <w:noProof/>
                <w:webHidden/>
                <w:sz w:val="24"/>
                <w:szCs w:val="24"/>
              </w:rPr>
              <w:instrText xml:space="preserve"> PAGEREF _Toc236138967 \h </w:instrText>
            </w:r>
            <w:r w:rsidR="00157390" w:rsidRPr="00157390">
              <w:rPr>
                <w:rFonts w:ascii="Times New Roman" w:hAnsi="Times New Roman" w:cs="Times New Roman"/>
                <w:bCs/>
                <w:noProof/>
                <w:webHidden/>
                <w:sz w:val="24"/>
                <w:szCs w:val="24"/>
              </w:rPr>
            </w:r>
            <w:r w:rsidR="00157390" w:rsidRPr="00157390">
              <w:rPr>
                <w:rFonts w:ascii="Times New Roman" w:hAnsi="Times New Roman" w:cs="Times New Roman"/>
                <w:bCs/>
                <w:noProof/>
                <w:webHidden/>
                <w:sz w:val="24"/>
                <w:szCs w:val="24"/>
              </w:rPr>
              <w:fldChar w:fldCharType="separate"/>
            </w:r>
            <w:r w:rsidR="00C36A53">
              <w:rPr>
                <w:rFonts w:ascii="Times New Roman" w:hAnsi="Times New Roman" w:cs="Times New Roman"/>
                <w:bCs/>
                <w:noProof/>
                <w:webHidden/>
                <w:sz w:val="24"/>
                <w:szCs w:val="24"/>
              </w:rPr>
              <w:t>134</w:t>
            </w:r>
            <w:r w:rsidR="00157390" w:rsidRPr="00157390">
              <w:rPr>
                <w:rFonts w:ascii="Times New Roman" w:hAnsi="Times New Roman" w:cs="Times New Roman"/>
                <w:bCs/>
                <w:noProof/>
                <w:webHidden/>
                <w:sz w:val="24"/>
                <w:szCs w:val="24"/>
              </w:rPr>
              <w:fldChar w:fldCharType="end"/>
            </w:r>
          </w:hyperlink>
        </w:p>
        <w:p w14:paraId="25946D06" w14:textId="75132CD6" w:rsidR="00157390" w:rsidRPr="00157390" w:rsidRDefault="00152B1F" w:rsidP="00A419DB">
          <w:pPr>
            <w:pStyle w:val="12"/>
            <w:tabs>
              <w:tab w:val="right" w:leader="dot" w:pos="9736"/>
            </w:tabs>
            <w:suppressAutoHyphens/>
            <w:rPr>
              <w:rFonts w:ascii="Times New Roman" w:hAnsi="Times New Roman" w:cs="Times New Roman"/>
              <w:bCs/>
              <w:noProof/>
              <w:kern w:val="2"/>
              <w:sz w:val="24"/>
              <w:szCs w:val="24"/>
              <w14:ligatures w14:val="standardContextual"/>
            </w:rPr>
          </w:pPr>
          <w:hyperlink w:anchor="_Toc236138968" w:history="1">
            <w:r w:rsidR="00157390" w:rsidRPr="00157390">
              <w:rPr>
                <w:rStyle w:val="a6"/>
                <w:rFonts w:ascii="Times New Roman" w:hAnsi="Times New Roman" w:cs="Times New Roman"/>
                <w:bCs/>
                <w:noProof/>
                <w:sz w:val="24"/>
                <w:szCs w:val="24"/>
              </w:rPr>
              <w:t>Приложение Б. Алгоритмы действия врача.</w:t>
            </w:r>
            <w:r w:rsidR="00157390" w:rsidRPr="00157390">
              <w:rPr>
                <w:rFonts w:ascii="Times New Roman" w:hAnsi="Times New Roman" w:cs="Times New Roman"/>
                <w:bCs/>
                <w:noProof/>
                <w:webHidden/>
                <w:sz w:val="24"/>
                <w:szCs w:val="24"/>
              </w:rPr>
              <w:tab/>
            </w:r>
            <w:r w:rsidR="00157390" w:rsidRPr="00157390">
              <w:rPr>
                <w:rFonts w:ascii="Times New Roman" w:hAnsi="Times New Roman" w:cs="Times New Roman"/>
                <w:bCs/>
                <w:noProof/>
                <w:webHidden/>
                <w:sz w:val="24"/>
                <w:szCs w:val="24"/>
              </w:rPr>
              <w:fldChar w:fldCharType="begin"/>
            </w:r>
            <w:r w:rsidR="00157390" w:rsidRPr="00157390">
              <w:rPr>
                <w:rFonts w:ascii="Times New Roman" w:hAnsi="Times New Roman" w:cs="Times New Roman"/>
                <w:bCs/>
                <w:noProof/>
                <w:webHidden/>
                <w:sz w:val="24"/>
                <w:szCs w:val="24"/>
              </w:rPr>
              <w:instrText xml:space="preserve"> PAGEREF _Toc236138968 \h </w:instrText>
            </w:r>
            <w:r w:rsidR="00157390" w:rsidRPr="00157390">
              <w:rPr>
                <w:rFonts w:ascii="Times New Roman" w:hAnsi="Times New Roman" w:cs="Times New Roman"/>
                <w:bCs/>
                <w:noProof/>
                <w:webHidden/>
                <w:sz w:val="24"/>
                <w:szCs w:val="24"/>
              </w:rPr>
            </w:r>
            <w:r w:rsidR="00157390" w:rsidRPr="00157390">
              <w:rPr>
                <w:rFonts w:ascii="Times New Roman" w:hAnsi="Times New Roman" w:cs="Times New Roman"/>
                <w:bCs/>
                <w:noProof/>
                <w:webHidden/>
                <w:sz w:val="24"/>
                <w:szCs w:val="24"/>
              </w:rPr>
              <w:fldChar w:fldCharType="separate"/>
            </w:r>
            <w:r w:rsidR="00C36A53">
              <w:rPr>
                <w:rFonts w:ascii="Times New Roman" w:hAnsi="Times New Roman" w:cs="Times New Roman"/>
                <w:bCs/>
                <w:noProof/>
                <w:webHidden/>
                <w:sz w:val="24"/>
                <w:szCs w:val="24"/>
              </w:rPr>
              <w:t>150</w:t>
            </w:r>
            <w:r w:rsidR="00157390" w:rsidRPr="00157390">
              <w:rPr>
                <w:rFonts w:ascii="Times New Roman" w:hAnsi="Times New Roman" w:cs="Times New Roman"/>
                <w:bCs/>
                <w:noProof/>
                <w:webHidden/>
                <w:sz w:val="24"/>
                <w:szCs w:val="24"/>
              </w:rPr>
              <w:fldChar w:fldCharType="end"/>
            </w:r>
          </w:hyperlink>
        </w:p>
        <w:p w14:paraId="4A2743F7" w14:textId="1013C5F7" w:rsidR="00157390" w:rsidRPr="00157390" w:rsidRDefault="00152B1F" w:rsidP="00A419DB">
          <w:pPr>
            <w:pStyle w:val="12"/>
            <w:tabs>
              <w:tab w:val="right" w:leader="dot" w:pos="9736"/>
            </w:tabs>
            <w:suppressAutoHyphens/>
            <w:rPr>
              <w:rFonts w:ascii="Times New Roman" w:hAnsi="Times New Roman" w:cs="Times New Roman"/>
              <w:bCs/>
              <w:noProof/>
              <w:kern w:val="2"/>
              <w:sz w:val="24"/>
              <w:szCs w:val="24"/>
              <w14:ligatures w14:val="standardContextual"/>
            </w:rPr>
          </w:pPr>
          <w:hyperlink w:anchor="_Toc236138969" w:history="1">
            <w:r w:rsidR="00157390" w:rsidRPr="00157390">
              <w:rPr>
                <w:rStyle w:val="a6"/>
                <w:rFonts w:ascii="Times New Roman" w:hAnsi="Times New Roman" w:cs="Times New Roman"/>
                <w:bCs/>
                <w:noProof/>
                <w:sz w:val="24"/>
                <w:szCs w:val="24"/>
              </w:rPr>
              <w:t>Приложение В. Информация для пациента</w:t>
            </w:r>
            <w:r w:rsidR="00157390" w:rsidRPr="00157390">
              <w:rPr>
                <w:rFonts w:ascii="Times New Roman" w:hAnsi="Times New Roman" w:cs="Times New Roman"/>
                <w:bCs/>
                <w:noProof/>
                <w:webHidden/>
                <w:sz w:val="24"/>
                <w:szCs w:val="24"/>
              </w:rPr>
              <w:tab/>
            </w:r>
            <w:r w:rsidR="00157390" w:rsidRPr="00157390">
              <w:rPr>
                <w:rFonts w:ascii="Times New Roman" w:hAnsi="Times New Roman" w:cs="Times New Roman"/>
                <w:bCs/>
                <w:noProof/>
                <w:webHidden/>
                <w:sz w:val="24"/>
                <w:szCs w:val="24"/>
              </w:rPr>
              <w:fldChar w:fldCharType="begin"/>
            </w:r>
            <w:r w:rsidR="00157390" w:rsidRPr="00157390">
              <w:rPr>
                <w:rFonts w:ascii="Times New Roman" w:hAnsi="Times New Roman" w:cs="Times New Roman"/>
                <w:bCs/>
                <w:noProof/>
                <w:webHidden/>
                <w:sz w:val="24"/>
                <w:szCs w:val="24"/>
              </w:rPr>
              <w:instrText xml:space="preserve"> PAGEREF _Toc236138969 \h </w:instrText>
            </w:r>
            <w:r w:rsidR="00157390" w:rsidRPr="00157390">
              <w:rPr>
                <w:rFonts w:ascii="Times New Roman" w:hAnsi="Times New Roman" w:cs="Times New Roman"/>
                <w:bCs/>
                <w:noProof/>
                <w:webHidden/>
                <w:sz w:val="24"/>
                <w:szCs w:val="24"/>
              </w:rPr>
            </w:r>
            <w:r w:rsidR="00157390" w:rsidRPr="00157390">
              <w:rPr>
                <w:rFonts w:ascii="Times New Roman" w:hAnsi="Times New Roman" w:cs="Times New Roman"/>
                <w:bCs/>
                <w:noProof/>
                <w:webHidden/>
                <w:sz w:val="24"/>
                <w:szCs w:val="24"/>
              </w:rPr>
              <w:fldChar w:fldCharType="separate"/>
            </w:r>
            <w:r w:rsidR="00C36A53">
              <w:rPr>
                <w:rFonts w:ascii="Times New Roman" w:hAnsi="Times New Roman" w:cs="Times New Roman"/>
                <w:bCs/>
                <w:noProof/>
                <w:webHidden/>
                <w:sz w:val="24"/>
                <w:szCs w:val="24"/>
              </w:rPr>
              <w:t>152</w:t>
            </w:r>
            <w:r w:rsidR="00157390" w:rsidRPr="00157390">
              <w:rPr>
                <w:rFonts w:ascii="Times New Roman" w:hAnsi="Times New Roman" w:cs="Times New Roman"/>
                <w:bCs/>
                <w:noProof/>
                <w:webHidden/>
                <w:sz w:val="24"/>
                <w:szCs w:val="24"/>
              </w:rPr>
              <w:fldChar w:fldCharType="end"/>
            </w:r>
          </w:hyperlink>
        </w:p>
        <w:p w14:paraId="0293F83A" w14:textId="5F672AD4" w:rsidR="004C062E" w:rsidRPr="00157390" w:rsidRDefault="00197F39" w:rsidP="00A419DB">
          <w:pPr>
            <w:suppressAutoHyphens/>
            <w:spacing w:after="0" w:line="360" w:lineRule="auto"/>
            <w:contextualSpacing/>
            <w:jc w:val="both"/>
            <w:rPr>
              <w:rFonts w:ascii="Times New Roman" w:hAnsi="Times New Roman" w:cs="Times New Roman"/>
              <w:bCs/>
              <w:color w:val="000000" w:themeColor="text1"/>
              <w:sz w:val="24"/>
              <w:szCs w:val="24"/>
            </w:rPr>
          </w:pPr>
          <w:r w:rsidRPr="00157390">
            <w:rPr>
              <w:rFonts w:ascii="Times New Roman" w:hAnsi="Times New Roman" w:cs="Times New Roman"/>
              <w:bCs/>
              <w:color w:val="000000" w:themeColor="text1"/>
              <w:sz w:val="24"/>
              <w:szCs w:val="24"/>
            </w:rPr>
            <w:fldChar w:fldCharType="end"/>
          </w:r>
        </w:p>
      </w:sdtContent>
    </w:sdt>
    <w:p w14:paraId="01A687A4" w14:textId="77777777" w:rsidR="004C062E" w:rsidRDefault="004C062E" w:rsidP="00A419DB">
      <w:pPr>
        <w:pStyle w:val="10"/>
        <w:suppressAutoHyphens/>
        <w:spacing w:before="0" w:line="360" w:lineRule="auto"/>
        <w:contextualSpacing/>
        <w:rPr>
          <w:rFonts w:ascii="Times New Roman" w:hAnsi="Times New Roman" w:cs="Times New Roman"/>
          <w:color w:val="FF0000"/>
          <w:sz w:val="24"/>
          <w:szCs w:val="24"/>
        </w:rPr>
      </w:pPr>
    </w:p>
    <w:p w14:paraId="76620FC4" w14:textId="77777777" w:rsidR="00BA16A3" w:rsidRPr="00BA16A3" w:rsidRDefault="00BA16A3" w:rsidP="00A419DB">
      <w:pPr>
        <w:suppressAutoHyphens/>
      </w:pPr>
    </w:p>
    <w:p w14:paraId="2B03BEC7" w14:textId="77777777" w:rsidR="004C062E" w:rsidRDefault="002C7340" w:rsidP="00A419DB">
      <w:pPr>
        <w:pStyle w:val="10"/>
        <w:suppressAutoHyphens/>
        <w:spacing w:before="0" w:line="360" w:lineRule="auto"/>
        <w:ind w:firstLineChars="295" w:firstLine="711"/>
        <w:contextualSpacing/>
        <w:jc w:val="center"/>
        <w:rPr>
          <w:rFonts w:ascii="Times New Roman" w:hAnsi="Times New Roman" w:cs="Times New Roman"/>
          <w:color w:val="000000" w:themeColor="text1"/>
          <w:sz w:val="24"/>
          <w:szCs w:val="24"/>
        </w:rPr>
      </w:pPr>
      <w:bookmarkStart w:id="0" w:name="_Toc236138909"/>
      <w:r>
        <w:rPr>
          <w:rFonts w:ascii="Times New Roman" w:hAnsi="Times New Roman" w:cs="Times New Roman"/>
          <w:color w:val="000000" w:themeColor="text1"/>
          <w:sz w:val="24"/>
          <w:szCs w:val="24"/>
        </w:rPr>
        <w:lastRenderedPageBreak/>
        <w:t>Список сокращений и условных обозначений.</w:t>
      </w:r>
      <w:bookmarkEnd w:id="0"/>
    </w:p>
    <w:p w14:paraId="49BA9369"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АВ — атриовентрикулярная</w:t>
      </w:r>
    </w:p>
    <w:p w14:paraId="15B6090D"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АВС — активированное время свёртывания крови</w:t>
      </w:r>
    </w:p>
    <w:p w14:paraId="0385EC67"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АГ — артериальная гипертензия</w:t>
      </w:r>
    </w:p>
    <w:p w14:paraId="43CAD321"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АД — артериальное давление</w:t>
      </w:r>
    </w:p>
    <w:p w14:paraId="57127D2B"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АСБ — атеросклеротическая бляшка</w:t>
      </w:r>
    </w:p>
    <w:p w14:paraId="7B58AED6"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FF0000"/>
          <w:sz w:val="24"/>
          <w:szCs w:val="24"/>
        </w:rPr>
      </w:pPr>
      <w:r>
        <w:rPr>
          <w:rFonts w:ascii="Times New Roman" w:hAnsi="Times New Roman" w:cs="Times New Roman"/>
          <w:color w:val="000000" w:themeColor="text1"/>
          <w:sz w:val="24"/>
          <w:szCs w:val="24"/>
        </w:rPr>
        <w:t>АСК — ацетилсалициловая кислота</w:t>
      </w:r>
    </w:p>
    <w:p w14:paraId="14384E3E"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АЧТВ — активированное частичное тромбопластиновое время</w:t>
      </w:r>
    </w:p>
    <w:p w14:paraId="4F1E55CC"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АРА — антагонист рецептора ангиотензина II</w:t>
      </w:r>
    </w:p>
    <w:p w14:paraId="59CE5291"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БСК — болезни системы кровообращения</w:t>
      </w:r>
    </w:p>
    <w:p w14:paraId="5B426E40"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ВАБК — внутриаортальная баллонная контрпульсация</w:t>
      </w:r>
    </w:p>
    <w:p w14:paraId="1E8C6478"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в/в — внутривенно</w:t>
      </w:r>
    </w:p>
    <w:p w14:paraId="0AF7138F"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ВИЧ — вирус иммунодефицита человека</w:t>
      </w:r>
    </w:p>
    <w:p w14:paraId="43B5FEC2"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ВСУЗИ — внутрисосудистое ультразвуковое исследование (син.: ультразвуковое исследование коронарных артерий внутрисосудистое)</w:t>
      </w:r>
    </w:p>
    <w:p w14:paraId="37FB3FF4"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ГМГ-КоА редуктаза — 3-гидрокси-3-метилглутарил коэнзима А редуктаза</w:t>
      </w:r>
    </w:p>
    <w:p w14:paraId="3CD14790"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ГП IIb/IIIa — гликопротеины IIb/IIIa</w:t>
      </w:r>
    </w:p>
    <w:p w14:paraId="43B32393"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ДЗЛК — давление заклинивания легочных капилляров</w:t>
      </w:r>
    </w:p>
    <w:p w14:paraId="4A688416"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ЕОК — Европейское общество кардиологов</w:t>
      </w:r>
    </w:p>
    <w:p w14:paraId="26A016FC"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ЖТ — желудочковая тахикардия</w:t>
      </w:r>
    </w:p>
    <w:p w14:paraId="669E96F7"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иАПФ — ингибитор ангиотензинпревращающего фермента</w:t>
      </w:r>
    </w:p>
    <w:p w14:paraId="6D125E44"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ИБС — ишемическая болезнь сердца</w:t>
      </w:r>
    </w:p>
    <w:p w14:paraId="74B73D0D"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ИВЛ — искусственная вентиляция лёгких</w:t>
      </w:r>
    </w:p>
    <w:p w14:paraId="34AE20B9"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FF0000"/>
          <w:sz w:val="24"/>
          <w:szCs w:val="24"/>
        </w:rPr>
      </w:pPr>
      <w:r>
        <w:rPr>
          <w:rFonts w:ascii="Times New Roman" w:hAnsi="Times New Roman" w:cs="Times New Roman"/>
          <w:color w:val="000000" w:themeColor="text1"/>
          <w:sz w:val="24"/>
          <w:szCs w:val="24"/>
        </w:rPr>
        <w:t>ИМ — инфаркт миокарда</w:t>
      </w:r>
    </w:p>
    <w:p w14:paraId="172A1C92"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ИМпST — инфаркт миокарда со стойким подъемом сегмента ST на ЭКГ</w:t>
      </w:r>
    </w:p>
    <w:p w14:paraId="4596CBD4"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ИСА — инфаркт-связанная артерия</w:t>
      </w:r>
    </w:p>
    <w:p w14:paraId="45166619"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КА — коронарная артерия</w:t>
      </w:r>
    </w:p>
    <w:p w14:paraId="07579E02"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КГ — коронарография</w:t>
      </w:r>
    </w:p>
    <w:p w14:paraId="47556CCC"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КВД — кардиовертер-дефибриллятор (кардиовертер-дефибриллятор имплантируемый однокамерный; кардиовертер-дефибриллятор имплантируемый двухкамерный; кардиовертер-дефибриллятор имплантируемый трехкамерный (бивентрикулярный)</w:t>
      </w:r>
    </w:p>
    <w:p w14:paraId="333B9F2F"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КДД — конечное диастолическое давление</w:t>
      </w:r>
    </w:p>
    <w:p w14:paraId="11569615"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КлКр — клиренс креатинина (исследование функции нефронов по клиренсу креатинина (проба Реберга) или расчет в рамках исследования уровня креатинина в крови)</w:t>
      </w:r>
    </w:p>
    <w:p w14:paraId="41C86C76"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КР — кардиореабилитация</w:t>
      </w:r>
    </w:p>
    <w:p w14:paraId="40F5B39F"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FF0000"/>
          <w:sz w:val="24"/>
          <w:szCs w:val="24"/>
        </w:rPr>
      </w:pPr>
      <w:r>
        <w:rPr>
          <w:rFonts w:ascii="Times New Roman" w:hAnsi="Times New Roman" w:cs="Times New Roman"/>
          <w:color w:val="000000" w:themeColor="text1"/>
          <w:sz w:val="24"/>
          <w:szCs w:val="24"/>
        </w:rPr>
        <w:t xml:space="preserve">КТ — компьютерная томография (компьютерная томография органов грудной полости; компьютерная томография органов грудной полости с внутривенным болюсным контрастированием; </w:t>
      </w:r>
    </w:p>
    <w:p w14:paraId="2CF8C2EA"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КШ — коронарное шунтирование (коронарное шунтирование в условиях искусственного кровообращения;)</w:t>
      </w:r>
    </w:p>
    <w:p w14:paraId="5E5A50EA"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ЛВП — липопротеиды высокой плотности</w:t>
      </w:r>
    </w:p>
    <w:p w14:paraId="49DF0CE7"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ЛЖ — левый желудочек</w:t>
      </w:r>
    </w:p>
    <w:p w14:paraId="0CFEE957"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ЛНП — липопротеиды низкой плотности</w:t>
      </w:r>
    </w:p>
    <w:p w14:paraId="2A4A65E7"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ЛНПГ — левая ножка пучка Гиса</w:t>
      </w:r>
    </w:p>
    <w:p w14:paraId="03342AB6"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 — международные единицы</w:t>
      </w:r>
    </w:p>
    <w:p w14:paraId="035728CA"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МЖП — межжелудочковая перегородка</w:t>
      </w:r>
    </w:p>
    <w:p w14:paraId="41C4885B"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МНО — международное нормализованное отношение</w:t>
      </w:r>
    </w:p>
    <w:p w14:paraId="2BAFD3A8"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МРТ — магнитно-резонансная томография (магнитно-резонансная томография сердца и магистральных сосудов; магнитно-резонансная томография сердца с контрастированием)</w:t>
      </w:r>
    </w:p>
    <w:p w14:paraId="13579EF6"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НС — нестабильная стенокардия</w:t>
      </w:r>
    </w:p>
    <w:p w14:paraId="237A0F6C"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НФГ — нефракционированный гепарин (син.: гепарин натрия)</w:t>
      </w:r>
    </w:p>
    <w:p w14:paraId="1CAE63B9"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FF0000"/>
          <w:sz w:val="24"/>
          <w:szCs w:val="24"/>
        </w:rPr>
      </w:pPr>
      <w:r>
        <w:rPr>
          <w:rFonts w:ascii="Times New Roman" w:hAnsi="Times New Roman" w:cs="Times New Roman"/>
          <w:color w:val="000000" w:themeColor="text1"/>
          <w:sz w:val="24"/>
          <w:szCs w:val="24"/>
        </w:rPr>
        <w:t>ОКС — острый коронарный синдром</w:t>
      </w:r>
    </w:p>
    <w:p w14:paraId="6934809A"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ОКСпST — острый коронарный синдром со стойким подъемом сегмента ST на ЭКГ</w:t>
      </w:r>
    </w:p>
    <w:p w14:paraId="1E369054"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ОРИТ — отделение реанимации и интенсивной терапии</w:t>
      </w:r>
    </w:p>
    <w:p w14:paraId="2E4BAE13"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ОСН — острая сердечная недостаточность</w:t>
      </w:r>
    </w:p>
    <w:p w14:paraId="2861D44A"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ПЖ — правый желудочек</w:t>
      </w:r>
    </w:p>
    <w:p w14:paraId="4C19D600"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ПМК — первичный медицинский контакт</w:t>
      </w:r>
    </w:p>
    <w:p w14:paraId="1633A3E8"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FF0000"/>
          <w:sz w:val="24"/>
          <w:szCs w:val="24"/>
        </w:rPr>
      </w:pPr>
      <w:r>
        <w:rPr>
          <w:rFonts w:ascii="Times New Roman" w:hAnsi="Times New Roman" w:cs="Times New Roman"/>
          <w:color w:val="000000" w:themeColor="text1"/>
          <w:sz w:val="24"/>
          <w:szCs w:val="24"/>
        </w:rPr>
        <w:t>пЧКВ — первичное чрескожное коронарное вмешательство</w:t>
      </w:r>
    </w:p>
    <w:p w14:paraId="5623AFF4"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FF0000"/>
          <w:sz w:val="24"/>
          <w:szCs w:val="24"/>
        </w:rPr>
      </w:pPr>
      <w:r>
        <w:rPr>
          <w:rFonts w:ascii="Times New Roman" w:hAnsi="Times New Roman" w:cs="Times New Roman"/>
          <w:color w:val="000000" w:themeColor="text1"/>
          <w:sz w:val="24"/>
          <w:szCs w:val="24"/>
        </w:rPr>
        <w:t>рСКФ — расчётная скорость клубочковой фильтрации</w:t>
      </w:r>
    </w:p>
    <w:p w14:paraId="32221815"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СВЛ — стент, выделяющий лекарственное средство (стент для коронарных артерий выделяющий лекарственное средство, полностью рассасывающийся; стент для коронарных артерий, выделяющий лекарственное средство, с рассасывающимся полимерным покрытием; стент для коронарных артерий, выделяющий лекарственное средство, с нерассасывающимся полимерным покрытием)</w:t>
      </w:r>
    </w:p>
    <w:p w14:paraId="61029B71"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СД — сахарный диабет</w:t>
      </w:r>
    </w:p>
    <w:p w14:paraId="3C1238A2"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СИ — сердечный индекс</w:t>
      </w:r>
    </w:p>
    <w:p w14:paraId="22137EFD"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СМП — скорая медицинская помощь</w:t>
      </w:r>
    </w:p>
    <w:p w14:paraId="60FB651C"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СН — сердечная недостаточность</w:t>
      </w:r>
    </w:p>
    <w:p w14:paraId="2762BBAA"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ТЭЛА — тромбоэмболия легочных артерий</w:t>
      </w:r>
    </w:p>
    <w:p w14:paraId="11C63018"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ТЛТ — тромболитическая терапия (син.: внутривенное введение лекарственных препаратов для тромболитической терапии)</w:t>
      </w:r>
    </w:p>
    <w:p w14:paraId="7B2FB932" w14:textId="1B4DE1FA" w:rsidR="004C062E" w:rsidRDefault="00F52FCA"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Уровень достоверности докзательств</w:t>
      </w:r>
      <w:r w:rsidR="002C7340">
        <w:rPr>
          <w:rFonts w:ascii="Times New Roman" w:hAnsi="Times New Roman" w:cs="Times New Roman"/>
          <w:color w:val="000000" w:themeColor="text1"/>
          <w:sz w:val="24"/>
          <w:szCs w:val="24"/>
        </w:rPr>
        <w:t> — уровень достоверности доказательств</w:t>
      </w:r>
    </w:p>
    <w:p w14:paraId="70E0A102"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УЗИ — ультразвуковое исследование</w:t>
      </w:r>
    </w:p>
    <w:p w14:paraId="748DAEA7" w14:textId="08C45532" w:rsidR="004C062E" w:rsidRDefault="00790E4F"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УУР</w:t>
      </w:r>
      <w:r w:rsidR="002C7340">
        <w:rPr>
          <w:rFonts w:ascii="Times New Roman" w:hAnsi="Times New Roman" w:cs="Times New Roman"/>
          <w:color w:val="000000" w:themeColor="text1"/>
          <w:sz w:val="24"/>
          <w:szCs w:val="24"/>
        </w:rPr>
        <w:t> — уровень убедительности рекомендаций</w:t>
      </w:r>
    </w:p>
    <w:p w14:paraId="7A723047"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ФВ — фракция выброса</w:t>
      </w:r>
    </w:p>
    <w:p w14:paraId="09B31E7D"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ФЖ — фибрилляция желудочков</w:t>
      </w:r>
    </w:p>
    <w:p w14:paraId="37A55D47"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ФК — функциональный класс</w:t>
      </w:r>
    </w:p>
    <w:p w14:paraId="5DF84BA7"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ФРК — фракционный резерв коронарного кровотока</w:t>
      </w:r>
    </w:p>
    <w:p w14:paraId="197B1DDC"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ФП — фибрилляция предсердий</w:t>
      </w:r>
    </w:p>
    <w:p w14:paraId="233552BF"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ХБП — хроническая болезнь почек</w:t>
      </w:r>
    </w:p>
    <w:p w14:paraId="4FB42A59"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ХС — холестерин</w:t>
      </w:r>
    </w:p>
    <w:p w14:paraId="4DC984AE"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ХСН — хроническая сердечная недостаточность</w:t>
      </w:r>
    </w:p>
    <w:p w14:paraId="46F3D3B6"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ЦВД — центральное венозное давление</w:t>
      </w:r>
    </w:p>
    <w:p w14:paraId="130DD86B"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ЧКВ — чрескожное коронарное вмешательство (транслюминальная баллонная ангиопластика коронарных артерий; стентирование коронарных артерий; транслюминальная баллонная ангиопластика и ст</w:t>
      </w:r>
      <w:r w:rsidR="001A63A7">
        <w:rPr>
          <w:rFonts w:ascii="Times New Roman" w:hAnsi="Times New Roman" w:cs="Times New Roman"/>
          <w:color w:val="000000" w:themeColor="text1"/>
          <w:sz w:val="24"/>
          <w:szCs w:val="24"/>
        </w:rPr>
        <w:t>ентирование коронарных артерий</w:t>
      </w:r>
      <w:r>
        <w:rPr>
          <w:rFonts w:ascii="Times New Roman" w:hAnsi="Times New Roman" w:cs="Times New Roman"/>
          <w:color w:val="000000" w:themeColor="text1"/>
          <w:sz w:val="24"/>
          <w:szCs w:val="24"/>
        </w:rPr>
        <w:t>)</w:t>
      </w:r>
    </w:p>
    <w:p w14:paraId="1534388C"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ЧКВ-ц — центр с возможностью проведения чрескожного коронарного вмешательства</w:t>
      </w:r>
    </w:p>
    <w:p w14:paraId="0F6A04C4"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ЧСС — частота сердечных сокращений</w:t>
      </w:r>
    </w:p>
    <w:p w14:paraId="714585A1"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ЭКГ — электрокардиография (син.: регистрация электрокардиограммы), электрокардиограмма</w:t>
      </w:r>
    </w:p>
    <w:p w14:paraId="132454B2"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ЭКМО — экстракорпоральная мембранная оксигенация</w:t>
      </w:r>
    </w:p>
    <w:p w14:paraId="73D1F705"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ЭКС — электрокардиостимулятор </w:t>
      </w:r>
    </w:p>
    <w:p w14:paraId="58FE6A29"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ЭхоКГ— эхокардиография</w:t>
      </w:r>
    </w:p>
    <w:p w14:paraId="333B7DBD"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NYHA — New York Heart Association (</w:t>
      </w:r>
      <w:r>
        <w:rPr>
          <w:rFonts w:ascii="Times New Roman" w:hAnsi="Times New Roman" w:cs="Times New Roman"/>
          <w:color w:val="000000" w:themeColor="text1"/>
          <w:sz w:val="24"/>
          <w:szCs w:val="24"/>
        </w:rPr>
        <w:t>Нью</w:t>
      </w:r>
      <w:r>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rPr>
        <w:t>Йоркскаяассоциациясердца</w:t>
      </w:r>
      <w:r>
        <w:rPr>
          <w:rFonts w:ascii="Times New Roman" w:hAnsi="Times New Roman" w:cs="Times New Roman"/>
          <w:color w:val="000000" w:themeColor="text1"/>
          <w:sz w:val="24"/>
          <w:szCs w:val="24"/>
          <w:lang w:val="en-US"/>
        </w:rPr>
        <w:t>)</w:t>
      </w:r>
    </w:p>
    <w:p w14:paraId="0C538325"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парциальное давление кислорода в артериальной крови</w:t>
      </w:r>
    </w:p>
    <w:p w14:paraId="7ADAE0DA" w14:textId="77777777" w:rsidR="004C062E"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PCSK9 — proproteinconvertasesubtilisin/kexintype 9 (пропротеиноваяконвертазасубтилизин-кексинового типа 9)</w:t>
      </w:r>
    </w:p>
    <w:p w14:paraId="39F11729" w14:textId="77777777" w:rsidR="004C062E" w:rsidRPr="00BA16A3" w:rsidRDefault="002C7340" w:rsidP="00A419DB">
      <w:pPr>
        <w:numPr>
          <w:ilvl w:val="0"/>
          <w:numId w:val="1"/>
        </w:numPr>
        <w:shd w:val="clear" w:color="auto" w:fill="FFFFFF"/>
        <w:suppressAutoHyphens/>
        <w:spacing w:before="100" w:beforeAutospacing="1" w:after="100" w:afterAutospacing="1" w:line="360" w:lineRule="auto"/>
        <w:ind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SpO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уровень насыщения крови кислородом (сатурация кров</w:t>
      </w:r>
      <w:r w:rsidR="00BA16A3">
        <w:rPr>
          <w:rFonts w:ascii="Times New Roman" w:hAnsi="Times New Roman" w:cs="Times New Roman"/>
          <w:color w:val="000000" w:themeColor="text1"/>
          <w:sz w:val="24"/>
          <w:szCs w:val="24"/>
        </w:rPr>
        <w:t>и), определяемый пульсоксиметром.</w:t>
      </w:r>
    </w:p>
    <w:p w14:paraId="7112656B" w14:textId="77777777" w:rsidR="004C062E" w:rsidRDefault="002C7340" w:rsidP="00A419DB">
      <w:pPr>
        <w:pStyle w:val="10"/>
        <w:suppressAutoHyphens/>
        <w:spacing w:before="0" w:line="360" w:lineRule="auto"/>
        <w:ind w:firstLineChars="295" w:firstLine="711"/>
        <w:contextualSpacing/>
        <w:jc w:val="center"/>
        <w:rPr>
          <w:rFonts w:ascii="Times New Roman" w:hAnsi="Times New Roman" w:cs="Times New Roman"/>
          <w:color w:val="000000" w:themeColor="text1"/>
          <w:sz w:val="24"/>
          <w:szCs w:val="24"/>
        </w:rPr>
      </w:pPr>
      <w:bookmarkStart w:id="1" w:name="_Toc236138910"/>
      <w:r>
        <w:rPr>
          <w:rFonts w:ascii="Times New Roman" w:hAnsi="Times New Roman" w:cs="Times New Roman"/>
          <w:color w:val="000000" w:themeColor="text1"/>
          <w:sz w:val="24"/>
          <w:szCs w:val="24"/>
        </w:rPr>
        <w:t>Термины и определения</w:t>
      </w:r>
      <w:bookmarkEnd w:id="1"/>
    </w:p>
    <w:p w14:paraId="69C9BECB" w14:textId="77777777" w:rsidR="00DA307F" w:rsidRPr="00DA307F" w:rsidRDefault="002C7340" w:rsidP="00A419DB">
      <w:pPr>
        <w:pStyle w:val="af5"/>
        <w:shd w:val="clear" w:color="auto" w:fill="FFFFFF"/>
        <w:suppressAutoHyphens/>
        <w:spacing w:before="75" w:beforeAutospacing="0" w:after="225" w:afterAutospacing="0" w:line="360" w:lineRule="auto"/>
        <w:jc w:val="both"/>
      </w:pPr>
      <w:r>
        <w:rPr>
          <w:rStyle w:val="a7"/>
          <w:rFonts w:eastAsiaTheme="majorEastAsia"/>
          <w:color w:val="000000" w:themeColor="text1"/>
        </w:rPr>
        <w:t>Доказательная медицина</w:t>
      </w:r>
      <w:r>
        <w:rPr>
          <w:color w:val="000000" w:themeColor="text1"/>
        </w:rPr>
        <w:t> — надлежащее, последовательное и осмысленное использование современных наилучших доказательств (результатов клинических исследований) в процессе принятия решений о состоянии здоровья и лечении пациента</w:t>
      </w:r>
      <w:r w:rsidR="00DA307F" w:rsidRPr="00DA307F">
        <w:t>.</w:t>
      </w:r>
    </w:p>
    <w:p w14:paraId="7BA95493"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Заболевание</w:t>
      </w:r>
      <w:r>
        <w:rPr>
          <w:color w:val="000000" w:themeColor="text1"/>
        </w:rPr>
        <w:t>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w:t>
      </w:r>
      <w:hyperlink r:id="rId9" w:history="1">
        <w:r>
          <w:rPr>
            <w:rStyle w:val="a6"/>
            <w:rFonts w:eastAsiaTheme="majorEastAsia"/>
            <w:color w:val="000000" w:themeColor="text1"/>
            <w:vertAlign w:val="superscript"/>
          </w:rPr>
          <w:t>1</w:t>
        </w:r>
      </w:hyperlink>
      <w:r>
        <w:rPr>
          <w:color w:val="000000" w:themeColor="text1"/>
        </w:rPr>
        <w:t>.</w:t>
      </w:r>
    </w:p>
    <w:p w14:paraId="2A1E7BA6" w14:textId="77777777" w:rsidR="004C062E" w:rsidRDefault="002C7340" w:rsidP="00A419DB">
      <w:pPr>
        <w:pStyle w:val="af5"/>
        <w:shd w:val="clear" w:color="auto" w:fill="FFFFFF"/>
        <w:suppressAutoHyphens/>
        <w:spacing w:before="75" w:beforeAutospacing="0" w:after="225" w:afterAutospacing="0" w:line="360" w:lineRule="auto"/>
        <w:jc w:val="both"/>
        <w:rPr>
          <w:color w:val="FF0000"/>
        </w:rPr>
      </w:pPr>
      <w:r>
        <w:rPr>
          <w:rStyle w:val="a7"/>
          <w:rFonts w:eastAsiaTheme="majorEastAsia"/>
          <w:color w:val="000000" w:themeColor="text1"/>
        </w:rPr>
        <w:t>Исход</w:t>
      </w:r>
      <w:r>
        <w:rPr>
          <w:color w:val="000000" w:themeColor="text1"/>
        </w:rPr>
        <w:t> — любой возможный результат, возникающий от воздействия причинного фактора, профилактического или терапевтического вмешательства, все установленные изменения состояния здоровья, возникающие как следствие вмешательства</w:t>
      </w:r>
      <w:r w:rsidR="00F935F8">
        <w:rPr>
          <w:color w:val="000000" w:themeColor="text1"/>
        </w:rPr>
        <w:t>.</w:t>
      </w:r>
    </w:p>
    <w:p w14:paraId="6E7A46AD" w14:textId="77777777" w:rsidR="004C062E" w:rsidRPr="00F935F8" w:rsidRDefault="002C7340" w:rsidP="00A419DB">
      <w:pPr>
        <w:pStyle w:val="af5"/>
        <w:shd w:val="clear" w:color="auto" w:fill="FFFFFF"/>
        <w:suppressAutoHyphens/>
        <w:spacing w:before="75" w:beforeAutospacing="0" w:after="225" w:afterAutospacing="0" w:line="360" w:lineRule="auto"/>
        <w:jc w:val="both"/>
        <w:rPr>
          <w:color w:val="000000" w:themeColor="text1"/>
          <w:vertAlign w:val="subscript"/>
        </w:rPr>
      </w:pPr>
      <w:r>
        <w:rPr>
          <w:rStyle w:val="a7"/>
          <w:rFonts w:eastAsiaTheme="majorEastAsia"/>
          <w:color w:val="000000" w:themeColor="text1"/>
        </w:rPr>
        <w:t>Клиническое исследование</w:t>
      </w:r>
      <w:r>
        <w:rPr>
          <w:color w:val="000000" w:themeColor="text1"/>
        </w:rPr>
        <w:t> — любое исследование, проводимое с участием человека в качестве субъекта для выявления или подтверждения клинических и/или фармакологических эффектов исследуемых продуктов и/или выявления нежелательных реакций на исследуемые продукты, и/или изучения их всасывания, распределения, метаболизма и выведения с целью оценить их безопасность и/или эффективность. Термины "клиническое испытание" и "клиническое исследование" являются синонимами</w:t>
      </w:r>
      <w:r w:rsidR="00F935F8">
        <w:rPr>
          <w:rFonts w:eastAsiaTheme="majorEastAsia"/>
          <w:vertAlign w:val="subscript"/>
        </w:rPr>
        <w:t>.</w:t>
      </w:r>
    </w:p>
    <w:p w14:paraId="63F63D9A"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Медицинское вмешательство</w:t>
      </w:r>
      <w:r>
        <w:rPr>
          <w:color w:val="000000" w:themeColor="text1"/>
        </w:rPr>
        <w:t>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диагностическую, лечебную, реабилитационную или исследовательскую направленность виды медицинских обследований и/или медицинских манипуляций, а также искусственное прерывание беременности</w:t>
      </w:r>
      <w:hyperlink r:id="rId10" w:history="1">
        <w:r>
          <w:rPr>
            <w:rStyle w:val="a6"/>
            <w:rFonts w:eastAsiaTheme="majorEastAsia"/>
            <w:color w:val="000000" w:themeColor="text1"/>
            <w:vertAlign w:val="superscript"/>
          </w:rPr>
          <w:t>1</w:t>
        </w:r>
      </w:hyperlink>
      <w:r>
        <w:rPr>
          <w:color w:val="000000" w:themeColor="text1"/>
        </w:rPr>
        <w:t>.</w:t>
      </w:r>
    </w:p>
    <w:p w14:paraId="78A6265E"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Механический протез клапана сердца</w:t>
      </w:r>
      <w:r>
        <w:rPr>
          <w:color w:val="000000" w:themeColor="text1"/>
        </w:rPr>
        <w:t> — протез аортального клапана механический двустворчатый; протез митрального клапана механический двустворчатый; протез аортального клапана механический двустворчатый в сочетании с протезом аорты из биологического полимера.</w:t>
      </w:r>
    </w:p>
    <w:p w14:paraId="191AD3CB"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lastRenderedPageBreak/>
        <w:t>Неинвазивные стресс-тесты</w:t>
      </w:r>
      <w:r>
        <w:rPr>
          <w:color w:val="000000" w:themeColor="text1"/>
        </w:rPr>
        <w:t> — ЭКГ с физической нагрузкой, ЭКГ с применением лекарственных препаратов, эхокардиография (ЭхоКГ) с физической нагрузкой, ЭхоКГ с фармакологической нагрузкой, сцинтиграфия миокарда с функциональными пробами, однофотонная эмиссионная компьютерная томография (КТ) миокарда перфузионная с функциональными пробами.</w:t>
      </w:r>
    </w:p>
    <w:p w14:paraId="353BDF19"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Операция коронарного шунтирования</w:t>
      </w:r>
      <w:r>
        <w:rPr>
          <w:color w:val="000000" w:themeColor="text1"/>
        </w:rPr>
        <w:t> (КШ) — наложение обходного анастомоза, позволяющего улучшить кровоток дистальнее гемодинамически значимого стеноза коронарной артерии (КА). В зависимости от методики включает аортокоронарное, маммарокоронарное и другие виды шунтирования.</w:t>
      </w:r>
    </w:p>
    <w:p w14:paraId="54EA9F71"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Острое повреждение миокарда</w:t>
      </w:r>
      <w:r>
        <w:rPr>
          <w:color w:val="000000" w:themeColor="text1"/>
        </w:rPr>
        <w:t xml:space="preserve"> — повышение и/или снижение концентрации сердечного тропонина в крови </w:t>
      </w:r>
      <w:hyperlink r:id="rId11" w:history="1">
        <w:r>
          <w:rPr>
            <w:rStyle w:val="a6"/>
            <w:rFonts w:eastAsiaTheme="majorEastAsia"/>
            <w:color w:val="000000" w:themeColor="text1"/>
          </w:rPr>
          <w:t>[2]</w:t>
        </w:r>
      </w:hyperlink>
      <w:r>
        <w:rPr>
          <w:color w:val="000000" w:themeColor="text1"/>
        </w:rPr>
        <w:t>.</w:t>
      </w:r>
    </w:p>
    <w:p w14:paraId="47F39854"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Острый ИМ</w:t>
      </w:r>
      <w:r>
        <w:rPr>
          <w:color w:val="000000" w:themeColor="text1"/>
        </w:rPr>
        <w:t> — острое повреждение миокарда вследствие его ишемии </w:t>
      </w:r>
      <w:hyperlink r:id="rId12" w:history="1">
        <w:r>
          <w:rPr>
            <w:rStyle w:val="a6"/>
            <w:rFonts w:eastAsiaTheme="majorEastAsia"/>
            <w:color w:val="000000" w:themeColor="text1"/>
          </w:rPr>
          <w:t>[2]</w:t>
        </w:r>
      </w:hyperlink>
      <w:r>
        <w:rPr>
          <w:color w:val="000000" w:themeColor="text1"/>
        </w:rPr>
        <w:t>.</w:t>
      </w:r>
    </w:p>
    <w:p w14:paraId="6727A608"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Острый коронарный синдром</w:t>
      </w:r>
      <w:r>
        <w:rPr>
          <w:color w:val="000000" w:themeColor="text1"/>
        </w:rPr>
        <w:t> (ОКС) — термин, обозначающий любую группу клинических признаков или симптомов, позволяющих подозревать острый ИМ или нестабильную стенокардию (НС).</w:t>
      </w:r>
    </w:p>
    <w:p w14:paraId="771960BD"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Острый коронарный синдром со стойким подъемом сегмента ST на ЭКГ</w:t>
      </w:r>
      <w:r>
        <w:rPr>
          <w:color w:val="000000" w:themeColor="text1"/>
        </w:rPr>
        <w:t> (ОКСпST) — остро возникшие клинические признаки или симптомы ишемии миокарда в сочетании с наличием стойкого (длительностью &gt;20 мин) подъема сегмента ST как минимум в двух смежных отведениях ЭКГ.</w:t>
      </w:r>
    </w:p>
    <w:p w14:paraId="23A118B7"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Постинфарктная стенокардия</w:t>
      </w:r>
      <w:r>
        <w:rPr>
          <w:color w:val="000000" w:themeColor="text1"/>
        </w:rPr>
        <w:t> — стенокардия, возникшая в первые 2 нед. от начала ИМ.</w:t>
      </w:r>
    </w:p>
    <w:p w14:paraId="763DE73D"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Реваскуляризация</w:t>
      </w:r>
      <w:r>
        <w:rPr>
          <w:color w:val="000000" w:themeColor="text1"/>
        </w:rPr>
        <w:t> — выполнение процедур, входящих в понятия чрескожное коронарное вмешательство (ЧКВ) и/или КШ, в любых сочетаниях.</w:t>
      </w:r>
    </w:p>
    <w:p w14:paraId="3FDD094B"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Ресинхронизирующая терапия</w:t>
      </w:r>
      <w:r>
        <w:rPr>
          <w:color w:val="000000" w:themeColor="text1"/>
        </w:rPr>
        <w:t> — имплантация пациенту специального бивентрикулярного (трехкамерного) электрокардиостимулятора для ресинхронизации сердечных сокращений (кардиовертера-дефибриллятора (КВД) имплантируемого трехкамерного (бивентрикулярного) (CRT-D); электрокардиостимулятора имплантируемого трехкамерного (бивентрикулярного), электростимулятора имплантируемого трехкамерного (бивентрикулярного), МРТ совместимого (CRT-P)).</w:t>
      </w:r>
    </w:p>
    <w:p w14:paraId="1DBA5F16"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lastRenderedPageBreak/>
        <w:t>Стент без лекарственного покрытия</w:t>
      </w:r>
      <w:r>
        <w:rPr>
          <w:color w:val="000000" w:themeColor="text1"/>
        </w:rPr>
        <w:t> — стент для КА металлический непокрытый; представляет собой металлический каркас из биологически инертного материала.</w:t>
      </w:r>
    </w:p>
    <w:p w14:paraId="11DE847E"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Стент, выделяющий лекарство </w:t>
      </w:r>
      <w:r>
        <w:rPr>
          <w:color w:val="000000" w:themeColor="text1"/>
        </w:rPr>
        <w:t>(СВЛ) — стент для КА, из структур которого в течение определенного времени после установки выделяется антипролиферативное вещество, препятствующее образованию неоинтимы и за счет этого способствующее профилактике повторного стенозирования.</w:t>
      </w:r>
    </w:p>
    <w:p w14:paraId="208DA3C7" w14:textId="3F5F82CC"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Уровень достоверности доказательств</w:t>
      </w:r>
      <w:r>
        <w:rPr>
          <w:color w:val="000000" w:themeColor="text1"/>
        </w:rPr>
        <w:t> (</w:t>
      </w:r>
      <w:r w:rsidR="00F52FCA">
        <w:rPr>
          <w:color w:val="000000" w:themeColor="text1"/>
        </w:rPr>
        <w:t>Уровень достоверности докзательств</w:t>
      </w:r>
      <w:r>
        <w:rPr>
          <w:color w:val="000000" w:themeColor="text1"/>
        </w:rPr>
        <w:t>) — степень уверенности в том, что найденный эффект от применения медицинского вмешательства является истинным</w:t>
      </w:r>
      <w:hyperlink r:id="rId13" w:history="1">
        <w:r>
          <w:rPr>
            <w:rStyle w:val="a6"/>
            <w:rFonts w:eastAsiaTheme="majorEastAsia"/>
            <w:color w:val="000000" w:themeColor="text1"/>
            <w:vertAlign w:val="superscript"/>
          </w:rPr>
          <w:t>3</w:t>
        </w:r>
      </w:hyperlink>
      <w:r>
        <w:rPr>
          <w:color w:val="000000" w:themeColor="text1"/>
        </w:rPr>
        <w:t>.</w:t>
      </w:r>
    </w:p>
    <w:p w14:paraId="74D0C023" w14:textId="3410502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Уровень убедительности рекомендаций</w:t>
      </w:r>
      <w:r>
        <w:rPr>
          <w:color w:val="000000" w:themeColor="text1"/>
        </w:rPr>
        <w:t> (</w:t>
      </w:r>
      <w:r w:rsidR="00F52FCA">
        <w:rPr>
          <w:color w:val="000000" w:themeColor="text1"/>
        </w:rPr>
        <w:t>Уровень убедительности рекомендаций</w:t>
      </w:r>
      <w:r>
        <w:rPr>
          <w:color w:val="000000" w:themeColor="text1"/>
        </w:rPr>
        <w:t>) — степень уверенности в достоверности эффекта вмешательства и в том, что следование рекомендациям принесет больше пользы, чем вреда в конкретной ситуации</w:t>
      </w:r>
      <w:hyperlink r:id="rId14" w:history="1">
        <w:r>
          <w:rPr>
            <w:rStyle w:val="a6"/>
            <w:rFonts w:eastAsiaTheme="majorEastAsia"/>
            <w:color w:val="000000" w:themeColor="text1"/>
            <w:vertAlign w:val="superscript"/>
          </w:rPr>
          <w:t>3</w:t>
        </w:r>
      </w:hyperlink>
      <w:r>
        <w:rPr>
          <w:color w:val="000000" w:themeColor="text1"/>
        </w:rPr>
        <w:t>.</w:t>
      </w:r>
    </w:p>
    <w:p w14:paraId="0767FD6C"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Хирургическое лечение</w:t>
      </w:r>
      <w:r>
        <w:rPr>
          <w:color w:val="000000" w:themeColor="text1"/>
        </w:rPr>
        <w:t> — метод лечения заболеваний путём разъединения и соединения тканей в ходе хирургической операции.</w:t>
      </w:r>
    </w:p>
    <w:p w14:paraId="3B71D1B4"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Чрескожное коронарное вмешательство</w:t>
      </w:r>
      <w:r>
        <w:rPr>
          <w:color w:val="000000" w:themeColor="text1"/>
        </w:rPr>
        <w:t> (ЧКВ) — восстановление кровотока в стенозированном участке КА с использованием чрескожного введения необходимых для этого устройств.</w:t>
      </w:r>
    </w:p>
    <w:p w14:paraId="1886CC72"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Этапная реваскуляризация</w:t>
      </w:r>
      <w:r>
        <w:rPr>
          <w:color w:val="000000" w:themeColor="text1"/>
        </w:rPr>
        <w:t> — последовательное (т. е. не одновременное с реваскуляризацией проблемного сегмента КА, ответственного за данный ИМпST) выполнение процедур, входящих в понятия ЧКВ и/или КШ, в любых сочетаниях, во время индексной госпитализации или после нее с целью полной или максимально возможной реваскуляризации коронарного русла.</w:t>
      </w:r>
    </w:p>
    <w:p w14:paraId="5D677660" w14:textId="61861954"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CHA</w:t>
      </w:r>
      <w:r>
        <w:rPr>
          <w:rStyle w:val="a7"/>
          <w:rFonts w:eastAsiaTheme="majorEastAsia"/>
          <w:color w:val="000000" w:themeColor="text1"/>
          <w:vertAlign w:val="subscript"/>
        </w:rPr>
        <w:t>2</w:t>
      </w:r>
      <w:r>
        <w:rPr>
          <w:rStyle w:val="a7"/>
          <w:rFonts w:eastAsiaTheme="majorEastAsia"/>
          <w:color w:val="000000" w:themeColor="text1"/>
        </w:rPr>
        <w:t>DS</w:t>
      </w:r>
      <w:r>
        <w:rPr>
          <w:rStyle w:val="a7"/>
          <w:rFonts w:eastAsiaTheme="majorEastAsia"/>
          <w:color w:val="000000" w:themeColor="text1"/>
          <w:vertAlign w:val="subscript"/>
        </w:rPr>
        <w:t>2</w:t>
      </w:r>
      <w:r>
        <w:rPr>
          <w:rStyle w:val="a7"/>
          <w:rFonts w:eastAsiaTheme="majorEastAsia"/>
          <w:color w:val="000000" w:themeColor="text1"/>
        </w:rPr>
        <w:t>-VASc</w:t>
      </w:r>
      <w:r>
        <w:rPr>
          <w:color w:val="000000" w:themeColor="text1"/>
        </w:rPr>
        <w:t> — шкала риска ишемического инсульта при фибрилляции предсердий (ФП) у пациентов без механического протеза клапанов сердца и умеренного/тяжелого митрального стеноза.</w:t>
      </w:r>
    </w:p>
    <w:p w14:paraId="653525CD" w14:textId="77777777" w:rsidR="004C062E" w:rsidRDefault="002C7340" w:rsidP="00A419DB">
      <w:pPr>
        <w:pStyle w:val="10"/>
        <w:suppressAutoHyphens/>
        <w:spacing w:before="0" w:line="360" w:lineRule="auto"/>
        <w:ind w:firstLineChars="295" w:firstLine="711"/>
        <w:contextualSpacing/>
        <w:jc w:val="center"/>
        <w:rPr>
          <w:rFonts w:ascii="Times New Roman" w:hAnsi="Times New Roman" w:cs="Times New Roman"/>
          <w:color w:val="000000" w:themeColor="text1"/>
          <w:sz w:val="24"/>
          <w:szCs w:val="24"/>
        </w:rPr>
      </w:pPr>
      <w:bookmarkStart w:id="2" w:name="_Toc236138911"/>
      <w:r>
        <w:rPr>
          <w:rFonts w:ascii="Times New Roman" w:hAnsi="Times New Roman" w:cs="Times New Roman"/>
          <w:color w:val="000000" w:themeColor="text1"/>
          <w:sz w:val="24"/>
          <w:szCs w:val="24"/>
        </w:rPr>
        <w:t>1. Краткая информация.</w:t>
      </w:r>
      <w:bookmarkEnd w:id="2"/>
    </w:p>
    <w:p w14:paraId="42F81D03" w14:textId="77777777" w:rsidR="004C062E" w:rsidRDefault="002C7340" w:rsidP="00A419DB">
      <w:pPr>
        <w:pStyle w:val="20"/>
        <w:suppressAutoHyphens/>
        <w:spacing w:before="0" w:line="360" w:lineRule="auto"/>
        <w:ind w:firstLineChars="295" w:firstLine="711"/>
        <w:contextualSpacing/>
        <w:jc w:val="center"/>
        <w:rPr>
          <w:rFonts w:ascii="Times New Roman" w:hAnsi="Times New Roman" w:cs="Times New Roman"/>
          <w:color w:val="000000" w:themeColor="text1"/>
          <w:sz w:val="24"/>
          <w:szCs w:val="24"/>
        </w:rPr>
      </w:pPr>
      <w:bookmarkStart w:id="3" w:name="_Toc236138912"/>
      <w:r>
        <w:rPr>
          <w:rFonts w:ascii="Times New Roman" w:hAnsi="Times New Roman" w:cs="Times New Roman"/>
          <w:color w:val="000000" w:themeColor="text1"/>
          <w:sz w:val="24"/>
          <w:szCs w:val="24"/>
        </w:rPr>
        <w:t>1.1. Определение.</w:t>
      </w:r>
      <w:bookmarkEnd w:id="3"/>
    </w:p>
    <w:p w14:paraId="437DD960" w14:textId="77777777" w:rsidR="004C062E" w:rsidRDefault="002C7340" w:rsidP="00A419DB">
      <w:pPr>
        <w:pStyle w:val="af5"/>
        <w:shd w:val="clear" w:color="auto" w:fill="FFFFFF"/>
        <w:suppressAutoHyphens/>
        <w:spacing w:before="75" w:beforeAutospacing="0" w:after="225" w:afterAutospacing="0" w:line="360" w:lineRule="auto"/>
        <w:jc w:val="both"/>
        <w:rPr>
          <w:szCs w:val="26"/>
        </w:rPr>
      </w:pPr>
      <w:r>
        <w:rPr>
          <w:rStyle w:val="a7"/>
          <w:rFonts w:eastAsiaTheme="majorEastAsia"/>
          <w:szCs w:val="26"/>
        </w:rPr>
        <w:t>ОКС</w:t>
      </w:r>
      <w:r>
        <w:rPr>
          <w:szCs w:val="26"/>
        </w:rPr>
        <w:t xml:space="preserve"> — термин, обозначающий любую группу клинических признаков или симптомов, позволяющих подозревать ИМ или НС. Термин "ОКС" используется, когда недостаточно диагностических критериев для нозологического диагноза ("ИМ" или "НС") и, </w:t>
      </w:r>
      <w:r>
        <w:rPr>
          <w:szCs w:val="26"/>
        </w:rPr>
        <w:lastRenderedPageBreak/>
        <w:t xml:space="preserve">следовательно, представляет собой предварительный диагноз в первые часы и сутки заболевания, в то время как термины "ИМ" и "НС" используются при формулировании окончательного диагноза. Соответственно, термин "ОКС" может использоваться на догоспитальном или раннем госпитальном этапах и в дальнейшем трансформируется в диагноз "острый ИМ", "НС" либо, по результатам дифференциальной диагностики, — в любой другой диагноз, в т. ч. некардиологический. </w:t>
      </w:r>
    </w:p>
    <w:p w14:paraId="4E09172F"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color w:val="000000" w:themeColor="text1"/>
          <w:szCs w:val="26"/>
        </w:rPr>
        <w:t>ОКС может быть как проявлением дестабилизации хронического течения ишемической болезни сердца (ИБС), так и первым проявлением поражения коронарного русла у пациентов, не предъявлявших ранее каких-либо кардиологических жалоб.</w:t>
      </w:r>
    </w:p>
    <w:p w14:paraId="4DCB41B6"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color w:val="000000" w:themeColor="text1"/>
          <w:szCs w:val="26"/>
        </w:rPr>
        <w:t>ОКСпST — остро возникшие клинические признаки или симптомы ишемии миокарда в сочетании с наличием стойкого (длительностью &gt;20 мин) подъема сегмента ST как минимум в двух смежных отведениях ЭКГ или остро возникшей блокады ЛНПГ.</w:t>
      </w:r>
    </w:p>
    <w:p w14:paraId="09A4C294" w14:textId="77777777" w:rsidR="004C062E" w:rsidRDefault="002C7340" w:rsidP="00A419DB">
      <w:pPr>
        <w:pStyle w:val="af5"/>
        <w:shd w:val="clear" w:color="auto" w:fill="FFFFFF"/>
        <w:suppressAutoHyphens/>
        <w:spacing w:before="75" w:beforeAutospacing="0" w:after="225" w:afterAutospacing="0" w:line="360" w:lineRule="auto"/>
        <w:jc w:val="both"/>
        <w:rPr>
          <w:color w:val="FF0000"/>
          <w:szCs w:val="26"/>
        </w:rPr>
      </w:pPr>
      <w:r>
        <w:rPr>
          <w:rStyle w:val="a7"/>
          <w:rFonts w:eastAsiaTheme="majorEastAsia"/>
          <w:color w:val="000000" w:themeColor="text1"/>
          <w:szCs w:val="26"/>
        </w:rPr>
        <w:t>ИМ</w:t>
      </w:r>
      <w:r>
        <w:rPr>
          <w:color w:val="000000" w:themeColor="text1"/>
          <w:szCs w:val="26"/>
        </w:rPr>
        <w:t> — острое повреждение миокарда вследствие его ишемии. Для диагностики острого ИМ, не связанного с ЧКВ или операцией КШ, следует документировать повышение и/или снижение концентрац</w:t>
      </w:r>
      <w:r w:rsidR="001A63A7">
        <w:rPr>
          <w:color w:val="000000" w:themeColor="text1"/>
          <w:szCs w:val="26"/>
        </w:rPr>
        <w:t>ии сердечного тропонина в крови.</w:t>
      </w:r>
    </w:p>
    <w:p w14:paraId="10C96AFB"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color w:val="000000" w:themeColor="text1"/>
          <w:szCs w:val="26"/>
        </w:rPr>
        <w:t>Критерии ишемии миокарда:</w:t>
      </w:r>
    </w:p>
    <w:p w14:paraId="1A19D00A" w14:textId="77777777" w:rsidR="004C062E" w:rsidRDefault="002C7340" w:rsidP="00A419DB">
      <w:pPr>
        <w:numPr>
          <w:ilvl w:val="0"/>
          <w:numId w:val="2"/>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6"/>
        </w:rPr>
      </w:pPr>
      <w:r>
        <w:rPr>
          <w:rFonts w:ascii="Times New Roman" w:hAnsi="Times New Roman" w:cs="Times New Roman"/>
          <w:color w:val="000000" w:themeColor="text1"/>
          <w:sz w:val="24"/>
          <w:szCs w:val="26"/>
        </w:rPr>
        <w:t>остро возникшие (или предположительно остро возникшие) ишемические изменения на ЭКГ;</w:t>
      </w:r>
    </w:p>
    <w:p w14:paraId="6B4ED397" w14:textId="77777777" w:rsidR="004C062E" w:rsidRDefault="002C7340" w:rsidP="00A419DB">
      <w:pPr>
        <w:numPr>
          <w:ilvl w:val="0"/>
          <w:numId w:val="2"/>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6"/>
        </w:rPr>
      </w:pPr>
      <w:r>
        <w:rPr>
          <w:rFonts w:ascii="Times New Roman" w:hAnsi="Times New Roman" w:cs="Times New Roman"/>
          <w:color w:val="000000" w:themeColor="text1"/>
          <w:sz w:val="24"/>
          <w:szCs w:val="26"/>
        </w:rPr>
        <w:t>появление патологических зубцов Q на ЭКГ;</w:t>
      </w:r>
    </w:p>
    <w:p w14:paraId="4A183E64" w14:textId="77777777" w:rsidR="004C062E" w:rsidRDefault="002C7340" w:rsidP="00A419DB">
      <w:pPr>
        <w:numPr>
          <w:ilvl w:val="0"/>
          <w:numId w:val="2"/>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6"/>
        </w:rPr>
      </w:pPr>
      <w:r>
        <w:rPr>
          <w:rFonts w:ascii="Times New Roman" w:hAnsi="Times New Roman" w:cs="Times New Roman"/>
          <w:color w:val="000000" w:themeColor="text1"/>
          <w:sz w:val="24"/>
          <w:szCs w:val="26"/>
        </w:rPr>
        <w:t>подтверждение с помощью методов визуализации наличия новых участков миокарда с потерей жизнеспособности или нарушением локальной сократимости, характерных для ишемической этиологии;</w:t>
      </w:r>
    </w:p>
    <w:p w14:paraId="1F1E69F5"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color w:val="000000" w:themeColor="text1"/>
          <w:szCs w:val="26"/>
        </w:rPr>
        <w:t>Подробнее критерии ИМ представлены в Приложении А3. Критерии диагностики ИМ </w:t>
      </w:r>
      <w:hyperlink r:id="rId15" w:history="1">
        <w:r>
          <w:rPr>
            <w:rStyle w:val="a6"/>
            <w:rFonts w:eastAsiaTheme="majorEastAsia"/>
            <w:color w:val="000000" w:themeColor="text1"/>
            <w:szCs w:val="26"/>
          </w:rPr>
          <w:t>[2]</w:t>
        </w:r>
      </w:hyperlink>
      <w:r>
        <w:rPr>
          <w:color w:val="000000" w:themeColor="text1"/>
          <w:szCs w:val="26"/>
        </w:rPr>
        <w:t>.</w:t>
      </w:r>
    </w:p>
    <w:p w14:paraId="6CD3977F"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color w:val="000000" w:themeColor="text1"/>
          <w:szCs w:val="26"/>
        </w:rPr>
        <w:t>Изменения на ЭКГ, характерные для ишемии миокарда:</w:t>
      </w:r>
    </w:p>
    <w:p w14:paraId="0C67C585" w14:textId="77777777" w:rsidR="004C062E" w:rsidRDefault="002C7340" w:rsidP="00A419DB">
      <w:pPr>
        <w:numPr>
          <w:ilvl w:val="0"/>
          <w:numId w:val="3"/>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6"/>
        </w:rPr>
      </w:pPr>
      <w:r>
        <w:rPr>
          <w:rFonts w:ascii="Times New Roman" w:hAnsi="Times New Roman" w:cs="Times New Roman"/>
          <w:color w:val="000000" w:themeColor="text1"/>
          <w:sz w:val="24"/>
          <w:szCs w:val="26"/>
        </w:rPr>
        <w:t>Остро возникшие подъемы сегмента ST на уровне точки J как минимум в двух смежных отведениях ЭКГ ≥0,1 мВ во всех отведениях, за исключением отведений V</w:t>
      </w:r>
      <w:r>
        <w:rPr>
          <w:rFonts w:ascii="Times New Roman" w:hAnsi="Times New Roman" w:cs="Times New Roman"/>
          <w:color w:val="000000" w:themeColor="text1"/>
          <w:sz w:val="24"/>
          <w:szCs w:val="26"/>
          <w:vertAlign w:val="subscript"/>
        </w:rPr>
        <w:t>2</w:t>
      </w:r>
      <w:r>
        <w:rPr>
          <w:rFonts w:ascii="Times New Roman" w:hAnsi="Times New Roman" w:cs="Times New Roman"/>
          <w:color w:val="000000" w:themeColor="text1"/>
          <w:sz w:val="24"/>
          <w:szCs w:val="26"/>
        </w:rPr>
        <w:t>-V</w:t>
      </w:r>
      <w:r>
        <w:rPr>
          <w:rFonts w:ascii="Times New Roman" w:hAnsi="Times New Roman" w:cs="Times New Roman"/>
          <w:color w:val="000000" w:themeColor="text1"/>
          <w:sz w:val="24"/>
          <w:szCs w:val="26"/>
          <w:vertAlign w:val="subscript"/>
        </w:rPr>
        <w:t>3</w:t>
      </w:r>
      <w:r>
        <w:rPr>
          <w:rFonts w:ascii="Times New Roman" w:hAnsi="Times New Roman" w:cs="Times New Roman"/>
          <w:color w:val="000000" w:themeColor="text1"/>
          <w:sz w:val="24"/>
          <w:szCs w:val="26"/>
        </w:rPr>
        <w:t>, где элевация сегмента ST должна составлять ≥0,2 мВ у мужчин в возрасте 40 лет и старше, ≥0,25 мВ у мужчин моложе 40 лет или ≥0,15 мВ у женщин (при отсутствии гипертрофии левого желудочка (ЛЖ) или блокады ЛНПГ).</w:t>
      </w:r>
    </w:p>
    <w:p w14:paraId="041145D4" w14:textId="77777777" w:rsidR="004C062E" w:rsidRDefault="002C7340" w:rsidP="00A419DB">
      <w:pPr>
        <w:numPr>
          <w:ilvl w:val="0"/>
          <w:numId w:val="3"/>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6"/>
        </w:rPr>
      </w:pPr>
      <w:r>
        <w:rPr>
          <w:rFonts w:ascii="Times New Roman" w:hAnsi="Times New Roman" w:cs="Times New Roman"/>
          <w:color w:val="000000" w:themeColor="text1"/>
          <w:sz w:val="24"/>
          <w:szCs w:val="26"/>
        </w:rPr>
        <w:lastRenderedPageBreak/>
        <w:t>Остро возникшие горизонтальные или косонисходящие снижения сегмента ST ≥0,05 мВ как минимум в двух смежных отведениях ЭКГ и/или инверсии зубца Т &gt;0,1 мВ как минимум в двух смежных отведениях ЭКГ с доминирующим зубцом R или соотношением амплитуды зубцов R/S &gt;1 </w:t>
      </w:r>
      <w:hyperlink r:id="rId16" w:history="1">
        <w:r>
          <w:rPr>
            <w:rStyle w:val="a6"/>
            <w:rFonts w:ascii="Times New Roman" w:hAnsi="Times New Roman" w:cs="Times New Roman"/>
            <w:color w:val="000000" w:themeColor="text1"/>
            <w:sz w:val="24"/>
            <w:szCs w:val="26"/>
          </w:rPr>
          <w:t>[2]</w:t>
        </w:r>
      </w:hyperlink>
      <w:r>
        <w:rPr>
          <w:rFonts w:ascii="Times New Roman" w:hAnsi="Times New Roman" w:cs="Times New Roman"/>
          <w:color w:val="000000" w:themeColor="text1"/>
          <w:sz w:val="24"/>
          <w:szCs w:val="26"/>
        </w:rPr>
        <w:t>.</w:t>
      </w:r>
    </w:p>
    <w:p w14:paraId="25B08692"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7"/>
          <w:rFonts w:eastAsiaTheme="majorEastAsia"/>
          <w:color w:val="000000" w:themeColor="text1"/>
          <w:szCs w:val="26"/>
        </w:rPr>
        <w:t>ИМ со стойким подъемом сегмента ST на ЭКГ </w:t>
      </w:r>
      <w:r>
        <w:rPr>
          <w:color w:val="000000" w:themeColor="text1"/>
          <w:szCs w:val="26"/>
        </w:rPr>
        <w:t>(ИМпST) — ИМ, при котором в ранние сроки заболевания имеет место стойкий (длительностью &gt;20 мин) подъем сегмента ST как минимум в двух смежных отведениях ЭКГ. К этой категории также относят пациентов с остро возникшей блокадой ЛНПГ.</w:t>
      </w:r>
    </w:p>
    <w:p w14:paraId="00275D7E"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7"/>
          <w:rFonts w:eastAsiaTheme="majorEastAsia"/>
          <w:color w:val="000000" w:themeColor="text1"/>
          <w:szCs w:val="26"/>
        </w:rPr>
        <w:t>Постинфарктная стенокардия</w:t>
      </w:r>
      <w:r>
        <w:rPr>
          <w:color w:val="000000" w:themeColor="text1"/>
          <w:szCs w:val="26"/>
        </w:rPr>
        <w:t> — стенокардия, возникшая в первые 2 нед. от начала ИМ.</w:t>
      </w:r>
    </w:p>
    <w:p w14:paraId="38442328" w14:textId="0B186F44" w:rsidR="004C062E" w:rsidRPr="00A419DB" w:rsidRDefault="002C7340" w:rsidP="00A419DB">
      <w:pPr>
        <w:suppressAutoHyphens/>
        <w:rPr>
          <w:rFonts w:ascii="Times New Roman" w:eastAsia="Times New Roman" w:hAnsi="Times New Roman" w:cs="Times New Roman"/>
          <w:b/>
          <w:bCs/>
          <w:color w:val="FF0000"/>
          <w:sz w:val="24"/>
          <w:szCs w:val="24"/>
        </w:rPr>
      </w:pPr>
      <w:bookmarkStart w:id="4" w:name="_Toc236138913"/>
      <w:r w:rsidRPr="00A419DB">
        <w:rPr>
          <w:rFonts w:ascii="Times New Roman" w:hAnsi="Times New Roman" w:cs="Times New Roman"/>
          <w:b/>
          <w:bCs/>
          <w:color w:val="000000" w:themeColor="text1"/>
          <w:sz w:val="24"/>
          <w:szCs w:val="24"/>
        </w:rPr>
        <w:t>1.2. Этиология и патогенез.</w:t>
      </w:r>
      <w:bookmarkEnd w:id="4"/>
    </w:p>
    <w:p w14:paraId="29057F8D" w14:textId="77777777" w:rsidR="004C062E" w:rsidRDefault="002C7340" w:rsidP="00A419DB">
      <w:pPr>
        <w:shd w:val="clear" w:color="auto" w:fill="FFFFFF"/>
        <w:suppressAutoHyphens/>
        <w:spacing w:before="75" w:after="225" w:line="360" w:lineRule="auto"/>
        <w:jc w:val="both"/>
        <w:rPr>
          <w:rFonts w:ascii="Times New Roman" w:eastAsia="Times New Roman" w:hAnsi="Times New Roman" w:cs="Times New Roman"/>
          <w:color w:val="000000" w:themeColor="text1"/>
          <w:sz w:val="24"/>
          <w:szCs w:val="24"/>
        </w:rPr>
      </w:pPr>
      <w:bookmarkStart w:id="5" w:name="_Toc186110212"/>
      <w:r>
        <w:rPr>
          <w:rFonts w:ascii="Times New Roman" w:eastAsia="Times New Roman" w:hAnsi="Times New Roman" w:cs="Times New Roman"/>
          <w:color w:val="000000" w:themeColor="text1"/>
          <w:sz w:val="24"/>
          <w:szCs w:val="24"/>
        </w:rPr>
        <w:t>ИМ является следствием а</w:t>
      </w:r>
      <w:r w:rsidR="00582220">
        <w:rPr>
          <w:rFonts w:ascii="Times New Roman" w:eastAsia="Times New Roman" w:hAnsi="Times New Roman" w:cs="Times New Roman"/>
          <w:color w:val="000000" w:themeColor="text1"/>
          <w:sz w:val="24"/>
          <w:szCs w:val="24"/>
        </w:rPr>
        <w:t xml:space="preserve">теротромбоза крупной КА. Тромб </w:t>
      </w:r>
      <w:r>
        <w:rPr>
          <w:rFonts w:ascii="Times New Roman" w:eastAsia="Times New Roman" w:hAnsi="Times New Roman" w:cs="Times New Roman"/>
          <w:color w:val="000000" w:themeColor="text1"/>
          <w:sz w:val="24"/>
          <w:szCs w:val="24"/>
        </w:rPr>
        <w:t>формируется чаще всего на месте разрыва покрышки так называемой "уязвимой" (нестабильной) атеросклеротической бляшки (АСБ) — с большим липидным ядром, богатой воспалительными элементами и истонченной покрышкой, однако возможно образование окклюзирующего тромба и на дефекте эндотелия (эрозии) КА, не обязательно локализованном на поверхности АСБ. Нередко окклюзия развивается в месте гемодинамически незначимого стеноза КА, почти всегда имеется полная и стойкая тромботическая окклюзия крупной эпикардиальной артерии, вызывающая трансмуральную ишемию/повреждение/некроз миокарда.</w:t>
      </w:r>
    </w:p>
    <w:p w14:paraId="52FAFDFE" w14:textId="77777777" w:rsidR="004C062E" w:rsidRDefault="002C7340" w:rsidP="00A419DB">
      <w:pPr>
        <w:shd w:val="clear" w:color="auto" w:fill="FFFFFF"/>
        <w:suppressAutoHyphens/>
        <w:spacing w:before="75" w:after="225"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Тромб, расположенный на поверхности и даже в структурах АСБ, может быть источником эмболий в дистальное сосудистое русло сердца. Эмболизация микрососудов миокарда сама по себе может приводить к образованию мелких очагов некроза и/или способствовать расширению основного участка некроза. Ишемию миокарда могут спровоцировать или утяжелить анемия, гипоксемия, воспаление, инфекция, лихорадка, а также метаболические или эндокринные расстройства (в частности, гипертиреоз). Спазм, диссекция и тромбоз КА наряду с тахикардией и повышением артериального давления (АД) могут возникнуть при применении кокаина и некоторых других препаратов.</w:t>
      </w:r>
    </w:p>
    <w:p w14:paraId="01EED4D7" w14:textId="77777777" w:rsidR="004C062E" w:rsidRDefault="002C7340" w:rsidP="00A419DB">
      <w:pPr>
        <w:shd w:val="clear" w:color="auto" w:fill="FFFFFF"/>
        <w:suppressAutoHyphens/>
        <w:spacing w:before="75" w:after="225"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Количество погибающего и погибшего миокарда почти линейно связано с угрозой остановки кровообращения, вызванной асистолией сердца или фатальными желудочковыми аритмиям, прежде всего — ФП. Площадь и глубина некроза миокарда </w:t>
      </w:r>
      <w:r>
        <w:rPr>
          <w:rFonts w:ascii="Times New Roman" w:eastAsia="Times New Roman" w:hAnsi="Times New Roman" w:cs="Times New Roman"/>
          <w:color w:val="000000" w:themeColor="text1"/>
          <w:sz w:val="24"/>
          <w:szCs w:val="24"/>
        </w:rPr>
        <w:lastRenderedPageBreak/>
        <w:t>определяют риск развития еще одного потенциально фатального осложнения ИМпST — разрыва миокарда.</w:t>
      </w:r>
    </w:p>
    <w:p w14:paraId="4267EE3C" w14:textId="77777777" w:rsidR="004C062E" w:rsidRDefault="002C7340" w:rsidP="00A419DB">
      <w:pPr>
        <w:shd w:val="clear" w:color="auto" w:fill="FFFFFF"/>
        <w:suppressAutoHyphens/>
        <w:spacing w:before="75" w:after="225"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Следствием потери существенной части активного миокарда является процесс ремоделирования сердца. Образование очагов некроза в миокарде сопровождается изменением размера, формы и толщины стенки ЛЖ, а сохранившийся миокард испытывает повышенную нагрузку и подвергается гипертрофии. Насосная функция структурно и геометрически измененного ЛЖ ухудшается, что ведет к развитию сердечной недостаточности (СН). Наиболее неблагоприятным проявлением ремоделирования ЛЖ при ИМ считается формирование аневризмы ЛЖ, почти всегда — с явной СН, иногда — с образованием тромба в полости аневризмы с серьезной угрозой эмболий в сосуды большого круга кровообращения.</w:t>
      </w:r>
    </w:p>
    <w:p w14:paraId="282B3B22" w14:textId="77777777" w:rsidR="004C062E" w:rsidRDefault="002C7340" w:rsidP="00A419DB">
      <w:pPr>
        <w:pStyle w:val="20"/>
        <w:suppressAutoHyphens/>
        <w:spacing w:before="0" w:line="360" w:lineRule="auto"/>
        <w:ind w:firstLineChars="295" w:firstLine="711"/>
        <w:contextualSpacing/>
        <w:jc w:val="both"/>
        <w:rPr>
          <w:rFonts w:ascii="Times New Roman" w:hAnsi="Times New Roman" w:cs="Times New Roman"/>
          <w:color w:val="000000" w:themeColor="text1"/>
          <w:sz w:val="24"/>
          <w:szCs w:val="24"/>
        </w:rPr>
      </w:pPr>
      <w:bookmarkStart w:id="6" w:name="_Toc236138914"/>
      <w:r>
        <w:rPr>
          <w:rFonts w:ascii="Times New Roman" w:hAnsi="Times New Roman" w:cs="Times New Roman"/>
          <w:color w:val="000000" w:themeColor="text1"/>
          <w:sz w:val="24"/>
          <w:szCs w:val="24"/>
        </w:rPr>
        <w:t xml:space="preserve">1.3. </w:t>
      </w:r>
      <w:bookmarkEnd w:id="5"/>
      <w:r>
        <w:rPr>
          <w:rFonts w:ascii="Times New Roman" w:hAnsi="Times New Roman" w:cs="Times New Roman"/>
          <w:color w:val="000000" w:themeColor="text1"/>
          <w:sz w:val="24"/>
          <w:szCs w:val="24"/>
        </w:rPr>
        <w:t>Эпидемиология.</w:t>
      </w:r>
      <w:bookmarkEnd w:id="6"/>
    </w:p>
    <w:p w14:paraId="1D884ED6" w14:textId="77777777" w:rsidR="004C062E" w:rsidRDefault="002C7340" w:rsidP="00A419DB">
      <w:pPr>
        <w:suppressAutoHyphen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Болезни системы кровообращения (БСК) являются ведущей причиной смертей у взрослого населения. </w:t>
      </w:r>
      <w:r>
        <w:rPr>
          <w:rFonts w:ascii="Times New Roman" w:hAnsi="Times New Roman" w:cs="Times New Roman"/>
          <w:bCs/>
          <w:sz w:val="24"/>
          <w:szCs w:val="24"/>
        </w:rPr>
        <w:t xml:space="preserve">От болезней системы кровообращения (57,3% от общего числа умерших), в 2024 году умерло 3 320 человек, показатель на 100 тысяч населения составил 731,8 в 2023 году – 3358 умерших или 733,6 промилле; </w:t>
      </w:r>
    </w:p>
    <w:p w14:paraId="11452629" w14:textId="77777777" w:rsidR="004C062E" w:rsidRDefault="002C7340" w:rsidP="00A419DB">
      <w:pPr>
        <w:suppressAutoHyphens/>
        <w:spacing w:line="360" w:lineRule="auto"/>
        <w:jc w:val="both"/>
        <w:rPr>
          <w:rFonts w:ascii="Times New Roman" w:hAnsi="Times New Roman" w:cs="Times New Roman"/>
          <w:sz w:val="24"/>
          <w:szCs w:val="24"/>
        </w:rPr>
      </w:pPr>
      <w:r>
        <w:rPr>
          <w:rFonts w:ascii="Times New Roman" w:hAnsi="Times New Roman" w:cs="Times New Roman"/>
          <w:i/>
          <w:iCs/>
          <w:sz w:val="24"/>
          <w:szCs w:val="24"/>
        </w:rPr>
        <w:t xml:space="preserve">В структуре Болезненности (распространенности) </w:t>
      </w:r>
      <w:r>
        <w:rPr>
          <w:rFonts w:ascii="Times New Roman" w:hAnsi="Times New Roman" w:cs="Times New Roman"/>
          <w:sz w:val="24"/>
          <w:szCs w:val="24"/>
        </w:rPr>
        <w:t>болезни системы кровообращения звнимают</w:t>
      </w:r>
      <w:r>
        <w:rPr>
          <w:rFonts w:ascii="Times New Roman" w:hAnsi="Times New Roman" w:cs="Times New Roman"/>
          <w:sz w:val="24"/>
          <w:szCs w:val="24"/>
          <w:lang w:val="en-US"/>
        </w:rPr>
        <w:t>II</w:t>
      </w:r>
      <w:r>
        <w:rPr>
          <w:rFonts w:ascii="Times New Roman" w:hAnsi="Times New Roman" w:cs="Times New Roman"/>
          <w:sz w:val="24"/>
          <w:szCs w:val="24"/>
        </w:rPr>
        <w:t xml:space="preserve"> место (9,7%), количество больных составило 41 493, показатель на 10 тысяч населения составил 914,6 промилле, (в 2023 году – 752,5 промилле – 34 445 больных);</w:t>
      </w:r>
      <w:r>
        <w:rPr>
          <w:rFonts w:ascii="Times New Roman" w:hAnsi="Times New Roman" w:cs="Times New Roman"/>
          <w:sz w:val="24"/>
          <w:szCs w:val="24"/>
        </w:rPr>
        <w:br/>
      </w:r>
      <w:r>
        <w:rPr>
          <w:rFonts w:ascii="Times New Roman" w:eastAsia="Calibri" w:hAnsi="Times New Roman" w:cs="Times New Roman"/>
          <w:sz w:val="24"/>
          <w:szCs w:val="24"/>
        </w:rPr>
        <w:t>Учитывая особенности возрастной структуры населения Приднестровской Молдавской Республики, в частности преобладание старшей возрастной группы в общей популяции и старение населения, обращает на себя внимание рост количества больных с патологией системы кровообращения и, соответственно, увеличение показателя смертности.</w:t>
      </w:r>
    </w:p>
    <w:p w14:paraId="24D5B223" w14:textId="77777777" w:rsidR="004C062E" w:rsidRDefault="002C7340" w:rsidP="00A419DB">
      <w:pPr>
        <w:suppressAutoHyphens/>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В 2024 году зафиксировано 773 случая с острым коронарным синдромом, в 2023 году – 662. В динамике отмечается рост количества пациентов с острым коронарным синдромом на 14% или 111 случаев.</w:t>
      </w:r>
    </w:p>
    <w:p w14:paraId="1A78414D" w14:textId="17A13968" w:rsidR="004C062E" w:rsidRDefault="002C7340" w:rsidP="00A419DB">
      <w:pPr>
        <w:suppressAutoHyphens/>
        <w:spacing w:line="360" w:lineRule="auto"/>
        <w:jc w:val="both"/>
        <w:rPr>
          <w:rFonts w:ascii="Times New Roman" w:hAnsi="Times New Roman" w:cs="Times New Roman"/>
          <w:sz w:val="24"/>
          <w:szCs w:val="24"/>
        </w:rPr>
      </w:pPr>
      <w:r>
        <w:rPr>
          <w:rFonts w:ascii="Times New Roman" w:eastAsia="Calibri" w:hAnsi="Times New Roman" w:cs="Times New Roman"/>
          <w:sz w:val="24"/>
          <w:szCs w:val="24"/>
        </w:rPr>
        <w:t>В отношении 204 больных в 2024 году проведен тромболизис</w:t>
      </w:r>
      <w:r w:rsidR="00582220">
        <w:rPr>
          <w:rFonts w:ascii="Times New Roman" w:eastAsia="Calibri" w:hAnsi="Times New Roman" w:cs="Times New Roman"/>
          <w:sz w:val="24"/>
          <w:szCs w:val="24"/>
        </w:rPr>
        <w:t xml:space="preserve"> (</w:t>
      </w:r>
      <w:r>
        <w:rPr>
          <w:rFonts w:ascii="Times New Roman" w:eastAsia="Calibri" w:hAnsi="Times New Roman" w:cs="Times New Roman"/>
          <w:sz w:val="24"/>
          <w:szCs w:val="24"/>
        </w:rPr>
        <w:t>альтеплазой и стрептокиназой), в 2023 году – в отношении 154 больных. Применение современных фибринолитических препаратов позволило улучшить прогнозы по течению острого инфаркта миокарда, ускорить процесс лизиса тромботических масс в артериях с меньшими осложнениями.</w:t>
      </w:r>
    </w:p>
    <w:p w14:paraId="126DE34B" w14:textId="77777777" w:rsidR="004C062E" w:rsidRDefault="002C7340" w:rsidP="00A419DB">
      <w:pPr>
        <w:pStyle w:val="20"/>
        <w:suppressAutoHyphens/>
        <w:spacing w:before="0" w:line="360" w:lineRule="auto"/>
        <w:ind w:firstLineChars="295" w:firstLine="711"/>
        <w:contextualSpacing/>
        <w:jc w:val="both"/>
        <w:rPr>
          <w:rFonts w:ascii="Times New Roman" w:hAnsi="Times New Roman" w:cs="Times New Roman"/>
          <w:color w:val="000000" w:themeColor="text1"/>
          <w:sz w:val="24"/>
          <w:szCs w:val="24"/>
        </w:rPr>
      </w:pPr>
      <w:bookmarkStart w:id="7" w:name="_Toc236138915"/>
      <w:r>
        <w:rPr>
          <w:rFonts w:ascii="Times New Roman" w:hAnsi="Times New Roman" w:cs="Times New Roman"/>
          <w:color w:val="000000" w:themeColor="text1"/>
          <w:sz w:val="24"/>
          <w:szCs w:val="24"/>
        </w:rPr>
        <w:lastRenderedPageBreak/>
        <w:t>1.4. Кодирование по МКБ - 10.</w:t>
      </w:r>
      <w:bookmarkEnd w:id="7"/>
    </w:p>
    <w:p w14:paraId="1CB57031" w14:textId="77777777" w:rsidR="004C062E" w:rsidRDefault="002C7340" w:rsidP="00A419DB">
      <w:pPr>
        <w:shd w:val="clear" w:color="auto" w:fill="FFFFFF"/>
        <w:suppressAutoHyphens/>
        <w:spacing w:before="75" w:after="225"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I21. Острый инфаркт миокарда.</w:t>
      </w:r>
    </w:p>
    <w:p w14:paraId="779DC743" w14:textId="77777777" w:rsidR="004C062E" w:rsidRDefault="002C7340" w:rsidP="00A419DB">
      <w:pPr>
        <w:shd w:val="clear" w:color="auto" w:fill="FFFFFF"/>
        <w:suppressAutoHyphens/>
        <w:spacing w:before="75" w:after="225"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I21.0. Острый трансмуральный инфаркт передней стенки миокарда.</w:t>
      </w:r>
    </w:p>
    <w:p w14:paraId="7AF24FC5" w14:textId="77777777" w:rsidR="004C062E" w:rsidRDefault="002C7340" w:rsidP="00A419DB">
      <w:pPr>
        <w:shd w:val="clear" w:color="auto" w:fill="FFFFFF"/>
        <w:suppressAutoHyphens/>
        <w:spacing w:before="75" w:after="225"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I21.1. Острый трансмуральный инфаркт нижней стенки миокарда.</w:t>
      </w:r>
    </w:p>
    <w:p w14:paraId="3CEB3147" w14:textId="77777777" w:rsidR="004C062E" w:rsidRDefault="002C7340" w:rsidP="00A419DB">
      <w:pPr>
        <w:shd w:val="clear" w:color="auto" w:fill="FFFFFF"/>
        <w:suppressAutoHyphens/>
        <w:spacing w:before="75" w:after="225"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I21.2. Острый трансмуральный инфаркт миокарда других уточненных локализаций.</w:t>
      </w:r>
    </w:p>
    <w:p w14:paraId="25CE3C3F" w14:textId="77777777" w:rsidR="004C062E" w:rsidRDefault="002C7340" w:rsidP="00A419DB">
      <w:pPr>
        <w:shd w:val="clear" w:color="auto" w:fill="FFFFFF"/>
        <w:suppressAutoHyphens/>
        <w:spacing w:before="75" w:after="225"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I21.3. Острый трансмуральный инфаркт миокарда неуточненной локализации.</w:t>
      </w:r>
    </w:p>
    <w:p w14:paraId="73EA135A" w14:textId="77777777" w:rsidR="004C062E" w:rsidRDefault="002C7340" w:rsidP="00A419DB">
      <w:pPr>
        <w:shd w:val="clear" w:color="auto" w:fill="FFFFFF"/>
        <w:suppressAutoHyphens/>
        <w:spacing w:before="75" w:after="225"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I21.9. Острый инфаркт миокарда неуточненный.</w:t>
      </w:r>
    </w:p>
    <w:p w14:paraId="75F5550F" w14:textId="77777777" w:rsidR="004C062E" w:rsidRDefault="002C7340" w:rsidP="00A419DB">
      <w:pPr>
        <w:shd w:val="clear" w:color="auto" w:fill="FFFFFF"/>
        <w:suppressAutoHyphens/>
        <w:spacing w:before="75" w:after="225"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I22. Повторный инфаркт миокарда.</w:t>
      </w:r>
    </w:p>
    <w:p w14:paraId="5FCD19E8" w14:textId="77777777" w:rsidR="004C062E" w:rsidRDefault="002C7340" w:rsidP="00A419DB">
      <w:pPr>
        <w:shd w:val="clear" w:color="auto" w:fill="FFFFFF"/>
        <w:suppressAutoHyphens/>
        <w:spacing w:before="75" w:after="225"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I22.0. Повторный инфаркт передней стенки миокарда.</w:t>
      </w:r>
    </w:p>
    <w:p w14:paraId="5A67C40E" w14:textId="77777777" w:rsidR="004C062E" w:rsidRDefault="002C7340" w:rsidP="00A419DB">
      <w:pPr>
        <w:shd w:val="clear" w:color="auto" w:fill="FFFFFF"/>
        <w:suppressAutoHyphens/>
        <w:spacing w:before="75" w:after="225"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I22.1. Повторный инфаркт нижней стенки миокарда.</w:t>
      </w:r>
    </w:p>
    <w:p w14:paraId="59D920B4" w14:textId="77777777" w:rsidR="004C062E" w:rsidRDefault="002C7340" w:rsidP="00A419DB">
      <w:pPr>
        <w:shd w:val="clear" w:color="auto" w:fill="FFFFFF"/>
        <w:suppressAutoHyphens/>
        <w:spacing w:before="75" w:after="225"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I22.8. Повторный инфаркт миокарда другой уточненной локализации.</w:t>
      </w:r>
    </w:p>
    <w:p w14:paraId="79C88E80" w14:textId="77777777" w:rsidR="004C062E" w:rsidRDefault="002C7340" w:rsidP="00A419DB">
      <w:pPr>
        <w:shd w:val="clear" w:color="auto" w:fill="FFFFFF"/>
        <w:suppressAutoHyphens/>
        <w:spacing w:before="75" w:after="225"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I22.9. Повторный инфаркт миокарда неуточненной локализации.</w:t>
      </w:r>
    </w:p>
    <w:p w14:paraId="1E0FC109" w14:textId="77777777" w:rsidR="004C062E" w:rsidRDefault="002C7340" w:rsidP="00A419DB">
      <w:pPr>
        <w:shd w:val="clear" w:color="auto" w:fill="FFFFFF"/>
        <w:suppressAutoHyphens/>
        <w:spacing w:before="75" w:after="225"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I24. Другие формы острой ишемической болезни сердца.</w:t>
      </w:r>
    </w:p>
    <w:p w14:paraId="5D6D258C" w14:textId="77777777" w:rsidR="004C062E" w:rsidRDefault="002C7340" w:rsidP="00A419DB">
      <w:pPr>
        <w:shd w:val="clear" w:color="auto" w:fill="FFFFFF"/>
        <w:suppressAutoHyphens/>
        <w:spacing w:before="75" w:after="225"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I24.0. Коронарный тромбоз, не приводящий к инфаркту миокарда.</w:t>
      </w:r>
    </w:p>
    <w:p w14:paraId="3F465D4D" w14:textId="77777777" w:rsidR="004C062E" w:rsidRDefault="002C7340" w:rsidP="00A419DB">
      <w:pPr>
        <w:shd w:val="clear" w:color="auto" w:fill="FFFFFF"/>
        <w:suppressAutoHyphens/>
        <w:spacing w:before="75" w:after="225"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I24.8. Другие формы острой ишемической болезни сердца.</w:t>
      </w:r>
    </w:p>
    <w:p w14:paraId="09762CF7" w14:textId="77777777" w:rsidR="004C062E" w:rsidRDefault="002C7340" w:rsidP="00A419DB">
      <w:pPr>
        <w:shd w:val="clear" w:color="auto" w:fill="FFFFFF"/>
        <w:suppressAutoHyphens/>
        <w:spacing w:before="75" w:after="225"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I24.9. Острая ишемическая болезнь сердца неуточненная.</w:t>
      </w:r>
    </w:p>
    <w:p w14:paraId="5E701FF7" w14:textId="451A01EA" w:rsidR="004C062E" w:rsidRPr="00582220" w:rsidRDefault="002C7340" w:rsidP="00A419DB">
      <w:pPr>
        <w:shd w:val="clear" w:color="auto" w:fill="FFFFFF"/>
        <w:suppressAutoHyphens/>
        <w:spacing w:before="75" w:after="225"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После 28 сут. от начала симптомов ИМпST диагноз "ИМ" не применяется. В таком случае принято указывать на перенесенный ранее ИМ, обозначая это состояние как "</w:t>
      </w:r>
      <w:r>
        <w:rPr>
          <w:rFonts w:ascii="Times New Roman" w:eastAsia="Times New Roman" w:hAnsi="Times New Roman" w:cs="Times New Roman"/>
          <w:i/>
          <w:iCs/>
          <w:color w:val="000000" w:themeColor="text1"/>
          <w:sz w:val="24"/>
          <w:szCs w:val="24"/>
        </w:rPr>
        <w:t>Постинфарктный кардиосклероз</w:t>
      </w:r>
      <w:r>
        <w:rPr>
          <w:rFonts w:ascii="Times New Roman" w:eastAsia="Times New Roman" w:hAnsi="Times New Roman" w:cs="Times New Roman"/>
          <w:color w:val="000000" w:themeColor="text1"/>
          <w:sz w:val="24"/>
          <w:szCs w:val="24"/>
        </w:rPr>
        <w:t>".</w:t>
      </w:r>
    </w:p>
    <w:p w14:paraId="0E873C12" w14:textId="77777777" w:rsidR="004C062E" w:rsidRDefault="002C7340" w:rsidP="00A419DB">
      <w:pPr>
        <w:pStyle w:val="20"/>
        <w:suppressAutoHyphens/>
        <w:spacing w:before="0" w:line="360" w:lineRule="auto"/>
        <w:ind w:firstLineChars="295" w:firstLine="711"/>
        <w:contextualSpacing/>
        <w:jc w:val="both"/>
        <w:rPr>
          <w:rFonts w:ascii="Times New Roman" w:hAnsi="Times New Roman" w:cs="Times New Roman"/>
          <w:color w:val="000000" w:themeColor="text1"/>
          <w:sz w:val="24"/>
          <w:szCs w:val="24"/>
        </w:rPr>
      </w:pPr>
      <w:bookmarkStart w:id="8" w:name="_Toc236138916"/>
      <w:r>
        <w:rPr>
          <w:rFonts w:ascii="Times New Roman" w:hAnsi="Times New Roman" w:cs="Times New Roman"/>
          <w:color w:val="000000" w:themeColor="text1"/>
          <w:sz w:val="24"/>
          <w:szCs w:val="24"/>
        </w:rPr>
        <w:t>1.5. Классификация.</w:t>
      </w:r>
      <w:bookmarkEnd w:id="8"/>
    </w:p>
    <w:p w14:paraId="7518433F"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Классификации ОКС и острого ИМ:</w:t>
      </w:r>
    </w:p>
    <w:p w14:paraId="3ED8B761"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5"/>
          <w:rFonts w:ascii="Times New Roman" w:hAnsi="Times New Roman" w:cs="Times New Roman"/>
          <w:color w:val="000000" w:themeColor="text1"/>
          <w:sz w:val="24"/>
          <w:szCs w:val="24"/>
        </w:rPr>
        <w:t>На этапе предварительного диагноза:</w:t>
      </w:r>
    </w:p>
    <w:p w14:paraId="1AFFE8DF"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ОКСпST — ИМпST (эта формулировка используется также при ОКС/ИМ с остро возникшей блокадой ЛНПГ);</w:t>
      </w:r>
    </w:p>
    <w:p w14:paraId="66956450"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ОКСбпST и НС (в настоящем документе не рассматривается).</w:t>
      </w:r>
    </w:p>
    <w:p w14:paraId="0C363ED6"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5"/>
          <w:rFonts w:ascii="Times New Roman" w:hAnsi="Times New Roman" w:cs="Times New Roman"/>
          <w:color w:val="000000" w:themeColor="text1"/>
          <w:sz w:val="24"/>
          <w:szCs w:val="24"/>
        </w:rPr>
        <w:t>Клинический диагноз (в т. ч. заключительный) после подтверждения/исключения ИМ:</w:t>
      </w:r>
    </w:p>
    <w:p w14:paraId="18154F31"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ИМпST (эта формулировка используется также при ИМ с остро возникшей блокадой ЛНПГ);</w:t>
      </w:r>
    </w:p>
    <w:p w14:paraId="048BCE2A"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5"/>
          <w:rFonts w:ascii="Times New Roman" w:hAnsi="Times New Roman" w:cs="Times New Roman"/>
          <w:color w:val="000000" w:themeColor="text1"/>
          <w:sz w:val="24"/>
          <w:szCs w:val="24"/>
        </w:rPr>
        <w:t>Классификация ИМ на основании последующих изменений на ЭКГ (не обязательна к применению):</w:t>
      </w:r>
    </w:p>
    <w:p w14:paraId="0270E00D"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ИМ с формированием патологических зубцов Q;</w:t>
      </w:r>
    </w:p>
    <w:p w14:paraId="3F500E71"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ИМ без формирования патологических зубцов Q.</w:t>
      </w:r>
    </w:p>
    <w:p w14:paraId="7D46D5F9"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5"/>
          <w:rFonts w:ascii="Times New Roman" w:hAnsi="Times New Roman" w:cs="Times New Roman"/>
          <w:color w:val="000000" w:themeColor="text1"/>
          <w:sz w:val="24"/>
          <w:szCs w:val="24"/>
        </w:rPr>
        <w:t>Классификация ИМ на основании локализации очага острого ишемического повреждения/некроза:</w:t>
      </w:r>
    </w:p>
    <w:p w14:paraId="218BA8E5"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ИМ передней стенки ЛЖ (передний ИМ);</w:t>
      </w:r>
    </w:p>
    <w:p w14:paraId="05DB215A"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ИМ боковой стенки ЛЖ (боковой ИМ);</w:t>
      </w:r>
    </w:p>
    <w:p w14:paraId="429B2A19"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ИМ верхушки сердца;</w:t>
      </w:r>
    </w:p>
    <w:p w14:paraId="55AAE7F5"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ИМ нижней стенки ЛЖ (нижний ИМ);</w:t>
      </w:r>
    </w:p>
    <w:p w14:paraId="18918AE8"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ИМ задней стенки ЛЖ (задний ИМ);</w:t>
      </w:r>
    </w:p>
    <w:p w14:paraId="228AA526"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ИМ межжелудочковой перегородки (МЖП);</w:t>
      </w:r>
    </w:p>
    <w:p w14:paraId="3BEE657E"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ИМ правого желудочка (ПЖ);</w:t>
      </w:r>
    </w:p>
    <w:p w14:paraId="43B85F93"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ИМ предсердий;</w:t>
      </w:r>
    </w:p>
    <w:p w14:paraId="13376B36"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Возможны сочетанные локализации: задненижний, переднебоковой и др.</w:t>
      </w:r>
    </w:p>
    <w:p w14:paraId="5018C42B"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5"/>
          <w:rFonts w:ascii="Times New Roman" w:hAnsi="Times New Roman" w:cs="Times New Roman"/>
          <w:color w:val="000000" w:themeColor="text1"/>
          <w:sz w:val="24"/>
          <w:szCs w:val="24"/>
        </w:rPr>
        <w:t>Классификация ИМ на основании наличия ИМ в анамнезе:</w:t>
      </w:r>
    </w:p>
    <w:p w14:paraId="612A7F62"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Повторный ИМ — ИМ, развившийся после 28 сут. от начала предшествующего ИМ;</w:t>
      </w:r>
    </w:p>
    <w:p w14:paraId="3665C3AB"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Рецидив ИМ — ИМ, развившийся в течение 28 сут. (включительно) от начала предшествующего ИМ.</w:t>
      </w:r>
    </w:p>
    <w:p w14:paraId="791054A1"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5"/>
          <w:rFonts w:ascii="Times New Roman" w:hAnsi="Times New Roman" w:cs="Times New Roman"/>
          <w:b/>
          <w:bCs/>
          <w:color w:val="000000" w:themeColor="text1"/>
          <w:sz w:val="24"/>
          <w:szCs w:val="24"/>
        </w:rPr>
        <w:t>Классификация типов ИМ </w:t>
      </w:r>
      <w:hyperlink r:id="rId17" w:history="1">
        <w:r>
          <w:rPr>
            <w:rStyle w:val="a6"/>
            <w:rFonts w:ascii="Times New Roman" w:hAnsi="Times New Roman" w:cs="Times New Roman"/>
            <w:color w:val="000000" w:themeColor="text1"/>
            <w:sz w:val="24"/>
            <w:szCs w:val="24"/>
          </w:rPr>
          <w:t>[2]</w:t>
        </w:r>
      </w:hyperlink>
      <w:r>
        <w:rPr>
          <w:rFonts w:ascii="Times New Roman" w:hAnsi="Times New Roman" w:cs="Times New Roman"/>
          <w:color w:val="000000" w:themeColor="text1"/>
          <w:sz w:val="24"/>
          <w:szCs w:val="24"/>
        </w:rPr>
        <w:t xml:space="preserve">:- </w:t>
      </w:r>
    </w:p>
    <w:p w14:paraId="028B98B5" w14:textId="77777777" w:rsidR="004C062E" w:rsidRDefault="002C7340" w:rsidP="00A419DB">
      <w:pPr>
        <w:suppressAutoHyphens/>
        <w:spacing w:line="360" w:lineRule="auto"/>
        <w:jc w:val="both"/>
        <w:rPr>
          <w:rFonts w:ascii="Times New Roman" w:hAnsi="Times New Roman" w:cs="Times New Roman"/>
          <w:sz w:val="24"/>
          <w:szCs w:val="24"/>
        </w:rPr>
      </w:pPr>
      <w:r>
        <w:rPr>
          <w:rStyle w:val="a7"/>
          <w:rFonts w:ascii="Times New Roman" w:hAnsi="Times New Roman" w:cs="Times New Roman"/>
          <w:sz w:val="24"/>
          <w:szCs w:val="24"/>
        </w:rPr>
        <w:lastRenderedPageBreak/>
        <w:t>Тип 1.</w:t>
      </w:r>
      <w:r>
        <w:rPr>
          <w:rFonts w:ascii="Times New Roman" w:hAnsi="Times New Roman" w:cs="Times New Roman"/>
          <w:sz w:val="24"/>
          <w:szCs w:val="24"/>
        </w:rPr>
        <w:t xml:space="preserve"> ИМ, развившийся вследствие разрыва или эрозии АСБ в КА с последующим формированием внутрикоронарного тромба (атеротромбоз) с резким снижением кровотока дистальнее поврежденной АСБ или дистальной эмболизацией тромботическими массами/фрагментами АСБ с последующим развитием некроза миокарда. </w:t>
      </w:r>
    </w:p>
    <w:p w14:paraId="406E00BD" w14:textId="77777777" w:rsidR="004C062E" w:rsidRDefault="002C7340" w:rsidP="00A419DB">
      <w:pPr>
        <w:suppressAutoHyphens/>
        <w:spacing w:line="360" w:lineRule="auto"/>
        <w:jc w:val="both"/>
        <w:rPr>
          <w:rFonts w:ascii="Times New Roman" w:hAnsi="Times New Roman" w:cs="Times New Roman"/>
          <w:sz w:val="24"/>
          <w:szCs w:val="24"/>
        </w:rPr>
      </w:pPr>
      <w:r>
        <w:rPr>
          <w:rStyle w:val="a7"/>
          <w:rFonts w:ascii="Times New Roman" w:hAnsi="Times New Roman" w:cs="Times New Roman"/>
          <w:sz w:val="24"/>
          <w:szCs w:val="24"/>
        </w:rPr>
        <w:t>Тип 2.</w:t>
      </w:r>
      <w:r>
        <w:rPr>
          <w:rFonts w:ascii="Times New Roman" w:hAnsi="Times New Roman" w:cs="Times New Roman"/>
          <w:sz w:val="24"/>
          <w:szCs w:val="24"/>
        </w:rPr>
        <w:t> ИМ, развившийся в результате ишемии, вызванной причинами, не связанными с тромботическими осложнениями коронарного атеросклероза. Патофизиологически такие ИМ связаны с повышением потребности миокарда в кислороде и/или уменьшением его доставки к миокарду, например, вследствие эмболии КА, спонтанной диссекции КА, дыхательной недостаточности, анемии, нарушений ритма сердца, артериальной гипертензии (АГ) или гипотензии и т. д. ИМ 2 типа может возникать как у пациентов с наличием, так и у пациентов с отсутствием коронарного атеросклероза.</w:t>
      </w:r>
    </w:p>
    <w:p w14:paraId="571F3A36" w14:textId="77777777" w:rsidR="004C062E" w:rsidRDefault="002C7340" w:rsidP="00A419DB">
      <w:pPr>
        <w:suppressAutoHyphens/>
        <w:spacing w:line="360" w:lineRule="auto"/>
        <w:jc w:val="both"/>
        <w:rPr>
          <w:rFonts w:ascii="Times New Roman" w:hAnsi="Times New Roman" w:cs="Times New Roman"/>
          <w:sz w:val="24"/>
          <w:szCs w:val="24"/>
        </w:rPr>
      </w:pPr>
      <w:r>
        <w:rPr>
          <w:rStyle w:val="a7"/>
          <w:rFonts w:ascii="Times New Roman" w:hAnsi="Times New Roman" w:cs="Times New Roman"/>
          <w:sz w:val="24"/>
          <w:szCs w:val="24"/>
        </w:rPr>
        <w:t>Тип 3.</w:t>
      </w:r>
      <w:r>
        <w:rPr>
          <w:rFonts w:ascii="Times New Roman" w:hAnsi="Times New Roman" w:cs="Times New Roman"/>
          <w:sz w:val="24"/>
          <w:szCs w:val="24"/>
        </w:rPr>
        <w:t> ИМ 3 типа соответствует случаям появления симптомов, указывающих на ишемию миокарда, сопровождающихся предположительно новыми ишемическими изменениями ЭКГ или фибрилляцией желудочков (ФЖ), когда пациенты умирают до появления возможности взятия образцов крови или в период до повышения активности биохимических маркеров некроза миокарда в крови. Диагноз подтверждается на основании обнаружения острого ИМ на аутопсии.</w:t>
      </w:r>
    </w:p>
    <w:p w14:paraId="64091B82" w14:textId="77777777" w:rsidR="004C062E" w:rsidRDefault="002C7340" w:rsidP="00A419DB">
      <w:pPr>
        <w:suppressAutoHyphens/>
        <w:spacing w:line="360" w:lineRule="auto"/>
        <w:jc w:val="both"/>
        <w:rPr>
          <w:rFonts w:ascii="Times New Roman" w:hAnsi="Times New Roman" w:cs="Times New Roman"/>
          <w:sz w:val="24"/>
          <w:szCs w:val="24"/>
        </w:rPr>
      </w:pPr>
      <w:r>
        <w:rPr>
          <w:rStyle w:val="a7"/>
          <w:rFonts w:ascii="Times New Roman" w:hAnsi="Times New Roman" w:cs="Times New Roman"/>
          <w:sz w:val="24"/>
          <w:szCs w:val="24"/>
        </w:rPr>
        <w:t>Тип 4а.</w:t>
      </w:r>
      <w:r>
        <w:rPr>
          <w:rFonts w:ascii="Times New Roman" w:hAnsi="Times New Roman" w:cs="Times New Roman"/>
          <w:sz w:val="24"/>
          <w:szCs w:val="24"/>
        </w:rPr>
        <w:t> ИМ, связанный с осложнениями, возникшими по время процедуры ЧКВ и в ближайшие 48 ч после нее.</w:t>
      </w:r>
    </w:p>
    <w:p w14:paraId="4C7127A9" w14:textId="77777777" w:rsidR="004C062E" w:rsidRDefault="002C7340" w:rsidP="00A419DB">
      <w:pPr>
        <w:suppressAutoHyphens/>
        <w:spacing w:line="360" w:lineRule="auto"/>
        <w:jc w:val="both"/>
        <w:rPr>
          <w:rFonts w:ascii="Times New Roman" w:hAnsi="Times New Roman" w:cs="Times New Roman"/>
          <w:sz w:val="24"/>
          <w:szCs w:val="24"/>
        </w:rPr>
      </w:pPr>
      <w:r>
        <w:rPr>
          <w:rStyle w:val="a7"/>
          <w:rFonts w:ascii="Times New Roman" w:hAnsi="Times New Roman" w:cs="Times New Roman"/>
          <w:sz w:val="24"/>
          <w:szCs w:val="24"/>
        </w:rPr>
        <w:t>Тип 4b.</w:t>
      </w:r>
      <w:r>
        <w:rPr>
          <w:rFonts w:ascii="Times New Roman" w:hAnsi="Times New Roman" w:cs="Times New Roman"/>
          <w:sz w:val="24"/>
          <w:szCs w:val="24"/>
        </w:rPr>
        <w:t> ИМ, связанный с тромбозом коронарного стента, документированный при КГ или аутопсии. В зависимости от сроков после имплантации стента выделяют острый (0-24 ч), подострый (&gt;24 ч — 30 сут.), поздний (&gt;30 сут. — 1 год) и очень поздний (&gt;1 года) тромбоз стента.</w:t>
      </w:r>
    </w:p>
    <w:p w14:paraId="2C0B6BA4" w14:textId="77777777" w:rsidR="004C062E" w:rsidRDefault="002C7340" w:rsidP="00A419DB">
      <w:pPr>
        <w:suppressAutoHyphens/>
        <w:spacing w:line="360" w:lineRule="auto"/>
        <w:jc w:val="both"/>
        <w:rPr>
          <w:rFonts w:ascii="Times New Roman" w:hAnsi="Times New Roman" w:cs="Times New Roman"/>
          <w:sz w:val="24"/>
          <w:szCs w:val="24"/>
        </w:rPr>
      </w:pPr>
      <w:r>
        <w:rPr>
          <w:rStyle w:val="a7"/>
          <w:rFonts w:ascii="Times New Roman" w:hAnsi="Times New Roman" w:cs="Times New Roman"/>
          <w:sz w:val="24"/>
          <w:szCs w:val="24"/>
        </w:rPr>
        <w:t>Тип 4с.</w:t>
      </w:r>
      <w:r>
        <w:rPr>
          <w:rFonts w:ascii="Times New Roman" w:hAnsi="Times New Roman" w:cs="Times New Roman"/>
          <w:sz w:val="24"/>
          <w:szCs w:val="24"/>
        </w:rPr>
        <w:t> ИМ, связанный с рестенозом после ЧКВ. ИМ 4с типа устанавливается в случае обнаружения выраженного рестеноза в артерии, соответствующей зоне ИМ, когда отсутствуют признаки тромбоза и другие поражения инфаркт-связанной артерии (ИСА).</w:t>
      </w:r>
    </w:p>
    <w:p w14:paraId="5CE241AA" w14:textId="70868C05" w:rsidR="00F07315" w:rsidRDefault="002C7340" w:rsidP="00A419DB">
      <w:pPr>
        <w:suppressAutoHyphens/>
        <w:spacing w:line="360" w:lineRule="auto"/>
        <w:jc w:val="both"/>
        <w:rPr>
          <w:rFonts w:ascii="Times New Roman" w:hAnsi="Times New Roman" w:cs="Times New Roman"/>
          <w:sz w:val="24"/>
          <w:szCs w:val="24"/>
        </w:rPr>
      </w:pPr>
      <w:r>
        <w:rPr>
          <w:rStyle w:val="a7"/>
          <w:rFonts w:ascii="Times New Roman" w:hAnsi="Times New Roman" w:cs="Times New Roman"/>
          <w:sz w:val="24"/>
          <w:szCs w:val="24"/>
        </w:rPr>
        <w:t>Тип 5. </w:t>
      </w:r>
      <w:r>
        <w:rPr>
          <w:rFonts w:ascii="Times New Roman" w:hAnsi="Times New Roman" w:cs="Times New Roman"/>
          <w:sz w:val="24"/>
          <w:szCs w:val="24"/>
        </w:rPr>
        <w:t>ИМ, связанный с операцией КШ.</w:t>
      </w:r>
    </w:p>
    <w:p w14:paraId="6EFDF949" w14:textId="77777777" w:rsidR="00F07315" w:rsidRPr="00F07315" w:rsidRDefault="002C7340" w:rsidP="00A419DB">
      <w:pPr>
        <w:suppressAutoHyphens/>
        <w:spacing w:line="360" w:lineRule="auto"/>
        <w:jc w:val="both"/>
        <w:rPr>
          <w:rFonts w:ascii="Times New Roman" w:hAnsi="Times New Roman" w:cs="Times New Roman"/>
          <w:b/>
          <w:sz w:val="24"/>
          <w:szCs w:val="24"/>
        </w:rPr>
      </w:pPr>
      <w:r w:rsidRPr="00F07315">
        <w:rPr>
          <w:rFonts w:ascii="Times New Roman" w:hAnsi="Times New Roman" w:cs="Times New Roman"/>
          <w:b/>
          <w:sz w:val="24"/>
          <w:szCs w:val="24"/>
        </w:rPr>
        <w:t xml:space="preserve">Пример диагноза: </w:t>
      </w:r>
    </w:p>
    <w:p w14:paraId="20516041" w14:textId="77777777" w:rsidR="004C062E" w:rsidRDefault="002C7340" w:rsidP="00A419DB">
      <w:pPr>
        <w:suppressAutoHyphens/>
        <w:spacing w:line="360" w:lineRule="auto"/>
        <w:jc w:val="both"/>
        <w:rPr>
          <w:rFonts w:ascii="Times New Roman" w:hAnsi="Times New Roman" w:cs="Times New Roman"/>
          <w:sz w:val="24"/>
          <w:szCs w:val="24"/>
        </w:rPr>
      </w:pPr>
      <w:r>
        <w:rPr>
          <w:rFonts w:ascii="Times New Roman" w:hAnsi="Times New Roman" w:cs="Times New Roman"/>
          <w:sz w:val="24"/>
          <w:szCs w:val="24"/>
        </w:rPr>
        <w:t>ИБС</w:t>
      </w:r>
      <w:r w:rsidR="00810552">
        <w:rPr>
          <w:rFonts w:ascii="Times New Roman" w:hAnsi="Times New Roman" w:cs="Times New Roman"/>
          <w:sz w:val="24"/>
          <w:szCs w:val="24"/>
        </w:rPr>
        <w:t>.</w:t>
      </w:r>
      <w:r>
        <w:rPr>
          <w:rFonts w:ascii="Times New Roman" w:hAnsi="Times New Roman" w:cs="Times New Roman"/>
          <w:sz w:val="24"/>
          <w:szCs w:val="24"/>
        </w:rPr>
        <w:t xml:space="preserve"> ОКС с подъемом сегмента </w:t>
      </w:r>
      <w:r>
        <w:rPr>
          <w:rFonts w:ascii="Times New Roman" w:hAnsi="Times New Roman" w:cs="Times New Roman"/>
          <w:sz w:val="24"/>
          <w:szCs w:val="24"/>
          <w:lang w:val="en-US"/>
        </w:rPr>
        <w:t>ST</w:t>
      </w:r>
      <w:r>
        <w:rPr>
          <w:rFonts w:ascii="Times New Roman" w:hAnsi="Times New Roman" w:cs="Times New Roman"/>
          <w:sz w:val="24"/>
          <w:szCs w:val="24"/>
        </w:rPr>
        <w:t xml:space="preserve">. ОСН </w:t>
      </w:r>
      <w:r>
        <w:rPr>
          <w:rFonts w:ascii="Times New Roman" w:hAnsi="Times New Roman" w:cs="Times New Roman"/>
          <w:sz w:val="24"/>
          <w:szCs w:val="24"/>
          <w:lang w:val="en-US"/>
        </w:rPr>
        <w:t>I</w:t>
      </w:r>
      <w:r w:rsidRPr="00B073E3">
        <w:rPr>
          <w:rFonts w:ascii="Times New Roman" w:hAnsi="Times New Roman" w:cs="Times New Roman"/>
          <w:sz w:val="24"/>
          <w:szCs w:val="24"/>
        </w:rPr>
        <w:t xml:space="preserve"> (</w:t>
      </w:r>
      <w:r>
        <w:rPr>
          <w:rFonts w:ascii="Times New Roman" w:hAnsi="Times New Roman" w:cs="Times New Roman"/>
          <w:sz w:val="24"/>
          <w:szCs w:val="24"/>
          <w:lang w:val="en-US"/>
        </w:rPr>
        <w:t>Killip</w:t>
      </w:r>
      <w:r w:rsidRPr="00B073E3">
        <w:rPr>
          <w:rFonts w:ascii="Times New Roman" w:hAnsi="Times New Roman" w:cs="Times New Roman"/>
          <w:sz w:val="24"/>
          <w:szCs w:val="24"/>
        </w:rPr>
        <w:t>)</w:t>
      </w:r>
    </w:p>
    <w:p w14:paraId="6CE66578" w14:textId="77777777" w:rsidR="004C062E" w:rsidRDefault="002C7340" w:rsidP="00A419DB">
      <w:pPr>
        <w:suppressAutoHyphen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ИБС. Острый инфаркт миокарда передней стенки левого желудочка. (</w:t>
      </w:r>
      <w:r w:rsidR="00F07315">
        <w:rPr>
          <w:rFonts w:ascii="Times New Roman" w:hAnsi="Times New Roman" w:cs="Times New Roman"/>
          <w:sz w:val="24"/>
          <w:szCs w:val="24"/>
        </w:rPr>
        <w:t xml:space="preserve">от </w:t>
      </w:r>
      <w:r>
        <w:rPr>
          <w:rFonts w:ascii="Times New Roman" w:hAnsi="Times New Roman" w:cs="Times New Roman"/>
          <w:sz w:val="24"/>
          <w:szCs w:val="24"/>
        </w:rPr>
        <w:t>12.04.2025</w:t>
      </w:r>
      <w:r w:rsidR="00F07315">
        <w:rPr>
          <w:rFonts w:ascii="Times New Roman" w:hAnsi="Times New Roman" w:cs="Times New Roman"/>
          <w:sz w:val="24"/>
          <w:szCs w:val="24"/>
        </w:rPr>
        <w:t xml:space="preserve"> г.</w:t>
      </w:r>
      <w:r>
        <w:rPr>
          <w:rFonts w:ascii="Times New Roman" w:hAnsi="Times New Roman" w:cs="Times New Roman"/>
          <w:sz w:val="24"/>
          <w:szCs w:val="24"/>
        </w:rPr>
        <w:t>)</w:t>
      </w:r>
      <w:r w:rsidR="00F07315">
        <w:rPr>
          <w:rFonts w:ascii="Times New Roman" w:hAnsi="Times New Roman" w:cs="Times New Roman"/>
          <w:sz w:val="24"/>
          <w:szCs w:val="24"/>
        </w:rPr>
        <w:t>, подострая стадия.</w:t>
      </w:r>
      <w:r>
        <w:rPr>
          <w:rFonts w:ascii="Times New Roman" w:hAnsi="Times New Roman" w:cs="Times New Roman"/>
          <w:sz w:val="24"/>
          <w:szCs w:val="24"/>
        </w:rPr>
        <w:t xml:space="preserve"> ОСН </w:t>
      </w:r>
      <w:r>
        <w:rPr>
          <w:rFonts w:ascii="Times New Roman" w:hAnsi="Times New Roman" w:cs="Times New Roman"/>
          <w:sz w:val="24"/>
          <w:szCs w:val="24"/>
          <w:lang w:val="en-US"/>
        </w:rPr>
        <w:t>I</w:t>
      </w:r>
      <w:r w:rsidRPr="002C7340">
        <w:rPr>
          <w:rFonts w:ascii="Times New Roman" w:hAnsi="Times New Roman" w:cs="Times New Roman"/>
          <w:sz w:val="24"/>
          <w:szCs w:val="24"/>
        </w:rPr>
        <w:t xml:space="preserve"> (</w:t>
      </w:r>
      <w:r>
        <w:rPr>
          <w:rFonts w:ascii="Times New Roman" w:hAnsi="Times New Roman" w:cs="Times New Roman"/>
          <w:sz w:val="24"/>
          <w:szCs w:val="24"/>
          <w:lang w:val="en-US"/>
        </w:rPr>
        <w:t>Killip</w:t>
      </w:r>
      <w:r w:rsidRPr="002C7340">
        <w:rPr>
          <w:rFonts w:ascii="Times New Roman" w:hAnsi="Times New Roman" w:cs="Times New Roman"/>
          <w:sz w:val="24"/>
          <w:szCs w:val="24"/>
        </w:rPr>
        <w:t>)</w:t>
      </w:r>
      <w:r>
        <w:rPr>
          <w:rFonts w:ascii="Times New Roman" w:hAnsi="Times New Roman" w:cs="Times New Roman"/>
          <w:sz w:val="24"/>
          <w:szCs w:val="24"/>
        </w:rPr>
        <w:t>.</w:t>
      </w:r>
    </w:p>
    <w:p w14:paraId="7E81B557" w14:textId="74B69A38" w:rsidR="00A07308"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Критерии диагностики и дифференциальной диагностики ИМ разных типов представлены в Приложении А3. Критерии диагностики ИМ </w:t>
      </w:r>
      <w:hyperlink r:id="rId18" w:history="1">
        <w:r>
          <w:rPr>
            <w:rStyle w:val="a6"/>
            <w:rFonts w:ascii="Times New Roman" w:hAnsi="Times New Roman" w:cs="Times New Roman"/>
            <w:color w:val="000000" w:themeColor="text1"/>
            <w:sz w:val="24"/>
            <w:szCs w:val="24"/>
          </w:rPr>
          <w:t>[2]</w:t>
        </w:r>
      </w:hyperlink>
      <w:hyperlink r:id="rId19" w:history="1">
        <w:r>
          <w:rPr>
            <w:rStyle w:val="a6"/>
            <w:rFonts w:ascii="Times New Roman" w:hAnsi="Times New Roman" w:cs="Times New Roman"/>
            <w:color w:val="000000" w:themeColor="text1"/>
            <w:sz w:val="24"/>
            <w:szCs w:val="24"/>
          </w:rPr>
          <w:t>[7]</w:t>
        </w:r>
      </w:hyperlink>
      <w:hyperlink r:id="rId20" w:history="1">
        <w:r>
          <w:rPr>
            <w:rStyle w:val="a6"/>
            <w:rFonts w:ascii="Times New Roman" w:hAnsi="Times New Roman" w:cs="Times New Roman"/>
            <w:color w:val="000000" w:themeColor="text1"/>
            <w:sz w:val="24"/>
            <w:szCs w:val="24"/>
          </w:rPr>
          <w:t>[8]</w:t>
        </w:r>
      </w:hyperlink>
      <w:r>
        <w:rPr>
          <w:rFonts w:ascii="Times New Roman" w:hAnsi="Times New Roman" w:cs="Times New Roman"/>
          <w:color w:val="000000" w:themeColor="text1"/>
          <w:sz w:val="24"/>
          <w:szCs w:val="24"/>
        </w:rPr>
        <w:t>.</w:t>
      </w:r>
    </w:p>
    <w:p w14:paraId="5116BFF1" w14:textId="77777777" w:rsidR="004C062E" w:rsidRDefault="002C7340" w:rsidP="00A419DB">
      <w:pPr>
        <w:pStyle w:val="20"/>
        <w:suppressAutoHyphens/>
        <w:spacing w:before="0" w:line="360" w:lineRule="auto"/>
        <w:ind w:firstLineChars="295" w:firstLine="711"/>
        <w:contextualSpacing/>
        <w:jc w:val="both"/>
        <w:rPr>
          <w:rFonts w:ascii="Times New Roman" w:hAnsi="Times New Roman" w:cs="Times New Roman"/>
          <w:color w:val="000000" w:themeColor="text1"/>
          <w:sz w:val="24"/>
          <w:szCs w:val="24"/>
        </w:rPr>
      </w:pPr>
      <w:bookmarkStart w:id="9" w:name="_Toc236138917"/>
      <w:r>
        <w:rPr>
          <w:rFonts w:ascii="Times New Roman" w:hAnsi="Times New Roman" w:cs="Times New Roman"/>
          <w:color w:val="000000" w:themeColor="text1"/>
          <w:sz w:val="24"/>
          <w:szCs w:val="24"/>
        </w:rPr>
        <w:t>1.6. Клиническая картина.</w:t>
      </w:r>
      <w:bookmarkEnd w:id="9"/>
    </w:p>
    <w:p w14:paraId="70CE6BC5" w14:textId="77777777" w:rsidR="004C062E" w:rsidRDefault="002C7340" w:rsidP="00A419DB">
      <w:pPr>
        <w:shd w:val="clear" w:color="auto" w:fill="FFFFFF"/>
        <w:suppressAutoHyphens/>
        <w:spacing w:before="75" w:after="225" w:line="360" w:lineRule="auto"/>
        <w:jc w:val="both"/>
        <w:rPr>
          <w:rFonts w:ascii="Times New Roman" w:eastAsia="Times New Roman" w:hAnsi="Times New Roman" w:cs="Times New Roman"/>
          <w:color w:val="000000" w:themeColor="text1"/>
          <w:sz w:val="24"/>
          <w:szCs w:val="26"/>
        </w:rPr>
      </w:pPr>
      <w:r>
        <w:rPr>
          <w:rFonts w:ascii="Times New Roman" w:eastAsia="Times New Roman" w:hAnsi="Times New Roman" w:cs="Times New Roman"/>
          <w:color w:val="000000" w:themeColor="text1"/>
          <w:sz w:val="24"/>
          <w:szCs w:val="26"/>
        </w:rPr>
        <w:t>Для ишемии/повреждения/некроза миокарда характерны боль или чувство сжатия, давления или тяжести за грудиной, которые иногда описываются пациентом как дискомфорт. Возможны иррадиация в левую руку, левое плечо, горло, нижнюю челюсть, эпигастрий, а также нетипичные клинические проявления, такие как потливость, тошнота, боль в животе, одышка, удушье, потеря сознания, которые в некоторых случаях являются единственными или доминирующими.</w:t>
      </w:r>
    </w:p>
    <w:p w14:paraId="3A0961FF" w14:textId="77777777" w:rsidR="004C062E" w:rsidRDefault="002C7340" w:rsidP="00A419DB">
      <w:pPr>
        <w:shd w:val="clear" w:color="auto" w:fill="FFFFFF"/>
        <w:suppressAutoHyphens/>
        <w:spacing w:before="75" w:after="225" w:line="360" w:lineRule="auto"/>
        <w:jc w:val="both"/>
        <w:rPr>
          <w:rFonts w:ascii="Times New Roman" w:eastAsia="Times New Roman" w:hAnsi="Times New Roman" w:cs="Times New Roman"/>
          <w:color w:val="000000" w:themeColor="text1"/>
          <w:sz w:val="24"/>
          <w:szCs w:val="26"/>
        </w:rPr>
      </w:pPr>
      <w:r>
        <w:rPr>
          <w:rFonts w:ascii="Times New Roman" w:eastAsia="Times New Roman" w:hAnsi="Times New Roman" w:cs="Times New Roman"/>
          <w:color w:val="000000" w:themeColor="text1"/>
          <w:sz w:val="24"/>
          <w:szCs w:val="26"/>
        </w:rPr>
        <w:t>При ИМ симптомы сходны по характеру с возникающими при приступе стенокардии, но отличаются по силе и продолжительности (сильнее и продолжительнее). Кроме того, при ИМ симптомы, как правило, возникают в покое, не устраняются приемом нитроглицерина</w:t>
      </w:r>
      <w:r w:rsidRPr="00057516">
        <w:rPr>
          <w:rFonts w:ascii="Times New Roman" w:eastAsia="Times New Roman" w:hAnsi="Times New Roman" w:cs="Times New Roman"/>
          <w:sz w:val="24"/>
          <w:szCs w:val="26"/>
        </w:rPr>
        <w:t>**,</w:t>
      </w:r>
      <w:r>
        <w:rPr>
          <w:rFonts w:ascii="Times New Roman" w:eastAsia="Times New Roman" w:hAnsi="Times New Roman" w:cs="Times New Roman"/>
          <w:color w:val="000000" w:themeColor="text1"/>
          <w:sz w:val="24"/>
          <w:szCs w:val="26"/>
        </w:rPr>
        <w:t xml:space="preserve"> а иногда — и повторными инъекциями наркотических анальгетиков. Интенсивность болевого синдрома при этом может быть различной — от незначительной до невыносимой; симптомы могут носить волнообразный характер и продолжаться от 20 мин до нескольких часов. При нетипичных клинических проявлениях в зависимости от преобладающей симптоматики у пациентов с развивающимся ИМ выделяют астматический, абдоминальный, аритмический, цереброваскулярный варианты, а также малосимптомную (безболевую) форму.</w:t>
      </w:r>
    </w:p>
    <w:p w14:paraId="1501502D" w14:textId="77777777" w:rsidR="004C062E" w:rsidRPr="00987200" w:rsidRDefault="002C7340" w:rsidP="00A419DB">
      <w:pPr>
        <w:shd w:val="clear" w:color="auto" w:fill="FFFFFF"/>
        <w:suppressAutoHyphens/>
        <w:spacing w:before="75" w:after="225" w:line="360" w:lineRule="auto"/>
        <w:jc w:val="both"/>
        <w:rPr>
          <w:rFonts w:ascii="Times New Roman" w:eastAsia="Times New Roman" w:hAnsi="Times New Roman" w:cs="Times New Roman"/>
          <w:color w:val="000000" w:themeColor="text1"/>
          <w:sz w:val="24"/>
          <w:szCs w:val="26"/>
        </w:rPr>
      </w:pPr>
      <w:r>
        <w:rPr>
          <w:rFonts w:ascii="Times New Roman" w:eastAsia="Times New Roman" w:hAnsi="Times New Roman" w:cs="Times New Roman"/>
          <w:color w:val="000000" w:themeColor="text1"/>
          <w:sz w:val="24"/>
          <w:szCs w:val="26"/>
        </w:rPr>
        <w:t>В клинической картине ИМпST могут присутствовать, иногда преобладать, симптомы его основных осложнений — ОСН (отек легких, кардиогенный шок), выраженной брадикардии или тахикардии. Одним из возможных клинических проявлений ИМ, иногда единственным доступным для врачебной оценки, может быть набор симптомов, свойственных остановке кровообращения, вызванной желудочковой тахикардией (ЖТ)/ФЖ, асистолией или электромеханической диссоциацией. У пациентов с устраненной или спонтанно разрешившейся остановкой кровообращения ведущим симптомом может быть разной степени стойкое угнетение сознания, вплоть до глубокой комы.</w:t>
      </w:r>
    </w:p>
    <w:p w14:paraId="6E6D8E55" w14:textId="77777777" w:rsidR="004C062E" w:rsidRDefault="00987200" w:rsidP="00A419DB">
      <w:pPr>
        <w:pStyle w:val="10"/>
        <w:suppressAutoHyphens/>
        <w:spacing w:before="0" w:line="360" w:lineRule="auto"/>
        <w:ind w:firstLineChars="295" w:firstLine="711"/>
        <w:contextualSpacing/>
        <w:jc w:val="both"/>
        <w:rPr>
          <w:rFonts w:ascii="Times New Roman" w:hAnsi="Times New Roman" w:cs="Times New Roman"/>
          <w:color w:val="000000" w:themeColor="text1"/>
          <w:sz w:val="24"/>
          <w:szCs w:val="24"/>
        </w:rPr>
      </w:pPr>
      <w:bookmarkStart w:id="10" w:name="_Toc236138918"/>
      <w:r>
        <w:rPr>
          <w:rFonts w:ascii="Times New Roman" w:hAnsi="Times New Roman" w:cs="Times New Roman"/>
          <w:color w:val="000000" w:themeColor="text1"/>
          <w:sz w:val="24"/>
          <w:szCs w:val="24"/>
        </w:rPr>
        <w:t xml:space="preserve">2. </w:t>
      </w:r>
      <w:r w:rsidR="002C7340">
        <w:rPr>
          <w:rFonts w:ascii="Times New Roman" w:hAnsi="Times New Roman" w:cs="Times New Roman"/>
          <w:color w:val="000000" w:themeColor="text1"/>
          <w:sz w:val="24"/>
          <w:szCs w:val="24"/>
        </w:rPr>
        <w:t>Диагностика.</w:t>
      </w:r>
      <w:bookmarkEnd w:id="10"/>
    </w:p>
    <w:p w14:paraId="7BFA57B9" w14:textId="5AB5F011" w:rsidR="004C062E" w:rsidRPr="00987200"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 xml:space="preserve">Критерии установления диагноза </w:t>
      </w:r>
      <w:r w:rsidRPr="00545863">
        <w:rPr>
          <w:rFonts w:ascii="Times New Roman" w:hAnsi="Times New Roman" w:cs="Times New Roman"/>
          <w:color w:val="000000" w:themeColor="text1"/>
          <w:sz w:val="24"/>
          <w:szCs w:val="24"/>
          <w:shd w:val="clear" w:color="auto" w:fill="FFFFFF"/>
        </w:rPr>
        <w:t>ОКСпST представлены в </w:t>
      </w:r>
      <w:r w:rsidR="00A03B11" w:rsidRPr="00545863">
        <w:rPr>
          <w:rFonts w:ascii="Times New Roman" w:hAnsi="Times New Roman" w:cs="Times New Roman"/>
          <w:color w:val="000000" w:themeColor="text1"/>
          <w:sz w:val="24"/>
          <w:szCs w:val="24"/>
          <w:shd w:val="clear" w:color="auto" w:fill="FFFFFF"/>
        </w:rPr>
        <w:t>подр</w:t>
      </w:r>
      <w:r w:rsidRPr="00545863">
        <w:rPr>
          <w:rFonts w:ascii="Times New Roman" w:hAnsi="Times New Roman" w:cs="Times New Roman"/>
          <w:color w:val="000000" w:themeColor="text1"/>
          <w:sz w:val="24"/>
          <w:szCs w:val="24"/>
          <w:shd w:val="clear" w:color="auto" w:fill="FFFFFF"/>
        </w:rPr>
        <w:t>азделе 1.5.</w:t>
      </w:r>
      <w:r>
        <w:rPr>
          <w:rFonts w:ascii="Times New Roman" w:hAnsi="Times New Roman" w:cs="Times New Roman"/>
          <w:color w:val="000000" w:themeColor="text1"/>
          <w:sz w:val="24"/>
          <w:szCs w:val="24"/>
          <w:shd w:val="clear" w:color="auto" w:fill="FFFFFF"/>
        </w:rPr>
        <w:t xml:space="preserve"> </w:t>
      </w:r>
    </w:p>
    <w:p w14:paraId="4E04565B" w14:textId="77777777" w:rsidR="004C062E" w:rsidRDefault="002C7340" w:rsidP="00A419DB">
      <w:pPr>
        <w:pStyle w:val="20"/>
        <w:suppressAutoHyphens/>
        <w:spacing w:before="0" w:line="360" w:lineRule="auto"/>
        <w:ind w:firstLineChars="295" w:firstLine="711"/>
        <w:contextualSpacing/>
        <w:jc w:val="both"/>
        <w:rPr>
          <w:rFonts w:ascii="Times New Roman" w:hAnsi="Times New Roman" w:cs="Times New Roman"/>
          <w:color w:val="000000" w:themeColor="text1"/>
          <w:sz w:val="24"/>
          <w:szCs w:val="24"/>
        </w:rPr>
      </w:pPr>
      <w:bookmarkStart w:id="11" w:name="_Toc236138919"/>
      <w:r>
        <w:rPr>
          <w:rFonts w:ascii="Times New Roman" w:hAnsi="Times New Roman" w:cs="Times New Roman"/>
          <w:color w:val="000000" w:themeColor="text1"/>
          <w:sz w:val="24"/>
          <w:szCs w:val="24"/>
        </w:rPr>
        <w:lastRenderedPageBreak/>
        <w:t>2.1. Жалобы и анамнез</w:t>
      </w:r>
      <w:bookmarkEnd w:id="11"/>
    </w:p>
    <w:p w14:paraId="1771CE88"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начальной диагностике ИМпST рекомендуется опираться на оценку характера болевого синдрома и/или его эквиваленты.</w:t>
      </w:r>
    </w:p>
    <w:p w14:paraId="040CF959" w14:textId="77777777" w:rsidR="004C062E" w:rsidRDefault="002C7340" w:rsidP="00A419DB">
      <w:pPr>
        <w:suppressAutoHyphens/>
        <w:spacing w:after="0" w:line="360" w:lineRule="auto"/>
        <w:jc w:val="both"/>
        <w:rPr>
          <w:rFonts w:ascii="Times New Roman"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Комментарии.</w:t>
      </w:r>
      <w:r>
        <w:rPr>
          <w:rFonts w:ascii="Times New Roman" w:hAnsi="Times New Roman" w:cs="Times New Roman"/>
          <w:color w:val="000000" w:themeColor="text1"/>
          <w:sz w:val="24"/>
          <w:szCs w:val="24"/>
        </w:rPr>
        <w:t> </w:t>
      </w:r>
      <w:r>
        <w:rPr>
          <w:rStyle w:val="a5"/>
          <w:rFonts w:ascii="Times New Roman" w:eastAsiaTheme="majorEastAsia" w:hAnsi="Times New Roman" w:cs="Times New Roman"/>
          <w:color w:val="000000" w:themeColor="text1"/>
          <w:sz w:val="24"/>
          <w:szCs w:val="24"/>
        </w:rPr>
        <w:t>Клинические проявления ИМпST многообразны — от остановки сердечной деятельности, шока, угрожающих жизни аритмий до минимальных жалоб в виде небольшого дискомфорта за грудиной/одышки, а в ряде случаев и отсутствии какой-либо клинической симптоматики.</w:t>
      </w:r>
    </w:p>
    <w:p w14:paraId="00C678D1" w14:textId="77777777" w:rsidR="004C062E" w:rsidRDefault="002C7340" w:rsidP="00A419DB">
      <w:pPr>
        <w:suppressAutoHyphens/>
        <w:spacing w:after="0" w:line="360" w:lineRule="auto"/>
        <w:jc w:val="both"/>
        <w:rPr>
          <w:rFonts w:ascii="Times New Roman" w:hAnsi="Times New Roman" w:cs="Times New Roman"/>
          <w:color w:val="000000" w:themeColor="text1"/>
          <w:sz w:val="24"/>
          <w:szCs w:val="24"/>
        </w:rPr>
      </w:pPr>
      <w:r>
        <w:rPr>
          <w:rStyle w:val="a5"/>
          <w:rFonts w:ascii="Times New Roman" w:eastAsiaTheme="majorEastAsia" w:hAnsi="Times New Roman" w:cs="Times New Roman"/>
          <w:color w:val="000000" w:themeColor="text1"/>
          <w:sz w:val="24"/>
          <w:szCs w:val="24"/>
        </w:rPr>
        <w:t>Болевые ощущения и дискомфорт в области сердца кроме заболеваний сердца могут быть обусловлены патологией других органов грудной клетки (легких, плевры, средостения, диафрагмы), пищеварительного тракта, костно-мышечных структур грудной стенки, заболеваниями нервной системы, а также психогенными состояниями.</w:t>
      </w:r>
    </w:p>
    <w:p w14:paraId="5915A737" w14:textId="77777777" w:rsidR="004C062E" w:rsidRDefault="002C7340" w:rsidP="00A419DB">
      <w:pPr>
        <w:suppressAutoHyphens/>
        <w:spacing w:after="0" w:line="360" w:lineRule="auto"/>
        <w:jc w:val="both"/>
        <w:rPr>
          <w:rFonts w:ascii="Times New Roman" w:hAnsi="Times New Roman" w:cs="Times New Roman"/>
          <w:color w:val="000000" w:themeColor="text1"/>
          <w:sz w:val="24"/>
          <w:szCs w:val="24"/>
        </w:rPr>
      </w:pPr>
      <w:r>
        <w:rPr>
          <w:rStyle w:val="a5"/>
          <w:rFonts w:ascii="Times New Roman" w:eastAsiaTheme="majorEastAsia" w:hAnsi="Times New Roman" w:cs="Times New Roman"/>
          <w:color w:val="000000" w:themeColor="text1"/>
          <w:sz w:val="24"/>
          <w:szCs w:val="24"/>
        </w:rPr>
        <w:t>На начальном этапе постановки диагноза рекомендуется опираться на клинические проявления (особенности болевого синдрома и менее характерные симптомы и признаки, потенциально связанные с острой ишемией миокарда), данные анамнеза, наличие факторов риска ИБС, характер изменений на ЭКГ, При возможности следует проводить сопоставление ЭКГ, зарегистрированных во время и вне преходящих симптомов и признаков, потенциально связанных с ишемией миокарда, а также до текущего ухудшения клинического течения ИБС.</w:t>
      </w:r>
    </w:p>
    <w:p w14:paraId="2EBCD927"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5"/>
          <w:rFonts w:ascii="Times New Roman" w:eastAsiaTheme="majorEastAsia" w:hAnsi="Times New Roman" w:cs="Times New Roman"/>
          <w:color w:val="000000" w:themeColor="text1"/>
          <w:sz w:val="24"/>
          <w:szCs w:val="24"/>
        </w:rPr>
        <w:t>Рекомендуется учитывать догоспитальное использование лекарственных средств, которые могут повлиять на тактику ведения пациента с ИМпST.</w:t>
      </w:r>
    </w:p>
    <w:p w14:paraId="1DE368E3" w14:textId="77777777" w:rsidR="004C062E" w:rsidRDefault="002C7340" w:rsidP="00A419DB">
      <w:pPr>
        <w:pStyle w:val="20"/>
        <w:suppressAutoHyphens/>
        <w:spacing w:before="0" w:line="360" w:lineRule="auto"/>
        <w:ind w:firstLineChars="295" w:firstLine="711"/>
        <w:contextualSpacing/>
        <w:jc w:val="both"/>
        <w:rPr>
          <w:rFonts w:ascii="Times New Roman" w:hAnsi="Times New Roman" w:cs="Times New Roman"/>
          <w:color w:val="000000" w:themeColor="text1"/>
          <w:sz w:val="24"/>
          <w:szCs w:val="24"/>
        </w:rPr>
      </w:pPr>
      <w:bookmarkStart w:id="12" w:name="_Toc236138920"/>
      <w:r>
        <w:rPr>
          <w:rFonts w:ascii="Times New Roman" w:hAnsi="Times New Roman" w:cs="Times New Roman"/>
          <w:color w:val="000000" w:themeColor="text1"/>
          <w:sz w:val="24"/>
          <w:szCs w:val="24"/>
        </w:rPr>
        <w:t>2.2. Физикальное обследование.</w:t>
      </w:r>
      <w:bookmarkEnd w:id="12"/>
    </w:p>
    <w:p w14:paraId="383B9D63" w14:textId="535234B9"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Физикальное обследование не дает информации непосредственно о критериях ОКСпST или ИМпST, но рекомендуется для своевременного выявления осложнений ИМпST (набухшие вены шеи и влажные хрипы в легких — при СН, аускультативные шумы — при разрыве МЖП или недостаточности митрального клапана), а также других причин появления симптомов (шум трения перикарда при перикардите, асимметричный пульс при аневризме аорты, перкуторные и аускультативные признаки наличия воздуха в плевральной полости при пневмотораксе и др.),</w:t>
      </w:r>
      <w:r w:rsidR="00A03B1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т. е. для дифференциальной диагностики </w:t>
      </w:r>
      <w:hyperlink r:id="rId21" w:history="1">
        <w:r>
          <w:rPr>
            <w:rStyle w:val="a6"/>
            <w:rFonts w:ascii="Times New Roman" w:hAnsi="Times New Roman" w:cs="Times New Roman"/>
            <w:color w:val="000000" w:themeColor="text1"/>
            <w:sz w:val="24"/>
            <w:szCs w:val="24"/>
          </w:rPr>
          <w:t>[9]</w:t>
        </w:r>
      </w:hyperlink>
      <w:r>
        <w:rPr>
          <w:rFonts w:ascii="Times New Roman" w:hAnsi="Times New Roman" w:cs="Times New Roman"/>
          <w:color w:val="000000" w:themeColor="text1"/>
          <w:sz w:val="24"/>
          <w:szCs w:val="24"/>
        </w:rPr>
        <w:t>.</w:t>
      </w:r>
    </w:p>
    <w:p w14:paraId="6211BF65" w14:textId="13BD7A45"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ЕОК 1C (</w:t>
      </w:r>
      <w:r w:rsidR="00F52FCA">
        <w:rPr>
          <w:rStyle w:val="a7"/>
          <w:rFonts w:ascii="Times New Roman" w:eastAsiaTheme="majorEastAsia" w:hAnsi="Times New Roman" w:cs="Times New Roman"/>
          <w:color w:val="000000" w:themeColor="text1"/>
          <w:sz w:val="24"/>
          <w:szCs w:val="24"/>
        </w:rPr>
        <w:t>Уровень убедительности рекомендаций</w:t>
      </w:r>
      <w:r>
        <w:rPr>
          <w:rStyle w:val="a7"/>
          <w:rFonts w:ascii="Times New Roman" w:eastAsiaTheme="majorEastAsia" w:hAnsi="Times New Roman" w:cs="Times New Roman"/>
          <w:color w:val="000000" w:themeColor="text1"/>
          <w:sz w:val="24"/>
          <w:szCs w:val="24"/>
        </w:rPr>
        <w:t xml:space="preserve"> С, </w:t>
      </w:r>
      <w:r w:rsidR="00F52FCA">
        <w:rPr>
          <w:rStyle w:val="a7"/>
          <w:rFonts w:ascii="Times New Roman" w:eastAsiaTheme="majorEastAsia" w:hAnsi="Times New Roman" w:cs="Times New Roman"/>
          <w:color w:val="000000" w:themeColor="text1"/>
          <w:sz w:val="24"/>
          <w:szCs w:val="24"/>
        </w:rPr>
        <w:t>Уровень достоверности докзательств</w:t>
      </w:r>
      <w:r>
        <w:rPr>
          <w:rStyle w:val="a7"/>
          <w:rFonts w:ascii="Times New Roman" w:eastAsiaTheme="majorEastAsia" w:hAnsi="Times New Roman" w:cs="Times New Roman"/>
          <w:color w:val="000000" w:themeColor="text1"/>
          <w:sz w:val="24"/>
          <w:szCs w:val="24"/>
        </w:rPr>
        <w:t> 5)</w:t>
      </w:r>
      <w:r w:rsidR="00A03B11">
        <w:rPr>
          <w:rStyle w:val="a7"/>
          <w:rFonts w:ascii="Times New Roman" w:eastAsiaTheme="majorEastAsia" w:hAnsi="Times New Roman" w:cs="Times New Roman"/>
          <w:color w:val="000000" w:themeColor="text1"/>
          <w:sz w:val="24"/>
          <w:szCs w:val="24"/>
        </w:rPr>
        <w:t>.</w:t>
      </w:r>
    </w:p>
    <w:p w14:paraId="5DE87D20" w14:textId="4D4C88C3" w:rsidR="004C062E" w:rsidRDefault="002C7340" w:rsidP="00A419DB">
      <w:pPr>
        <w:pStyle w:val="20"/>
        <w:suppressAutoHyphens/>
        <w:spacing w:before="0" w:line="360" w:lineRule="auto"/>
        <w:ind w:firstLineChars="295" w:firstLine="711"/>
        <w:contextualSpacing/>
        <w:jc w:val="both"/>
        <w:rPr>
          <w:rFonts w:ascii="Times New Roman" w:hAnsi="Times New Roman" w:cs="Times New Roman"/>
          <w:color w:val="000000" w:themeColor="text1"/>
          <w:sz w:val="24"/>
          <w:szCs w:val="24"/>
        </w:rPr>
      </w:pPr>
      <w:bookmarkStart w:id="13" w:name="_Toc236138921"/>
      <w:r w:rsidRPr="00545863">
        <w:rPr>
          <w:rFonts w:ascii="Times New Roman" w:hAnsi="Times New Roman" w:cs="Times New Roman"/>
          <w:color w:val="000000" w:themeColor="text1"/>
          <w:sz w:val="24"/>
          <w:szCs w:val="24"/>
        </w:rPr>
        <w:lastRenderedPageBreak/>
        <w:t>2.3. Лабораторн</w:t>
      </w:r>
      <w:r w:rsidR="00A03B11" w:rsidRPr="00545863">
        <w:rPr>
          <w:rFonts w:ascii="Times New Roman" w:hAnsi="Times New Roman" w:cs="Times New Roman"/>
          <w:color w:val="000000" w:themeColor="text1"/>
          <w:sz w:val="24"/>
          <w:szCs w:val="24"/>
        </w:rPr>
        <w:t>ая диагностика</w:t>
      </w:r>
      <w:r w:rsidRPr="00545863">
        <w:rPr>
          <w:rFonts w:ascii="Times New Roman" w:hAnsi="Times New Roman" w:cs="Times New Roman"/>
          <w:color w:val="000000" w:themeColor="text1"/>
          <w:sz w:val="24"/>
          <w:szCs w:val="24"/>
        </w:rPr>
        <w:t>.</w:t>
      </w:r>
      <w:bookmarkEnd w:id="13"/>
    </w:p>
    <w:p w14:paraId="3B1522FF"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с ОКСпST для подтверждения диагноза ИМпST рекомендуется исследование уровня сердечного тропонина Т или I (согласно номенклатуре медицинских услуг: исследование уровня тропонинов I, T в крови; при невозможности их выполнения — экспресс-исследование уровня тропонинов I, T в крови) </w:t>
      </w:r>
      <w:hyperlink r:id="rId22" w:history="1">
        <w:r>
          <w:rPr>
            <w:rStyle w:val="a6"/>
            <w:rFonts w:ascii="Times New Roman" w:hAnsi="Times New Roman" w:cs="Times New Roman"/>
            <w:color w:val="000000" w:themeColor="text1"/>
            <w:sz w:val="24"/>
            <w:szCs w:val="24"/>
          </w:rPr>
          <w:t>[9-12]</w:t>
        </w:r>
      </w:hyperlink>
      <w:r>
        <w:rPr>
          <w:rFonts w:ascii="Times New Roman" w:hAnsi="Times New Roman" w:cs="Times New Roman"/>
          <w:color w:val="000000" w:themeColor="text1"/>
          <w:sz w:val="24"/>
          <w:szCs w:val="24"/>
        </w:rPr>
        <w:t>.</w:t>
      </w:r>
    </w:p>
    <w:p w14:paraId="34EC5978" w14:textId="67087378" w:rsidR="004C062E" w:rsidRPr="00F52FCA"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ЕОК</w:t>
      </w:r>
      <w:r>
        <w:rPr>
          <w:rStyle w:val="a7"/>
          <w:rFonts w:ascii="Times New Roman" w:eastAsiaTheme="majorEastAsia" w:hAnsi="Times New Roman" w:cs="Times New Roman"/>
          <w:color w:val="000000" w:themeColor="text1"/>
          <w:sz w:val="24"/>
          <w:szCs w:val="24"/>
          <w:lang w:val="en-US"/>
        </w:rPr>
        <w:t> </w:t>
      </w:r>
      <w:r w:rsidRPr="00F52FCA">
        <w:rPr>
          <w:rStyle w:val="a7"/>
          <w:rFonts w:ascii="Times New Roman" w:eastAsiaTheme="majorEastAsia" w:hAnsi="Times New Roman" w:cs="Times New Roman"/>
          <w:color w:val="000000" w:themeColor="text1"/>
          <w:sz w:val="24"/>
          <w:szCs w:val="24"/>
        </w:rPr>
        <w:t>1</w:t>
      </w:r>
      <w:r>
        <w:rPr>
          <w:rStyle w:val="a7"/>
          <w:rFonts w:ascii="Times New Roman" w:eastAsiaTheme="majorEastAsia" w:hAnsi="Times New Roman" w:cs="Times New Roman"/>
          <w:color w:val="000000" w:themeColor="text1"/>
          <w:sz w:val="24"/>
          <w:szCs w:val="24"/>
          <w:lang w:val="en-US"/>
        </w:rPr>
        <w:t>B</w:t>
      </w:r>
      <w:r w:rsidRPr="00F52FCA">
        <w:rPr>
          <w:rStyle w:val="a7"/>
          <w:rFonts w:ascii="Times New Roman" w:eastAsiaTheme="majorEastAsia" w:hAnsi="Times New Roman" w:cs="Times New Roman"/>
          <w:color w:val="000000" w:themeColor="text1"/>
          <w:sz w:val="24"/>
          <w:szCs w:val="24"/>
        </w:rPr>
        <w:t xml:space="preserve"> (</w:t>
      </w:r>
      <w:r w:rsidR="00F52FCA">
        <w:rPr>
          <w:rStyle w:val="a7"/>
          <w:rFonts w:ascii="Times New Roman" w:eastAsiaTheme="majorEastAsia" w:hAnsi="Times New Roman" w:cs="Times New Roman"/>
          <w:color w:val="000000" w:themeColor="text1"/>
          <w:sz w:val="24"/>
          <w:szCs w:val="24"/>
        </w:rPr>
        <w:t>Уровень убедительности рекомендаций</w:t>
      </w:r>
      <w:r>
        <w:rPr>
          <w:rStyle w:val="a7"/>
          <w:rFonts w:ascii="Times New Roman" w:eastAsiaTheme="majorEastAsia" w:hAnsi="Times New Roman" w:cs="Times New Roman"/>
          <w:color w:val="000000" w:themeColor="text1"/>
          <w:sz w:val="24"/>
          <w:szCs w:val="24"/>
          <w:lang w:val="en-US"/>
        </w:rPr>
        <w:t> A</w:t>
      </w:r>
      <w:r w:rsidRPr="00F52FCA">
        <w:rPr>
          <w:rStyle w:val="a7"/>
          <w:rFonts w:ascii="Times New Roman" w:eastAsiaTheme="majorEastAsia" w:hAnsi="Times New Roman" w:cs="Times New Roman"/>
          <w:color w:val="000000" w:themeColor="text1"/>
          <w:sz w:val="24"/>
          <w:szCs w:val="24"/>
        </w:rPr>
        <w:t xml:space="preserve">, </w:t>
      </w:r>
      <w:r w:rsidR="00F52FCA">
        <w:rPr>
          <w:rStyle w:val="a7"/>
          <w:rFonts w:ascii="Times New Roman" w:eastAsiaTheme="majorEastAsia" w:hAnsi="Times New Roman" w:cs="Times New Roman"/>
          <w:color w:val="000000" w:themeColor="text1"/>
          <w:sz w:val="24"/>
          <w:szCs w:val="24"/>
        </w:rPr>
        <w:t>Уровень достоверности докзательств</w:t>
      </w:r>
      <w:r>
        <w:rPr>
          <w:rStyle w:val="a7"/>
          <w:rFonts w:ascii="Times New Roman" w:eastAsiaTheme="majorEastAsia" w:hAnsi="Times New Roman" w:cs="Times New Roman"/>
          <w:color w:val="000000" w:themeColor="text1"/>
          <w:sz w:val="24"/>
          <w:szCs w:val="24"/>
          <w:lang w:val="en-US"/>
        </w:rPr>
        <w:t> </w:t>
      </w:r>
      <w:r w:rsidRPr="00F52FCA">
        <w:rPr>
          <w:rStyle w:val="a7"/>
          <w:rFonts w:ascii="Times New Roman" w:eastAsiaTheme="majorEastAsia" w:hAnsi="Times New Roman" w:cs="Times New Roman"/>
          <w:color w:val="000000" w:themeColor="text1"/>
          <w:sz w:val="24"/>
          <w:szCs w:val="24"/>
        </w:rPr>
        <w:t>1)</w:t>
      </w:r>
      <w:r w:rsidR="00A03B11">
        <w:rPr>
          <w:rStyle w:val="a7"/>
          <w:rFonts w:ascii="Times New Roman" w:eastAsiaTheme="majorEastAsia" w:hAnsi="Times New Roman" w:cs="Times New Roman"/>
          <w:color w:val="000000" w:themeColor="text1"/>
          <w:sz w:val="24"/>
          <w:szCs w:val="24"/>
        </w:rPr>
        <w:t>.</w:t>
      </w:r>
    </w:p>
    <w:p w14:paraId="6A311959" w14:textId="77777777" w:rsidR="004C062E" w:rsidRDefault="002C7340" w:rsidP="00A419DB">
      <w:pPr>
        <w:suppressAutoHyphens/>
        <w:spacing w:line="360" w:lineRule="auto"/>
        <w:jc w:val="both"/>
        <w:rPr>
          <w:rStyle w:val="a5"/>
          <w:rFonts w:ascii="Times New Roman" w:eastAsiaTheme="majorEastAsia" w:hAnsi="Times New Roman" w:cs="Times New Roman"/>
          <w:sz w:val="24"/>
          <w:szCs w:val="24"/>
        </w:rPr>
      </w:pPr>
      <w:r>
        <w:rPr>
          <w:rStyle w:val="a7"/>
          <w:rFonts w:ascii="Times New Roman" w:eastAsiaTheme="majorEastAsia" w:hAnsi="Times New Roman" w:cs="Times New Roman"/>
          <w:color w:val="000000" w:themeColor="text1"/>
          <w:sz w:val="24"/>
          <w:szCs w:val="24"/>
        </w:rPr>
        <w:t xml:space="preserve">Комментарии. </w:t>
      </w:r>
      <w:r>
        <w:rPr>
          <w:rStyle w:val="a5"/>
          <w:rFonts w:ascii="Times New Roman" w:eastAsiaTheme="majorEastAsia" w:hAnsi="Times New Roman" w:cs="Times New Roman"/>
          <w:color w:val="000000" w:themeColor="text1"/>
          <w:sz w:val="24"/>
          <w:szCs w:val="24"/>
        </w:rPr>
        <w:t>Применительно к ОКСпST лабораторное подтверждение острого повреждения миокарда с помощью исследования уровня сердечных тропонинов, на осно</w:t>
      </w:r>
      <w:r w:rsidR="00987200">
        <w:rPr>
          <w:rStyle w:val="a5"/>
          <w:rFonts w:ascii="Times New Roman" w:eastAsiaTheme="majorEastAsia" w:hAnsi="Times New Roman" w:cs="Times New Roman"/>
          <w:color w:val="000000" w:themeColor="text1"/>
          <w:sz w:val="24"/>
          <w:szCs w:val="24"/>
        </w:rPr>
        <w:t xml:space="preserve">вании клинической картины и ЭКГ. </w:t>
      </w:r>
      <w:r>
        <w:rPr>
          <w:rStyle w:val="a5"/>
          <w:rFonts w:ascii="Times New Roman" w:eastAsiaTheme="majorEastAsia" w:hAnsi="Times New Roman" w:cs="Times New Roman"/>
          <w:sz w:val="24"/>
          <w:szCs w:val="24"/>
        </w:rPr>
        <w:t xml:space="preserve">Рекомендуется использовать количественное (не качественное или полуколичественное) определение уровня сердечных тропонинов. </w:t>
      </w:r>
    </w:p>
    <w:p w14:paraId="78A6537B"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всех пациентов с подозрением на ИМпST рекомендуется проведение общего (клинического) анализа крови, анализа крови биохимического общетерапевтического (общий белок, мочевина, общий билирубин, определение активности аспартатаминотрансферазы и аланинаминотрансферазы в крови), общего (клинического) анализа мочи в рамках первичного обследования при поступлении в стационар и, при необходимости, последующего динамического наблюдения во время госпитализации </w:t>
      </w:r>
      <w:hyperlink r:id="rId23" w:history="1">
        <w:r>
          <w:rPr>
            <w:rStyle w:val="a6"/>
            <w:rFonts w:ascii="Times New Roman" w:hAnsi="Times New Roman" w:cs="Times New Roman"/>
            <w:color w:val="000000" w:themeColor="text1"/>
            <w:sz w:val="24"/>
            <w:szCs w:val="24"/>
          </w:rPr>
          <w:t>[14-17]</w:t>
        </w:r>
      </w:hyperlink>
      <w:r>
        <w:rPr>
          <w:rFonts w:ascii="Times New Roman" w:hAnsi="Times New Roman" w:cs="Times New Roman"/>
          <w:color w:val="000000" w:themeColor="text1"/>
          <w:sz w:val="24"/>
          <w:szCs w:val="24"/>
        </w:rPr>
        <w:t>.</w:t>
      </w:r>
    </w:p>
    <w:p w14:paraId="1FDD81F5" w14:textId="4A42AA98"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ЕОК 1C (</w:t>
      </w:r>
      <w:r w:rsidR="00F52FCA">
        <w:rPr>
          <w:rStyle w:val="a7"/>
          <w:rFonts w:ascii="Times New Roman" w:eastAsiaTheme="majorEastAsia" w:hAnsi="Times New Roman" w:cs="Times New Roman"/>
          <w:color w:val="000000" w:themeColor="text1"/>
          <w:sz w:val="24"/>
          <w:szCs w:val="24"/>
        </w:rPr>
        <w:t>Уровень убедительности рекомендаций</w:t>
      </w:r>
      <w:r>
        <w:rPr>
          <w:rStyle w:val="a7"/>
          <w:rFonts w:ascii="Times New Roman" w:eastAsiaTheme="majorEastAsia" w:hAnsi="Times New Roman" w:cs="Times New Roman"/>
          <w:color w:val="000000" w:themeColor="text1"/>
          <w:sz w:val="24"/>
          <w:szCs w:val="24"/>
        </w:rPr>
        <w:t xml:space="preserve"> C, </w:t>
      </w:r>
      <w:r w:rsidR="00F52FCA">
        <w:rPr>
          <w:rStyle w:val="a7"/>
          <w:rFonts w:ascii="Times New Roman" w:eastAsiaTheme="majorEastAsia" w:hAnsi="Times New Roman" w:cs="Times New Roman"/>
          <w:color w:val="000000" w:themeColor="text1"/>
          <w:sz w:val="24"/>
          <w:szCs w:val="24"/>
        </w:rPr>
        <w:t>Уровень достоверности докзательств</w:t>
      </w:r>
      <w:r>
        <w:rPr>
          <w:rStyle w:val="a7"/>
          <w:rFonts w:ascii="Times New Roman" w:eastAsiaTheme="majorEastAsia" w:hAnsi="Times New Roman" w:cs="Times New Roman"/>
          <w:color w:val="000000" w:themeColor="text1"/>
          <w:sz w:val="24"/>
          <w:szCs w:val="24"/>
        </w:rPr>
        <w:t> 4)</w:t>
      </w:r>
      <w:r w:rsidR="00A03B11">
        <w:rPr>
          <w:rStyle w:val="a7"/>
          <w:rFonts w:ascii="Times New Roman" w:eastAsiaTheme="majorEastAsia" w:hAnsi="Times New Roman" w:cs="Times New Roman"/>
          <w:color w:val="000000" w:themeColor="text1"/>
          <w:sz w:val="24"/>
          <w:szCs w:val="24"/>
        </w:rPr>
        <w:t>.</w:t>
      </w:r>
    </w:p>
    <w:p w14:paraId="0FCF599E"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Всем пациентам рекомендуется исследование уровня креатинина в крови при поступлении в стационар и далее при наличии клинической необходимости с расчетом скорости клубочковой фильтрации, а в случае назначения прямых оральных антикоагулянтов еще клиренса креатинина (КлКр) </w:t>
      </w:r>
      <w:hyperlink r:id="rId24" w:history="1">
        <w:r>
          <w:rPr>
            <w:rStyle w:val="a6"/>
            <w:rFonts w:ascii="Times New Roman" w:hAnsi="Times New Roman" w:cs="Times New Roman"/>
            <w:color w:val="000000" w:themeColor="text1"/>
            <w:sz w:val="24"/>
            <w:szCs w:val="24"/>
          </w:rPr>
          <w:t>[18]</w:t>
        </w:r>
      </w:hyperlink>
      <w:hyperlink r:id="rId25" w:history="1">
        <w:r>
          <w:rPr>
            <w:rStyle w:val="a6"/>
            <w:rFonts w:ascii="Times New Roman" w:hAnsi="Times New Roman" w:cs="Times New Roman"/>
            <w:color w:val="000000" w:themeColor="text1"/>
            <w:sz w:val="24"/>
            <w:szCs w:val="24"/>
          </w:rPr>
          <w:t>[19]</w:t>
        </w:r>
      </w:hyperlink>
      <w:r>
        <w:rPr>
          <w:rFonts w:ascii="Times New Roman" w:hAnsi="Times New Roman" w:cs="Times New Roman"/>
          <w:color w:val="000000" w:themeColor="text1"/>
          <w:sz w:val="24"/>
          <w:szCs w:val="24"/>
        </w:rPr>
        <w:t>.</w:t>
      </w:r>
    </w:p>
    <w:p w14:paraId="20ADAC10" w14:textId="7A97678D"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ЕОК IA (</w:t>
      </w:r>
      <w:r w:rsidR="00F52FCA">
        <w:rPr>
          <w:rStyle w:val="a7"/>
          <w:rFonts w:ascii="Times New Roman" w:eastAsiaTheme="majorEastAsia" w:hAnsi="Times New Roman" w:cs="Times New Roman"/>
          <w:color w:val="000000" w:themeColor="text1"/>
          <w:sz w:val="24"/>
          <w:szCs w:val="24"/>
        </w:rPr>
        <w:t>Уровень убедительности рекомендаций</w:t>
      </w:r>
      <w:r>
        <w:rPr>
          <w:rStyle w:val="a7"/>
          <w:rFonts w:ascii="Times New Roman" w:eastAsiaTheme="majorEastAsia" w:hAnsi="Times New Roman" w:cs="Times New Roman"/>
          <w:color w:val="000000" w:themeColor="text1"/>
          <w:sz w:val="24"/>
          <w:szCs w:val="24"/>
        </w:rPr>
        <w:t xml:space="preserve"> А, </w:t>
      </w:r>
      <w:r w:rsidR="00F52FCA">
        <w:rPr>
          <w:rStyle w:val="a7"/>
          <w:rFonts w:ascii="Times New Roman" w:eastAsiaTheme="majorEastAsia" w:hAnsi="Times New Roman" w:cs="Times New Roman"/>
          <w:color w:val="000000" w:themeColor="text1"/>
          <w:sz w:val="24"/>
          <w:szCs w:val="24"/>
        </w:rPr>
        <w:t>Уровень достоверности докзательств</w:t>
      </w:r>
      <w:r>
        <w:rPr>
          <w:rStyle w:val="a7"/>
          <w:rFonts w:ascii="Times New Roman" w:eastAsiaTheme="majorEastAsia" w:hAnsi="Times New Roman" w:cs="Times New Roman"/>
          <w:color w:val="000000" w:themeColor="text1"/>
          <w:sz w:val="24"/>
          <w:szCs w:val="24"/>
        </w:rPr>
        <w:t> 3)</w:t>
      </w:r>
      <w:r w:rsidR="00A03B11">
        <w:rPr>
          <w:rStyle w:val="a7"/>
          <w:rFonts w:ascii="Times New Roman" w:eastAsiaTheme="majorEastAsia" w:hAnsi="Times New Roman" w:cs="Times New Roman"/>
          <w:color w:val="000000" w:themeColor="text1"/>
          <w:sz w:val="24"/>
          <w:szCs w:val="24"/>
        </w:rPr>
        <w:t>.</w:t>
      </w:r>
    </w:p>
    <w:p w14:paraId="41AE94FD"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У всех пациентов рекомендуется исследование уровня глюкозы в крови натощак, скрининг на наличие сахарного диабета (СД) (исследование обмена глюкозы; проведение глюкозотолерантного теста; исследование уровня гликированного гемоглобина в крови), а также повторное исследование уровня глюкозы в крови при СД в анамнезе </w:t>
      </w:r>
      <w:r>
        <w:rPr>
          <w:rFonts w:ascii="Times New Roman" w:hAnsi="Times New Roman" w:cs="Times New Roman"/>
          <w:color w:val="000000" w:themeColor="text1"/>
          <w:sz w:val="24"/>
          <w:szCs w:val="24"/>
        </w:rPr>
        <w:lastRenderedPageBreak/>
        <w:t>или гипергликемии при госпитализации с целью оценки риска неблагоприятного исхода </w:t>
      </w:r>
      <w:hyperlink r:id="rId26" w:history="1">
        <w:r>
          <w:rPr>
            <w:rStyle w:val="a6"/>
            <w:rFonts w:ascii="Times New Roman" w:hAnsi="Times New Roman" w:cs="Times New Roman"/>
            <w:color w:val="000000" w:themeColor="text1"/>
            <w:sz w:val="24"/>
            <w:szCs w:val="24"/>
          </w:rPr>
          <w:t>[20-25]</w:t>
        </w:r>
      </w:hyperlink>
      <w:r>
        <w:rPr>
          <w:rFonts w:ascii="Times New Roman" w:hAnsi="Times New Roman" w:cs="Times New Roman"/>
          <w:color w:val="000000" w:themeColor="text1"/>
          <w:sz w:val="24"/>
          <w:szCs w:val="24"/>
        </w:rPr>
        <w:t>.</w:t>
      </w:r>
    </w:p>
    <w:p w14:paraId="61968A12" w14:textId="1D6C805D"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ЕОК IIaB (</w:t>
      </w:r>
      <w:r w:rsidR="00F52FCA">
        <w:rPr>
          <w:rStyle w:val="a7"/>
          <w:rFonts w:ascii="Times New Roman" w:eastAsiaTheme="majorEastAsia" w:hAnsi="Times New Roman" w:cs="Times New Roman"/>
          <w:color w:val="000000" w:themeColor="text1"/>
          <w:sz w:val="24"/>
          <w:szCs w:val="24"/>
        </w:rPr>
        <w:t>Уровень убедительности рекомендаций</w:t>
      </w:r>
      <w:r>
        <w:rPr>
          <w:rStyle w:val="a7"/>
          <w:rFonts w:ascii="Times New Roman" w:eastAsiaTheme="majorEastAsia" w:hAnsi="Times New Roman" w:cs="Times New Roman"/>
          <w:color w:val="000000" w:themeColor="text1"/>
          <w:sz w:val="24"/>
          <w:szCs w:val="24"/>
        </w:rPr>
        <w:t xml:space="preserve"> В, </w:t>
      </w:r>
      <w:r w:rsidR="00F52FCA">
        <w:rPr>
          <w:rStyle w:val="a7"/>
          <w:rFonts w:ascii="Times New Roman" w:eastAsiaTheme="majorEastAsia" w:hAnsi="Times New Roman" w:cs="Times New Roman"/>
          <w:color w:val="000000" w:themeColor="text1"/>
          <w:sz w:val="24"/>
          <w:szCs w:val="24"/>
        </w:rPr>
        <w:t>Уровень достоверности докзательств</w:t>
      </w:r>
      <w:r>
        <w:rPr>
          <w:rStyle w:val="a7"/>
          <w:rFonts w:ascii="Times New Roman" w:eastAsiaTheme="majorEastAsia" w:hAnsi="Times New Roman" w:cs="Times New Roman"/>
          <w:color w:val="000000" w:themeColor="text1"/>
          <w:sz w:val="24"/>
          <w:szCs w:val="24"/>
        </w:rPr>
        <w:t> 3)</w:t>
      </w:r>
      <w:r w:rsidR="00A03B11">
        <w:rPr>
          <w:rStyle w:val="a7"/>
          <w:rFonts w:ascii="Times New Roman" w:eastAsiaTheme="majorEastAsia" w:hAnsi="Times New Roman" w:cs="Times New Roman"/>
          <w:color w:val="000000" w:themeColor="text1"/>
          <w:sz w:val="24"/>
          <w:szCs w:val="24"/>
        </w:rPr>
        <w:t>.</w:t>
      </w:r>
    </w:p>
    <w:p w14:paraId="673BBE69"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Пациентам с ИМпST рекомендуется как можно быстрее после госпитализации, предпочтительно в первые 24 ч, выполнить анализ крови для оценки нарушений липидного обмена биохимический (исследование уровня холестерина (ХС) крови, уровня ХС липопротеидов низкой плотности (ЛНП), уровня ХС липопротеидов высокой плотности (ЛВП) и триглицеридов) для последующего сопоставления с уровнями липидов, достигнутыми при использовании гиполипидемических лекарственных средств </w:t>
      </w:r>
      <w:hyperlink r:id="rId27" w:history="1">
        <w:r>
          <w:rPr>
            <w:rStyle w:val="a6"/>
            <w:rFonts w:ascii="Times New Roman" w:hAnsi="Times New Roman" w:cs="Times New Roman"/>
            <w:color w:val="000000" w:themeColor="text1"/>
            <w:sz w:val="24"/>
            <w:szCs w:val="24"/>
          </w:rPr>
          <w:t>[26-28]</w:t>
        </w:r>
      </w:hyperlink>
      <w:r>
        <w:rPr>
          <w:rFonts w:ascii="Times New Roman" w:hAnsi="Times New Roman" w:cs="Times New Roman"/>
          <w:color w:val="000000" w:themeColor="text1"/>
          <w:sz w:val="24"/>
          <w:szCs w:val="24"/>
        </w:rPr>
        <w:t>.</w:t>
      </w:r>
    </w:p>
    <w:p w14:paraId="7A04B53B" w14:textId="6685383D"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ЕОК IC (</w:t>
      </w:r>
      <w:r w:rsidR="00F52FCA">
        <w:rPr>
          <w:rStyle w:val="a7"/>
          <w:rFonts w:ascii="Times New Roman" w:eastAsiaTheme="majorEastAsia" w:hAnsi="Times New Roman" w:cs="Times New Roman"/>
          <w:color w:val="000000" w:themeColor="text1"/>
          <w:sz w:val="24"/>
          <w:szCs w:val="24"/>
        </w:rPr>
        <w:t>Уровень убедительности рекомендаций</w:t>
      </w:r>
      <w:r>
        <w:rPr>
          <w:rStyle w:val="a7"/>
          <w:rFonts w:ascii="Times New Roman" w:eastAsiaTheme="majorEastAsia" w:hAnsi="Times New Roman" w:cs="Times New Roman"/>
          <w:color w:val="000000" w:themeColor="text1"/>
          <w:sz w:val="24"/>
          <w:szCs w:val="24"/>
        </w:rPr>
        <w:t xml:space="preserve"> C, </w:t>
      </w:r>
      <w:r w:rsidR="00F52FCA">
        <w:rPr>
          <w:rStyle w:val="a7"/>
          <w:rFonts w:ascii="Times New Roman" w:eastAsiaTheme="majorEastAsia" w:hAnsi="Times New Roman" w:cs="Times New Roman"/>
          <w:color w:val="000000" w:themeColor="text1"/>
          <w:sz w:val="24"/>
          <w:szCs w:val="24"/>
        </w:rPr>
        <w:t>Уровень достоверности докзательств</w:t>
      </w:r>
      <w:r>
        <w:rPr>
          <w:rStyle w:val="a7"/>
          <w:rFonts w:ascii="Times New Roman" w:eastAsiaTheme="majorEastAsia" w:hAnsi="Times New Roman" w:cs="Times New Roman"/>
          <w:color w:val="000000" w:themeColor="text1"/>
          <w:sz w:val="24"/>
          <w:szCs w:val="24"/>
        </w:rPr>
        <w:t> 5)</w:t>
      </w:r>
      <w:r w:rsidR="00A03B11">
        <w:rPr>
          <w:rStyle w:val="a7"/>
          <w:rFonts w:ascii="Times New Roman" w:eastAsiaTheme="majorEastAsia" w:hAnsi="Times New Roman" w:cs="Times New Roman"/>
          <w:color w:val="000000" w:themeColor="text1"/>
          <w:sz w:val="24"/>
          <w:szCs w:val="24"/>
        </w:rPr>
        <w:t>.</w:t>
      </w:r>
    </w:p>
    <w:p w14:paraId="21A998A3" w14:textId="77777777" w:rsidR="00A07308"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всех пациентов с ИМпST для обеспечения безопасности лечения рекомендуется определение содержания электролитов крови (минимально — исследование уровня калия в крови, исследование уровня натрия в крови, оптимально — исследование уровня калия в крови, исследование уровня натрия в крови</w:t>
      </w:r>
      <w:r w:rsidR="00A07308">
        <w:rPr>
          <w:rFonts w:ascii="Times New Roman" w:hAnsi="Times New Roman" w:cs="Times New Roman"/>
          <w:color w:val="000000" w:themeColor="text1"/>
          <w:sz w:val="24"/>
          <w:szCs w:val="24"/>
        </w:rPr>
        <w:t>.</w:t>
      </w:r>
    </w:p>
    <w:p w14:paraId="025176F7" w14:textId="1FCB6ECD"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ЕОК IIbС (</w:t>
      </w:r>
      <w:r w:rsidR="00F52FCA">
        <w:rPr>
          <w:rStyle w:val="a7"/>
          <w:rFonts w:ascii="Times New Roman" w:eastAsiaTheme="majorEastAsia" w:hAnsi="Times New Roman" w:cs="Times New Roman"/>
          <w:color w:val="000000" w:themeColor="text1"/>
          <w:sz w:val="24"/>
          <w:szCs w:val="24"/>
        </w:rPr>
        <w:t>Уровень убедительности рекомендаций</w:t>
      </w:r>
      <w:r>
        <w:rPr>
          <w:rStyle w:val="a7"/>
          <w:rFonts w:ascii="Times New Roman" w:eastAsiaTheme="majorEastAsia" w:hAnsi="Times New Roman" w:cs="Times New Roman"/>
          <w:color w:val="000000" w:themeColor="text1"/>
          <w:sz w:val="24"/>
          <w:szCs w:val="24"/>
        </w:rPr>
        <w:t xml:space="preserve"> С, </w:t>
      </w:r>
      <w:r w:rsidR="00F52FCA">
        <w:rPr>
          <w:rStyle w:val="a7"/>
          <w:rFonts w:ascii="Times New Roman" w:eastAsiaTheme="majorEastAsia" w:hAnsi="Times New Roman" w:cs="Times New Roman"/>
          <w:color w:val="000000" w:themeColor="text1"/>
          <w:sz w:val="24"/>
          <w:szCs w:val="24"/>
        </w:rPr>
        <w:t>Уровень достоверности докзательств</w:t>
      </w:r>
      <w:r>
        <w:rPr>
          <w:rStyle w:val="a7"/>
          <w:rFonts w:ascii="Times New Roman" w:eastAsiaTheme="majorEastAsia" w:hAnsi="Times New Roman" w:cs="Times New Roman"/>
          <w:color w:val="000000" w:themeColor="text1"/>
          <w:sz w:val="24"/>
          <w:szCs w:val="24"/>
        </w:rPr>
        <w:t> 4)</w:t>
      </w:r>
      <w:r w:rsidR="00A03B11">
        <w:rPr>
          <w:rStyle w:val="a7"/>
          <w:rFonts w:ascii="Times New Roman" w:eastAsiaTheme="majorEastAsia" w:hAnsi="Times New Roman" w:cs="Times New Roman"/>
          <w:color w:val="000000" w:themeColor="text1"/>
          <w:sz w:val="24"/>
          <w:szCs w:val="24"/>
        </w:rPr>
        <w:t>.</w:t>
      </w:r>
    </w:p>
    <w:p w14:paraId="0A4D9BBB"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Всем пациентам с ИМпST, поступающим в стационар, рекомендуется выполнение коагулограммы (активированное частичное тромбопластиновое время (АЧТВ), протромбиновое время, протромбиновый индекс, фибриноген), определение международного нормализованного отношения (МНО), в случае приема варфарина, а также для прогноза риска периоперационных кровотечений и величины кровопотери — резус фактора, определение основных групп по системе AB0.</w:t>
      </w:r>
    </w:p>
    <w:p w14:paraId="5E5BF8AD" w14:textId="5A6684DD" w:rsidR="004C062E" w:rsidRDefault="002C7340" w:rsidP="00A419DB">
      <w:pPr>
        <w:suppressAutoHyphens/>
        <w:spacing w:line="360" w:lineRule="auto"/>
        <w:jc w:val="both"/>
        <w:rPr>
          <w:rStyle w:val="a7"/>
          <w:rFonts w:ascii="Times New Roman" w:eastAsiaTheme="majorEastAsia"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РКО 1C (</w:t>
      </w:r>
      <w:r w:rsidR="00F52FCA">
        <w:rPr>
          <w:rStyle w:val="a7"/>
          <w:rFonts w:ascii="Times New Roman" w:eastAsiaTheme="majorEastAsia" w:hAnsi="Times New Roman" w:cs="Times New Roman"/>
          <w:color w:val="000000" w:themeColor="text1"/>
          <w:sz w:val="24"/>
          <w:szCs w:val="24"/>
        </w:rPr>
        <w:t>Уровень убедительности рекомендаций</w:t>
      </w:r>
      <w:r>
        <w:rPr>
          <w:rStyle w:val="a7"/>
          <w:rFonts w:ascii="Times New Roman" w:eastAsiaTheme="majorEastAsia" w:hAnsi="Times New Roman" w:cs="Times New Roman"/>
          <w:color w:val="000000" w:themeColor="text1"/>
          <w:sz w:val="24"/>
          <w:szCs w:val="24"/>
        </w:rPr>
        <w:t xml:space="preserve"> C, </w:t>
      </w:r>
      <w:r w:rsidR="00F52FCA">
        <w:rPr>
          <w:rStyle w:val="a7"/>
          <w:rFonts w:ascii="Times New Roman" w:eastAsiaTheme="majorEastAsia" w:hAnsi="Times New Roman" w:cs="Times New Roman"/>
          <w:color w:val="000000" w:themeColor="text1"/>
          <w:sz w:val="24"/>
          <w:szCs w:val="24"/>
        </w:rPr>
        <w:t>Уровень достоверности докзательств</w:t>
      </w:r>
      <w:r>
        <w:rPr>
          <w:rStyle w:val="a7"/>
          <w:rFonts w:ascii="Times New Roman" w:eastAsiaTheme="majorEastAsia" w:hAnsi="Times New Roman" w:cs="Times New Roman"/>
          <w:color w:val="000000" w:themeColor="text1"/>
          <w:sz w:val="24"/>
          <w:szCs w:val="24"/>
        </w:rPr>
        <w:t> 4)</w:t>
      </w:r>
      <w:r w:rsidR="00A03B11">
        <w:rPr>
          <w:rStyle w:val="a7"/>
          <w:rFonts w:ascii="Times New Roman" w:eastAsiaTheme="majorEastAsia" w:hAnsi="Times New Roman" w:cs="Times New Roman"/>
          <w:color w:val="000000" w:themeColor="text1"/>
          <w:sz w:val="24"/>
          <w:szCs w:val="24"/>
        </w:rPr>
        <w:t>.</w:t>
      </w:r>
    </w:p>
    <w:p w14:paraId="095FE7F9" w14:textId="77777777" w:rsidR="004C062E" w:rsidRDefault="004C062E" w:rsidP="00A419DB">
      <w:pPr>
        <w:suppressAutoHyphens/>
        <w:spacing w:line="360" w:lineRule="auto"/>
        <w:jc w:val="both"/>
        <w:rPr>
          <w:rFonts w:ascii="Times New Roman" w:hAnsi="Times New Roman" w:cs="Times New Roman"/>
          <w:color w:val="000000" w:themeColor="text1"/>
          <w:sz w:val="24"/>
          <w:szCs w:val="24"/>
        </w:rPr>
      </w:pPr>
    </w:p>
    <w:p w14:paraId="3F52EB90" w14:textId="77777777" w:rsidR="004C062E" w:rsidRDefault="002C7340" w:rsidP="00A419DB">
      <w:pPr>
        <w:pStyle w:val="20"/>
        <w:suppressAutoHyphens/>
        <w:spacing w:before="0" w:line="360" w:lineRule="auto"/>
        <w:ind w:firstLineChars="295" w:firstLine="711"/>
        <w:contextualSpacing/>
        <w:jc w:val="both"/>
        <w:rPr>
          <w:rFonts w:ascii="Times New Roman" w:hAnsi="Times New Roman" w:cs="Times New Roman"/>
          <w:color w:val="000000" w:themeColor="text1"/>
          <w:sz w:val="24"/>
          <w:szCs w:val="24"/>
        </w:rPr>
      </w:pPr>
      <w:bookmarkStart w:id="14" w:name="_Toc236138922"/>
      <w:r>
        <w:rPr>
          <w:rFonts w:ascii="Times New Roman" w:hAnsi="Times New Roman" w:cs="Times New Roman"/>
          <w:color w:val="000000" w:themeColor="text1"/>
          <w:sz w:val="24"/>
          <w:szCs w:val="24"/>
        </w:rPr>
        <w:lastRenderedPageBreak/>
        <w:t>2.4. Инструментальная диагностика.</w:t>
      </w:r>
      <w:bookmarkEnd w:id="14"/>
    </w:p>
    <w:p w14:paraId="6B23BE50" w14:textId="29AE2E26"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течение 10 мин</w:t>
      </w:r>
      <w:r w:rsidR="007A53BB">
        <w:rPr>
          <w:rFonts w:ascii="Times New Roman" w:hAnsi="Times New Roman" w:cs="Times New Roman"/>
          <w:color w:val="000000" w:themeColor="text1"/>
          <w:sz w:val="24"/>
          <w:szCs w:val="24"/>
        </w:rPr>
        <w:t>ут</w:t>
      </w:r>
      <w:r>
        <w:rPr>
          <w:rFonts w:ascii="Times New Roman" w:hAnsi="Times New Roman" w:cs="Times New Roman"/>
          <w:color w:val="000000" w:themeColor="text1"/>
          <w:sz w:val="24"/>
          <w:szCs w:val="24"/>
        </w:rPr>
        <w:t xml:space="preserve"> от начала ПМК с пациентом с подозрением на ОКС для определения типа ОКС и дифференциальной диагностики с иными заболеваниями рекомендуется регистрация ЭКГ на месте ПМК и интерпретация ЭКГ данных квалифицированным специалистом (медицинским работником) </w:t>
      </w:r>
      <w:hyperlink r:id="rId28" w:history="1">
        <w:r>
          <w:rPr>
            <w:rStyle w:val="a6"/>
            <w:rFonts w:ascii="Times New Roman" w:hAnsi="Times New Roman" w:cs="Times New Roman"/>
            <w:color w:val="000000" w:themeColor="text1"/>
            <w:sz w:val="24"/>
            <w:szCs w:val="24"/>
          </w:rPr>
          <w:t>[2]</w:t>
        </w:r>
      </w:hyperlink>
      <w:hyperlink r:id="rId29" w:history="1">
        <w:r>
          <w:rPr>
            <w:rStyle w:val="a6"/>
            <w:rFonts w:ascii="Times New Roman" w:hAnsi="Times New Roman" w:cs="Times New Roman"/>
            <w:color w:val="000000" w:themeColor="text1"/>
            <w:sz w:val="24"/>
            <w:szCs w:val="24"/>
          </w:rPr>
          <w:t>[41-43]</w:t>
        </w:r>
      </w:hyperlink>
      <w:r>
        <w:rPr>
          <w:rFonts w:ascii="Times New Roman" w:hAnsi="Times New Roman" w:cs="Times New Roman"/>
          <w:color w:val="000000" w:themeColor="text1"/>
          <w:sz w:val="24"/>
          <w:szCs w:val="24"/>
        </w:rPr>
        <w:t>.</w:t>
      </w:r>
    </w:p>
    <w:p w14:paraId="5548FC72" w14:textId="2A03FCAF"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ЕОК IB (</w:t>
      </w:r>
      <w:r w:rsidR="00F52FCA">
        <w:rPr>
          <w:rStyle w:val="a7"/>
          <w:rFonts w:ascii="Times New Roman" w:eastAsiaTheme="majorEastAsia" w:hAnsi="Times New Roman" w:cs="Times New Roman"/>
          <w:color w:val="000000" w:themeColor="text1"/>
          <w:sz w:val="24"/>
          <w:szCs w:val="24"/>
        </w:rPr>
        <w:t>Уровень убедительности рекомендаций</w:t>
      </w:r>
      <w:r>
        <w:rPr>
          <w:rStyle w:val="a7"/>
          <w:rFonts w:ascii="Times New Roman" w:eastAsiaTheme="majorEastAsia" w:hAnsi="Times New Roman" w:cs="Times New Roman"/>
          <w:color w:val="000000" w:themeColor="text1"/>
          <w:sz w:val="24"/>
          <w:szCs w:val="24"/>
        </w:rPr>
        <w:t xml:space="preserve"> С, </w:t>
      </w:r>
      <w:r w:rsidR="00F52FCA">
        <w:rPr>
          <w:rStyle w:val="a7"/>
          <w:rFonts w:ascii="Times New Roman" w:eastAsiaTheme="majorEastAsia" w:hAnsi="Times New Roman" w:cs="Times New Roman"/>
          <w:color w:val="000000" w:themeColor="text1"/>
          <w:sz w:val="24"/>
          <w:szCs w:val="24"/>
        </w:rPr>
        <w:t>Уровень достоверности докзательств</w:t>
      </w:r>
      <w:r>
        <w:rPr>
          <w:rStyle w:val="a7"/>
          <w:rFonts w:ascii="Times New Roman" w:eastAsiaTheme="majorEastAsia" w:hAnsi="Times New Roman" w:cs="Times New Roman"/>
          <w:color w:val="000000" w:themeColor="text1"/>
          <w:sz w:val="24"/>
          <w:szCs w:val="24"/>
        </w:rPr>
        <w:t> 5)</w:t>
      </w:r>
      <w:r w:rsidR="00A03B11">
        <w:rPr>
          <w:rStyle w:val="a7"/>
          <w:rFonts w:ascii="Times New Roman" w:eastAsiaTheme="majorEastAsia" w:hAnsi="Times New Roman" w:cs="Times New Roman"/>
          <w:color w:val="000000" w:themeColor="text1"/>
          <w:sz w:val="24"/>
          <w:szCs w:val="24"/>
        </w:rPr>
        <w:t>.</w:t>
      </w:r>
    </w:p>
    <w:p w14:paraId="6C098524"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всех пациентов с подозрением на ИМпST для определения типа ОКС и дифференциальной диагностики с иными заболеваниями рекомендуется зарегистрировать ЭКГ в покое как в минимум в 12 стандартных отведениях </w:t>
      </w:r>
      <w:hyperlink r:id="rId30" w:history="1">
        <w:r>
          <w:rPr>
            <w:rStyle w:val="a6"/>
            <w:rFonts w:ascii="Times New Roman" w:hAnsi="Times New Roman" w:cs="Times New Roman"/>
            <w:color w:val="000000" w:themeColor="text1"/>
            <w:sz w:val="24"/>
            <w:szCs w:val="24"/>
          </w:rPr>
          <w:t>[43-47]</w:t>
        </w:r>
      </w:hyperlink>
      <w:r>
        <w:rPr>
          <w:rFonts w:ascii="Times New Roman" w:hAnsi="Times New Roman" w:cs="Times New Roman"/>
          <w:color w:val="000000" w:themeColor="text1"/>
          <w:sz w:val="24"/>
          <w:szCs w:val="24"/>
        </w:rPr>
        <w:t>.</w:t>
      </w:r>
    </w:p>
    <w:p w14:paraId="4445AD37" w14:textId="76019CB6" w:rsidR="004C062E" w:rsidRPr="00F52FCA"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ЕОК</w:t>
      </w:r>
      <w:r>
        <w:rPr>
          <w:rStyle w:val="a7"/>
          <w:rFonts w:ascii="Times New Roman" w:eastAsiaTheme="majorEastAsia" w:hAnsi="Times New Roman" w:cs="Times New Roman"/>
          <w:color w:val="000000" w:themeColor="text1"/>
          <w:sz w:val="24"/>
          <w:szCs w:val="24"/>
          <w:lang w:val="en-US"/>
        </w:rPr>
        <w:t> IA</w:t>
      </w:r>
      <w:r w:rsidRPr="00F52FCA">
        <w:rPr>
          <w:rStyle w:val="a7"/>
          <w:rFonts w:ascii="Times New Roman" w:eastAsiaTheme="majorEastAsia" w:hAnsi="Times New Roman" w:cs="Times New Roman"/>
          <w:color w:val="000000" w:themeColor="text1"/>
          <w:sz w:val="24"/>
          <w:szCs w:val="24"/>
        </w:rPr>
        <w:t xml:space="preserve"> (</w:t>
      </w:r>
      <w:r w:rsidR="00F52FCA">
        <w:rPr>
          <w:rStyle w:val="a7"/>
          <w:rFonts w:ascii="Times New Roman" w:eastAsiaTheme="majorEastAsia" w:hAnsi="Times New Roman" w:cs="Times New Roman"/>
          <w:color w:val="000000" w:themeColor="text1"/>
          <w:sz w:val="24"/>
          <w:szCs w:val="24"/>
        </w:rPr>
        <w:t>Уровень убедительности рекомендаций</w:t>
      </w:r>
      <w:r>
        <w:rPr>
          <w:rStyle w:val="a7"/>
          <w:rFonts w:ascii="Times New Roman" w:eastAsiaTheme="majorEastAsia" w:hAnsi="Times New Roman" w:cs="Times New Roman"/>
          <w:color w:val="000000" w:themeColor="text1"/>
          <w:sz w:val="24"/>
          <w:szCs w:val="24"/>
          <w:lang w:val="en-US"/>
        </w:rPr>
        <w:t> A</w:t>
      </w:r>
      <w:r w:rsidRPr="00F52FCA">
        <w:rPr>
          <w:rStyle w:val="a7"/>
          <w:rFonts w:ascii="Times New Roman" w:eastAsiaTheme="majorEastAsia" w:hAnsi="Times New Roman" w:cs="Times New Roman"/>
          <w:color w:val="000000" w:themeColor="text1"/>
          <w:sz w:val="24"/>
          <w:szCs w:val="24"/>
        </w:rPr>
        <w:t xml:space="preserve">, </w:t>
      </w:r>
      <w:r w:rsidR="00F52FCA">
        <w:rPr>
          <w:rStyle w:val="a7"/>
          <w:rFonts w:ascii="Times New Roman" w:eastAsiaTheme="majorEastAsia" w:hAnsi="Times New Roman" w:cs="Times New Roman"/>
          <w:color w:val="000000" w:themeColor="text1"/>
          <w:sz w:val="24"/>
          <w:szCs w:val="24"/>
        </w:rPr>
        <w:t>Уровень достоверности докзательств</w:t>
      </w:r>
      <w:r>
        <w:rPr>
          <w:rStyle w:val="a7"/>
          <w:rFonts w:ascii="Times New Roman" w:eastAsiaTheme="majorEastAsia" w:hAnsi="Times New Roman" w:cs="Times New Roman"/>
          <w:color w:val="000000" w:themeColor="text1"/>
          <w:sz w:val="24"/>
          <w:szCs w:val="24"/>
          <w:lang w:val="en-US"/>
        </w:rPr>
        <w:t> </w:t>
      </w:r>
      <w:r w:rsidRPr="00F52FCA">
        <w:rPr>
          <w:rStyle w:val="a7"/>
          <w:rFonts w:ascii="Times New Roman" w:eastAsiaTheme="majorEastAsia" w:hAnsi="Times New Roman" w:cs="Times New Roman"/>
          <w:color w:val="000000" w:themeColor="text1"/>
          <w:sz w:val="24"/>
          <w:szCs w:val="24"/>
        </w:rPr>
        <w:t>2)</w:t>
      </w:r>
      <w:r w:rsidR="00A03B11">
        <w:rPr>
          <w:rStyle w:val="a7"/>
          <w:rFonts w:ascii="Times New Roman" w:eastAsiaTheme="majorEastAsia" w:hAnsi="Times New Roman" w:cs="Times New Roman"/>
          <w:color w:val="000000" w:themeColor="text1"/>
          <w:sz w:val="24"/>
          <w:szCs w:val="24"/>
        </w:rPr>
        <w:t>.</w:t>
      </w:r>
    </w:p>
    <w:p w14:paraId="4012E9A0"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Рекомендуется использовать дополнительные отведения ЭКГ (V</w:t>
      </w:r>
      <w:r>
        <w:rPr>
          <w:rFonts w:ascii="Times New Roman" w:hAnsi="Times New Roman" w:cs="Times New Roman"/>
          <w:color w:val="000000" w:themeColor="text1"/>
          <w:sz w:val="24"/>
          <w:szCs w:val="24"/>
          <w:vertAlign w:val="subscript"/>
        </w:rPr>
        <w:t>3</w:t>
      </w:r>
      <w:r>
        <w:rPr>
          <w:rFonts w:ascii="Times New Roman" w:hAnsi="Times New Roman" w:cs="Times New Roman"/>
          <w:color w:val="000000" w:themeColor="text1"/>
          <w:sz w:val="24"/>
          <w:szCs w:val="24"/>
        </w:rPr>
        <w:t>R-V</w:t>
      </w:r>
      <w:r>
        <w:rPr>
          <w:rFonts w:ascii="Times New Roman" w:hAnsi="Times New Roman" w:cs="Times New Roman"/>
          <w:color w:val="000000" w:themeColor="text1"/>
          <w:sz w:val="24"/>
          <w:szCs w:val="24"/>
          <w:vertAlign w:val="subscript"/>
        </w:rPr>
        <w:t>4</w:t>
      </w:r>
      <w:r>
        <w:rPr>
          <w:rFonts w:ascii="Times New Roman" w:hAnsi="Times New Roman" w:cs="Times New Roman"/>
          <w:color w:val="000000" w:themeColor="text1"/>
          <w:sz w:val="24"/>
          <w:szCs w:val="24"/>
        </w:rPr>
        <w:t>R и/или V</w:t>
      </w:r>
      <w:r>
        <w:rPr>
          <w:rFonts w:ascii="Times New Roman" w:hAnsi="Times New Roman" w:cs="Times New Roman"/>
          <w:color w:val="000000" w:themeColor="text1"/>
          <w:sz w:val="24"/>
          <w:szCs w:val="24"/>
          <w:vertAlign w:val="subscript"/>
        </w:rPr>
        <w:t>7</w:t>
      </w:r>
      <w:r>
        <w:rPr>
          <w:rFonts w:ascii="Times New Roman" w:hAnsi="Times New Roman" w:cs="Times New Roman"/>
          <w:color w:val="000000" w:themeColor="text1"/>
          <w:sz w:val="24"/>
          <w:szCs w:val="24"/>
        </w:rPr>
        <w:t>-V</w:t>
      </w:r>
      <w:r>
        <w:rPr>
          <w:rFonts w:ascii="Times New Roman" w:hAnsi="Times New Roman" w:cs="Times New Roman"/>
          <w:color w:val="000000" w:themeColor="text1"/>
          <w:sz w:val="24"/>
          <w:szCs w:val="24"/>
          <w:vertAlign w:val="subscript"/>
        </w:rPr>
        <w:t>9</w:t>
      </w:r>
      <w:r>
        <w:rPr>
          <w:rFonts w:ascii="Times New Roman" w:hAnsi="Times New Roman" w:cs="Times New Roman"/>
          <w:color w:val="000000" w:themeColor="text1"/>
          <w:sz w:val="24"/>
          <w:szCs w:val="24"/>
        </w:rPr>
        <w:t>) у пациентов с ИМпST нижней стенки ЛЖ и/или при подозрении на ИМ ПЖ и/или задней стенки ЛЖ для диагностики распространения зоны инфаркта на ПЖ и/или задние отделы ЛЖ </w:t>
      </w:r>
      <w:hyperlink r:id="rId31" w:history="1">
        <w:r>
          <w:rPr>
            <w:rStyle w:val="a6"/>
            <w:rFonts w:ascii="Times New Roman" w:hAnsi="Times New Roman" w:cs="Times New Roman"/>
            <w:color w:val="000000" w:themeColor="text1"/>
            <w:sz w:val="24"/>
            <w:szCs w:val="24"/>
          </w:rPr>
          <w:t>[48-50]</w:t>
        </w:r>
      </w:hyperlink>
      <w:r>
        <w:rPr>
          <w:rFonts w:ascii="Times New Roman" w:hAnsi="Times New Roman" w:cs="Times New Roman"/>
          <w:color w:val="000000" w:themeColor="text1"/>
          <w:sz w:val="24"/>
          <w:szCs w:val="24"/>
        </w:rPr>
        <w:t>.</w:t>
      </w:r>
    </w:p>
    <w:p w14:paraId="30998661" w14:textId="36E5FBD6"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ЕОК IB (</w:t>
      </w:r>
      <w:r w:rsidR="00F52FCA">
        <w:rPr>
          <w:rStyle w:val="a7"/>
          <w:rFonts w:ascii="Times New Roman" w:eastAsiaTheme="majorEastAsia" w:hAnsi="Times New Roman" w:cs="Times New Roman"/>
          <w:color w:val="000000" w:themeColor="text1"/>
          <w:sz w:val="24"/>
          <w:szCs w:val="24"/>
        </w:rPr>
        <w:t>Уровень убедительности рекомендаций</w:t>
      </w:r>
      <w:r>
        <w:rPr>
          <w:rStyle w:val="a7"/>
          <w:rFonts w:ascii="Times New Roman" w:eastAsiaTheme="majorEastAsia" w:hAnsi="Times New Roman" w:cs="Times New Roman"/>
          <w:color w:val="000000" w:themeColor="text1"/>
          <w:sz w:val="24"/>
          <w:szCs w:val="24"/>
        </w:rPr>
        <w:t xml:space="preserve"> B, </w:t>
      </w:r>
      <w:r w:rsidR="00F52FCA">
        <w:rPr>
          <w:rStyle w:val="a7"/>
          <w:rFonts w:ascii="Times New Roman" w:eastAsiaTheme="majorEastAsia" w:hAnsi="Times New Roman" w:cs="Times New Roman"/>
          <w:color w:val="000000" w:themeColor="text1"/>
          <w:sz w:val="24"/>
          <w:szCs w:val="24"/>
        </w:rPr>
        <w:t>Уровень достоверности докзательств</w:t>
      </w:r>
      <w:r>
        <w:rPr>
          <w:rStyle w:val="a7"/>
          <w:rFonts w:ascii="Times New Roman" w:eastAsiaTheme="majorEastAsia" w:hAnsi="Times New Roman" w:cs="Times New Roman"/>
          <w:color w:val="000000" w:themeColor="text1"/>
          <w:sz w:val="24"/>
          <w:szCs w:val="24"/>
        </w:rPr>
        <w:t> 2)</w:t>
      </w:r>
      <w:r w:rsidR="00A03B11">
        <w:rPr>
          <w:rStyle w:val="a7"/>
          <w:rFonts w:ascii="Times New Roman" w:eastAsiaTheme="majorEastAsia" w:hAnsi="Times New Roman" w:cs="Times New Roman"/>
          <w:color w:val="000000" w:themeColor="text1"/>
          <w:sz w:val="24"/>
          <w:szCs w:val="24"/>
        </w:rPr>
        <w:t>.</w:t>
      </w:r>
    </w:p>
    <w:p w14:paraId="0CC4F642"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с ИМпST для своевременного выявления и устранения нарушений ритма сердца рекомендуется скорейшее начало мониторирования ЭКГ (мониторирование ЭКГ данных) </w:t>
      </w:r>
      <w:hyperlink r:id="rId32" w:history="1">
        <w:r>
          <w:rPr>
            <w:rStyle w:val="a6"/>
            <w:rFonts w:ascii="Times New Roman" w:hAnsi="Times New Roman" w:cs="Times New Roman"/>
            <w:color w:val="000000" w:themeColor="text1"/>
            <w:sz w:val="24"/>
            <w:szCs w:val="24"/>
          </w:rPr>
          <w:t>[51-54]</w:t>
        </w:r>
      </w:hyperlink>
      <w:r>
        <w:rPr>
          <w:rFonts w:ascii="Times New Roman" w:hAnsi="Times New Roman" w:cs="Times New Roman"/>
          <w:color w:val="000000" w:themeColor="text1"/>
          <w:sz w:val="24"/>
          <w:szCs w:val="24"/>
        </w:rPr>
        <w:t>.</w:t>
      </w:r>
    </w:p>
    <w:p w14:paraId="7B27EC3C" w14:textId="2FFB1530"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ЕОК IВ (</w:t>
      </w:r>
      <w:r w:rsidR="00F52FCA">
        <w:rPr>
          <w:rStyle w:val="a7"/>
          <w:rFonts w:ascii="Times New Roman" w:eastAsiaTheme="majorEastAsia" w:hAnsi="Times New Roman" w:cs="Times New Roman"/>
          <w:color w:val="000000" w:themeColor="text1"/>
          <w:sz w:val="24"/>
          <w:szCs w:val="24"/>
        </w:rPr>
        <w:t>Уровень убедительности рекомендаций</w:t>
      </w:r>
      <w:r>
        <w:rPr>
          <w:rStyle w:val="a7"/>
          <w:rFonts w:ascii="Times New Roman" w:eastAsiaTheme="majorEastAsia" w:hAnsi="Times New Roman" w:cs="Times New Roman"/>
          <w:color w:val="000000" w:themeColor="text1"/>
          <w:sz w:val="24"/>
          <w:szCs w:val="24"/>
        </w:rPr>
        <w:t xml:space="preserve"> С, </w:t>
      </w:r>
      <w:r w:rsidR="00F52FCA">
        <w:rPr>
          <w:rStyle w:val="a7"/>
          <w:rFonts w:ascii="Times New Roman" w:eastAsiaTheme="majorEastAsia" w:hAnsi="Times New Roman" w:cs="Times New Roman"/>
          <w:color w:val="000000" w:themeColor="text1"/>
          <w:sz w:val="24"/>
          <w:szCs w:val="24"/>
        </w:rPr>
        <w:t>Уровень достоверности докзательств</w:t>
      </w:r>
      <w:r>
        <w:rPr>
          <w:rStyle w:val="a7"/>
          <w:rFonts w:ascii="Times New Roman" w:eastAsiaTheme="majorEastAsia" w:hAnsi="Times New Roman" w:cs="Times New Roman"/>
          <w:color w:val="000000" w:themeColor="text1"/>
          <w:sz w:val="24"/>
          <w:szCs w:val="24"/>
        </w:rPr>
        <w:t> 5)</w:t>
      </w:r>
      <w:r w:rsidR="00A03B11">
        <w:rPr>
          <w:rStyle w:val="a7"/>
          <w:rFonts w:ascii="Times New Roman" w:eastAsiaTheme="majorEastAsia" w:hAnsi="Times New Roman" w:cs="Times New Roman"/>
          <w:color w:val="000000" w:themeColor="text1"/>
          <w:sz w:val="24"/>
          <w:szCs w:val="24"/>
        </w:rPr>
        <w:t>.</w:t>
      </w:r>
    </w:p>
    <w:p w14:paraId="459EA4B8" w14:textId="4E68A11D"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Пациентам с ОКСпST/ИМпST для решения вопроса о необходимости в</w:t>
      </w:r>
      <w:r w:rsidR="003500AE">
        <w:rPr>
          <w:rFonts w:ascii="Times New Roman" w:hAnsi="Times New Roman" w:cs="Times New Roman"/>
          <w:color w:val="000000" w:themeColor="text1"/>
          <w:sz w:val="24"/>
          <w:szCs w:val="24"/>
        </w:rPr>
        <w:t xml:space="preserve">ыполнении ЧКВ рекомендуется КГ, </w:t>
      </w:r>
      <w:r>
        <w:rPr>
          <w:rFonts w:ascii="Times New Roman" w:hAnsi="Times New Roman" w:cs="Times New Roman"/>
          <w:color w:val="000000" w:themeColor="text1"/>
          <w:sz w:val="24"/>
          <w:szCs w:val="24"/>
        </w:rPr>
        <w:t>в рамках стратеги</w:t>
      </w:r>
      <w:r w:rsidR="003500AE">
        <w:rPr>
          <w:rFonts w:ascii="Times New Roman" w:hAnsi="Times New Roman" w:cs="Times New Roman"/>
          <w:color w:val="000000" w:themeColor="text1"/>
          <w:sz w:val="24"/>
          <w:szCs w:val="24"/>
        </w:rPr>
        <w:t>и первичного ЧКВ,</w:t>
      </w:r>
      <w:r>
        <w:rPr>
          <w:rFonts w:ascii="Times New Roman" w:hAnsi="Times New Roman" w:cs="Times New Roman"/>
          <w:color w:val="000000" w:themeColor="text1"/>
          <w:sz w:val="24"/>
          <w:szCs w:val="24"/>
        </w:rPr>
        <w:t xml:space="preserve"> и в рамках стратегии фармакоинвазивного подхода </w:t>
      </w:r>
      <w:hyperlink r:id="rId33" w:history="1">
        <w:r>
          <w:rPr>
            <w:rStyle w:val="a6"/>
            <w:rFonts w:ascii="Times New Roman" w:hAnsi="Times New Roman" w:cs="Times New Roman"/>
            <w:color w:val="000000" w:themeColor="text1"/>
            <w:sz w:val="24"/>
            <w:szCs w:val="24"/>
          </w:rPr>
          <w:t>[55]</w:t>
        </w:r>
      </w:hyperlink>
      <w:hyperlink r:id="rId34" w:history="1">
        <w:r>
          <w:rPr>
            <w:rStyle w:val="a6"/>
            <w:rFonts w:ascii="Times New Roman" w:hAnsi="Times New Roman" w:cs="Times New Roman"/>
            <w:color w:val="000000" w:themeColor="text1"/>
            <w:sz w:val="24"/>
            <w:szCs w:val="24"/>
          </w:rPr>
          <w:t>[56]</w:t>
        </w:r>
      </w:hyperlink>
      <w:r>
        <w:rPr>
          <w:rFonts w:ascii="Times New Roman" w:hAnsi="Times New Roman" w:cs="Times New Roman"/>
          <w:color w:val="000000" w:themeColor="text1"/>
          <w:sz w:val="24"/>
          <w:szCs w:val="24"/>
        </w:rPr>
        <w:t>.</w:t>
      </w:r>
    </w:p>
    <w:p w14:paraId="72220879" w14:textId="1EF9A4BD" w:rsidR="004C062E" w:rsidRPr="00F52FCA"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ЕОК</w:t>
      </w:r>
      <w:r>
        <w:rPr>
          <w:rStyle w:val="a7"/>
          <w:rFonts w:ascii="Times New Roman" w:eastAsiaTheme="majorEastAsia" w:hAnsi="Times New Roman" w:cs="Times New Roman"/>
          <w:color w:val="000000" w:themeColor="text1"/>
          <w:sz w:val="24"/>
          <w:szCs w:val="24"/>
          <w:lang w:val="en-US"/>
        </w:rPr>
        <w:t> IA</w:t>
      </w:r>
      <w:r w:rsidRPr="00F52FCA">
        <w:rPr>
          <w:rStyle w:val="a7"/>
          <w:rFonts w:ascii="Times New Roman" w:eastAsiaTheme="majorEastAsia" w:hAnsi="Times New Roman" w:cs="Times New Roman"/>
          <w:color w:val="000000" w:themeColor="text1"/>
          <w:sz w:val="24"/>
          <w:szCs w:val="24"/>
        </w:rPr>
        <w:t xml:space="preserve"> (</w:t>
      </w:r>
      <w:r w:rsidR="00F52FCA">
        <w:rPr>
          <w:rStyle w:val="a7"/>
          <w:rFonts w:ascii="Times New Roman" w:eastAsiaTheme="majorEastAsia" w:hAnsi="Times New Roman" w:cs="Times New Roman"/>
          <w:color w:val="000000" w:themeColor="text1"/>
          <w:sz w:val="24"/>
          <w:szCs w:val="24"/>
        </w:rPr>
        <w:t>Уровень убедительности рекомендаций</w:t>
      </w:r>
      <w:r>
        <w:rPr>
          <w:rStyle w:val="a7"/>
          <w:rFonts w:ascii="Times New Roman" w:eastAsiaTheme="majorEastAsia" w:hAnsi="Times New Roman" w:cs="Times New Roman"/>
          <w:color w:val="000000" w:themeColor="text1"/>
          <w:sz w:val="24"/>
          <w:szCs w:val="24"/>
          <w:lang w:val="en-US"/>
        </w:rPr>
        <w:t> A</w:t>
      </w:r>
      <w:r w:rsidRPr="00F52FCA">
        <w:rPr>
          <w:rStyle w:val="a7"/>
          <w:rFonts w:ascii="Times New Roman" w:eastAsiaTheme="majorEastAsia" w:hAnsi="Times New Roman" w:cs="Times New Roman"/>
          <w:color w:val="000000" w:themeColor="text1"/>
          <w:sz w:val="24"/>
          <w:szCs w:val="24"/>
        </w:rPr>
        <w:t xml:space="preserve">, </w:t>
      </w:r>
      <w:r w:rsidR="00F52FCA">
        <w:rPr>
          <w:rStyle w:val="a7"/>
          <w:rFonts w:ascii="Times New Roman" w:eastAsiaTheme="majorEastAsia" w:hAnsi="Times New Roman" w:cs="Times New Roman"/>
          <w:color w:val="000000" w:themeColor="text1"/>
          <w:sz w:val="24"/>
          <w:szCs w:val="24"/>
        </w:rPr>
        <w:t>Уровень достоверности докзательств</w:t>
      </w:r>
      <w:r>
        <w:rPr>
          <w:rStyle w:val="a7"/>
          <w:rFonts w:ascii="Times New Roman" w:eastAsiaTheme="majorEastAsia" w:hAnsi="Times New Roman" w:cs="Times New Roman"/>
          <w:color w:val="000000" w:themeColor="text1"/>
          <w:sz w:val="24"/>
          <w:szCs w:val="24"/>
          <w:lang w:val="en-US"/>
        </w:rPr>
        <w:t> </w:t>
      </w:r>
      <w:r w:rsidRPr="00F52FCA">
        <w:rPr>
          <w:rStyle w:val="a7"/>
          <w:rFonts w:ascii="Times New Roman" w:eastAsiaTheme="majorEastAsia" w:hAnsi="Times New Roman" w:cs="Times New Roman"/>
          <w:color w:val="000000" w:themeColor="text1"/>
          <w:sz w:val="24"/>
          <w:szCs w:val="24"/>
        </w:rPr>
        <w:t>2)</w:t>
      </w:r>
      <w:r w:rsidR="00A03B11">
        <w:rPr>
          <w:rStyle w:val="a7"/>
          <w:rFonts w:ascii="Times New Roman" w:eastAsiaTheme="majorEastAsia" w:hAnsi="Times New Roman" w:cs="Times New Roman"/>
          <w:color w:val="000000" w:themeColor="text1"/>
          <w:sz w:val="24"/>
          <w:szCs w:val="24"/>
        </w:rPr>
        <w:t>.</w:t>
      </w:r>
    </w:p>
    <w:p w14:paraId="1EABFDCC"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Всем пациентам с ИМпST для подтверждения диагноза, оценки тяжести поражения, проведения дифференциальной диагностики, выявления осложнений и определения прогноза рекомендуется выполнить трансторакальнуюЭхоКГ с обязательной оценкой ФВ ЛЖ, оптимально — в первые сутки госпитализации </w:t>
      </w:r>
      <w:hyperlink r:id="rId35" w:history="1">
        <w:r>
          <w:rPr>
            <w:rStyle w:val="a6"/>
            <w:rFonts w:ascii="Times New Roman" w:hAnsi="Times New Roman" w:cs="Times New Roman"/>
            <w:color w:val="000000" w:themeColor="text1"/>
            <w:sz w:val="24"/>
            <w:szCs w:val="24"/>
          </w:rPr>
          <w:t>[9]</w:t>
        </w:r>
      </w:hyperlink>
      <w:hyperlink r:id="rId36" w:history="1">
        <w:r>
          <w:rPr>
            <w:rStyle w:val="a6"/>
            <w:rFonts w:ascii="Times New Roman" w:hAnsi="Times New Roman" w:cs="Times New Roman"/>
            <w:color w:val="000000" w:themeColor="text1"/>
            <w:sz w:val="24"/>
            <w:szCs w:val="24"/>
          </w:rPr>
          <w:t>[57-60]</w:t>
        </w:r>
      </w:hyperlink>
      <w:r>
        <w:rPr>
          <w:rFonts w:ascii="Times New Roman" w:hAnsi="Times New Roman" w:cs="Times New Roman"/>
          <w:color w:val="000000" w:themeColor="text1"/>
          <w:sz w:val="24"/>
          <w:szCs w:val="24"/>
        </w:rPr>
        <w:t>.</w:t>
      </w:r>
    </w:p>
    <w:p w14:paraId="47344E0E" w14:textId="6A3199E9"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ЕОК 1C (</w:t>
      </w:r>
      <w:r w:rsidR="00F52FCA">
        <w:rPr>
          <w:rStyle w:val="a7"/>
          <w:rFonts w:ascii="Times New Roman" w:eastAsiaTheme="majorEastAsia" w:hAnsi="Times New Roman" w:cs="Times New Roman"/>
          <w:color w:val="000000" w:themeColor="text1"/>
          <w:sz w:val="24"/>
          <w:szCs w:val="24"/>
        </w:rPr>
        <w:t>Уровень убедительности рекомендаций</w:t>
      </w:r>
      <w:r>
        <w:rPr>
          <w:rStyle w:val="a7"/>
          <w:rFonts w:ascii="Times New Roman" w:eastAsiaTheme="majorEastAsia" w:hAnsi="Times New Roman" w:cs="Times New Roman"/>
          <w:color w:val="000000" w:themeColor="text1"/>
          <w:sz w:val="24"/>
          <w:szCs w:val="24"/>
        </w:rPr>
        <w:t xml:space="preserve"> С, </w:t>
      </w:r>
      <w:r w:rsidR="00F52FCA">
        <w:rPr>
          <w:rStyle w:val="a7"/>
          <w:rFonts w:ascii="Times New Roman" w:eastAsiaTheme="majorEastAsia" w:hAnsi="Times New Roman" w:cs="Times New Roman"/>
          <w:color w:val="000000" w:themeColor="text1"/>
          <w:sz w:val="24"/>
          <w:szCs w:val="24"/>
        </w:rPr>
        <w:t>Уровень достоверности докзательств</w:t>
      </w:r>
      <w:r>
        <w:rPr>
          <w:rStyle w:val="a7"/>
          <w:rFonts w:ascii="Times New Roman" w:eastAsiaTheme="majorEastAsia" w:hAnsi="Times New Roman" w:cs="Times New Roman"/>
          <w:color w:val="000000" w:themeColor="text1"/>
          <w:sz w:val="24"/>
          <w:szCs w:val="24"/>
        </w:rPr>
        <w:t> 5)</w:t>
      </w:r>
      <w:r w:rsidR="00A03B11">
        <w:rPr>
          <w:rStyle w:val="a7"/>
          <w:rFonts w:ascii="Times New Roman" w:eastAsiaTheme="majorEastAsia" w:hAnsi="Times New Roman" w:cs="Times New Roman"/>
          <w:color w:val="000000" w:themeColor="text1"/>
          <w:sz w:val="24"/>
          <w:szCs w:val="24"/>
        </w:rPr>
        <w:t>.</w:t>
      </w:r>
    </w:p>
    <w:p w14:paraId="3CA34BD9"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Магнитно-резонансную томографию (МРТ) сердца с контрастированием при ИМпST рекомендуется рассмотреть в качестве дополнительного метода для уточнения локализации и объема поражения миокарда при относительно небольших его размерах, а также для дифференциальной диагностики поражений миокарда — при наличии технических возможностей </w:t>
      </w:r>
      <w:hyperlink r:id="rId37" w:history="1">
        <w:r>
          <w:rPr>
            <w:rStyle w:val="a6"/>
            <w:rFonts w:ascii="Times New Roman" w:hAnsi="Times New Roman" w:cs="Times New Roman"/>
            <w:color w:val="000000" w:themeColor="text1"/>
            <w:sz w:val="24"/>
            <w:szCs w:val="24"/>
          </w:rPr>
          <w:t>[61-67]</w:t>
        </w:r>
      </w:hyperlink>
      <w:r>
        <w:rPr>
          <w:rFonts w:ascii="Times New Roman" w:hAnsi="Times New Roman" w:cs="Times New Roman"/>
          <w:color w:val="000000" w:themeColor="text1"/>
          <w:sz w:val="24"/>
          <w:szCs w:val="24"/>
        </w:rPr>
        <w:t>.</w:t>
      </w:r>
    </w:p>
    <w:p w14:paraId="5FA198B9" w14:textId="0BEA62C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ЕОК IIbB (</w:t>
      </w:r>
      <w:r w:rsidR="00F52FCA">
        <w:rPr>
          <w:rStyle w:val="a7"/>
          <w:rFonts w:ascii="Times New Roman" w:eastAsiaTheme="majorEastAsia" w:hAnsi="Times New Roman" w:cs="Times New Roman"/>
          <w:color w:val="000000" w:themeColor="text1"/>
          <w:sz w:val="24"/>
          <w:szCs w:val="24"/>
        </w:rPr>
        <w:t>Уровень убедительности рекомендаций</w:t>
      </w:r>
      <w:r>
        <w:rPr>
          <w:rStyle w:val="a7"/>
          <w:rFonts w:ascii="Times New Roman" w:eastAsiaTheme="majorEastAsia" w:hAnsi="Times New Roman" w:cs="Times New Roman"/>
          <w:color w:val="000000" w:themeColor="text1"/>
          <w:sz w:val="24"/>
          <w:szCs w:val="24"/>
        </w:rPr>
        <w:t xml:space="preserve"> С, </w:t>
      </w:r>
      <w:r w:rsidR="00F52FCA">
        <w:rPr>
          <w:rStyle w:val="a7"/>
          <w:rFonts w:ascii="Times New Roman" w:eastAsiaTheme="majorEastAsia" w:hAnsi="Times New Roman" w:cs="Times New Roman"/>
          <w:color w:val="000000" w:themeColor="text1"/>
          <w:sz w:val="24"/>
          <w:szCs w:val="24"/>
        </w:rPr>
        <w:t>Уровень достоверности докзательств</w:t>
      </w:r>
      <w:r>
        <w:rPr>
          <w:rStyle w:val="a7"/>
          <w:rFonts w:ascii="Times New Roman" w:eastAsiaTheme="majorEastAsia" w:hAnsi="Times New Roman" w:cs="Times New Roman"/>
          <w:color w:val="000000" w:themeColor="text1"/>
          <w:sz w:val="24"/>
          <w:szCs w:val="24"/>
        </w:rPr>
        <w:t> 5)</w:t>
      </w:r>
      <w:r w:rsidR="00A03B11">
        <w:rPr>
          <w:rStyle w:val="a7"/>
          <w:rFonts w:ascii="Times New Roman" w:eastAsiaTheme="majorEastAsia" w:hAnsi="Times New Roman" w:cs="Times New Roman"/>
          <w:color w:val="000000" w:themeColor="text1"/>
          <w:sz w:val="24"/>
          <w:szCs w:val="24"/>
        </w:rPr>
        <w:t>.</w:t>
      </w:r>
    </w:p>
    <w:p w14:paraId="556CE9B1" w14:textId="77777777" w:rsidR="004C062E" w:rsidRDefault="002C7340" w:rsidP="00A419DB">
      <w:pPr>
        <w:suppressAutoHyphens/>
        <w:spacing w:line="360" w:lineRule="auto"/>
        <w:jc w:val="both"/>
        <w:rPr>
          <w:rStyle w:val="a5"/>
          <w:rFonts w:ascii="Times New Roman" w:eastAsiaTheme="majorEastAsia"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Комментарии.</w:t>
      </w:r>
      <w:r>
        <w:rPr>
          <w:rFonts w:ascii="Times New Roman" w:hAnsi="Times New Roman" w:cs="Times New Roman"/>
          <w:color w:val="000000" w:themeColor="text1"/>
          <w:sz w:val="24"/>
          <w:szCs w:val="24"/>
        </w:rPr>
        <w:t> </w:t>
      </w:r>
      <w:r>
        <w:rPr>
          <w:rStyle w:val="a5"/>
          <w:rFonts w:ascii="Times New Roman" w:eastAsiaTheme="majorEastAsia" w:hAnsi="Times New Roman" w:cs="Times New Roman"/>
          <w:color w:val="000000" w:themeColor="text1"/>
          <w:sz w:val="24"/>
          <w:szCs w:val="24"/>
        </w:rPr>
        <w:t xml:space="preserve">МРТ сердца с контрастированием не рекомендуется в качестве рутинного метода обследования пациентов с ИМпST.  </w:t>
      </w:r>
    </w:p>
    <w:p w14:paraId="4E4E0823"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МРТ сердца рекомендуется в случае неадекватной визуализации другими методами верхушки ЛЖ у пациентов с высокой вероятностью наличия тромба ЛЖ — при наличии технических возможностей </w:t>
      </w:r>
      <w:hyperlink r:id="rId38" w:history="1">
        <w:r>
          <w:rPr>
            <w:rStyle w:val="a6"/>
            <w:rFonts w:ascii="Times New Roman" w:hAnsi="Times New Roman" w:cs="Times New Roman"/>
            <w:color w:val="000000" w:themeColor="text1"/>
            <w:sz w:val="24"/>
            <w:szCs w:val="24"/>
          </w:rPr>
          <w:t>[68]</w:t>
        </w:r>
      </w:hyperlink>
      <w:hyperlink r:id="rId39" w:history="1">
        <w:r>
          <w:rPr>
            <w:rStyle w:val="a6"/>
            <w:rFonts w:ascii="Times New Roman" w:hAnsi="Times New Roman" w:cs="Times New Roman"/>
            <w:color w:val="000000" w:themeColor="text1"/>
            <w:sz w:val="24"/>
            <w:szCs w:val="24"/>
          </w:rPr>
          <w:t>[69]</w:t>
        </w:r>
      </w:hyperlink>
      <w:r>
        <w:rPr>
          <w:rFonts w:ascii="Times New Roman" w:hAnsi="Times New Roman" w:cs="Times New Roman"/>
          <w:color w:val="000000" w:themeColor="text1"/>
          <w:sz w:val="24"/>
          <w:szCs w:val="24"/>
        </w:rPr>
        <w:t>.</w:t>
      </w:r>
    </w:p>
    <w:p w14:paraId="229B0294" w14:textId="39DC2BAF"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ЕОК IIаС (</w:t>
      </w:r>
      <w:r w:rsidR="00F52FCA">
        <w:rPr>
          <w:rStyle w:val="a7"/>
          <w:rFonts w:ascii="Times New Roman" w:eastAsiaTheme="majorEastAsia" w:hAnsi="Times New Roman" w:cs="Times New Roman"/>
          <w:color w:val="000000" w:themeColor="text1"/>
          <w:sz w:val="24"/>
          <w:szCs w:val="24"/>
        </w:rPr>
        <w:t>Уровень убедительности рекомендаций</w:t>
      </w:r>
      <w:r>
        <w:rPr>
          <w:rStyle w:val="a7"/>
          <w:rFonts w:ascii="Times New Roman" w:eastAsiaTheme="majorEastAsia" w:hAnsi="Times New Roman" w:cs="Times New Roman"/>
          <w:color w:val="000000" w:themeColor="text1"/>
          <w:sz w:val="24"/>
          <w:szCs w:val="24"/>
        </w:rPr>
        <w:t xml:space="preserve"> В, </w:t>
      </w:r>
      <w:r w:rsidR="00F52FCA">
        <w:rPr>
          <w:rStyle w:val="a7"/>
          <w:rFonts w:ascii="Times New Roman" w:eastAsiaTheme="majorEastAsia" w:hAnsi="Times New Roman" w:cs="Times New Roman"/>
          <w:color w:val="000000" w:themeColor="text1"/>
          <w:sz w:val="24"/>
          <w:szCs w:val="24"/>
        </w:rPr>
        <w:t>Уровень достоверности докзательств</w:t>
      </w:r>
      <w:r>
        <w:rPr>
          <w:rStyle w:val="a7"/>
          <w:rFonts w:ascii="Times New Roman" w:eastAsiaTheme="majorEastAsia" w:hAnsi="Times New Roman" w:cs="Times New Roman"/>
          <w:color w:val="000000" w:themeColor="text1"/>
          <w:sz w:val="24"/>
          <w:szCs w:val="24"/>
        </w:rPr>
        <w:t> 2)</w:t>
      </w:r>
      <w:r w:rsidR="00A03B11">
        <w:rPr>
          <w:rStyle w:val="a7"/>
          <w:rFonts w:ascii="Times New Roman" w:eastAsiaTheme="majorEastAsia" w:hAnsi="Times New Roman" w:cs="Times New Roman"/>
          <w:color w:val="000000" w:themeColor="text1"/>
          <w:sz w:val="24"/>
          <w:szCs w:val="24"/>
        </w:rPr>
        <w:t>.</w:t>
      </w:r>
    </w:p>
    <w:p w14:paraId="2FBEB5C4"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Компьютерно-томографическая КГ не рекомендуется как рутинный метод обследования при ИМпST </w:t>
      </w:r>
      <w:hyperlink r:id="rId40" w:history="1">
        <w:r>
          <w:rPr>
            <w:rStyle w:val="a6"/>
            <w:rFonts w:ascii="Times New Roman" w:hAnsi="Times New Roman" w:cs="Times New Roman"/>
            <w:color w:val="000000" w:themeColor="text1"/>
            <w:sz w:val="24"/>
            <w:szCs w:val="24"/>
          </w:rPr>
          <w:t>[9]</w:t>
        </w:r>
      </w:hyperlink>
      <w:hyperlink r:id="rId41" w:history="1">
        <w:r>
          <w:rPr>
            <w:rStyle w:val="a6"/>
            <w:rFonts w:ascii="Times New Roman" w:hAnsi="Times New Roman" w:cs="Times New Roman"/>
            <w:color w:val="000000" w:themeColor="text1"/>
            <w:sz w:val="24"/>
            <w:szCs w:val="24"/>
          </w:rPr>
          <w:t>[70-76]</w:t>
        </w:r>
      </w:hyperlink>
      <w:r>
        <w:rPr>
          <w:rFonts w:ascii="Times New Roman" w:hAnsi="Times New Roman" w:cs="Times New Roman"/>
          <w:color w:val="000000" w:themeColor="text1"/>
          <w:sz w:val="24"/>
          <w:szCs w:val="24"/>
        </w:rPr>
        <w:t>.</w:t>
      </w:r>
    </w:p>
    <w:p w14:paraId="424FFD6A" w14:textId="4E84A5AD" w:rsidR="004C062E" w:rsidRDefault="002C7340" w:rsidP="00A419DB">
      <w:pPr>
        <w:suppressAutoHyphens/>
        <w:spacing w:after="0" w:line="360" w:lineRule="auto"/>
        <w:jc w:val="both"/>
        <w:rPr>
          <w:rStyle w:val="a7"/>
          <w:rFonts w:ascii="Times New Roman" w:eastAsiaTheme="majorEastAsia"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EOK IIIB (</w:t>
      </w:r>
      <w:r w:rsidR="00F52FCA">
        <w:rPr>
          <w:rStyle w:val="a7"/>
          <w:rFonts w:ascii="Times New Roman" w:eastAsiaTheme="majorEastAsia" w:hAnsi="Times New Roman" w:cs="Times New Roman"/>
          <w:color w:val="000000" w:themeColor="text1"/>
          <w:sz w:val="24"/>
          <w:szCs w:val="24"/>
        </w:rPr>
        <w:t>Уровень убедительности рекомендаций</w:t>
      </w:r>
      <w:r>
        <w:rPr>
          <w:rStyle w:val="a7"/>
          <w:rFonts w:ascii="Times New Roman" w:eastAsiaTheme="majorEastAsia" w:hAnsi="Times New Roman" w:cs="Times New Roman"/>
          <w:color w:val="000000" w:themeColor="text1"/>
          <w:sz w:val="24"/>
          <w:szCs w:val="24"/>
        </w:rPr>
        <w:t xml:space="preserve"> B, </w:t>
      </w:r>
      <w:r w:rsidR="00F52FCA">
        <w:rPr>
          <w:rStyle w:val="a7"/>
          <w:rFonts w:ascii="Times New Roman" w:eastAsiaTheme="majorEastAsia" w:hAnsi="Times New Roman" w:cs="Times New Roman"/>
          <w:color w:val="000000" w:themeColor="text1"/>
          <w:sz w:val="24"/>
          <w:szCs w:val="24"/>
        </w:rPr>
        <w:t>Уровень достоверности докзательств</w:t>
      </w:r>
      <w:r>
        <w:rPr>
          <w:rStyle w:val="a7"/>
          <w:rFonts w:ascii="Times New Roman" w:eastAsiaTheme="majorEastAsia" w:hAnsi="Times New Roman" w:cs="Times New Roman"/>
          <w:color w:val="000000" w:themeColor="text1"/>
          <w:sz w:val="24"/>
          <w:szCs w:val="24"/>
        </w:rPr>
        <w:t> 2)</w:t>
      </w:r>
      <w:r w:rsidR="00A03B11">
        <w:rPr>
          <w:rStyle w:val="a7"/>
          <w:rFonts w:ascii="Times New Roman" w:eastAsiaTheme="majorEastAsia" w:hAnsi="Times New Roman" w:cs="Times New Roman"/>
          <w:color w:val="000000" w:themeColor="text1"/>
          <w:sz w:val="24"/>
          <w:szCs w:val="24"/>
        </w:rPr>
        <w:t>.</w:t>
      </w:r>
    </w:p>
    <w:p w14:paraId="57526573" w14:textId="4FC55C3A" w:rsidR="00A43F72" w:rsidRDefault="00A43F72" w:rsidP="00A419DB">
      <w:pPr>
        <w:pStyle w:val="20"/>
        <w:suppressAutoHyphens/>
        <w:spacing w:before="0" w:line="360" w:lineRule="auto"/>
        <w:rPr>
          <w:rFonts w:ascii="Times New Roman" w:hAnsi="Times New Roman" w:cs="Times New Roman"/>
          <w:color w:val="000000" w:themeColor="text1"/>
          <w:sz w:val="24"/>
          <w:szCs w:val="24"/>
        </w:rPr>
      </w:pPr>
      <w:bookmarkStart w:id="15" w:name="_Toc236138923"/>
      <w:r>
        <w:rPr>
          <w:rFonts w:ascii="Times New Roman" w:hAnsi="Times New Roman" w:cs="Times New Roman"/>
          <w:color w:val="000000" w:themeColor="text1"/>
          <w:sz w:val="24"/>
          <w:szCs w:val="24"/>
        </w:rPr>
        <w:t>2.5. Иная диагностика.</w:t>
      </w:r>
      <w:bookmarkEnd w:id="15"/>
    </w:p>
    <w:p w14:paraId="058A1DFA" w14:textId="77777777" w:rsidR="00A03B11" w:rsidRDefault="00A43F72" w:rsidP="00A03B11">
      <w:pPr>
        <w:suppressAutoHyphens/>
        <w:spacing w:line="360" w:lineRule="auto"/>
        <w:rPr>
          <w:rFonts w:ascii="Times New Roman" w:hAnsi="Times New Roman" w:cs="Times New Roman"/>
          <w:sz w:val="24"/>
          <w:szCs w:val="24"/>
        </w:rPr>
      </w:pPr>
      <w:r w:rsidRPr="00A43F72">
        <w:rPr>
          <w:rFonts w:ascii="Times New Roman" w:hAnsi="Times New Roman" w:cs="Times New Roman"/>
          <w:sz w:val="24"/>
          <w:szCs w:val="24"/>
        </w:rPr>
        <w:t>Не рассматривается в данной клинической рекомендации.</w:t>
      </w:r>
      <w:bookmarkStart w:id="16" w:name="_Toc236138924"/>
    </w:p>
    <w:p w14:paraId="11B9A3DA" w14:textId="7C9DE9C5" w:rsidR="004C062E" w:rsidRPr="00A03B11" w:rsidRDefault="00A03B11" w:rsidP="00A03B11">
      <w:pPr>
        <w:suppressAutoHyphens/>
        <w:spacing w:line="360" w:lineRule="auto"/>
        <w:rPr>
          <w:rFonts w:ascii="Times New Roman" w:eastAsia="Calibri" w:hAnsi="Times New Roman" w:cs="Times New Roman"/>
          <w:b/>
          <w:bCs/>
          <w:color w:val="000000" w:themeColor="text1"/>
          <w:sz w:val="24"/>
          <w:szCs w:val="24"/>
        </w:rPr>
      </w:pPr>
      <w:r w:rsidRPr="00A03B11">
        <w:rPr>
          <w:rFonts w:ascii="Times New Roman" w:hAnsi="Times New Roman" w:cs="Times New Roman"/>
          <w:b/>
          <w:bCs/>
          <w:sz w:val="24"/>
          <w:szCs w:val="24"/>
        </w:rPr>
        <w:t xml:space="preserve">3. </w:t>
      </w:r>
      <w:r w:rsidR="002C7340" w:rsidRPr="00A03B11">
        <w:rPr>
          <w:rFonts w:ascii="Times New Roman" w:eastAsia="Calibri" w:hAnsi="Times New Roman" w:cs="Times New Roman"/>
          <w:b/>
          <w:bCs/>
          <w:color w:val="000000" w:themeColor="text1"/>
          <w:sz w:val="24"/>
          <w:szCs w:val="24"/>
        </w:rPr>
        <w:t>Лечение.</w:t>
      </w:r>
      <w:bookmarkEnd w:id="16"/>
    </w:p>
    <w:p w14:paraId="72B41E7E" w14:textId="2B1CC4B7" w:rsidR="00A43F72" w:rsidRDefault="00A43F72" w:rsidP="00A419DB">
      <w:pPr>
        <w:pStyle w:val="20"/>
        <w:suppressAutoHyphens/>
        <w:spacing w:before="0" w:line="360" w:lineRule="auto"/>
        <w:jc w:val="both"/>
        <w:rPr>
          <w:rFonts w:ascii="Times New Roman" w:eastAsia="Calibri" w:hAnsi="Times New Roman" w:cs="Times New Roman"/>
          <w:bCs w:val="0"/>
          <w:iCs/>
          <w:color w:val="000000" w:themeColor="text1"/>
          <w:sz w:val="24"/>
          <w:szCs w:val="24"/>
        </w:rPr>
      </w:pPr>
      <w:bookmarkStart w:id="17" w:name="_Toc236138925"/>
      <w:r>
        <w:rPr>
          <w:rFonts w:ascii="Times New Roman" w:eastAsia="Calibri" w:hAnsi="Times New Roman" w:cs="Times New Roman"/>
          <w:bCs w:val="0"/>
          <w:iCs/>
          <w:color w:val="000000" w:themeColor="text1"/>
          <w:sz w:val="24"/>
          <w:szCs w:val="24"/>
        </w:rPr>
        <w:lastRenderedPageBreak/>
        <w:t>3.1. Консервативное лечение.</w:t>
      </w:r>
      <w:bookmarkEnd w:id="17"/>
    </w:p>
    <w:p w14:paraId="0302BD1D" w14:textId="77777777" w:rsidR="00A43F72" w:rsidRDefault="00A43F72" w:rsidP="00A419DB">
      <w:pPr>
        <w:pStyle w:val="20"/>
        <w:suppressAutoHyphens/>
        <w:spacing w:before="0" w:line="360" w:lineRule="auto"/>
        <w:jc w:val="both"/>
        <w:rPr>
          <w:rFonts w:ascii="Times New Roman" w:eastAsia="Calibri" w:hAnsi="Times New Roman" w:cs="Times New Roman"/>
          <w:bCs w:val="0"/>
          <w:iCs/>
          <w:color w:val="000000" w:themeColor="text1"/>
          <w:sz w:val="24"/>
          <w:szCs w:val="24"/>
        </w:rPr>
      </w:pPr>
      <w:bookmarkStart w:id="18" w:name="_Toc236138926"/>
      <w:r>
        <w:rPr>
          <w:rFonts w:ascii="Times New Roman" w:eastAsia="Calibri" w:hAnsi="Times New Roman" w:cs="Times New Roman"/>
          <w:bCs w:val="0"/>
          <w:iCs/>
          <w:color w:val="000000" w:themeColor="text1"/>
          <w:sz w:val="24"/>
          <w:szCs w:val="24"/>
        </w:rPr>
        <w:t>Обезболивание.</w:t>
      </w:r>
      <w:bookmarkEnd w:id="18"/>
    </w:p>
    <w:p w14:paraId="1B1DC666" w14:textId="77777777" w:rsidR="00A43F72" w:rsidRDefault="00A43F72" w:rsidP="00A419DB">
      <w:pPr>
        <w:numPr>
          <w:ilvl w:val="0"/>
          <w:numId w:val="5"/>
        </w:numPr>
        <w:shd w:val="clear" w:color="auto" w:fill="FFFFFF"/>
        <w:suppressAutoHyphens/>
        <w:spacing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Для устранения боли, с целью седации и снижения симпатической активности, приводящей к тахикардии и повышению АД, у пациентов с ИМпST рекомендуется в/в введение морфина </w:t>
      </w:r>
      <w:hyperlink r:id="rId42" w:history="1">
        <w:r>
          <w:rPr>
            <w:rStyle w:val="a6"/>
            <w:rFonts w:ascii="Times New Roman" w:hAnsi="Times New Roman" w:cs="Times New Roman"/>
            <w:color w:val="000000" w:themeColor="text1"/>
            <w:sz w:val="24"/>
            <w:szCs w:val="24"/>
          </w:rPr>
          <w:t>[183]</w:t>
        </w:r>
      </w:hyperlink>
      <w:r>
        <w:rPr>
          <w:rFonts w:ascii="Times New Roman" w:hAnsi="Times New Roman" w:cs="Times New Roman"/>
          <w:color w:val="000000" w:themeColor="text1"/>
          <w:sz w:val="24"/>
          <w:szCs w:val="24"/>
        </w:rPr>
        <w:t>.</w:t>
      </w:r>
    </w:p>
    <w:p w14:paraId="6050E7C2" w14:textId="2D36C916" w:rsidR="00A43F72" w:rsidRDefault="00A43F72"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IIaB (Уровень убедительности рекомендаций С, Уровень достоверности докзательств 4)</w:t>
      </w:r>
      <w:r w:rsidR="00CF36DE">
        <w:rPr>
          <w:rStyle w:val="a7"/>
          <w:rFonts w:eastAsiaTheme="majorEastAsia"/>
          <w:color w:val="000000" w:themeColor="text1"/>
        </w:rPr>
        <w:t>.</w:t>
      </w:r>
    </w:p>
    <w:p w14:paraId="1AD7F0DE" w14:textId="77777777" w:rsidR="00A43F72" w:rsidRDefault="00A43F72" w:rsidP="00A419DB">
      <w:pPr>
        <w:pStyle w:val="af5"/>
        <w:shd w:val="clear" w:color="auto" w:fill="FFFFFF"/>
        <w:suppressAutoHyphens/>
        <w:spacing w:before="75" w:beforeAutospacing="0" w:after="0" w:afterAutospacing="0" w:line="360" w:lineRule="auto"/>
        <w:jc w:val="both"/>
        <w:rPr>
          <w:color w:val="000000" w:themeColor="text1"/>
        </w:rPr>
      </w:pPr>
      <w:r>
        <w:rPr>
          <w:rStyle w:val="a5"/>
          <w:rFonts w:eastAsiaTheme="majorEastAsia"/>
          <w:color w:val="000000" w:themeColor="text1"/>
        </w:rPr>
        <w:t>Морфин помимо обезболивания способствует уменьшению страха, возбуждения, снижает симпатическую активность, увеличивает тонус блуждающего нерва, уменьшает работу дыхания, вызывает расширение периферических артерий и вен (последнее особенно важно при отеке легких). Доза, необходимая для адекватного обезболивания, зависит от индивидуальной чувствительности, возраста, размеров тела. Перед использованием 10 мг морфина разводят как минимум в 10 мл 0,9% раствора натрия хлорида. Первоначально следует ввести в/в медленно 2-4 мг лекарственного вещества. При необходимости введение повторяют каждые 5-15 мин по 2-4 мг до купирования боли или возникновения побочных эффектов, не позволяющих увеличить дозу.</w:t>
      </w:r>
    </w:p>
    <w:p w14:paraId="694043FF" w14:textId="77777777" w:rsidR="00A43F72" w:rsidRDefault="00A43F72" w:rsidP="00A419DB">
      <w:pPr>
        <w:pStyle w:val="af5"/>
        <w:shd w:val="clear" w:color="auto" w:fill="FFFFFF"/>
        <w:suppressAutoHyphens/>
        <w:spacing w:before="75" w:beforeAutospacing="0" w:after="225" w:afterAutospacing="0" w:line="360" w:lineRule="auto"/>
        <w:jc w:val="both"/>
        <w:rPr>
          <w:color w:val="000000" w:themeColor="text1"/>
        </w:rPr>
      </w:pPr>
      <w:r>
        <w:rPr>
          <w:rStyle w:val="a5"/>
          <w:rFonts w:eastAsiaTheme="majorEastAsia"/>
          <w:color w:val="000000" w:themeColor="text1"/>
        </w:rPr>
        <w:tab/>
        <w:t>Назначение морфина приводит к замедлению и ослаблению основного эффекта антиагрегантов (клопидогрел, тикагрелор, прасугрел), что может отразиться на результатах лечения у некоторых пациентов </w:t>
      </w:r>
      <w:hyperlink r:id="rId43" w:history="1">
        <w:r>
          <w:rPr>
            <w:rStyle w:val="a6"/>
            <w:rFonts w:eastAsiaTheme="majorEastAsia"/>
            <w:i/>
            <w:iCs/>
            <w:color w:val="000000" w:themeColor="text1"/>
          </w:rPr>
          <w:t>[184-186]</w:t>
        </w:r>
      </w:hyperlink>
      <w:r>
        <w:rPr>
          <w:rStyle w:val="a5"/>
          <w:rFonts w:eastAsiaTheme="majorEastAsia"/>
          <w:color w:val="000000" w:themeColor="text1"/>
        </w:rPr>
        <w:t>.</w:t>
      </w:r>
    </w:p>
    <w:p w14:paraId="617D7530" w14:textId="77777777" w:rsidR="00A43F72" w:rsidRDefault="00A43F72" w:rsidP="00A419DB">
      <w:pPr>
        <w:pStyle w:val="af5"/>
        <w:shd w:val="clear" w:color="auto" w:fill="FFFFFF"/>
        <w:suppressAutoHyphens/>
        <w:spacing w:before="75" w:beforeAutospacing="0" w:after="0" w:afterAutospacing="0" w:line="360" w:lineRule="auto"/>
        <w:jc w:val="both"/>
        <w:rPr>
          <w:color w:val="000000" w:themeColor="text1"/>
        </w:rPr>
      </w:pPr>
      <w:r>
        <w:rPr>
          <w:rStyle w:val="a5"/>
          <w:rFonts w:eastAsiaTheme="majorEastAsia"/>
          <w:color w:val="000000" w:themeColor="text1"/>
        </w:rPr>
        <w:t>При использовании морфина возможны следующие осложнения:</w:t>
      </w:r>
    </w:p>
    <w:p w14:paraId="25058D54" w14:textId="77777777" w:rsidR="00A43F72" w:rsidRDefault="00A43F72" w:rsidP="00A419DB">
      <w:pPr>
        <w:pStyle w:val="af5"/>
        <w:shd w:val="clear" w:color="auto" w:fill="FFFFFF"/>
        <w:suppressAutoHyphens/>
        <w:spacing w:before="75" w:beforeAutospacing="0" w:after="0" w:afterAutospacing="0" w:line="360" w:lineRule="auto"/>
        <w:jc w:val="both"/>
        <w:rPr>
          <w:color w:val="000000" w:themeColor="text1"/>
        </w:rPr>
      </w:pPr>
      <w:r>
        <w:rPr>
          <w:rStyle w:val="a5"/>
          <w:rFonts w:eastAsiaTheme="majorEastAsia"/>
          <w:color w:val="000000" w:themeColor="text1"/>
        </w:rPr>
        <w:t>— выраженная артериальная гипотензия; устраняется в горизонтальном положении в сочетании с поднятием ног (если нет отека легких). Если этого недостаточно, в/в капельно вводится 0,9% раствор натрия хлорида. В редких случаях — адрено- и допамин-стимуляторы.</w:t>
      </w:r>
    </w:p>
    <w:p w14:paraId="610B8FA7" w14:textId="77777777" w:rsidR="00A43F72" w:rsidRDefault="00A43F72" w:rsidP="00A419DB">
      <w:pPr>
        <w:pStyle w:val="af5"/>
        <w:shd w:val="clear" w:color="auto" w:fill="FFFFFF"/>
        <w:suppressAutoHyphens/>
        <w:spacing w:before="75" w:beforeAutospacing="0" w:after="0" w:afterAutospacing="0" w:line="360" w:lineRule="auto"/>
        <w:jc w:val="both"/>
        <w:rPr>
          <w:color w:val="000000" w:themeColor="text1"/>
        </w:rPr>
      </w:pPr>
      <w:r>
        <w:rPr>
          <w:rStyle w:val="a5"/>
          <w:rFonts w:eastAsiaTheme="majorEastAsia"/>
          <w:color w:val="000000" w:themeColor="text1"/>
        </w:rPr>
        <w:t>— выраженная брадикардия в сочетании с артериальной гипотензией; устраняется атропином (в/в 0,5-1,0 мг);</w:t>
      </w:r>
    </w:p>
    <w:p w14:paraId="1392E618" w14:textId="77777777" w:rsidR="00A43F72" w:rsidRDefault="00A43F72" w:rsidP="00A419DB">
      <w:pPr>
        <w:pStyle w:val="af5"/>
        <w:shd w:val="clear" w:color="auto" w:fill="FFFFFF"/>
        <w:suppressAutoHyphens/>
        <w:spacing w:before="75" w:beforeAutospacing="0" w:after="0" w:afterAutospacing="0" w:line="360" w:lineRule="auto"/>
        <w:jc w:val="both"/>
        <w:rPr>
          <w:color w:val="000000" w:themeColor="text1"/>
        </w:rPr>
      </w:pPr>
      <w:r>
        <w:rPr>
          <w:rStyle w:val="a5"/>
          <w:rFonts w:eastAsiaTheme="majorEastAsia"/>
          <w:color w:val="000000" w:themeColor="text1"/>
        </w:rPr>
        <w:t>— тошнота, рвота; устраняются производными фенотиазина, в частности, метоклопрамидом (в/в однократно 10 мг);</w:t>
      </w:r>
    </w:p>
    <w:p w14:paraId="0591D3D4" w14:textId="77777777" w:rsidR="00A43F72" w:rsidRDefault="00A43F72" w:rsidP="00A419DB">
      <w:pPr>
        <w:pStyle w:val="af5"/>
        <w:shd w:val="clear" w:color="auto" w:fill="FFFFFF"/>
        <w:suppressAutoHyphens/>
        <w:spacing w:before="75" w:beforeAutospacing="0" w:after="0" w:afterAutospacing="0" w:line="360" w:lineRule="auto"/>
        <w:jc w:val="both"/>
        <w:rPr>
          <w:color w:val="000000" w:themeColor="text1"/>
        </w:rPr>
      </w:pPr>
      <w:r>
        <w:rPr>
          <w:rStyle w:val="a5"/>
          <w:rFonts w:eastAsiaTheme="majorEastAsia"/>
          <w:color w:val="000000" w:themeColor="text1"/>
        </w:rPr>
        <w:t>— выраженное угнетение дыхания; устраняется налоксоном (в/в 0,1-0,2 мг, при необходимости повторно каждые 15 мин), при этом уменьшается и анальгезирующее действие препарата.</w:t>
      </w:r>
    </w:p>
    <w:p w14:paraId="46782CD4" w14:textId="77777777" w:rsidR="00A43F72" w:rsidRDefault="00A43F72" w:rsidP="00A419DB">
      <w:pPr>
        <w:pStyle w:val="af5"/>
        <w:shd w:val="clear" w:color="auto" w:fill="FFFFFF"/>
        <w:suppressAutoHyphens/>
        <w:spacing w:before="75" w:beforeAutospacing="0" w:after="225" w:afterAutospacing="0" w:line="360" w:lineRule="auto"/>
        <w:jc w:val="both"/>
        <w:rPr>
          <w:color w:val="000000" w:themeColor="text1"/>
        </w:rPr>
      </w:pPr>
      <w:r>
        <w:rPr>
          <w:rStyle w:val="a5"/>
          <w:rFonts w:eastAsiaTheme="majorEastAsia"/>
          <w:color w:val="000000" w:themeColor="text1"/>
        </w:rPr>
        <w:lastRenderedPageBreak/>
        <w:t>Опиаты могут ослаблять перистальтику кишечника и приводить к запорам. Препараты этой группы снижают тонус мочевого пузыря и затрудняют мочевыведение, особенно у мужчин с гипертрофией предстательной железы.</w:t>
      </w:r>
    </w:p>
    <w:p w14:paraId="0B5C9F6E" w14:textId="77777777" w:rsidR="00A43F72" w:rsidRDefault="00A43F72" w:rsidP="00A419DB">
      <w:pPr>
        <w:numPr>
          <w:ilvl w:val="0"/>
          <w:numId w:val="6"/>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 наличии признаков выраженного беспокойства и/или возбуждения у пациентов с ИМпST для их купирования рекомендуется назначение транквилизаторов  </w:t>
      </w:r>
      <w:hyperlink r:id="rId44" w:history="1">
        <w:r>
          <w:rPr>
            <w:rStyle w:val="a6"/>
            <w:rFonts w:ascii="Times New Roman" w:hAnsi="Times New Roman" w:cs="Times New Roman"/>
            <w:color w:val="000000" w:themeColor="text1"/>
            <w:sz w:val="24"/>
            <w:szCs w:val="24"/>
          </w:rPr>
          <w:t>[9]</w:t>
        </w:r>
      </w:hyperlink>
      <w:hyperlink r:id="rId45" w:history="1">
        <w:r>
          <w:rPr>
            <w:rStyle w:val="a6"/>
            <w:rFonts w:ascii="Times New Roman" w:hAnsi="Times New Roman" w:cs="Times New Roman"/>
            <w:color w:val="000000" w:themeColor="text1"/>
            <w:sz w:val="24"/>
            <w:szCs w:val="24"/>
          </w:rPr>
          <w:t>[187]</w:t>
        </w:r>
      </w:hyperlink>
      <w:hyperlink r:id="rId46" w:history="1">
        <w:r>
          <w:rPr>
            <w:rStyle w:val="a6"/>
            <w:rFonts w:ascii="Times New Roman" w:hAnsi="Times New Roman" w:cs="Times New Roman"/>
            <w:color w:val="000000" w:themeColor="text1"/>
            <w:sz w:val="24"/>
            <w:szCs w:val="24"/>
          </w:rPr>
          <w:t>[188]</w:t>
        </w:r>
      </w:hyperlink>
      <w:r>
        <w:rPr>
          <w:rFonts w:ascii="Times New Roman" w:hAnsi="Times New Roman" w:cs="Times New Roman"/>
          <w:color w:val="000000" w:themeColor="text1"/>
          <w:sz w:val="24"/>
          <w:szCs w:val="24"/>
        </w:rPr>
        <w:t>.</w:t>
      </w:r>
    </w:p>
    <w:p w14:paraId="7B5CED57" w14:textId="29CD19E6" w:rsidR="00A43F72" w:rsidRDefault="00A43F72"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IIaC (Уровень убедительности рекомендаций С, Уровень достоверности докзательств 5)</w:t>
      </w:r>
      <w:r w:rsidR="00CF36DE">
        <w:rPr>
          <w:rStyle w:val="a7"/>
          <w:rFonts w:eastAsiaTheme="majorEastAsia"/>
          <w:color w:val="000000" w:themeColor="text1"/>
        </w:rPr>
        <w:t>.</w:t>
      </w:r>
    </w:p>
    <w:p w14:paraId="17A77666" w14:textId="09B36365" w:rsidR="00A43F72" w:rsidRPr="00A43F72" w:rsidRDefault="00A43F72"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Комментарии.</w:t>
      </w:r>
      <w:r>
        <w:rPr>
          <w:color w:val="000000" w:themeColor="text1"/>
        </w:rPr>
        <w:t> </w:t>
      </w:r>
      <w:r>
        <w:rPr>
          <w:rStyle w:val="a5"/>
          <w:rFonts w:eastAsiaTheme="majorEastAsia"/>
          <w:color w:val="000000" w:themeColor="text1"/>
        </w:rPr>
        <w:t>Для уменьшения страха обычно достаточно создать спокойную обстановку и ввести наркотический анальгетик. При выраженном возбуждении могут потребоваться транквилизаторы (например, диазепам в/в 5-10 мг, для пожилых стартовая доза — 2,5 мг; — производные бензодиазепина). Важное значение для эмоционального комфорта пациента имеют соответствующий стиль поведения персонала, разъяснение диагноза, прогноза и плана лечения. У пациентов с сохраняющимся беспокойством и нарушенным поведением, а также симптомами отмены при никотиновой зависимости, также можно назначить транквилизаторы. При возбуждении и делирии достаточно эффективно и безопасно в/в введение галоперидола.</w:t>
      </w:r>
    </w:p>
    <w:p w14:paraId="0E75E9BF" w14:textId="41F8D509" w:rsidR="00A43F72" w:rsidRDefault="00A43F72" w:rsidP="00A419DB">
      <w:pPr>
        <w:pStyle w:val="20"/>
        <w:suppressAutoHyphens/>
        <w:spacing w:line="360" w:lineRule="auto"/>
        <w:jc w:val="both"/>
        <w:rPr>
          <w:rFonts w:ascii="Times New Roman" w:eastAsia="Calibri" w:hAnsi="Times New Roman" w:cs="Times New Roman"/>
          <w:bCs w:val="0"/>
          <w:iCs/>
          <w:color w:val="000000" w:themeColor="text1"/>
          <w:sz w:val="24"/>
          <w:szCs w:val="24"/>
        </w:rPr>
      </w:pPr>
      <w:bookmarkStart w:id="19" w:name="_Toc236138927"/>
      <w:r>
        <w:rPr>
          <w:rFonts w:ascii="Times New Roman" w:eastAsia="Calibri" w:hAnsi="Times New Roman" w:cs="Times New Roman"/>
          <w:bCs w:val="0"/>
          <w:iCs/>
          <w:color w:val="000000" w:themeColor="text1"/>
          <w:sz w:val="24"/>
          <w:szCs w:val="24"/>
        </w:rPr>
        <w:t>Коррекция гипоксемии.</w:t>
      </w:r>
      <w:bookmarkEnd w:id="19"/>
    </w:p>
    <w:p w14:paraId="5C94EAD3" w14:textId="77777777" w:rsidR="00A43F72" w:rsidRDefault="00A43F72" w:rsidP="00A419DB">
      <w:pPr>
        <w:numPr>
          <w:ilvl w:val="0"/>
          <w:numId w:val="7"/>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Пациентам с ИМпST при наличии гипоксемии (степень насыщения гемоглобина крови кислородом (SpO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&lt;90% или парциальное давление кислорода в артериальной крови (PaO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&lt;60 мм рт.cт.) для ее устранения рекомендуется ингаляторное введение кислорода (оксигенотерапия) </w:t>
      </w:r>
      <w:hyperlink r:id="rId47" w:history="1">
        <w:r>
          <w:rPr>
            <w:rStyle w:val="a6"/>
            <w:rFonts w:ascii="Times New Roman" w:hAnsi="Times New Roman" w:cs="Times New Roman"/>
            <w:color w:val="000000" w:themeColor="text1"/>
            <w:sz w:val="24"/>
            <w:szCs w:val="24"/>
          </w:rPr>
          <w:t>[9]</w:t>
        </w:r>
      </w:hyperlink>
      <w:hyperlink r:id="rId48" w:history="1">
        <w:r>
          <w:rPr>
            <w:rStyle w:val="a6"/>
            <w:rFonts w:ascii="Times New Roman" w:hAnsi="Times New Roman" w:cs="Times New Roman"/>
            <w:color w:val="000000" w:themeColor="text1"/>
            <w:sz w:val="24"/>
            <w:szCs w:val="24"/>
          </w:rPr>
          <w:t>[189]</w:t>
        </w:r>
      </w:hyperlink>
      <w:r>
        <w:rPr>
          <w:rFonts w:ascii="Times New Roman" w:hAnsi="Times New Roman" w:cs="Times New Roman"/>
          <w:color w:val="000000" w:themeColor="text1"/>
          <w:sz w:val="24"/>
          <w:szCs w:val="24"/>
        </w:rPr>
        <w:t>.</w:t>
      </w:r>
    </w:p>
    <w:p w14:paraId="58018175" w14:textId="7703F19E" w:rsidR="00A43F72" w:rsidRDefault="00A43F72"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IC (Уровень убедительности рекомендаций С, Уровень достоверности докзательств 5)</w:t>
      </w:r>
      <w:r w:rsidR="0049557D">
        <w:rPr>
          <w:rStyle w:val="a7"/>
          <w:rFonts w:eastAsiaTheme="majorEastAsia"/>
          <w:color w:val="000000" w:themeColor="text1"/>
        </w:rPr>
        <w:t>.</w:t>
      </w:r>
    </w:p>
    <w:p w14:paraId="4CD0596B" w14:textId="77777777" w:rsidR="00A43F72" w:rsidRDefault="00A43F72"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Комментарии.</w:t>
      </w:r>
      <w:r>
        <w:rPr>
          <w:color w:val="000000" w:themeColor="text1"/>
        </w:rPr>
        <w:t> </w:t>
      </w:r>
      <w:r>
        <w:rPr>
          <w:rStyle w:val="a5"/>
          <w:rFonts w:eastAsiaTheme="majorEastAsia"/>
          <w:color w:val="000000" w:themeColor="text1"/>
        </w:rPr>
        <w:t>Подача увлажненного кислорода проводится через носовые катетеры со скоростью 2-8 л/мин. Контролируют насыщение крови кислородом, измеряя сатурацию (SpO</w:t>
      </w:r>
      <w:r>
        <w:rPr>
          <w:rStyle w:val="a5"/>
          <w:rFonts w:eastAsiaTheme="majorEastAsia"/>
          <w:color w:val="000000" w:themeColor="text1"/>
          <w:vertAlign w:val="subscript"/>
        </w:rPr>
        <w:t>2</w:t>
      </w:r>
      <w:r>
        <w:rPr>
          <w:rStyle w:val="a5"/>
          <w:rFonts w:eastAsiaTheme="majorEastAsia"/>
          <w:color w:val="000000" w:themeColor="text1"/>
        </w:rPr>
        <w:t>) неинвазивно или оценивая показатели газового состава крови (прежде всего, PaO</w:t>
      </w:r>
      <w:r>
        <w:rPr>
          <w:rStyle w:val="a5"/>
          <w:rFonts w:eastAsiaTheme="majorEastAsia"/>
          <w:color w:val="000000" w:themeColor="text1"/>
          <w:vertAlign w:val="subscript"/>
        </w:rPr>
        <w:t>2</w:t>
      </w:r>
      <w:r>
        <w:rPr>
          <w:rStyle w:val="a5"/>
          <w:rFonts w:eastAsiaTheme="majorEastAsia"/>
          <w:color w:val="000000" w:themeColor="text1"/>
        </w:rPr>
        <w:t>) лабораторно.</w:t>
      </w:r>
    </w:p>
    <w:p w14:paraId="700337A2" w14:textId="77777777" w:rsidR="00A43F72" w:rsidRDefault="00A43F72" w:rsidP="00A419DB">
      <w:pPr>
        <w:numPr>
          <w:ilvl w:val="0"/>
          <w:numId w:val="8"/>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Из-за отсутствия положительных эффектов на течение болезни ингаляторное введение кислорода (оксигенотерапия) не рекомендуется пациентам с ИМпST с уровнем SpO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≥90% </w:t>
      </w:r>
      <w:hyperlink r:id="rId49" w:history="1">
        <w:r>
          <w:rPr>
            <w:rStyle w:val="a6"/>
            <w:rFonts w:ascii="Times New Roman" w:hAnsi="Times New Roman" w:cs="Times New Roman"/>
            <w:color w:val="000000" w:themeColor="text1"/>
            <w:sz w:val="24"/>
            <w:szCs w:val="24"/>
          </w:rPr>
          <w:t>[9]</w:t>
        </w:r>
      </w:hyperlink>
      <w:hyperlink r:id="rId50" w:history="1">
        <w:r>
          <w:rPr>
            <w:rStyle w:val="a6"/>
            <w:rFonts w:ascii="Times New Roman" w:hAnsi="Times New Roman" w:cs="Times New Roman"/>
            <w:color w:val="000000" w:themeColor="text1"/>
            <w:sz w:val="24"/>
            <w:szCs w:val="24"/>
          </w:rPr>
          <w:t>[189]</w:t>
        </w:r>
      </w:hyperlink>
      <w:r>
        <w:rPr>
          <w:rFonts w:ascii="Times New Roman" w:hAnsi="Times New Roman" w:cs="Times New Roman"/>
          <w:color w:val="000000" w:themeColor="text1"/>
          <w:sz w:val="24"/>
          <w:szCs w:val="24"/>
        </w:rPr>
        <w:t>.</w:t>
      </w:r>
    </w:p>
    <w:p w14:paraId="467A32EB" w14:textId="6D59241F" w:rsidR="00A43F72" w:rsidRDefault="00A43F72"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IIIB (Уровень убедительности рекомендаций А, Уровень достоверности докзательств 2)</w:t>
      </w:r>
      <w:r w:rsidR="0049557D">
        <w:rPr>
          <w:rStyle w:val="a7"/>
          <w:rFonts w:eastAsiaTheme="majorEastAsia"/>
          <w:color w:val="000000" w:themeColor="text1"/>
        </w:rPr>
        <w:t>.</w:t>
      </w:r>
    </w:p>
    <w:p w14:paraId="797C11D2" w14:textId="02118EB8" w:rsidR="00A43F72" w:rsidRPr="00A43F72" w:rsidRDefault="00A43F72"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Комментарии.</w:t>
      </w:r>
      <w:r>
        <w:rPr>
          <w:color w:val="000000" w:themeColor="text1"/>
        </w:rPr>
        <w:t> </w:t>
      </w:r>
      <w:r>
        <w:rPr>
          <w:rStyle w:val="a5"/>
          <w:rFonts w:eastAsiaTheme="majorEastAsia"/>
          <w:color w:val="000000" w:themeColor="text1"/>
        </w:rPr>
        <w:t>Ингаляторное введение кислорода (оксигенотерапия) не только не приносит пользы пациентам с неосложненным ИМпST, но может быть вредно, что предположительно обусловлено увеличением повреждения миокарда </w:t>
      </w:r>
      <w:hyperlink r:id="rId51" w:history="1">
        <w:r>
          <w:rPr>
            <w:rStyle w:val="a6"/>
            <w:rFonts w:eastAsiaTheme="majorEastAsia"/>
            <w:i/>
            <w:iCs/>
            <w:color w:val="000000" w:themeColor="text1"/>
          </w:rPr>
          <w:t>[190]</w:t>
        </w:r>
      </w:hyperlink>
      <w:r>
        <w:rPr>
          <w:rStyle w:val="a5"/>
          <w:rFonts w:eastAsiaTheme="majorEastAsia"/>
          <w:color w:val="000000" w:themeColor="text1"/>
        </w:rPr>
        <w:t>.</w:t>
      </w:r>
    </w:p>
    <w:p w14:paraId="27C496CF" w14:textId="769CD127" w:rsidR="00A43F72" w:rsidRDefault="00A43F72" w:rsidP="00A419DB">
      <w:pPr>
        <w:pStyle w:val="20"/>
        <w:suppressAutoHyphens/>
        <w:spacing w:line="360" w:lineRule="auto"/>
        <w:jc w:val="both"/>
        <w:rPr>
          <w:rFonts w:ascii="Times New Roman" w:eastAsia="Calibri" w:hAnsi="Times New Roman" w:cs="Times New Roman"/>
          <w:bCs w:val="0"/>
          <w:iCs/>
          <w:color w:val="000000" w:themeColor="text1"/>
          <w:sz w:val="24"/>
          <w:szCs w:val="24"/>
        </w:rPr>
      </w:pPr>
      <w:bookmarkStart w:id="20" w:name="_Toc236138928"/>
      <w:r>
        <w:rPr>
          <w:rFonts w:ascii="Times New Roman" w:eastAsia="Calibri" w:hAnsi="Times New Roman" w:cs="Times New Roman"/>
          <w:bCs w:val="0"/>
          <w:iCs/>
          <w:color w:val="000000" w:themeColor="text1"/>
          <w:sz w:val="24"/>
          <w:szCs w:val="24"/>
        </w:rPr>
        <w:t>Антитромботическая терапия.</w:t>
      </w:r>
      <w:bookmarkEnd w:id="20"/>
    </w:p>
    <w:p w14:paraId="3BDA3DDE" w14:textId="77777777" w:rsidR="00A43F72" w:rsidRDefault="00A43F72" w:rsidP="00A419DB">
      <w:pPr>
        <w:pStyle w:val="af5"/>
        <w:shd w:val="clear" w:color="auto" w:fill="FFFFFF"/>
        <w:suppressAutoHyphens/>
        <w:spacing w:before="75" w:beforeAutospacing="0" w:after="225" w:afterAutospacing="0" w:line="360" w:lineRule="auto"/>
        <w:rPr>
          <w:color w:val="000000" w:themeColor="text1"/>
          <w:sz w:val="22"/>
        </w:rPr>
      </w:pPr>
      <w:r>
        <w:rPr>
          <w:color w:val="000000" w:themeColor="text1"/>
          <w:szCs w:val="26"/>
          <w:shd w:val="clear" w:color="auto" w:fill="FFFFFF"/>
        </w:rPr>
        <w:t>Режимы дозирования антитромботических средств при ИМпST приведены в Приложении А3. Медикаментозное лечение ИМпST, при нарушении фильтрационной функции почек — в Приложении А3. Дозы антитромботических лекарственных средств при нарушенной функции почек.</w:t>
      </w:r>
    </w:p>
    <w:p w14:paraId="3E84501B" w14:textId="11D8888E" w:rsidR="00A43F72" w:rsidRDefault="00A43F72" w:rsidP="00A419DB">
      <w:pPr>
        <w:pStyle w:val="20"/>
        <w:suppressAutoHyphens/>
        <w:spacing w:line="360" w:lineRule="auto"/>
        <w:jc w:val="both"/>
        <w:rPr>
          <w:rFonts w:ascii="Times New Roman" w:eastAsia="Calibri" w:hAnsi="Times New Roman" w:cs="Times New Roman"/>
          <w:bCs w:val="0"/>
          <w:iCs/>
          <w:color w:val="000000" w:themeColor="text1"/>
          <w:sz w:val="24"/>
          <w:szCs w:val="24"/>
        </w:rPr>
      </w:pPr>
      <w:r>
        <w:rPr>
          <w:rFonts w:ascii="Times New Roman" w:eastAsia="Calibri" w:hAnsi="Times New Roman" w:cs="Times New Roman"/>
          <w:bCs w:val="0"/>
          <w:iCs/>
          <w:color w:val="000000" w:themeColor="text1"/>
          <w:sz w:val="24"/>
          <w:szCs w:val="24"/>
        </w:rPr>
        <w:t xml:space="preserve"> </w:t>
      </w:r>
      <w:bookmarkStart w:id="21" w:name="_Toc236138929"/>
      <w:r>
        <w:rPr>
          <w:rFonts w:ascii="Times New Roman" w:eastAsia="Calibri" w:hAnsi="Times New Roman" w:cs="Times New Roman"/>
          <w:bCs w:val="0"/>
          <w:iCs/>
          <w:color w:val="000000" w:themeColor="text1"/>
          <w:sz w:val="24"/>
          <w:szCs w:val="24"/>
        </w:rPr>
        <w:t>Антитромботическое сопровождение ТЛТ</w:t>
      </w:r>
      <w:bookmarkEnd w:id="21"/>
    </w:p>
    <w:p w14:paraId="7501E935"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Антиагреганты при ТЛТ</w:t>
      </w:r>
    </w:p>
    <w:p w14:paraId="655C8871"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Всем пациентам (вне зависимости от стратегии лечения) с ИМпST, не имеющим противопоказаний, рекомендуется прием ацетилсалициловой кислоты (АСК) в начальной нагрузочной дозе, а затем в поддерживающей дозе на неопределенно долгий срок </w:t>
      </w:r>
      <w:hyperlink r:id="rId52" w:history="1">
        <w:r>
          <w:rPr>
            <w:rStyle w:val="a6"/>
            <w:rFonts w:ascii="Times New Roman" w:hAnsi="Times New Roman" w:cs="Times New Roman"/>
            <w:color w:val="000000" w:themeColor="text1"/>
            <w:sz w:val="24"/>
            <w:szCs w:val="24"/>
          </w:rPr>
          <w:t>[9]</w:t>
        </w:r>
      </w:hyperlink>
      <w:hyperlink r:id="rId53" w:history="1">
        <w:r>
          <w:rPr>
            <w:rStyle w:val="a6"/>
            <w:rFonts w:ascii="Times New Roman" w:hAnsi="Times New Roman" w:cs="Times New Roman"/>
            <w:color w:val="000000" w:themeColor="text1"/>
            <w:sz w:val="24"/>
            <w:szCs w:val="24"/>
          </w:rPr>
          <w:t>[191]</w:t>
        </w:r>
      </w:hyperlink>
      <w:hyperlink r:id="rId54" w:history="1">
        <w:r>
          <w:rPr>
            <w:rStyle w:val="a6"/>
            <w:rFonts w:ascii="Times New Roman" w:hAnsi="Times New Roman" w:cs="Times New Roman"/>
            <w:color w:val="000000" w:themeColor="text1"/>
            <w:sz w:val="24"/>
            <w:szCs w:val="24"/>
          </w:rPr>
          <w:t>[192]</w:t>
        </w:r>
      </w:hyperlink>
      <w:r>
        <w:rPr>
          <w:rFonts w:ascii="Times New Roman" w:hAnsi="Times New Roman" w:cs="Times New Roman"/>
          <w:color w:val="000000" w:themeColor="text1"/>
          <w:sz w:val="24"/>
          <w:szCs w:val="24"/>
        </w:rPr>
        <w:t>.</w:t>
      </w:r>
    </w:p>
    <w:p w14:paraId="29EB505D" w14:textId="2D7255F8" w:rsidR="00A43F72" w:rsidRPr="00F52FCA"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w:t>
      </w:r>
      <w:r>
        <w:rPr>
          <w:rStyle w:val="a7"/>
          <w:rFonts w:ascii="Times New Roman" w:hAnsi="Times New Roman" w:cs="Times New Roman"/>
          <w:color w:val="000000" w:themeColor="text1"/>
          <w:sz w:val="24"/>
          <w:szCs w:val="24"/>
          <w:lang w:val="en-US"/>
        </w:rPr>
        <w:t> IA</w:t>
      </w:r>
      <w:r w:rsidRPr="00F52FCA">
        <w:rPr>
          <w:rStyle w:val="a7"/>
          <w:rFonts w:ascii="Times New Roman" w:hAnsi="Times New Roman" w:cs="Times New Roman"/>
          <w:color w:val="000000" w:themeColor="text1"/>
          <w:sz w:val="24"/>
          <w:szCs w:val="24"/>
        </w:rPr>
        <w:t xml:space="preserve"> (</w:t>
      </w:r>
      <w:r>
        <w:rPr>
          <w:rStyle w:val="a7"/>
          <w:rFonts w:ascii="Times New Roman" w:hAnsi="Times New Roman" w:cs="Times New Roman"/>
          <w:color w:val="000000" w:themeColor="text1"/>
          <w:sz w:val="24"/>
          <w:szCs w:val="24"/>
        </w:rPr>
        <w:t>Уровень убедительности рекомендаций</w:t>
      </w:r>
      <w:r>
        <w:rPr>
          <w:rStyle w:val="a7"/>
          <w:rFonts w:ascii="Times New Roman" w:hAnsi="Times New Roman" w:cs="Times New Roman"/>
          <w:color w:val="000000" w:themeColor="text1"/>
          <w:sz w:val="24"/>
          <w:szCs w:val="24"/>
          <w:lang w:val="en-US"/>
        </w:rPr>
        <w:t> A</w:t>
      </w:r>
      <w:r w:rsidRPr="00F52FCA">
        <w:rPr>
          <w:rStyle w:val="a7"/>
          <w:rFonts w:ascii="Times New Roman" w:hAnsi="Times New Roman" w:cs="Times New Roman"/>
          <w:color w:val="000000" w:themeColor="text1"/>
          <w:sz w:val="24"/>
          <w:szCs w:val="24"/>
        </w:rPr>
        <w:t xml:space="preserve">, </w:t>
      </w:r>
      <w:r>
        <w:rPr>
          <w:rStyle w:val="a7"/>
          <w:rFonts w:ascii="Times New Roman" w:hAnsi="Times New Roman" w:cs="Times New Roman"/>
          <w:color w:val="000000" w:themeColor="text1"/>
          <w:sz w:val="24"/>
          <w:szCs w:val="24"/>
        </w:rPr>
        <w:t>Уровень достоверности докзательств</w:t>
      </w:r>
      <w:r>
        <w:rPr>
          <w:rStyle w:val="a7"/>
          <w:rFonts w:ascii="Times New Roman" w:hAnsi="Times New Roman" w:cs="Times New Roman"/>
          <w:color w:val="000000" w:themeColor="text1"/>
          <w:sz w:val="24"/>
          <w:szCs w:val="24"/>
          <w:lang w:val="en-US"/>
        </w:rPr>
        <w:t> </w:t>
      </w:r>
      <w:r w:rsidRPr="00F52FCA">
        <w:rPr>
          <w:rStyle w:val="a7"/>
          <w:rFonts w:ascii="Times New Roman" w:hAnsi="Times New Roman" w:cs="Times New Roman"/>
          <w:color w:val="000000" w:themeColor="text1"/>
          <w:sz w:val="24"/>
          <w:szCs w:val="24"/>
        </w:rPr>
        <w:t>1)</w:t>
      </w:r>
      <w:r w:rsidR="0049557D">
        <w:rPr>
          <w:rStyle w:val="a7"/>
          <w:rFonts w:ascii="Times New Roman" w:hAnsi="Times New Roman" w:cs="Times New Roman"/>
          <w:color w:val="000000" w:themeColor="text1"/>
          <w:sz w:val="24"/>
          <w:szCs w:val="24"/>
        </w:rPr>
        <w:t>.</w:t>
      </w:r>
    </w:p>
    <w:p w14:paraId="4376B62F"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Комментарии.</w:t>
      </w:r>
      <w:r>
        <w:rPr>
          <w:rFonts w:ascii="Times New Roman" w:hAnsi="Times New Roman" w:cs="Times New Roman"/>
          <w:color w:val="000000" w:themeColor="text1"/>
          <w:sz w:val="24"/>
          <w:szCs w:val="24"/>
        </w:rPr>
        <w:t> </w:t>
      </w:r>
      <w:r>
        <w:rPr>
          <w:rStyle w:val="a5"/>
          <w:rFonts w:ascii="Times New Roman" w:hAnsi="Times New Roman" w:cs="Times New Roman"/>
          <w:color w:val="000000" w:themeColor="text1"/>
          <w:sz w:val="24"/>
          <w:szCs w:val="24"/>
        </w:rPr>
        <w:t>Рекомендуется начальная (нагрузочная) доза АСК 300 мг (таблетку разжевать и проглотить) как можно быстрее после установления диагноза ОКСпST/ИМпST; постоянная поддерживающая доза АСК 75-100 мг внутрь 1 раз/сут. со вторых суток ведения пациента </w:t>
      </w:r>
      <w:hyperlink r:id="rId55" w:history="1">
        <w:r>
          <w:rPr>
            <w:rStyle w:val="a6"/>
            <w:rFonts w:ascii="Times New Roman" w:hAnsi="Times New Roman" w:cs="Times New Roman"/>
            <w:i/>
            <w:iCs/>
            <w:color w:val="000000" w:themeColor="text1"/>
            <w:sz w:val="24"/>
            <w:szCs w:val="24"/>
          </w:rPr>
          <w:t>[9]</w:t>
        </w:r>
      </w:hyperlink>
      <w:hyperlink r:id="rId56" w:history="1">
        <w:r>
          <w:rPr>
            <w:rStyle w:val="a6"/>
            <w:rFonts w:ascii="Times New Roman" w:hAnsi="Times New Roman" w:cs="Times New Roman"/>
            <w:i/>
            <w:iCs/>
            <w:color w:val="000000" w:themeColor="text1"/>
            <w:sz w:val="24"/>
            <w:szCs w:val="24"/>
          </w:rPr>
          <w:t>[192]</w:t>
        </w:r>
      </w:hyperlink>
      <w:r>
        <w:rPr>
          <w:rStyle w:val="a5"/>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У  пациентов с ИМпST при выборе фармакоинвазивной стратегии в дополнение к АСК в качестве ингибитора Р2Y</w:t>
      </w:r>
      <w:r>
        <w:rPr>
          <w:rFonts w:ascii="Times New Roman" w:hAnsi="Times New Roman" w:cs="Times New Roman"/>
          <w:color w:val="000000" w:themeColor="text1"/>
          <w:sz w:val="24"/>
          <w:szCs w:val="24"/>
          <w:vertAlign w:val="subscript"/>
        </w:rPr>
        <w:t>12</w:t>
      </w:r>
      <w:r>
        <w:rPr>
          <w:rFonts w:ascii="Times New Roman" w:hAnsi="Times New Roman" w:cs="Times New Roman"/>
          <w:color w:val="000000" w:themeColor="text1"/>
          <w:sz w:val="24"/>
          <w:szCs w:val="24"/>
        </w:rPr>
        <w:t>-рецептора тромбоцитов при отсутствии противопоказаний рекомендован клопидогрел — до начала или во время ТЛТ </w:t>
      </w:r>
      <w:hyperlink r:id="rId57" w:history="1">
        <w:r>
          <w:rPr>
            <w:rStyle w:val="a6"/>
            <w:rFonts w:ascii="Times New Roman" w:hAnsi="Times New Roman" w:cs="Times New Roman"/>
            <w:color w:val="000000" w:themeColor="text1"/>
            <w:sz w:val="24"/>
            <w:szCs w:val="24"/>
          </w:rPr>
          <w:t>[14]</w:t>
        </w:r>
      </w:hyperlink>
      <w:hyperlink r:id="rId58" w:history="1">
        <w:r>
          <w:rPr>
            <w:rStyle w:val="a6"/>
            <w:rFonts w:ascii="Times New Roman" w:hAnsi="Times New Roman" w:cs="Times New Roman"/>
            <w:color w:val="000000" w:themeColor="text1"/>
            <w:sz w:val="24"/>
            <w:szCs w:val="24"/>
          </w:rPr>
          <w:t>[193]</w:t>
        </w:r>
      </w:hyperlink>
      <w:hyperlink r:id="rId59" w:history="1">
        <w:r>
          <w:rPr>
            <w:rStyle w:val="a6"/>
            <w:rFonts w:ascii="Times New Roman" w:hAnsi="Times New Roman" w:cs="Times New Roman"/>
            <w:color w:val="000000" w:themeColor="text1"/>
            <w:sz w:val="24"/>
            <w:szCs w:val="24"/>
          </w:rPr>
          <w:t>[194]</w:t>
        </w:r>
      </w:hyperlink>
      <w:r>
        <w:rPr>
          <w:rFonts w:ascii="Times New Roman" w:hAnsi="Times New Roman" w:cs="Times New Roman"/>
          <w:color w:val="000000" w:themeColor="text1"/>
          <w:sz w:val="24"/>
          <w:szCs w:val="24"/>
        </w:rPr>
        <w:t>.</w:t>
      </w:r>
    </w:p>
    <w:p w14:paraId="3C37FDF8" w14:textId="1658E66F"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 IB (Уровень убедительности рекомендаций А, Уровень достоверности докзательств 2)</w:t>
      </w:r>
      <w:r w:rsidR="0049557D">
        <w:rPr>
          <w:rStyle w:val="a7"/>
          <w:rFonts w:ascii="Times New Roman" w:hAnsi="Times New Roman" w:cs="Times New Roman"/>
          <w:color w:val="000000" w:themeColor="text1"/>
          <w:sz w:val="24"/>
          <w:szCs w:val="24"/>
        </w:rPr>
        <w:t>.</w:t>
      </w:r>
    </w:p>
    <w:p w14:paraId="4B16E537"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lastRenderedPageBreak/>
        <w:t>Комментарии.</w:t>
      </w:r>
      <w:r>
        <w:rPr>
          <w:rFonts w:ascii="Times New Roman" w:hAnsi="Times New Roman" w:cs="Times New Roman"/>
          <w:color w:val="000000" w:themeColor="text1"/>
          <w:sz w:val="24"/>
          <w:szCs w:val="24"/>
        </w:rPr>
        <w:t> </w:t>
      </w:r>
      <w:r>
        <w:rPr>
          <w:rStyle w:val="a5"/>
          <w:rFonts w:ascii="Times New Roman" w:hAnsi="Times New Roman" w:cs="Times New Roman"/>
          <w:color w:val="000000" w:themeColor="text1"/>
          <w:sz w:val="24"/>
          <w:szCs w:val="24"/>
        </w:rPr>
        <w:t xml:space="preserve"> Поддерживающая доза клопидогрела — 75 мг 1 раз/сут. внутрь сроком на 12 мес. У пациентов в возрасте старше 75 лет лечение клопидогрелом следует проводить без использования нагрузочной дозы.</w:t>
      </w:r>
    </w:p>
    <w:p w14:paraId="48644BD1"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5"/>
          <w:rFonts w:ascii="Times New Roman" w:hAnsi="Times New Roman" w:cs="Times New Roman"/>
          <w:color w:val="000000" w:themeColor="text1"/>
          <w:sz w:val="24"/>
          <w:szCs w:val="24"/>
        </w:rPr>
        <w:t>Клопидогрел после его использования во время ТЛТ может быть достаточно рано (в пределах суток от начала ТЛТ) заменен на тикагрелор  как в рамках фармакоинвазивного подхода, так и у пациентов, получивших только тромболитик (без последующего ЧКВ). Возможность раннего перехода с клопидогрела на тикагрелор у пациентов с ИМпST, получивших тромболитик, не распространяется на лиц старше 75 лет. Досрочное прекращение двойной антитромбоцитарной терапии — отмена обоих антиагрегантов — увеличивает частоту коронарных осложнений. При необходимости экстренной несердечной хирургической операции или серьезном кровотечении лечение ингибитором Р2Y</w:t>
      </w:r>
      <w:r>
        <w:rPr>
          <w:rStyle w:val="a5"/>
          <w:rFonts w:ascii="Times New Roman" w:hAnsi="Times New Roman" w:cs="Times New Roman"/>
          <w:color w:val="000000" w:themeColor="text1"/>
          <w:sz w:val="24"/>
          <w:szCs w:val="24"/>
          <w:vertAlign w:val="subscript"/>
        </w:rPr>
        <w:t>12</w:t>
      </w:r>
      <w:r>
        <w:rPr>
          <w:rStyle w:val="a5"/>
          <w:rFonts w:ascii="Times New Roman" w:hAnsi="Times New Roman" w:cs="Times New Roman"/>
          <w:color w:val="000000" w:themeColor="text1"/>
          <w:sz w:val="24"/>
          <w:szCs w:val="24"/>
        </w:rPr>
        <w:t>-рецептора тромбоцитов следует прекратить и возобновить при первой возможности после устранения причин кровотечения.</w:t>
      </w:r>
    </w:p>
    <w:p w14:paraId="4ABD6CCA"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5"/>
          <w:rFonts w:ascii="Times New Roman" w:hAnsi="Times New Roman" w:cs="Times New Roman"/>
          <w:color w:val="000000" w:themeColor="text1"/>
          <w:sz w:val="24"/>
          <w:szCs w:val="24"/>
        </w:rPr>
        <w:t>Тикагрелор следует отменить как минимум за 3 дня, клопидогрел — как минимум за 5 дней, прасугрел — как минимум за 7 дней до планового хирургического вмешательства. По мере возможности АСК следует продолжить, т. к. отмена обоих препаратов еще больше повышает риск коронарного тромбоза. При хирургических вмешательствах с низким риском кровотечения не следует досрочно прерывать двойную антитромбоцитарную терапию.</w:t>
      </w:r>
    </w:p>
    <w:p w14:paraId="60034F62"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с ИМпST при выборе в качестве реперфузионной терапии системной ТЛТ в дополнение к АСК не рекомендуются тикагрелор и прасугрел (как до начала, так и во время ТЛТ) из-за отсутствия доказательств безопасности такого подхода </w:t>
      </w:r>
      <w:hyperlink r:id="rId60" w:history="1">
        <w:r>
          <w:rPr>
            <w:rStyle w:val="a6"/>
            <w:rFonts w:ascii="Times New Roman" w:hAnsi="Times New Roman" w:cs="Times New Roman"/>
            <w:color w:val="000000" w:themeColor="text1"/>
            <w:sz w:val="24"/>
            <w:szCs w:val="24"/>
          </w:rPr>
          <w:t>[9]</w:t>
        </w:r>
      </w:hyperlink>
      <w:hyperlink r:id="rId61" w:history="1">
        <w:r>
          <w:rPr>
            <w:rStyle w:val="a6"/>
            <w:rFonts w:ascii="Times New Roman" w:hAnsi="Times New Roman" w:cs="Times New Roman"/>
            <w:color w:val="000000" w:themeColor="text1"/>
            <w:sz w:val="24"/>
            <w:szCs w:val="24"/>
          </w:rPr>
          <w:t>[195-199]</w:t>
        </w:r>
      </w:hyperlink>
      <w:r>
        <w:rPr>
          <w:rFonts w:ascii="Times New Roman" w:hAnsi="Times New Roman" w:cs="Times New Roman"/>
          <w:color w:val="000000" w:themeColor="text1"/>
          <w:sz w:val="24"/>
          <w:szCs w:val="24"/>
        </w:rPr>
        <w:t>.</w:t>
      </w:r>
    </w:p>
    <w:p w14:paraId="7A093FCF" w14:textId="6B8CF3E8"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 IIIC (Уровень убедительности рекомендаций С, Уровень достоверности докзательств 5)</w:t>
      </w:r>
      <w:r w:rsidR="0049557D">
        <w:rPr>
          <w:rStyle w:val="a7"/>
          <w:rFonts w:ascii="Times New Roman" w:hAnsi="Times New Roman" w:cs="Times New Roman"/>
          <w:color w:val="000000" w:themeColor="text1"/>
          <w:sz w:val="24"/>
          <w:szCs w:val="24"/>
        </w:rPr>
        <w:t>.</w:t>
      </w:r>
    </w:p>
    <w:p w14:paraId="4FE1E6E7"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с ИМпST, высоким риском последующих ишемических событий и низким риском кровотечений, не переносивших в прошлом инсульт или транзиторную ишемическую атаку, и независимо от наличия/отсутствия и вида предшествующей реперфузионной терапии (то есть в том числе после ТЛТ) после прекращения парентерального введения антикоагулянта к сочетанию АСК и клопидогрела для снижения риска ишемических событий рекомендуется ривароксабан внутрь в дозе 2,5 мг 2 раза/сут. сроком на 12 мес. (в отдельных случаях — вплоть до 24 мес.) </w:t>
      </w:r>
      <w:hyperlink r:id="rId62" w:history="1">
        <w:r>
          <w:rPr>
            <w:rStyle w:val="a6"/>
            <w:rFonts w:ascii="Times New Roman" w:hAnsi="Times New Roman" w:cs="Times New Roman"/>
            <w:color w:val="000000" w:themeColor="text1"/>
            <w:sz w:val="24"/>
            <w:szCs w:val="24"/>
          </w:rPr>
          <w:t>[200]</w:t>
        </w:r>
      </w:hyperlink>
      <w:r>
        <w:rPr>
          <w:rFonts w:ascii="Times New Roman" w:hAnsi="Times New Roman" w:cs="Times New Roman"/>
          <w:color w:val="000000" w:themeColor="text1"/>
          <w:sz w:val="24"/>
          <w:szCs w:val="24"/>
        </w:rPr>
        <w:t>.</w:t>
      </w:r>
    </w:p>
    <w:p w14:paraId="28640BC1" w14:textId="19760558" w:rsidR="00A43F72" w:rsidRPr="00F52FCA"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lastRenderedPageBreak/>
        <w:t>ЕОК</w:t>
      </w:r>
      <w:r>
        <w:rPr>
          <w:rStyle w:val="a7"/>
          <w:rFonts w:ascii="Times New Roman" w:hAnsi="Times New Roman" w:cs="Times New Roman"/>
          <w:color w:val="000000" w:themeColor="text1"/>
          <w:sz w:val="24"/>
          <w:szCs w:val="24"/>
          <w:lang w:val="en-US"/>
        </w:rPr>
        <w:t> IIbB</w:t>
      </w:r>
      <w:r w:rsidRPr="00F52FCA">
        <w:rPr>
          <w:rStyle w:val="a7"/>
          <w:rFonts w:ascii="Times New Roman" w:hAnsi="Times New Roman" w:cs="Times New Roman"/>
          <w:color w:val="000000" w:themeColor="text1"/>
          <w:sz w:val="24"/>
          <w:szCs w:val="24"/>
        </w:rPr>
        <w:t xml:space="preserve"> (</w:t>
      </w:r>
      <w:r>
        <w:rPr>
          <w:rStyle w:val="a7"/>
          <w:rFonts w:ascii="Times New Roman" w:hAnsi="Times New Roman" w:cs="Times New Roman"/>
          <w:color w:val="000000" w:themeColor="text1"/>
          <w:sz w:val="24"/>
          <w:szCs w:val="24"/>
        </w:rPr>
        <w:t>Уровень убедительности рекомендаций</w:t>
      </w:r>
      <w:r>
        <w:rPr>
          <w:rStyle w:val="a7"/>
          <w:rFonts w:ascii="Times New Roman" w:hAnsi="Times New Roman" w:cs="Times New Roman"/>
          <w:color w:val="000000" w:themeColor="text1"/>
          <w:sz w:val="24"/>
          <w:szCs w:val="24"/>
          <w:lang w:val="en-US"/>
        </w:rPr>
        <w:t> A</w:t>
      </w:r>
      <w:r w:rsidRPr="00F52FCA">
        <w:rPr>
          <w:rStyle w:val="a7"/>
          <w:rFonts w:ascii="Times New Roman" w:hAnsi="Times New Roman" w:cs="Times New Roman"/>
          <w:color w:val="000000" w:themeColor="text1"/>
          <w:sz w:val="24"/>
          <w:szCs w:val="24"/>
        </w:rPr>
        <w:t xml:space="preserve">, </w:t>
      </w:r>
      <w:r>
        <w:rPr>
          <w:rStyle w:val="a7"/>
          <w:rFonts w:ascii="Times New Roman" w:hAnsi="Times New Roman" w:cs="Times New Roman"/>
          <w:color w:val="000000" w:themeColor="text1"/>
          <w:sz w:val="24"/>
          <w:szCs w:val="24"/>
        </w:rPr>
        <w:t>Уровень достоверности докзательств</w:t>
      </w:r>
      <w:r>
        <w:rPr>
          <w:rStyle w:val="a7"/>
          <w:rFonts w:ascii="Times New Roman" w:hAnsi="Times New Roman" w:cs="Times New Roman"/>
          <w:color w:val="000000" w:themeColor="text1"/>
          <w:sz w:val="24"/>
          <w:szCs w:val="24"/>
          <w:lang w:val="en-US"/>
        </w:rPr>
        <w:t> </w:t>
      </w:r>
      <w:r w:rsidRPr="00F52FCA">
        <w:rPr>
          <w:rStyle w:val="a7"/>
          <w:rFonts w:ascii="Times New Roman" w:hAnsi="Times New Roman" w:cs="Times New Roman"/>
          <w:color w:val="000000" w:themeColor="text1"/>
          <w:sz w:val="24"/>
          <w:szCs w:val="24"/>
        </w:rPr>
        <w:t>1)</w:t>
      </w:r>
      <w:r w:rsidR="0049557D">
        <w:rPr>
          <w:rStyle w:val="a7"/>
          <w:rFonts w:ascii="Times New Roman" w:hAnsi="Times New Roman" w:cs="Times New Roman"/>
          <w:color w:val="000000" w:themeColor="text1"/>
          <w:sz w:val="24"/>
          <w:szCs w:val="24"/>
        </w:rPr>
        <w:t>.</w:t>
      </w:r>
    </w:p>
    <w:p w14:paraId="2123AACE"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Комментарии.</w:t>
      </w:r>
      <w:r>
        <w:rPr>
          <w:rFonts w:ascii="Times New Roman" w:hAnsi="Times New Roman" w:cs="Times New Roman"/>
          <w:color w:val="000000" w:themeColor="text1"/>
          <w:sz w:val="24"/>
          <w:szCs w:val="24"/>
        </w:rPr>
        <w:t> </w:t>
      </w:r>
      <w:r>
        <w:rPr>
          <w:rStyle w:val="a5"/>
          <w:rFonts w:ascii="Times New Roman" w:hAnsi="Times New Roman" w:cs="Times New Roman"/>
          <w:color w:val="000000" w:themeColor="text1"/>
          <w:sz w:val="24"/>
          <w:szCs w:val="24"/>
        </w:rPr>
        <w:t>Прием ривароксабана в дозе 2,5 мг 2 раза/сут. в добавление к сочетанию АСК и клопидогрела рекомендуется начинать в первую неделю от начала лечения ИМпST, после выполнения процедур реваскуляризации миокарда (если к ним были показания) и прекращения парентерального введения антикоагулянтов </w:t>
      </w:r>
      <w:hyperlink r:id="rId63" w:history="1">
        <w:r>
          <w:rPr>
            <w:rStyle w:val="a6"/>
            <w:rFonts w:ascii="Times New Roman" w:hAnsi="Times New Roman" w:cs="Times New Roman"/>
            <w:i/>
            <w:iCs/>
            <w:color w:val="000000" w:themeColor="text1"/>
            <w:sz w:val="24"/>
            <w:szCs w:val="24"/>
          </w:rPr>
          <w:t>[200]</w:t>
        </w:r>
      </w:hyperlink>
      <w:r>
        <w:rPr>
          <w:rStyle w:val="a5"/>
          <w:rFonts w:ascii="Times New Roman" w:hAnsi="Times New Roman" w:cs="Times New Roman"/>
          <w:color w:val="000000" w:themeColor="text1"/>
          <w:sz w:val="24"/>
          <w:szCs w:val="24"/>
        </w:rPr>
        <w:t>.</w:t>
      </w:r>
    </w:p>
    <w:p w14:paraId="705C6372"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5"/>
          <w:rFonts w:ascii="Times New Roman" w:hAnsi="Times New Roman" w:cs="Times New Roman"/>
          <w:color w:val="000000" w:themeColor="text1"/>
          <w:sz w:val="24"/>
          <w:szCs w:val="24"/>
        </w:rPr>
        <w:t>Добавление ривароксабана в дозе 2,5 мг 2 раза/сут. не изучено в сочетании с двойной антитромбоцитарной терапией, в состав которой входят прасугрел или тикагрелор. Данный подход не может использоваться у пациентов, нуждающихся в использовании более высоких доз пероральных антикоагулянтов (в частности, при наличии ФП с повышенным риском инсульта).</w:t>
      </w:r>
    </w:p>
    <w:p w14:paraId="235FF89D"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с ИМпST при выборе в качестве реперфузионной терапии системной ТЛТ в дополнение к АСК не рекомендуются блокаторы рецептора ГП IIb/IIIa (как до начала, так и во время ТЛТ) из-за отсутствия доказательств эффективности и наличия указаний на увеличение риска кровотечений </w:t>
      </w:r>
      <w:hyperlink r:id="rId64" w:history="1">
        <w:r>
          <w:rPr>
            <w:rStyle w:val="a6"/>
            <w:rFonts w:ascii="Times New Roman" w:hAnsi="Times New Roman" w:cs="Times New Roman"/>
            <w:color w:val="000000" w:themeColor="text1"/>
            <w:sz w:val="24"/>
            <w:szCs w:val="24"/>
          </w:rPr>
          <w:t>[201]</w:t>
        </w:r>
      </w:hyperlink>
      <w:hyperlink r:id="rId65" w:history="1">
        <w:r>
          <w:rPr>
            <w:rStyle w:val="a6"/>
            <w:rFonts w:ascii="Times New Roman" w:hAnsi="Times New Roman" w:cs="Times New Roman"/>
            <w:color w:val="000000" w:themeColor="text1"/>
            <w:sz w:val="24"/>
            <w:szCs w:val="24"/>
          </w:rPr>
          <w:t>[202]</w:t>
        </w:r>
      </w:hyperlink>
      <w:r>
        <w:rPr>
          <w:rFonts w:ascii="Times New Roman" w:hAnsi="Times New Roman" w:cs="Times New Roman"/>
          <w:color w:val="000000" w:themeColor="text1"/>
          <w:sz w:val="24"/>
          <w:szCs w:val="24"/>
        </w:rPr>
        <w:t>.</w:t>
      </w:r>
    </w:p>
    <w:p w14:paraId="33D15D9A" w14:textId="5FB7B066"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 IIIB (Уровень убедительности рекомендаций B, Уровень достоверности докзательств 2)</w:t>
      </w:r>
      <w:r w:rsidR="0049557D">
        <w:rPr>
          <w:rStyle w:val="a7"/>
          <w:rFonts w:ascii="Times New Roman" w:hAnsi="Times New Roman" w:cs="Times New Roman"/>
          <w:color w:val="000000" w:themeColor="text1"/>
          <w:sz w:val="24"/>
          <w:szCs w:val="24"/>
        </w:rPr>
        <w:t>.</w:t>
      </w:r>
    </w:p>
    <w:p w14:paraId="0200AA20"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с ИМпST и высоким риском желудочно-кишечных кровотечений во время двойной антитромбоцитарной терапии независимо от предшествующего реперфузионного лечения для защиты слизистой желудка и снижения риска желудочно-кишечных кровотечений рекомендуется использовать ингибиторы протонного насоса </w:t>
      </w:r>
      <w:hyperlink r:id="rId66" w:history="1">
        <w:r>
          <w:rPr>
            <w:rStyle w:val="a6"/>
            <w:rFonts w:ascii="Times New Roman" w:hAnsi="Times New Roman" w:cs="Times New Roman"/>
            <w:color w:val="000000" w:themeColor="text1"/>
            <w:sz w:val="24"/>
            <w:szCs w:val="24"/>
          </w:rPr>
          <w:t>[203]</w:t>
        </w:r>
      </w:hyperlink>
      <w:hyperlink r:id="rId67" w:history="1">
        <w:r>
          <w:rPr>
            <w:rStyle w:val="a6"/>
            <w:rFonts w:ascii="Times New Roman" w:hAnsi="Times New Roman" w:cs="Times New Roman"/>
            <w:color w:val="000000" w:themeColor="text1"/>
            <w:sz w:val="24"/>
            <w:szCs w:val="24"/>
          </w:rPr>
          <w:t>[204]</w:t>
        </w:r>
      </w:hyperlink>
      <w:r>
        <w:rPr>
          <w:rFonts w:ascii="Times New Roman" w:hAnsi="Times New Roman" w:cs="Times New Roman"/>
          <w:color w:val="000000" w:themeColor="text1"/>
          <w:sz w:val="24"/>
          <w:szCs w:val="24"/>
        </w:rPr>
        <w:t>.</w:t>
      </w:r>
    </w:p>
    <w:p w14:paraId="6E8B448C" w14:textId="24F71212" w:rsidR="00A43F72" w:rsidRPr="00F52FCA"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w:t>
      </w:r>
      <w:r>
        <w:rPr>
          <w:rStyle w:val="a7"/>
          <w:rFonts w:ascii="Times New Roman" w:hAnsi="Times New Roman" w:cs="Times New Roman"/>
          <w:color w:val="000000" w:themeColor="text1"/>
          <w:sz w:val="24"/>
          <w:szCs w:val="24"/>
          <w:lang w:val="en-US"/>
        </w:rPr>
        <w:t> IA</w:t>
      </w:r>
      <w:r w:rsidRPr="00F52FCA">
        <w:rPr>
          <w:rStyle w:val="a7"/>
          <w:rFonts w:ascii="Times New Roman" w:hAnsi="Times New Roman" w:cs="Times New Roman"/>
          <w:color w:val="000000" w:themeColor="text1"/>
          <w:sz w:val="24"/>
          <w:szCs w:val="24"/>
        </w:rPr>
        <w:t xml:space="preserve"> (</w:t>
      </w:r>
      <w:r>
        <w:rPr>
          <w:rStyle w:val="a7"/>
          <w:rFonts w:ascii="Times New Roman" w:hAnsi="Times New Roman" w:cs="Times New Roman"/>
          <w:color w:val="000000" w:themeColor="text1"/>
          <w:sz w:val="24"/>
          <w:szCs w:val="24"/>
        </w:rPr>
        <w:t>Уровень убедительности рекомендаций</w:t>
      </w:r>
      <w:r>
        <w:rPr>
          <w:rStyle w:val="a7"/>
          <w:rFonts w:ascii="Times New Roman" w:hAnsi="Times New Roman" w:cs="Times New Roman"/>
          <w:color w:val="000000" w:themeColor="text1"/>
          <w:sz w:val="24"/>
          <w:szCs w:val="24"/>
          <w:lang w:val="en-US"/>
        </w:rPr>
        <w:t> A</w:t>
      </w:r>
      <w:r w:rsidRPr="00F52FCA">
        <w:rPr>
          <w:rStyle w:val="a7"/>
          <w:rFonts w:ascii="Times New Roman" w:hAnsi="Times New Roman" w:cs="Times New Roman"/>
          <w:color w:val="000000" w:themeColor="text1"/>
          <w:sz w:val="24"/>
          <w:szCs w:val="24"/>
        </w:rPr>
        <w:t xml:space="preserve">, </w:t>
      </w:r>
      <w:r>
        <w:rPr>
          <w:rStyle w:val="a7"/>
          <w:rFonts w:ascii="Times New Roman" w:hAnsi="Times New Roman" w:cs="Times New Roman"/>
          <w:color w:val="000000" w:themeColor="text1"/>
          <w:sz w:val="24"/>
          <w:szCs w:val="24"/>
        </w:rPr>
        <w:t>Уровень достоверности докзательств</w:t>
      </w:r>
      <w:r>
        <w:rPr>
          <w:rStyle w:val="a7"/>
          <w:rFonts w:ascii="Times New Roman" w:hAnsi="Times New Roman" w:cs="Times New Roman"/>
          <w:color w:val="000000" w:themeColor="text1"/>
          <w:sz w:val="24"/>
          <w:szCs w:val="24"/>
          <w:lang w:val="en-US"/>
        </w:rPr>
        <w:t> </w:t>
      </w:r>
      <w:r w:rsidRPr="00F52FCA">
        <w:rPr>
          <w:rStyle w:val="a7"/>
          <w:rFonts w:ascii="Times New Roman" w:hAnsi="Times New Roman" w:cs="Times New Roman"/>
          <w:color w:val="000000" w:themeColor="text1"/>
          <w:sz w:val="24"/>
          <w:szCs w:val="24"/>
        </w:rPr>
        <w:t>2)</w:t>
      </w:r>
      <w:r w:rsidR="0049557D">
        <w:rPr>
          <w:rStyle w:val="a7"/>
          <w:rFonts w:ascii="Times New Roman" w:hAnsi="Times New Roman" w:cs="Times New Roman"/>
          <w:color w:val="000000" w:themeColor="text1"/>
          <w:sz w:val="24"/>
          <w:szCs w:val="24"/>
        </w:rPr>
        <w:t>.</w:t>
      </w:r>
    </w:p>
    <w:p w14:paraId="6FD18E2B"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Комментарии.</w:t>
      </w:r>
      <w:r>
        <w:rPr>
          <w:rFonts w:ascii="Times New Roman" w:hAnsi="Times New Roman" w:cs="Times New Roman"/>
          <w:color w:val="000000" w:themeColor="text1"/>
          <w:sz w:val="24"/>
          <w:szCs w:val="24"/>
        </w:rPr>
        <w:t> </w:t>
      </w:r>
      <w:r>
        <w:rPr>
          <w:rStyle w:val="a5"/>
          <w:rFonts w:ascii="Times New Roman" w:hAnsi="Times New Roman" w:cs="Times New Roman"/>
          <w:color w:val="000000" w:themeColor="text1"/>
          <w:sz w:val="24"/>
          <w:szCs w:val="24"/>
        </w:rPr>
        <w:t>Риск желудочно-кишечных кровотечений повышен при язвенной болезни или желудочно-кишечном кровотечении в анамнезе, хроническом использовании нестероидных противовоспалительных средств или кортикостероидов, а также при наличии как минимум 2 из следующих признаков — возраст ≥65 лет, диспепсия, желудочно-пищеводный рефлюкс, инфицирование Helicobacterpylori, хроническое употребление алкоголя.</w:t>
      </w:r>
    </w:p>
    <w:p w14:paraId="5547FA56"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5"/>
          <w:rFonts w:ascii="Times New Roman" w:hAnsi="Times New Roman" w:cs="Times New Roman"/>
          <w:color w:val="000000" w:themeColor="text1"/>
          <w:sz w:val="24"/>
          <w:szCs w:val="24"/>
        </w:rPr>
        <w:lastRenderedPageBreak/>
        <w:t>Известно о возможном ослаблении антитромбоцитарного эффекта клопидогрела (по результатам лабораторной оценки активности тромбоцитов) при его сочетании с омепразолом или эзомепразолом, но не с пантопразолом или рабепразолом. Нет доказательств, что эти лекарственные взаимодействия оказывают неблагоприятное влияние на клинические результаты лечения.</w:t>
      </w:r>
    </w:p>
    <w:p w14:paraId="455B92AE"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Парентеральные антикоагулянты при ТЛТ</w:t>
      </w:r>
    </w:p>
    <w:p w14:paraId="6516E417"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Парентеральные антикоагулянты рекомендуются всем пациентам с ИМпST независимо от стратегии лечения (в т. ч. для сопровождения системной ТЛТ) с максимально ранним началом введения после установления диагноза ОКСпST/ИМпST </w:t>
      </w:r>
      <w:hyperlink r:id="rId68" w:history="1">
        <w:r>
          <w:rPr>
            <w:rStyle w:val="a6"/>
            <w:rFonts w:ascii="Times New Roman" w:hAnsi="Times New Roman" w:cs="Times New Roman"/>
            <w:color w:val="000000" w:themeColor="text1"/>
            <w:sz w:val="24"/>
            <w:szCs w:val="24"/>
          </w:rPr>
          <w:t>[9]</w:t>
        </w:r>
      </w:hyperlink>
      <w:hyperlink r:id="rId69" w:history="1">
        <w:r>
          <w:rPr>
            <w:rStyle w:val="a6"/>
            <w:rFonts w:ascii="Times New Roman" w:hAnsi="Times New Roman" w:cs="Times New Roman"/>
            <w:color w:val="000000" w:themeColor="text1"/>
            <w:sz w:val="24"/>
            <w:szCs w:val="24"/>
          </w:rPr>
          <w:t>[205-210]</w:t>
        </w:r>
      </w:hyperlink>
      <w:r>
        <w:rPr>
          <w:rFonts w:ascii="Times New Roman" w:hAnsi="Times New Roman" w:cs="Times New Roman"/>
          <w:color w:val="000000" w:themeColor="text1"/>
          <w:sz w:val="24"/>
          <w:szCs w:val="24"/>
        </w:rPr>
        <w:t>.</w:t>
      </w:r>
    </w:p>
    <w:p w14:paraId="3A39401D" w14:textId="357D0E49"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 IА (Уровень убедительности рекомендаций A, Уровень достоверности докзательств 1)</w:t>
      </w:r>
      <w:r w:rsidR="0049557D">
        <w:rPr>
          <w:rStyle w:val="a7"/>
          <w:rFonts w:ascii="Times New Roman" w:hAnsi="Times New Roman" w:cs="Times New Roman"/>
          <w:color w:val="000000" w:themeColor="text1"/>
          <w:sz w:val="24"/>
          <w:szCs w:val="24"/>
        </w:rPr>
        <w:t>.</w:t>
      </w:r>
    </w:p>
    <w:p w14:paraId="415D78BE"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Комментарии.</w:t>
      </w:r>
      <w:r>
        <w:rPr>
          <w:rFonts w:ascii="Times New Roman" w:hAnsi="Times New Roman" w:cs="Times New Roman"/>
          <w:color w:val="000000" w:themeColor="text1"/>
          <w:sz w:val="24"/>
          <w:szCs w:val="24"/>
        </w:rPr>
        <w:t> </w:t>
      </w:r>
      <w:r>
        <w:rPr>
          <w:rStyle w:val="a5"/>
          <w:rFonts w:ascii="Times New Roman" w:hAnsi="Times New Roman" w:cs="Times New Roman"/>
          <w:color w:val="000000" w:themeColor="text1"/>
          <w:sz w:val="24"/>
          <w:szCs w:val="24"/>
        </w:rPr>
        <w:t>При ТЛТ длительность парентерального введения антикоагулянтов составляет от 2 до 8-х сут., если нет иных показаний к ее продлению </w:t>
      </w:r>
      <w:hyperlink r:id="rId70" w:history="1">
        <w:r>
          <w:rPr>
            <w:rStyle w:val="a6"/>
            <w:rFonts w:ascii="Times New Roman" w:hAnsi="Times New Roman" w:cs="Times New Roman"/>
            <w:i/>
            <w:iCs/>
            <w:color w:val="000000" w:themeColor="text1"/>
            <w:sz w:val="24"/>
            <w:szCs w:val="24"/>
          </w:rPr>
          <w:t>[114]</w:t>
        </w:r>
      </w:hyperlink>
      <w:hyperlink r:id="rId71" w:history="1">
        <w:r>
          <w:rPr>
            <w:rStyle w:val="a6"/>
            <w:rFonts w:ascii="Times New Roman" w:hAnsi="Times New Roman" w:cs="Times New Roman"/>
            <w:i/>
            <w:iCs/>
            <w:color w:val="000000" w:themeColor="text1"/>
            <w:sz w:val="24"/>
            <w:szCs w:val="24"/>
          </w:rPr>
          <w:t>[211]</w:t>
        </w:r>
      </w:hyperlink>
      <w:r>
        <w:rPr>
          <w:rStyle w:val="a5"/>
          <w:rFonts w:ascii="Times New Roman" w:hAnsi="Times New Roman" w:cs="Times New Roman"/>
          <w:color w:val="000000" w:themeColor="text1"/>
          <w:sz w:val="24"/>
          <w:szCs w:val="24"/>
        </w:rPr>
        <w:t>.</w:t>
      </w:r>
    </w:p>
    <w:p w14:paraId="39EDF38E"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Для сопровождения системной ТЛТ у пациентов с ИМпST в качестве парентерального антикоагулянта рекомендуется гепарин натрия </w:t>
      </w:r>
      <w:hyperlink r:id="rId72" w:history="1">
        <w:r>
          <w:rPr>
            <w:rStyle w:val="a6"/>
            <w:rFonts w:ascii="Times New Roman" w:hAnsi="Times New Roman" w:cs="Times New Roman"/>
            <w:color w:val="000000" w:themeColor="text1"/>
            <w:sz w:val="24"/>
            <w:szCs w:val="24"/>
          </w:rPr>
          <w:t>[212-216]</w:t>
        </w:r>
      </w:hyperlink>
      <w:r>
        <w:rPr>
          <w:rFonts w:ascii="Times New Roman" w:hAnsi="Times New Roman" w:cs="Times New Roman"/>
          <w:color w:val="000000" w:themeColor="text1"/>
          <w:sz w:val="24"/>
          <w:szCs w:val="24"/>
        </w:rPr>
        <w:t>.</w:t>
      </w:r>
    </w:p>
    <w:p w14:paraId="78A562F4" w14:textId="1999E6E1"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 IIbB (Уровень убедительности рекомендаций C, Уровень достоверности докзательств 5)</w:t>
      </w:r>
      <w:r w:rsidR="0049557D">
        <w:rPr>
          <w:rStyle w:val="a7"/>
          <w:rFonts w:ascii="Times New Roman" w:hAnsi="Times New Roman" w:cs="Times New Roman"/>
          <w:color w:val="000000" w:themeColor="text1"/>
          <w:sz w:val="24"/>
          <w:szCs w:val="24"/>
        </w:rPr>
        <w:t>.</w:t>
      </w:r>
    </w:p>
    <w:p w14:paraId="460AD183" w14:textId="591FADF7" w:rsidR="00A43F72" w:rsidRP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Комментарии.</w:t>
      </w:r>
      <w:r>
        <w:rPr>
          <w:rFonts w:ascii="Times New Roman" w:hAnsi="Times New Roman" w:cs="Times New Roman"/>
          <w:color w:val="000000" w:themeColor="text1"/>
          <w:sz w:val="24"/>
          <w:szCs w:val="24"/>
        </w:rPr>
        <w:t> </w:t>
      </w:r>
      <w:r>
        <w:rPr>
          <w:rStyle w:val="a5"/>
          <w:rFonts w:ascii="Times New Roman" w:hAnsi="Times New Roman" w:cs="Times New Roman"/>
          <w:color w:val="000000" w:themeColor="text1"/>
          <w:sz w:val="24"/>
          <w:szCs w:val="24"/>
        </w:rPr>
        <w:t>Применяется гепарин натрия в виде в/в болюса с последующей в/в инфузией с контролем за АЧТВ и изменением скорости инфузии с целью удержания АЧТВ в диапазоне 1,5-2,0 от верхней границы нормального значения.</w:t>
      </w:r>
    </w:p>
    <w:p w14:paraId="32EE4A83" w14:textId="2F61CC00" w:rsidR="00A43F72" w:rsidRPr="00A43F72" w:rsidRDefault="00A43F72" w:rsidP="00A419DB">
      <w:pPr>
        <w:pStyle w:val="20"/>
        <w:suppressAutoHyphens/>
        <w:spacing w:line="360" w:lineRule="auto"/>
        <w:jc w:val="both"/>
        <w:rPr>
          <w:rFonts w:ascii="Times New Roman" w:eastAsia="Calibri" w:hAnsi="Times New Roman" w:cs="Times New Roman"/>
          <w:bCs w:val="0"/>
          <w:iCs/>
          <w:color w:val="000000" w:themeColor="text1"/>
          <w:sz w:val="24"/>
          <w:szCs w:val="24"/>
        </w:rPr>
      </w:pPr>
      <w:bookmarkStart w:id="22" w:name="_Toc236138930"/>
      <w:r>
        <w:rPr>
          <w:rFonts w:ascii="Times New Roman" w:eastAsia="Calibri" w:hAnsi="Times New Roman" w:cs="Times New Roman"/>
          <w:bCs w:val="0"/>
          <w:iCs/>
          <w:color w:val="000000" w:themeColor="text1"/>
          <w:sz w:val="24"/>
          <w:szCs w:val="24"/>
        </w:rPr>
        <w:t>Антитромботическая терапия при других стратегиях лечения</w:t>
      </w:r>
      <w:bookmarkEnd w:id="22"/>
    </w:p>
    <w:p w14:paraId="7AAD53D6"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Антиагреганты при других стратегиях лечения у пациентов без показаний к длительному пероральному приему антикоагулянтов</w:t>
      </w:r>
    </w:p>
    <w:p w14:paraId="6676272F"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Для снижения риска смерти, сосудистой смерти, повторного ИМ и ишемического инсульта всем пациентам (вне зависимости от стратегии лечения) с ИМпST, не имеющим противопоказаний, рекомендуется прием АСК в начальной нагрузочной дозе, а затем в поддерживающей дозе на неопределенно долгий срок </w:t>
      </w:r>
      <w:hyperlink r:id="rId73" w:history="1">
        <w:r>
          <w:rPr>
            <w:rStyle w:val="a6"/>
            <w:rFonts w:ascii="Times New Roman" w:hAnsi="Times New Roman" w:cs="Times New Roman"/>
            <w:color w:val="000000" w:themeColor="text1"/>
            <w:sz w:val="24"/>
            <w:szCs w:val="24"/>
          </w:rPr>
          <w:t>[9]</w:t>
        </w:r>
      </w:hyperlink>
      <w:hyperlink r:id="rId74" w:history="1">
        <w:r>
          <w:rPr>
            <w:rStyle w:val="a6"/>
            <w:rFonts w:ascii="Times New Roman" w:hAnsi="Times New Roman" w:cs="Times New Roman"/>
            <w:color w:val="000000" w:themeColor="text1"/>
            <w:sz w:val="24"/>
            <w:szCs w:val="24"/>
          </w:rPr>
          <w:t>[191]</w:t>
        </w:r>
      </w:hyperlink>
      <w:hyperlink r:id="rId75" w:history="1">
        <w:r>
          <w:rPr>
            <w:rStyle w:val="a6"/>
            <w:rFonts w:ascii="Times New Roman" w:hAnsi="Times New Roman" w:cs="Times New Roman"/>
            <w:color w:val="000000" w:themeColor="text1"/>
            <w:sz w:val="24"/>
            <w:szCs w:val="24"/>
          </w:rPr>
          <w:t>[192]</w:t>
        </w:r>
      </w:hyperlink>
      <w:r>
        <w:rPr>
          <w:rFonts w:ascii="Times New Roman" w:hAnsi="Times New Roman" w:cs="Times New Roman"/>
          <w:color w:val="000000" w:themeColor="text1"/>
          <w:sz w:val="24"/>
          <w:szCs w:val="24"/>
        </w:rPr>
        <w:t>.</w:t>
      </w:r>
    </w:p>
    <w:p w14:paraId="5DCA2C62" w14:textId="403B0FD8" w:rsidR="00A43F72" w:rsidRPr="00F52FCA"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w:t>
      </w:r>
      <w:r>
        <w:rPr>
          <w:rStyle w:val="a7"/>
          <w:rFonts w:ascii="Times New Roman" w:hAnsi="Times New Roman" w:cs="Times New Roman"/>
          <w:color w:val="000000" w:themeColor="text1"/>
          <w:sz w:val="24"/>
          <w:szCs w:val="24"/>
          <w:lang w:val="en-US"/>
        </w:rPr>
        <w:t> IA</w:t>
      </w:r>
      <w:r w:rsidRPr="00F52FCA">
        <w:rPr>
          <w:rStyle w:val="a7"/>
          <w:rFonts w:ascii="Times New Roman" w:hAnsi="Times New Roman" w:cs="Times New Roman"/>
          <w:color w:val="000000" w:themeColor="text1"/>
          <w:sz w:val="24"/>
          <w:szCs w:val="24"/>
        </w:rPr>
        <w:t xml:space="preserve"> (</w:t>
      </w:r>
      <w:r>
        <w:rPr>
          <w:rStyle w:val="a7"/>
          <w:rFonts w:ascii="Times New Roman" w:hAnsi="Times New Roman" w:cs="Times New Roman"/>
          <w:color w:val="000000" w:themeColor="text1"/>
          <w:sz w:val="24"/>
          <w:szCs w:val="24"/>
        </w:rPr>
        <w:t>Уровень убедительности рекомендаций</w:t>
      </w:r>
      <w:r>
        <w:rPr>
          <w:rStyle w:val="a7"/>
          <w:rFonts w:ascii="Times New Roman" w:hAnsi="Times New Roman" w:cs="Times New Roman"/>
          <w:color w:val="000000" w:themeColor="text1"/>
          <w:sz w:val="24"/>
          <w:szCs w:val="24"/>
          <w:lang w:val="en-US"/>
        </w:rPr>
        <w:t> A</w:t>
      </w:r>
      <w:r w:rsidRPr="00F52FCA">
        <w:rPr>
          <w:rStyle w:val="a7"/>
          <w:rFonts w:ascii="Times New Roman" w:hAnsi="Times New Roman" w:cs="Times New Roman"/>
          <w:color w:val="000000" w:themeColor="text1"/>
          <w:sz w:val="24"/>
          <w:szCs w:val="24"/>
        </w:rPr>
        <w:t xml:space="preserve">, </w:t>
      </w:r>
      <w:r>
        <w:rPr>
          <w:rStyle w:val="a7"/>
          <w:rFonts w:ascii="Times New Roman" w:hAnsi="Times New Roman" w:cs="Times New Roman"/>
          <w:color w:val="000000" w:themeColor="text1"/>
          <w:sz w:val="24"/>
          <w:szCs w:val="24"/>
        </w:rPr>
        <w:t>Уровень достоверности докзательств</w:t>
      </w:r>
      <w:r>
        <w:rPr>
          <w:rStyle w:val="a7"/>
          <w:rFonts w:ascii="Times New Roman" w:hAnsi="Times New Roman" w:cs="Times New Roman"/>
          <w:color w:val="000000" w:themeColor="text1"/>
          <w:sz w:val="24"/>
          <w:szCs w:val="24"/>
          <w:lang w:val="en-US"/>
        </w:rPr>
        <w:t> </w:t>
      </w:r>
      <w:r w:rsidRPr="00F52FCA">
        <w:rPr>
          <w:rStyle w:val="a7"/>
          <w:rFonts w:ascii="Times New Roman" w:hAnsi="Times New Roman" w:cs="Times New Roman"/>
          <w:color w:val="000000" w:themeColor="text1"/>
          <w:sz w:val="24"/>
          <w:szCs w:val="24"/>
        </w:rPr>
        <w:t>1)</w:t>
      </w:r>
      <w:r w:rsidR="0049557D">
        <w:rPr>
          <w:rStyle w:val="a7"/>
          <w:rFonts w:ascii="Times New Roman" w:hAnsi="Times New Roman" w:cs="Times New Roman"/>
          <w:color w:val="000000" w:themeColor="text1"/>
          <w:sz w:val="24"/>
          <w:szCs w:val="24"/>
        </w:rPr>
        <w:t>.</w:t>
      </w:r>
    </w:p>
    <w:p w14:paraId="3015A48A"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lastRenderedPageBreak/>
        <w:t>Комментарии.</w:t>
      </w:r>
      <w:r>
        <w:rPr>
          <w:rFonts w:ascii="Times New Roman" w:hAnsi="Times New Roman" w:cs="Times New Roman"/>
          <w:color w:val="000000" w:themeColor="text1"/>
          <w:sz w:val="24"/>
          <w:szCs w:val="24"/>
        </w:rPr>
        <w:t> </w:t>
      </w:r>
      <w:r>
        <w:rPr>
          <w:rStyle w:val="a5"/>
          <w:rFonts w:ascii="Times New Roman" w:hAnsi="Times New Roman" w:cs="Times New Roman"/>
          <w:color w:val="000000" w:themeColor="text1"/>
          <w:sz w:val="24"/>
          <w:szCs w:val="24"/>
        </w:rPr>
        <w:t>Рекомендуется начальная (нагрузочная) доза 300 мг (таблетку разжевать и проглотить) как можно быстрее после установления диагноза ОКСпST/ИМпST; постоянная поддерживающая доза АСК 75-100 мг внутрь 1 раз/сут. со вторых суток ведения пациента </w:t>
      </w:r>
      <w:hyperlink r:id="rId76" w:history="1">
        <w:r>
          <w:rPr>
            <w:rStyle w:val="a6"/>
            <w:rFonts w:ascii="Times New Roman" w:hAnsi="Times New Roman" w:cs="Times New Roman"/>
            <w:i/>
            <w:iCs/>
            <w:color w:val="000000" w:themeColor="text1"/>
            <w:sz w:val="24"/>
            <w:szCs w:val="24"/>
          </w:rPr>
          <w:t>[9]</w:t>
        </w:r>
      </w:hyperlink>
      <w:hyperlink r:id="rId77" w:history="1">
        <w:r>
          <w:rPr>
            <w:rStyle w:val="a6"/>
            <w:rFonts w:ascii="Times New Roman" w:hAnsi="Times New Roman" w:cs="Times New Roman"/>
            <w:i/>
            <w:iCs/>
            <w:color w:val="000000" w:themeColor="text1"/>
            <w:sz w:val="24"/>
            <w:szCs w:val="24"/>
          </w:rPr>
          <w:t>[192]</w:t>
        </w:r>
      </w:hyperlink>
      <w:r>
        <w:rPr>
          <w:rStyle w:val="a5"/>
          <w:rFonts w:ascii="Times New Roman" w:hAnsi="Times New Roman" w:cs="Times New Roman"/>
          <w:color w:val="000000" w:themeColor="text1"/>
          <w:sz w:val="24"/>
          <w:szCs w:val="24"/>
        </w:rPr>
        <w:t>.</w:t>
      </w:r>
    </w:p>
    <w:p w14:paraId="4955FC0D" w14:textId="34DB9D99" w:rsidR="00A43F72" w:rsidRPr="00F52FCA"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w:t>
      </w:r>
      <w:r>
        <w:rPr>
          <w:rStyle w:val="a7"/>
          <w:rFonts w:ascii="Times New Roman" w:hAnsi="Times New Roman" w:cs="Times New Roman"/>
          <w:color w:val="000000" w:themeColor="text1"/>
          <w:sz w:val="24"/>
          <w:szCs w:val="24"/>
          <w:lang w:val="en-US"/>
        </w:rPr>
        <w:t> IA</w:t>
      </w:r>
      <w:r w:rsidRPr="00F52FCA">
        <w:rPr>
          <w:rStyle w:val="a7"/>
          <w:rFonts w:ascii="Times New Roman" w:hAnsi="Times New Roman" w:cs="Times New Roman"/>
          <w:color w:val="000000" w:themeColor="text1"/>
          <w:sz w:val="24"/>
          <w:szCs w:val="24"/>
        </w:rPr>
        <w:t xml:space="preserve"> (</w:t>
      </w:r>
      <w:r>
        <w:rPr>
          <w:rStyle w:val="a7"/>
          <w:rFonts w:ascii="Times New Roman" w:hAnsi="Times New Roman" w:cs="Times New Roman"/>
          <w:color w:val="000000" w:themeColor="text1"/>
          <w:sz w:val="24"/>
          <w:szCs w:val="24"/>
        </w:rPr>
        <w:t>Уровень убедительности рекомендаций</w:t>
      </w:r>
      <w:r>
        <w:rPr>
          <w:rStyle w:val="a7"/>
          <w:rFonts w:ascii="Times New Roman" w:hAnsi="Times New Roman" w:cs="Times New Roman"/>
          <w:color w:val="000000" w:themeColor="text1"/>
          <w:sz w:val="24"/>
          <w:szCs w:val="24"/>
          <w:lang w:val="en-US"/>
        </w:rPr>
        <w:t> A</w:t>
      </w:r>
      <w:r w:rsidRPr="00F52FCA">
        <w:rPr>
          <w:rStyle w:val="a7"/>
          <w:rFonts w:ascii="Times New Roman" w:hAnsi="Times New Roman" w:cs="Times New Roman"/>
          <w:color w:val="000000" w:themeColor="text1"/>
          <w:sz w:val="24"/>
          <w:szCs w:val="24"/>
        </w:rPr>
        <w:t xml:space="preserve">, </w:t>
      </w:r>
      <w:r>
        <w:rPr>
          <w:rStyle w:val="a7"/>
          <w:rFonts w:ascii="Times New Roman" w:hAnsi="Times New Roman" w:cs="Times New Roman"/>
          <w:color w:val="000000" w:themeColor="text1"/>
          <w:sz w:val="24"/>
          <w:szCs w:val="24"/>
        </w:rPr>
        <w:t>Уровень достоверности докзательств</w:t>
      </w:r>
      <w:r>
        <w:rPr>
          <w:rStyle w:val="a7"/>
          <w:rFonts w:ascii="Times New Roman" w:hAnsi="Times New Roman" w:cs="Times New Roman"/>
          <w:color w:val="000000" w:themeColor="text1"/>
          <w:sz w:val="24"/>
          <w:szCs w:val="24"/>
          <w:lang w:val="en-US"/>
        </w:rPr>
        <w:t> </w:t>
      </w:r>
      <w:r w:rsidRPr="00F52FCA">
        <w:rPr>
          <w:rStyle w:val="a7"/>
          <w:rFonts w:ascii="Times New Roman" w:hAnsi="Times New Roman" w:cs="Times New Roman"/>
          <w:color w:val="000000" w:themeColor="text1"/>
          <w:sz w:val="24"/>
          <w:szCs w:val="24"/>
        </w:rPr>
        <w:t>2)</w:t>
      </w:r>
      <w:r w:rsidR="0049557D">
        <w:rPr>
          <w:rStyle w:val="a7"/>
          <w:rFonts w:ascii="Times New Roman" w:hAnsi="Times New Roman" w:cs="Times New Roman"/>
          <w:color w:val="000000" w:themeColor="text1"/>
          <w:sz w:val="24"/>
          <w:szCs w:val="24"/>
        </w:rPr>
        <w:t>.</w:t>
      </w:r>
    </w:p>
    <w:p w14:paraId="02B3683A"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Если двойная антитромбоцитарная терапия (ACK в сочетании с ингибитором Р2Y</w:t>
      </w:r>
      <w:r>
        <w:rPr>
          <w:rFonts w:ascii="Times New Roman" w:hAnsi="Times New Roman" w:cs="Times New Roman"/>
          <w:color w:val="000000" w:themeColor="text1"/>
          <w:sz w:val="24"/>
          <w:szCs w:val="24"/>
          <w:vertAlign w:val="subscript"/>
        </w:rPr>
        <w:t>12</w:t>
      </w:r>
      <w:r>
        <w:rPr>
          <w:rFonts w:ascii="Times New Roman" w:hAnsi="Times New Roman" w:cs="Times New Roman"/>
          <w:color w:val="000000" w:themeColor="text1"/>
          <w:sz w:val="24"/>
          <w:szCs w:val="24"/>
        </w:rPr>
        <w:t>-рецептора тромбоцитов) у пациента с ИМпST была отложена или прервана из-за операции КШ, рекомендуется ее начать или возобновить после операции КШ на 12 мес. для снижения риска ишемических событий </w:t>
      </w:r>
      <w:hyperlink r:id="rId78" w:history="1">
        <w:r>
          <w:rPr>
            <w:rStyle w:val="a6"/>
            <w:rFonts w:ascii="Times New Roman" w:hAnsi="Times New Roman" w:cs="Times New Roman"/>
            <w:color w:val="000000" w:themeColor="text1"/>
            <w:sz w:val="24"/>
            <w:szCs w:val="24"/>
          </w:rPr>
          <w:t>[9]</w:t>
        </w:r>
      </w:hyperlink>
      <w:r>
        <w:rPr>
          <w:rFonts w:ascii="Times New Roman" w:hAnsi="Times New Roman" w:cs="Times New Roman"/>
          <w:color w:val="000000" w:themeColor="text1"/>
          <w:sz w:val="24"/>
          <w:szCs w:val="24"/>
        </w:rPr>
        <w:t>.</w:t>
      </w:r>
    </w:p>
    <w:p w14:paraId="37B222F5" w14:textId="6839BF09"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 IС (Уровень убедительности рекомендаций С, Уровень достоверности докзательств 5)</w:t>
      </w:r>
      <w:r w:rsidR="0049557D">
        <w:rPr>
          <w:rStyle w:val="a7"/>
          <w:rFonts w:ascii="Times New Roman" w:hAnsi="Times New Roman" w:cs="Times New Roman"/>
          <w:color w:val="000000" w:themeColor="text1"/>
          <w:sz w:val="24"/>
          <w:szCs w:val="24"/>
        </w:rPr>
        <w:t>.</w:t>
      </w:r>
    </w:p>
    <w:p w14:paraId="47F3D916"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Прасугрел (нагрузочная доза 60 мг, ежедневная поддерживающая доза 10 мг внутрь) в добавление к АСК сроком на 12 мес. рекомендуется для снижения риска ишемических событий при коронарном стентировании у больных с ИМпST, не получавших других ингибиторов Р2Y</w:t>
      </w:r>
      <w:r>
        <w:rPr>
          <w:rFonts w:ascii="Times New Roman" w:hAnsi="Times New Roman" w:cs="Times New Roman"/>
          <w:color w:val="000000" w:themeColor="text1"/>
          <w:sz w:val="24"/>
          <w:szCs w:val="24"/>
          <w:vertAlign w:val="subscript"/>
        </w:rPr>
        <w:t>12</w:t>
      </w:r>
      <w:r>
        <w:rPr>
          <w:rFonts w:ascii="Times New Roman" w:hAnsi="Times New Roman" w:cs="Times New Roman"/>
          <w:color w:val="000000" w:themeColor="text1"/>
          <w:sz w:val="24"/>
          <w:szCs w:val="24"/>
        </w:rPr>
        <w:t>-рецепторов тромбоцитов, если к нему нет противопоказаний (внутричерепное кровоизлияние в анамнезе, ишемический инсульт/транзиторная ишемическая атака в анамнезе, продолжающееся кровотечение) </w:t>
      </w:r>
      <w:hyperlink r:id="rId79" w:history="1">
        <w:r>
          <w:rPr>
            <w:rStyle w:val="a6"/>
            <w:rFonts w:ascii="Times New Roman" w:hAnsi="Times New Roman" w:cs="Times New Roman"/>
            <w:color w:val="000000" w:themeColor="text1"/>
            <w:sz w:val="24"/>
            <w:szCs w:val="24"/>
          </w:rPr>
          <w:t>[222]</w:t>
        </w:r>
      </w:hyperlink>
      <w:r>
        <w:rPr>
          <w:rFonts w:ascii="Times New Roman" w:hAnsi="Times New Roman" w:cs="Times New Roman"/>
          <w:color w:val="000000" w:themeColor="text1"/>
          <w:sz w:val="24"/>
          <w:szCs w:val="24"/>
        </w:rPr>
        <w:t>.</w:t>
      </w:r>
    </w:p>
    <w:p w14:paraId="70DC07CB" w14:textId="0A62AEEA"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 IB (Уровень убедительности рекомендаций B, Уровень достоверности докзательств 2)</w:t>
      </w:r>
      <w:r w:rsidR="0049557D">
        <w:rPr>
          <w:rStyle w:val="a7"/>
          <w:rFonts w:ascii="Times New Roman" w:hAnsi="Times New Roman" w:cs="Times New Roman"/>
          <w:color w:val="000000" w:themeColor="text1"/>
          <w:sz w:val="24"/>
          <w:szCs w:val="24"/>
        </w:rPr>
        <w:t>.</w:t>
      </w:r>
    </w:p>
    <w:p w14:paraId="4423D8AD"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Тикагрелор (нагрузочная доза 180 мг, поддерживающая 90 мг 2 раза/сут. внутрь) для снижения риска ишемических событий рекомендуется в добавление к АСК сроком на 12 мес. у пациентов с ИМпST как при инвазивной реперфузии, так и при отсутствии любого вида реперфузионной терапии и независимо от предшествующего использования клопидогрела, если к нему нет противопоказаний (внутричерепное кровоизлияние в анамнезе, продолжающееся кровотечение) </w:t>
      </w:r>
      <w:hyperlink r:id="rId80" w:history="1">
        <w:r>
          <w:rPr>
            <w:rStyle w:val="a6"/>
            <w:rFonts w:ascii="Times New Roman" w:hAnsi="Times New Roman" w:cs="Times New Roman"/>
            <w:color w:val="000000" w:themeColor="text1"/>
            <w:sz w:val="24"/>
            <w:szCs w:val="24"/>
          </w:rPr>
          <w:t>[221]</w:t>
        </w:r>
      </w:hyperlink>
      <w:r>
        <w:rPr>
          <w:rFonts w:ascii="Times New Roman" w:hAnsi="Times New Roman" w:cs="Times New Roman"/>
          <w:color w:val="000000" w:themeColor="text1"/>
          <w:sz w:val="24"/>
          <w:szCs w:val="24"/>
        </w:rPr>
        <w:t>.</w:t>
      </w:r>
    </w:p>
    <w:p w14:paraId="2E3C4E46" w14:textId="06DCF70A" w:rsidR="00A43F72" w:rsidRPr="00F52FCA"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w:t>
      </w:r>
      <w:r>
        <w:rPr>
          <w:rStyle w:val="a7"/>
          <w:rFonts w:ascii="Times New Roman" w:hAnsi="Times New Roman" w:cs="Times New Roman"/>
          <w:color w:val="000000" w:themeColor="text1"/>
          <w:sz w:val="24"/>
          <w:szCs w:val="24"/>
          <w:lang w:val="en-US"/>
        </w:rPr>
        <w:t> IB</w:t>
      </w:r>
      <w:r w:rsidRPr="00F52FCA">
        <w:rPr>
          <w:rStyle w:val="a7"/>
          <w:rFonts w:ascii="Times New Roman" w:hAnsi="Times New Roman" w:cs="Times New Roman"/>
          <w:color w:val="000000" w:themeColor="text1"/>
          <w:sz w:val="24"/>
          <w:szCs w:val="24"/>
        </w:rPr>
        <w:t xml:space="preserve"> (</w:t>
      </w:r>
      <w:r>
        <w:rPr>
          <w:rStyle w:val="a7"/>
          <w:rFonts w:ascii="Times New Roman" w:hAnsi="Times New Roman" w:cs="Times New Roman"/>
          <w:color w:val="000000" w:themeColor="text1"/>
          <w:sz w:val="24"/>
          <w:szCs w:val="24"/>
        </w:rPr>
        <w:t>Уровень убедительности рекомендаций</w:t>
      </w:r>
      <w:r>
        <w:rPr>
          <w:rStyle w:val="a7"/>
          <w:rFonts w:ascii="Times New Roman" w:hAnsi="Times New Roman" w:cs="Times New Roman"/>
          <w:color w:val="000000" w:themeColor="text1"/>
          <w:sz w:val="24"/>
          <w:szCs w:val="24"/>
          <w:lang w:val="en-US"/>
        </w:rPr>
        <w:t> A</w:t>
      </w:r>
      <w:r w:rsidRPr="00F52FCA">
        <w:rPr>
          <w:rStyle w:val="a7"/>
          <w:rFonts w:ascii="Times New Roman" w:hAnsi="Times New Roman" w:cs="Times New Roman"/>
          <w:color w:val="000000" w:themeColor="text1"/>
          <w:sz w:val="24"/>
          <w:szCs w:val="24"/>
        </w:rPr>
        <w:t xml:space="preserve">, </w:t>
      </w:r>
      <w:r>
        <w:rPr>
          <w:rStyle w:val="a7"/>
          <w:rFonts w:ascii="Times New Roman" w:hAnsi="Times New Roman" w:cs="Times New Roman"/>
          <w:color w:val="000000" w:themeColor="text1"/>
          <w:sz w:val="24"/>
          <w:szCs w:val="24"/>
        </w:rPr>
        <w:t>Уровень достоверности докзательств</w:t>
      </w:r>
      <w:r>
        <w:rPr>
          <w:rStyle w:val="a7"/>
          <w:rFonts w:ascii="Times New Roman" w:hAnsi="Times New Roman" w:cs="Times New Roman"/>
          <w:color w:val="000000" w:themeColor="text1"/>
          <w:sz w:val="24"/>
          <w:szCs w:val="24"/>
          <w:lang w:val="en-US"/>
        </w:rPr>
        <w:t> </w:t>
      </w:r>
      <w:r w:rsidRPr="00F52FCA">
        <w:rPr>
          <w:rStyle w:val="a7"/>
          <w:rFonts w:ascii="Times New Roman" w:hAnsi="Times New Roman" w:cs="Times New Roman"/>
          <w:color w:val="000000" w:themeColor="text1"/>
          <w:sz w:val="24"/>
          <w:szCs w:val="24"/>
        </w:rPr>
        <w:t>2)</w:t>
      </w:r>
      <w:r w:rsidR="0049557D">
        <w:rPr>
          <w:rStyle w:val="a7"/>
          <w:rFonts w:ascii="Times New Roman" w:hAnsi="Times New Roman" w:cs="Times New Roman"/>
          <w:color w:val="000000" w:themeColor="text1"/>
          <w:sz w:val="24"/>
          <w:szCs w:val="24"/>
        </w:rPr>
        <w:t>.</w:t>
      </w:r>
    </w:p>
    <w:p w14:paraId="5A939CB5"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Комментарии.</w:t>
      </w:r>
      <w:r>
        <w:rPr>
          <w:rFonts w:ascii="Times New Roman" w:hAnsi="Times New Roman" w:cs="Times New Roman"/>
          <w:color w:val="000000" w:themeColor="text1"/>
          <w:sz w:val="24"/>
          <w:szCs w:val="24"/>
        </w:rPr>
        <w:t> </w:t>
      </w:r>
      <w:r>
        <w:rPr>
          <w:rStyle w:val="a5"/>
          <w:rFonts w:ascii="Times New Roman" w:hAnsi="Times New Roman" w:cs="Times New Roman"/>
          <w:color w:val="000000" w:themeColor="text1"/>
          <w:sz w:val="24"/>
          <w:szCs w:val="24"/>
        </w:rPr>
        <w:t xml:space="preserve">Переход на прием тикагрелора, начиная с нагрузочной дозы, возможен у пациентов, уже получивших клопидогрел, в т. ч. в нагрузочной дозе. Лечение </w:t>
      </w:r>
      <w:r>
        <w:rPr>
          <w:rStyle w:val="a5"/>
          <w:rFonts w:ascii="Times New Roman" w:hAnsi="Times New Roman" w:cs="Times New Roman"/>
          <w:color w:val="000000" w:themeColor="text1"/>
          <w:sz w:val="24"/>
          <w:szCs w:val="24"/>
        </w:rPr>
        <w:lastRenderedPageBreak/>
        <w:t>тикагрелором не исключает применение блокаторов рецептора ГП IIb/IIIa тромбоцитов при выполнении ЧКВ.</w:t>
      </w:r>
    </w:p>
    <w:p w14:paraId="6BEFBE51"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 выполнении первичного ЧКВ у пациентов с ИМпST в добавление к АСК рекомендуется предпочесть прасугрел, а не тикагрелор </w:t>
      </w:r>
      <w:hyperlink r:id="rId81" w:history="1">
        <w:r>
          <w:rPr>
            <w:rStyle w:val="a6"/>
            <w:rFonts w:ascii="Times New Roman" w:hAnsi="Times New Roman" w:cs="Times New Roman"/>
            <w:color w:val="000000" w:themeColor="text1"/>
            <w:sz w:val="24"/>
            <w:szCs w:val="24"/>
          </w:rPr>
          <w:t>[198]</w:t>
        </w:r>
      </w:hyperlink>
      <w:hyperlink r:id="rId82" w:history="1">
        <w:r>
          <w:rPr>
            <w:rStyle w:val="a6"/>
            <w:rFonts w:ascii="Times New Roman" w:hAnsi="Times New Roman" w:cs="Times New Roman"/>
            <w:color w:val="000000" w:themeColor="text1"/>
            <w:sz w:val="24"/>
            <w:szCs w:val="24"/>
          </w:rPr>
          <w:t>[199]</w:t>
        </w:r>
      </w:hyperlink>
      <w:r>
        <w:rPr>
          <w:rFonts w:ascii="Times New Roman" w:hAnsi="Times New Roman" w:cs="Times New Roman"/>
          <w:color w:val="000000" w:themeColor="text1"/>
          <w:sz w:val="24"/>
          <w:szCs w:val="24"/>
        </w:rPr>
        <w:t>.</w:t>
      </w:r>
    </w:p>
    <w:p w14:paraId="67651F36" w14:textId="65FDFEAA"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 IIaВ (Уровень убедительности рекомендаций В, Уровень достоверности докзательств 2)</w:t>
      </w:r>
      <w:r w:rsidR="0049557D">
        <w:rPr>
          <w:rStyle w:val="a7"/>
          <w:rFonts w:ascii="Times New Roman" w:hAnsi="Times New Roman" w:cs="Times New Roman"/>
          <w:color w:val="000000" w:themeColor="text1"/>
          <w:sz w:val="24"/>
          <w:szCs w:val="24"/>
        </w:rPr>
        <w:t>.</w:t>
      </w:r>
    </w:p>
    <w:p w14:paraId="2D6B4923"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 инвазивной реперфузии или отсутствии любого вида реперфузионной терапии у пациентов с ИМпST, которые не могут получать тикагрелор или прасугрел из-за наличия противопоказаний, непереносимости или недоступности, для снижения риска ишемических событий в добавление к АСК рекомендуется клопидогрел (нагрузочная доза 600 или 300 мг, поддерживающая — 75 мг 1 раз/сут. внутрь) сроком на 12 мес. </w:t>
      </w:r>
      <w:hyperlink r:id="rId83" w:history="1">
        <w:r>
          <w:rPr>
            <w:rStyle w:val="a6"/>
            <w:rFonts w:ascii="Times New Roman" w:hAnsi="Times New Roman" w:cs="Times New Roman"/>
            <w:color w:val="000000" w:themeColor="text1"/>
            <w:sz w:val="24"/>
            <w:szCs w:val="24"/>
          </w:rPr>
          <w:t>[223]</w:t>
        </w:r>
      </w:hyperlink>
      <w:hyperlink r:id="rId84" w:history="1">
        <w:r>
          <w:rPr>
            <w:rStyle w:val="a6"/>
            <w:rFonts w:ascii="Times New Roman" w:hAnsi="Times New Roman" w:cs="Times New Roman"/>
            <w:color w:val="000000" w:themeColor="text1"/>
            <w:sz w:val="24"/>
            <w:szCs w:val="24"/>
          </w:rPr>
          <w:t>[224]</w:t>
        </w:r>
      </w:hyperlink>
      <w:r>
        <w:rPr>
          <w:rFonts w:ascii="Times New Roman" w:hAnsi="Times New Roman" w:cs="Times New Roman"/>
          <w:color w:val="000000" w:themeColor="text1"/>
          <w:sz w:val="24"/>
          <w:szCs w:val="24"/>
        </w:rPr>
        <w:t>.</w:t>
      </w:r>
    </w:p>
    <w:p w14:paraId="07E19A7C" w14:textId="5C1FBD43" w:rsidR="00A43F72" w:rsidRP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w:t>
      </w:r>
      <w:r>
        <w:rPr>
          <w:rStyle w:val="a7"/>
          <w:rFonts w:ascii="Times New Roman" w:hAnsi="Times New Roman" w:cs="Times New Roman"/>
          <w:color w:val="000000" w:themeColor="text1"/>
          <w:sz w:val="24"/>
          <w:szCs w:val="24"/>
          <w:lang w:val="en-US"/>
        </w:rPr>
        <w:t> IB</w:t>
      </w:r>
      <w:r w:rsidRPr="00A43F72">
        <w:rPr>
          <w:rStyle w:val="a7"/>
          <w:rFonts w:ascii="Times New Roman" w:hAnsi="Times New Roman" w:cs="Times New Roman"/>
          <w:color w:val="000000" w:themeColor="text1"/>
          <w:sz w:val="24"/>
          <w:szCs w:val="24"/>
        </w:rPr>
        <w:t xml:space="preserve"> (</w:t>
      </w:r>
      <w:r>
        <w:rPr>
          <w:rStyle w:val="a7"/>
          <w:rFonts w:ascii="Times New Roman" w:hAnsi="Times New Roman" w:cs="Times New Roman"/>
          <w:color w:val="000000" w:themeColor="text1"/>
          <w:sz w:val="24"/>
          <w:szCs w:val="24"/>
        </w:rPr>
        <w:t>Уровень убедительности рекомендаций</w:t>
      </w:r>
      <w:r>
        <w:rPr>
          <w:rStyle w:val="a7"/>
          <w:rFonts w:ascii="Times New Roman" w:hAnsi="Times New Roman" w:cs="Times New Roman"/>
          <w:color w:val="000000" w:themeColor="text1"/>
          <w:sz w:val="24"/>
          <w:szCs w:val="24"/>
          <w:lang w:val="en-US"/>
        </w:rPr>
        <w:t> A</w:t>
      </w:r>
      <w:r w:rsidRPr="00A43F72">
        <w:rPr>
          <w:rStyle w:val="a7"/>
          <w:rFonts w:ascii="Times New Roman" w:hAnsi="Times New Roman" w:cs="Times New Roman"/>
          <w:color w:val="000000" w:themeColor="text1"/>
          <w:sz w:val="24"/>
          <w:szCs w:val="24"/>
        </w:rPr>
        <w:t xml:space="preserve">, </w:t>
      </w:r>
      <w:r>
        <w:rPr>
          <w:rStyle w:val="a7"/>
          <w:rFonts w:ascii="Times New Roman" w:hAnsi="Times New Roman" w:cs="Times New Roman"/>
          <w:color w:val="000000" w:themeColor="text1"/>
          <w:sz w:val="24"/>
          <w:szCs w:val="24"/>
        </w:rPr>
        <w:t>Уровень достоверности докзательств</w:t>
      </w:r>
      <w:r>
        <w:rPr>
          <w:rStyle w:val="a7"/>
          <w:rFonts w:ascii="Times New Roman" w:hAnsi="Times New Roman" w:cs="Times New Roman"/>
          <w:color w:val="000000" w:themeColor="text1"/>
          <w:sz w:val="24"/>
          <w:szCs w:val="24"/>
          <w:lang w:val="en-US"/>
        </w:rPr>
        <w:t> </w:t>
      </w:r>
      <w:r w:rsidRPr="00A43F72">
        <w:rPr>
          <w:rStyle w:val="a7"/>
          <w:rFonts w:ascii="Times New Roman" w:hAnsi="Times New Roman" w:cs="Times New Roman"/>
          <w:color w:val="000000" w:themeColor="text1"/>
          <w:sz w:val="24"/>
          <w:szCs w:val="24"/>
        </w:rPr>
        <w:t>2)</w:t>
      </w:r>
      <w:r w:rsidR="0049557D">
        <w:rPr>
          <w:rStyle w:val="a7"/>
          <w:rFonts w:ascii="Times New Roman" w:hAnsi="Times New Roman" w:cs="Times New Roman"/>
          <w:color w:val="000000" w:themeColor="text1"/>
          <w:sz w:val="24"/>
          <w:szCs w:val="24"/>
        </w:rPr>
        <w:t>.</w:t>
      </w:r>
    </w:p>
    <w:p w14:paraId="74F0478F"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Комментарии.</w:t>
      </w:r>
      <w:r>
        <w:rPr>
          <w:rFonts w:ascii="Times New Roman" w:hAnsi="Times New Roman" w:cs="Times New Roman"/>
          <w:color w:val="000000" w:themeColor="text1"/>
          <w:sz w:val="24"/>
          <w:szCs w:val="24"/>
        </w:rPr>
        <w:t> </w:t>
      </w:r>
      <w:r>
        <w:rPr>
          <w:rStyle w:val="a5"/>
          <w:rFonts w:ascii="Times New Roman" w:hAnsi="Times New Roman" w:cs="Times New Roman"/>
          <w:color w:val="000000" w:themeColor="text1"/>
          <w:sz w:val="24"/>
          <w:szCs w:val="24"/>
        </w:rPr>
        <w:t>Если выполняется ЧКВ, рекомендуется нагрузочная доза клопидогрела 600 мг; в остальных случаях — нагрузочная доза 300 мг.</w:t>
      </w:r>
    </w:p>
    <w:p w14:paraId="40F621D9"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 инвазивной реперфузии или при отсутствии любого вида реперфузионной терапии у пациентов с ИМпST пожилого возраста, особенно при наличии высокого риска кровотечений, в добавление к АСК рекомендуется рассмотреть применение клопидогрела (а не тикагрелора или прасугрела) для повышения приверженности к лечению и снижения риска кровотечений </w:t>
      </w:r>
      <w:hyperlink r:id="rId85" w:history="1">
        <w:r>
          <w:rPr>
            <w:rStyle w:val="a6"/>
            <w:rFonts w:ascii="Times New Roman" w:hAnsi="Times New Roman" w:cs="Times New Roman"/>
            <w:color w:val="000000" w:themeColor="text1"/>
            <w:sz w:val="24"/>
            <w:szCs w:val="24"/>
          </w:rPr>
          <w:t>[9]</w:t>
        </w:r>
      </w:hyperlink>
      <w:hyperlink r:id="rId86" w:history="1">
        <w:r>
          <w:rPr>
            <w:rStyle w:val="a6"/>
            <w:rFonts w:ascii="Times New Roman" w:hAnsi="Times New Roman" w:cs="Times New Roman"/>
            <w:color w:val="000000" w:themeColor="text1"/>
            <w:sz w:val="24"/>
            <w:szCs w:val="24"/>
          </w:rPr>
          <w:t>[225]</w:t>
        </w:r>
      </w:hyperlink>
      <w:hyperlink r:id="rId87" w:history="1">
        <w:r>
          <w:rPr>
            <w:rStyle w:val="a6"/>
            <w:rFonts w:ascii="Times New Roman" w:hAnsi="Times New Roman" w:cs="Times New Roman"/>
            <w:color w:val="000000" w:themeColor="text1"/>
            <w:sz w:val="24"/>
            <w:szCs w:val="24"/>
          </w:rPr>
          <w:t>[226]</w:t>
        </w:r>
      </w:hyperlink>
      <w:r>
        <w:rPr>
          <w:rFonts w:ascii="Times New Roman" w:hAnsi="Times New Roman" w:cs="Times New Roman"/>
          <w:color w:val="000000" w:themeColor="text1"/>
          <w:sz w:val="24"/>
          <w:szCs w:val="24"/>
        </w:rPr>
        <w:t>.</w:t>
      </w:r>
    </w:p>
    <w:p w14:paraId="0EE79381" w14:textId="48AC96B2" w:rsidR="00A43F72" w:rsidRP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w:t>
      </w:r>
      <w:r>
        <w:rPr>
          <w:rStyle w:val="a7"/>
          <w:rFonts w:ascii="Times New Roman" w:hAnsi="Times New Roman" w:cs="Times New Roman"/>
          <w:color w:val="000000" w:themeColor="text1"/>
          <w:sz w:val="24"/>
          <w:szCs w:val="24"/>
          <w:lang w:val="en-US"/>
        </w:rPr>
        <w:t> IIbB</w:t>
      </w:r>
      <w:r w:rsidRPr="00F52FCA">
        <w:rPr>
          <w:rStyle w:val="a7"/>
          <w:rFonts w:ascii="Times New Roman" w:hAnsi="Times New Roman" w:cs="Times New Roman"/>
          <w:color w:val="000000" w:themeColor="text1"/>
          <w:sz w:val="24"/>
          <w:szCs w:val="24"/>
        </w:rPr>
        <w:t xml:space="preserve"> (</w:t>
      </w:r>
      <w:r>
        <w:rPr>
          <w:rStyle w:val="a7"/>
          <w:rFonts w:ascii="Times New Roman" w:hAnsi="Times New Roman" w:cs="Times New Roman"/>
          <w:color w:val="000000" w:themeColor="text1"/>
          <w:sz w:val="24"/>
          <w:szCs w:val="24"/>
        </w:rPr>
        <w:t>Уровень убедительности рекомендаций</w:t>
      </w:r>
      <w:r>
        <w:rPr>
          <w:rStyle w:val="a7"/>
          <w:rFonts w:ascii="Times New Roman" w:hAnsi="Times New Roman" w:cs="Times New Roman"/>
          <w:color w:val="000000" w:themeColor="text1"/>
          <w:sz w:val="24"/>
          <w:szCs w:val="24"/>
          <w:lang w:val="en-US"/>
        </w:rPr>
        <w:t> A</w:t>
      </w:r>
      <w:r w:rsidRPr="00F52FCA">
        <w:rPr>
          <w:rStyle w:val="a7"/>
          <w:rFonts w:ascii="Times New Roman" w:hAnsi="Times New Roman" w:cs="Times New Roman"/>
          <w:color w:val="000000" w:themeColor="text1"/>
          <w:sz w:val="24"/>
          <w:szCs w:val="24"/>
        </w:rPr>
        <w:t xml:space="preserve">, </w:t>
      </w:r>
      <w:r>
        <w:rPr>
          <w:rStyle w:val="a7"/>
          <w:rFonts w:ascii="Times New Roman" w:hAnsi="Times New Roman" w:cs="Times New Roman"/>
          <w:color w:val="000000" w:themeColor="text1"/>
          <w:sz w:val="24"/>
          <w:szCs w:val="24"/>
        </w:rPr>
        <w:t>Уровень достоверности докзательств</w:t>
      </w:r>
      <w:r>
        <w:rPr>
          <w:rStyle w:val="a7"/>
          <w:rFonts w:ascii="Times New Roman" w:hAnsi="Times New Roman" w:cs="Times New Roman"/>
          <w:color w:val="000000" w:themeColor="text1"/>
          <w:sz w:val="24"/>
          <w:szCs w:val="24"/>
          <w:lang w:val="en-US"/>
        </w:rPr>
        <w:t> </w:t>
      </w:r>
      <w:r w:rsidRPr="00F52FCA">
        <w:rPr>
          <w:rStyle w:val="a7"/>
          <w:rFonts w:ascii="Times New Roman" w:hAnsi="Times New Roman" w:cs="Times New Roman"/>
          <w:color w:val="000000" w:themeColor="text1"/>
          <w:sz w:val="24"/>
          <w:szCs w:val="24"/>
        </w:rPr>
        <w:t>2)</w:t>
      </w:r>
      <w:r w:rsidR="0049557D">
        <w:rPr>
          <w:rStyle w:val="a7"/>
          <w:rFonts w:ascii="Times New Roman" w:hAnsi="Times New Roman" w:cs="Times New Roman"/>
          <w:color w:val="000000" w:themeColor="text1"/>
          <w:sz w:val="24"/>
          <w:szCs w:val="24"/>
        </w:rPr>
        <w:t>.</w:t>
      </w:r>
    </w:p>
    <w:p w14:paraId="6512624D"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связи с высоким риском кровотечений, превышающим потенциальную пользу, у пациентов с ИМпST не рекомендуется применять ACК при уровне тромбоцитов &lt;10×10⁹/л, клопидогрел — &lt;30×10⁹/л, тикагрелор или прасугрел — &lt;50×10⁹/л </w:t>
      </w:r>
      <w:hyperlink r:id="rId88" w:history="1">
        <w:r>
          <w:rPr>
            <w:rStyle w:val="a6"/>
            <w:rFonts w:ascii="Times New Roman" w:hAnsi="Times New Roman" w:cs="Times New Roman"/>
            <w:color w:val="000000" w:themeColor="text1"/>
            <w:sz w:val="24"/>
            <w:szCs w:val="24"/>
          </w:rPr>
          <w:t>[9]</w:t>
        </w:r>
      </w:hyperlink>
      <w:hyperlink r:id="rId89" w:history="1">
        <w:r>
          <w:rPr>
            <w:rStyle w:val="a6"/>
            <w:rFonts w:ascii="Times New Roman" w:hAnsi="Times New Roman" w:cs="Times New Roman"/>
            <w:color w:val="000000" w:themeColor="text1"/>
            <w:sz w:val="24"/>
            <w:szCs w:val="24"/>
          </w:rPr>
          <w:t>[228]</w:t>
        </w:r>
      </w:hyperlink>
      <w:r>
        <w:rPr>
          <w:rFonts w:ascii="Times New Roman" w:hAnsi="Times New Roman" w:cs="Times New Roman"/>
          <w:color w:val="000000" w:themeColor="text1"/>
          <w:sz w:val="24"/>
          <w:szCs w:val="24"/>
        </w:rPr>
        <w:t>.</w:t>
      </w:r>
    </w:p>
    <w:p w14:paraId="1E8E3A36" w14:textId="201DFEF6" w:rsidR="00A43F72" w:rsidRP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 IIIС (Уровень убедительности рекомендаций C, Уровень достоверности докзательств 5)</w:t>
      </w:r>
      <w:r w:rsidR="0049557D">
        <w:rPr>
          <w:rStyle w:val="a7"/>
          <w:rFonts w:ascii="Times New Roman" w:hAnsi="Times New Roman" w:cs="Times New Roman"/>
          <w:color w:val="000000" w:themeColor="text1"/>
          <w:sz w:val="24"/>
          <w:szCs w:val="24"/>
        </w:rPr>
        <w:t>.</w:t>
      </w:r>
    </w:p>
    <w:p w14:paraId="515BDD04"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Комментарии.</w:t>
      </w:r>
      <w:r>
        <w:rPr>
          <w:rFonts w:ascii="Times New Roman" w:hAnsi="Times New Roman" w:cs="Times New Roman"/>
          <w:color w:val="000000" w:themeColor="text1"/>
          <w:sz w:val="24"/>
          <w:szCs w:val="24"/>
        </w:rPr>
        <w:t> </w:t>
      </w:r>
      <w:r>
        <w:rPr>
          <w:rStyle w:val="a5"/>
          <w:rFonts w:ascii="Times New Roman" w:hAnsi="Times New Roman" w:cs="Times New Roman"/>
          <w:color w:val="000000" w:themeColor="text1"/>
          <w:sz w:val="24"/>
          <w:szCs w:val="24"/>
        </w:rPr>
        <w:t xml:space="preserve">Если ЧКВ в ранние сроки ИМпST не выполняется, лечение парентеральным антикоагулянтом должно продолжаться вплоть до 8-х сут. (с более </w:t>
      </w:r>
      <w:r>
        <w:rPr>
          <w:rStyle w:val="a5"/>
          <w:rFonts w:ascii="Times New Roman" w:hAnsi="Times New Roman" w:cs="Times New Roman"/>
          <w:color w:val="000000" w:themeColor="text1"/>
          <w:sz w:val="24"/>
          <w:szCs w:val="24"/>
        </w:rPr>
        <w:lastRenderedPageBreak/>
        <w:t>ранним прекращением, если в эти сроки было выполнено ЧКВ или больной был выписан); минимальная длительность парентерального введения антикоагулянта после ТЛТ при неинвазивном лечении ИМпST составляет 24-48 ч.</w:t>
      </w:r>
    </w:p>
    <w:p w14:paraId="4C3AD385"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 проведении ЧКВ у пациента с ИМпST рекомендуется в/в болюсное введение мсгепарина натрия в дозе 70-100 МЕ/кг </w:t>
      </w:r>
      <w:hyperlink r:id="rId90" w:history="1">
        <w:r>
          <w:rPr>
            <w:rStyle w:val="a6"/>
            <w:rFonts w:ascii="Times New Roman" w:hAnsi="Times New Roman" w:cs="Times New Roman"/>
            <w:color w:val="000000" w:themeColor="text1"/>
            <w:sz w:val="24"/>
            <w:szCs w:val="24"/>
          </w:rPr>
          <w:t>[9]</w:t>
        </w:r>
      </w:hyperlink>
      <w:r>
        <w:rPr>
          <w:rFonts w:ascii="Times New Roman" w:hAnsi="Times New Roman" w:cs="Times New Roman"/>
          <w:color w:val="000000" w:themeColor="text1"/>
          <w:sz w:val="24"/>
          <w:szCs w:val="24"/>
        </w:rPr>
        <w:t>.</w:t>
      </w:r>
    </w:p>
    <w:p w14:paraId="07D172D5" w14:textId="39CAE41B"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 IС (Уровень убедительности рекомендаций C, Уровень достоверности докзательств 5)</w:t>
      </w:r>
      <w:r w:rsidR="0049557D">
        <w:rPr>
          <w:rStyle w:val="a7"/>
          <w:rFonts w:ascii="Times New Roman" w:hAnsi="Times New Roman" w:cs="Times New Roman"/>
          <w:color w:val="000000" w:themeColor="text1"/>
          <w:sz w:val="24"/>
          <w:szCs w:val="24"/>
        </w:rPr>
        <w:t>.</w:t>
      </w:r>
    </w:p>
    <w:p w14:paraId="092EFCDF" w14:textId="379DB740"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Комментарии.</w:t>
      </w:r>
      <w:r>
        <w:rPr>
          <w:rFonts w:ascii="Times New Roman" w:hAnsi="Times New Roman" w:cs="Times New Roman"/>
          <w:color w:val="000000" w:themeColor="text1"/>
          <w:sz w:val="24"/>
          <w:szCs w:val="24"/>
        </w:rPr>
        <w:t> </w:t>
      </w:r>
      <w:r>
        <w:rPr>
          <w:rStyle w:val="a5"/>
          <w:rFonts w:ascii="Times New Roman" w:hAnsi="Times New Roman" w:cs="Times New Roman"/>
          <w:color w:val="000000" w:themeColor="text1"/>
          <w:sz w:val="24"/>
          <w:szCs w:val="24"/>
        </w:rPr>
        <w:t>В/в инфузия НФГ должна осуществляться в дозе, обеспечивающей АЧТВ в 1,5-2,5 раза выше контрольного для данной лаборатории. При использовании НФГ во время ЧКВ рекомендуется ввести в/в болюсом 70-100 МЕ/кг; необходимость повторных болюсов определяется величиной активированного времени свертывания крови (АВС). Аналогичные подходы рекомендуется использовать при срочном ЧКВ у больных, получающих прямые пероральные антикоагулянты. Если ЧКВ выполняется на фоне начатой в/в инфузии НФГ, во время процедуры рекомендуется рассмотреть дополнительное в/в введение болюсов НФГ под контролем АВС.</w:t>
      </w:r>
    </w:p>
    <w:p w14:paraId="6AA79FEC"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 проведении ЧКВ у пациентов с ИМпST в качестве альтернативы гепарину натрия для снижения риска ишемических событий рекомендуется эноксапарин натрия </w:t>
      </w:r>
      <w:hyperlink r:id="rId91" w:history="1">
        <w:r>
          <w:rPr>
            <w:rStyle w:val="a6"/>
            <w:rFonts w:ascii="Times New Roman" w:hAnsi="Times New Roman" w:cs="Times New Roman"/>
            <w:color w:val="000000" w:themeColor="text1"/>
            <w:sz w:val="24"/>
            <w:szCs w:val="24"/>
          </w:rPr>
          <w:t>[208]</w:t>
        </w:r>
      </w:hyperlink>
      <w:r>
        <w:rPr>
          <w:rFonts w:ascii="Times New Roman" w:hAnsi="Times New Roman" w:cs="Times New Roman"/>
          <w:color w:val="000000" w:themeColor="text1"/>
          <w:sz w:val="24"/>
          <w:szCs w:val="24"/>
        </w:rPr>
        <w:t>.</w:t>
      </w:r>
    </w:p>
    <w:p w14:paraId="3BAF0151" w14:textId="388BEB1E" w:rsidR="00A43F72" w:rsidRPr="00F52FCA"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w:t>
      </w:r>
      <w:r>
        <w:rPr>
          <w:rStyle w:val="a7"/>
          <w:rFonts w:ascii="Times New Roman" w:hAnsi="Times New Roman" w:cs="Times New Roman"/>
          <w:color w:val="000000" w:themeColor="text1"/>
          <w:sz w:val="24"/>
          <w:szCs w:val="24"/>
          <w:lang w:val="en-US"/>
        </w:rPr>
        <w:t> IIaB</w:t>
      </w:r>
      <w:r w:rsidRPr="00F52FCA">
        <w:rPr>
          <w:rStyle w:val="a7"/>
          <w:rFonts w:ascii="Times New Roman" w:hAnsi="Times New Roman" w:cs="Times New Roman"/>
          <w:color w:val="000000" w:themeColor="text1"/>
          <w:sz w:val="24"/>
          <w:szCs w:val="24"/>
        </w:rPr>
        <w:t xml:space="preserve"> (</w:t>
      </w:r>
      <w:r>
        <w:rPr>
          <w:rStyle w:val="a7"/>
          <w:rFonts w:ascii="Times New Roman" w:hAnsi="Times New Roman" w:cs="Times New Roman"/>
          <w:color w:val="000000" w:themeColor="text1"/>
          <w:sz w:val="24"/>
          <w:szCs w:val="24"/>
        </w:rPr>
        <w:t>Уровень убедительности рекомендаций</w:t>
      </w:r>
      <w:r>
        <w:rPr>
          <w:rStyle w:val="a7"/>
          <w:rFonts w:ascii="Times New Roman" w:hAnsi="Times New Roman" w:cs="Times New Roman"/>
          <w:color w:val="000000" w:themeColor="text1"/>
          <w:sz w:val="24"/>
          <w:szCs w:val="24"/>
          <w:lang w:val="en-US"/>
        </w:rPr>
        <w:t> A</w:t>
      </w:r>
      <w:r w:rsidRPr="00F52FCA">
        <w:rPr>
          <w:rStyle w:val="a7"/>
          <w:rFonts w:ascii="Times New Roman" w:hAnsi="Times New Roman" w:cs="Times New Roman"/>
          <w:color w:val="000000" w:themeColor="text1"/>
          <w:sz w:val="24"/>
          <w:szCs w:val="24"/>
        </w:rPr>
        <w:t xml:space="preserve">, </w:t>
      </w:r>
      <w:r>
        <w:rPr>
          <w:rStyle w:val="a7"/>
          <w:rFonts w:ascii="Times New Roman" w:hAnsi="Times New Roman" w:cs="Times New Roman"/>
          <w:color w:val="000000" w:themeColor="text1"/>
          <w:sz w:val="24"/>
          <w:szCs w:val="24"/>
        </w:rPr>
        <w:t>Уровень достоверности докзательств</w:t>
      </w:r>
      <w:r>
        <w:rPr>
          <w:rStyle w:val="a7"/>
          <w:rFonts w:ascii="Times New Roman" w:hAnsi="Times New Roman" w:cs="Times New Roman"/>
          <w:color w:val="000000" w:themeColor="text1"/>
          <w:sz w:val="24"/>
          <w:szCs w:val="24"/>
          <w:lang w:val="en-US"/>
        </w:rPr>
        <w:t> </w:t>
      </w:r>
      <w:r w:rsidRPr="00F52FCA">
        <w:rPr>
          <w:rStyle w:val="a7"/>
          <w:rFonts w:ascii="Times New Roman" w:hAnsi="Times New Roman" w:cs="Times New Roman"/>
          <w:color w:val="000000" w:themeColor="text1"/>
          <w:sz w:val="24"/>
          <w:szCs w:val="24"/>
        </w:rPr>
        <w:t>2)</w:t>
      </w:r>
      <w:r w:rsidR="0049557D">
        <w:rPr>
          <w:rStyle w:val="a7"/>
          <w:rFonts w:ascii="Times New Roman" w:hAnsi="Times New Roman" w:cs="Times New Roman"/>
          <w:color w:val="000000" w:themeColor="text1"/>
          <w:sz w:val="24"/>
          <w:szCs w:val="24"/>
        </w:rPr>
        <w:t>.</w:t>
      </w:r>
    </w:p>
    <w:p w14:paraId="43D25F6F"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Комментарии.</w:t>
      </w:r>
      <w:r>
        <w:rPr>
          <w:rFonts w:ascii="Times New Roman" w:hAnsi="Times New Roman" w:cs="Times New Roman"/>
          <w:color w:val="000000" w:themeColor="text1"/>
          <w:sz w:val="24"/>
          <w:szCs w:val="24"/>
        </w:rPr>
        <w:t> </w:t>
      </w:r>
      <w:r>
        <w:rPr>
          <w:rStyle w:val="a5"/>
          <w:rFonts w:ascii="Times New Roman" w:hAnsi="Times New Roman" w:cs="Times New Roman"/>
          <w:color w:val="000000" w:themeColor="text1"/>
          <w:sz w:val="24"/>
          <w:szCs w:val="24"/>
        </w:rPr>
        <w:t>Эноксапарин натрия не рекомендуется при рСКФ&lt;15 мл/мин/1,73 м². Переход с НФГ на эноксапарин натрия и с эноксапарина натрия на НФГ не рекомендуется из-за увеличения риска кровотечений.</w:t>
      </w:r>
    </w:p>
    <w:p w14:paraId="78A40B73"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Если пациент с ИМпST получал эноксапарин натрия до ЧКВ, его следует продолжить и во время процедуры; при этом, если после подкожной инъекции до раздувания баллона в КА прошло &gt;8 ч, рекомендуется дополнительный в/в болюс препарата 0,3 мг/кг </w:t>
      </w:r>
      <w:hyperlink r:id="rId92" w:history="1">
        <w:r>
          <w:rPr>
            <w:rStyle w:val="a6"/>
            <w:rFonts w:ascii="Times New Roman" w:hAnsi="Times New Roman" w:cs="Times New Roman"/>
            <w:color w:val="000000" w:themeColor="text1"/>
            <w:sz w:val="24"/>
            <w:szCs w:val="24"/>
          </w:rPr>
          <w:t>[9]</w:t>
        </w:r>
      </w:hyperlink>
      <w:hyperlink r:id="rId93" w:history="1">
        <w:r>
          <w:rPr>
            <w:rStyle w:val="a6"/>
            <w:rFonts w:ascii="Times New Roman" w:hAnsi="Times New Roman" w:cs="Times New Roman"/>
            <w:color w:val="000000" w:themeColor="text1"/>
            <w:sz w:val="24"/>
            <w:szCs w:val="24"/>
          </w:rPr>
          <w:t>[208]</w:t>
        </w:r>
      </w:hyperlink>
      <w:hyperlink r:id="rId94" w:history="1">
        <w:r>
          <w:rPr>
            <w:rStyle w:val="a6"/>
            <w:rFonts w:ascii="Times New Roman" w:hAnsi="Times New Roman" w:cs="Times New Roman"/>
            <w:color w:val="000000" w:themeColor="text1"/>
            <w:sz w:val="24"/>
            <w:szCs w:val="24"/>
          </w:rPr>
          <w:t>[229]</w:t>
        </w:r>
      </w:hyperlink>
      <w:r>
        <w:rPr>
          <w:rFonts w:ascii="Times New Roman" w:hAnsi="Times New Roman" w:cs="Times New Roman"/>
          <w:color w:val="000000" w:themeColor="text1"/>
          <w:sz w:val="24"/>
          <w:szCs w:val="24"/>
        </w:rPr>
        <w:t>.</w:t>
      </w:r>
    </w:p>
    <w:p w14:paraId="48582AB8" w14:textId="0793855C"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 IIaB (Уровень убедительности рекомендаций В, Уровень достоверности докзательств 3</w:t>
      </w:r>
      <w:r w:rsidR="0049557D">
        <w:rPr>
          <w:rStyle w:val="a7"/>
          <w:rFonts w:ascii="Times New Roman" w:hAnsi="Times New Roman" w:cs="Times New Roman"/>
          <w:color w:val="000000" w:themeColor="text1"/>
          <w:sz w:val="24"/>
          <w:szCs w:val="24"/>
        </w:rPr>
        <w:t>).</w:t>
      </w:r>
    </w:p>
    <w:p w14:paraId="796BBD11"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Антитромботическая терапия при других стратегиях лечения у пациентов с наличием показаний к длительному пероральному приему антикоагулянтов</w:t>
      </w:r>
    </w:p>
    <w:p w14:paraId="3541286B"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У пациентов с ИМпST и показаниями к длительному применению антикоагулянтов, которые на момент начала ИМпST по какой-либо причине их не принимали, рекомендуется начинать антитромботическое лечение с тройной антитромботической терапии (сочетание АСК</w:t>
      </w:r>
      <w:r>
        <w:rPr>
          <w:rFonts w:ascii="Times New Roman" w:hAnsi="Times New Roman" w:cs="Times New Roman"/>
          <w:color w:val="FF0000"/>
          <w:sz w:val="24"/>
          <w:szCs w:val="24"/>
        </w:rPr>
        <w:t>,</w:t>
      </w:r>
      <w:r>
        <w:rPr>
          <w:rFonts w:ascii="Times New Roman" w:hAnsi="Times New Roman" w:cs="Times New Roman"/>
          <w:color w:val="000000" w:themeColor="text1"/>
          <w:sz w:val="24"/>
          <w:szCs w:val="24"/>
        </w:rPr>
        <w:t xml:space="preserve"> ингибитора Р2Y</w:t>
      </w:r>
      <w:r>
        <w:rPr>
          <w:rFonts w:ascii="Times New Roman" w:hAnsi="Times New Roman" w:cs="Times New Roman"/>
          <w:color w:val="000000" w:themeColor="text1"/>
          <w:sz w:val="24"/>
          <w:szCs w:val="24"/>
          <w:vertAlign w:val="subscript"/>
        </w:rPr>
        <w:t>12</w:t>
      </w:r>
      <w:r>
        <w:rPr>
          <w:rFonts w:ascii="Times New Roman" w:hAnsi="Times New Roman" w:cs="Times New Roman"/>
          <w:color w:val="000000" w:themeColor="text1"/>
          <w:sz w:val="24"/>
          <w:szCs w:val="24"/>
        </w:rPr>
        <w:t>-рецепторов тромбоцитов и парентерального антикоагулянта) с последующей заменой парентерального антикоагулянта на пероральный (апиксабан, дабигатрана этексилат, ривароксабан, эдоксабан или антагонист витамина K) </w:t>
      </w:r>
      <w:hyperlink r:id="rId95" w:history="1">
        <w:r>
          <w:rPr>
            <w:rStyle w:val="a6"/>
            <w:rFonts w:ascii="Times New Roman" w:hAnsi="Times New Roman" w:cs="Times New Roman"/>
            <w:color w:val="000000" w:themeColor="text1"/>
            <w:sz w:val="24"/>
            <w:szCs w:val="24"/>
          </w:rPr>
          <w:t>[9]</w:t>
        </w:r>
      </w:hyperlink>
      <w:hyperlink r:id="rId96" w:history="1">
        <w:r>
          <w:rPr>
            <w:rStyle w:val="a6"/>
            <w:rFonts w:ascii="Times New Roman" w:hAnsi="Times New Roman" w:cs="Times New Roman"/>
            <w:color w:val="000000" w:themeColor="text1"/>
            <w:sz w:val="24"/>
            <w:szCs w:val="24"/>
          </w:rPr>
          <w:t>[235-242]</w:t>
        </w:r>
      </w:hyperlink>
      <w:r>
        <w:rPr>
          <w:rFonts w:ascii="Times New Roman" w:hAnsi="Times New Roman" w:cs="Times New Roman"/>
          <w:color w:val="000000" w:themeColor="text1"/>
          <w:sz w:val="24"/>
          <w:szCs w:val="24"/>
        </w:rPr>
        <w:t>.</w:t>
      </w:r>
    </w:p>
    <w:p w14:paraId="1FB85270" w14:textId="416FBD6A" w:rsidR="00A43F72" w:rsidRPr="00F52FCA"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w:t>
      </w:r>
      <w:r>
        <w:rPr>
          <w:rStyle w:val="a7"/>
          <w:rFonts w:ascii="Times New Roman" w:hAnsi="Times New Roman" w:cs="Times New Roman"/>
          <w:color w:val="000000" w:themeColor="text1"/>
          <w:sz w:val="24"/>
          <w:szCs w:val="24"/>
          <w:lang w:val="en-US"/>
        </w:rPr>
        <w:t> IA</w:t>
      </w:r>
      <w:r w:rsidRPr="00F52FCA">
        <w:rPr>
          <w:rStyle w:val="a7"/>
          <w:rFonts w:ascii="Times New Roman" w:hAnsi="Times New Roman" w:cs="Times New Roman"/>
          <w:color w:val="000000" w:themeColor="text1"/>
          <w:sz w:val="24"/>
          <w:szCs w:val="24"/>
        </w:rPr>
        <w:t xml:space="preserve"> (</w:t>
      </w:r>
      <w:r>
        <w:rPr>
          <w:rStyle w:val="a7"/>
          <w:rFonts w:ascii="Times New Roman" w:hAnsi="Times New Roman" w:cs="Times New Roman"/>
          <w:color w:val="000000" w:themeColor="text1"/>
          <w:sz w:val="24"/>
          <w:szCs w:val="24"/>
        </w:rPr>
        <w:t>Уровень убедительности рекомендаций</w:t>
      </w:r>
      <w:r>
        <w:rPr>
          <w:rStyle w:val="a7"/>
          <w:rFonts w:ascii="Times New Roman" w:hAnsi="Times New Roman" w:cs="Times New Roman"/>
          <w:color w:val="000000" w:themeColor="text1"/>
          <w:sz w:val="24"/>
          <w:szCs w:val="24"/>
          <w:lang w:val="en-US"/>
        </w:rPr>
        <w:t> A</w:t>
      </w:r>
      <w:r w:rsidRPr="00F52FCA">
        <w:rPr>
          <w:rStyle w:val="a7"/>
          <w:rFonts w:ascii="Times New Roman" w:hAnsi="Times New Roman" w:cs="Times New Roman"/>
          <w:color w:val="000000" w:themeColor="text1"/>
          <w:sz w:val="24"/>
          <w:szCs w:val="24"/>
        </w:rPr>
        <w:t xml:space="preserve">, </w:t>
      </w:r>
      <w:r>
        <w:rPr>
          <w:rStyle w:val="a7"/>
          <w:rFonts w:ascii="Times New Roman" w:hAnsi="Times New Roman" w:cs="Times New Roman"/>
          <w:color w:val="000000" w:themeColor="text1"/>
          <w:sz w:val="24"/>
          <w:szCs w:val="24"/>
        </w:rPr>
        <w:t>Уровень достоверности докзательств</w:t>
      </w:r>
      <w:r>
        <w:rPr>
          <w:rStyle w:val="a7"/>
          <w:rFonts w:ascii="Times New Roman" w:hAnsi="Times New Roman" w:cs="Times New Roman"/>
          <w:color w:val="000000" w:themeColor="text1"/>
          <w:sz w:val="24"/>
          <w:szCs w:val="24"/>
          <w:lang w:val="en-US"/>
        </w:rPr>
        <w:t> </w:t>
      </w:r>
      <w:r w:rsidRPr="00F52FCA">
        <w:rPr>
          <w:rStyle w:val="a7"/>
          <w:rFonts w:ascii="Times New Roman" w:hAnsi="Times New Roman" w:cs="Times New Roman"/>
          <w:color w:val="000000" w:themeColor="text1"/>
          <w:sz w:val="24"/>
          <w:szCs w:val="24"/>
        </w:rPr>
        <w:t>1)</w:t>
      </w:r>
      <w:r w:rsidR="0049557D">
        <w:rPr>
          <w:rStyle w:val="a7"/>
          <w:rFonts w:ascii="Times New Roman" w:hAnsi="Times New Roman" w:cs="Times New Roman"/>
          <w:color w:val="000000" w:themeColor="text1"/>
          <w:sz w:val="24"/>
          <w:szCs w:val="24"/>
        </w:rPr>
        <w:t>.</w:t>
      </w:r>
    </w:p>
    <w:p w14:paraId="7D3F43B0"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Комментарии. </w:t>
      </w:r>
      <w:r>
        <w:rPr>
          <w:rStyle w:val="a5"/>
          <w:rFonts w:ascii="Times New Roman" w:hAnsi="Times New Roman" w:cs="Times New Roman"/>
          <w:color w:val="000000" w:themeColor="text1"/>
          <w:sz w:val="24"/>
          <w:szCs w:val="24"/>
        </w:rPr>
        <w:t>Показания к длительному применению антикоагулянтов — ФП/трепетание предсердий; механический протез клапана сердца, тромбоз полости ЛЖ, тромбоз глубоких вен и/или перенесенная ТЭЛА.</w:t>
      </w:r>
    </w:p>
    <w:p w14:paraId="7F14AF32"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5"/>
          <w:rFonts w:ascii="Times New Roman" w:hAnsi="Times New Roman" w:cs="Times New Roman"/>
          <w:color w:val="000000" w:themeColor="text1"/>
          <w:sz w:val="24"/>
          <w:szCs w:val="24"/>
        </w:rPr>
        <w:t>У пациентов, уже получающих (до развития ИМпST) антагонисты витамина К, рекомендуется не использовать парентеральное введение антикоагулянтов (в т. ч. во время ЧКВ) при условии, что поддерживаются значения МНО ≥2,0 (при ЧКВ ≥2,5).</w:t>
      </w:r>
    </w:p>
    <w:p w14:paraId="5791FF88"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5"/>
          <w:rFonts w:ascii="Times New Roman" w:hAnsi="Times New Roman" w:cs="Times New Roman"/>
          <w:color w:val="000000" w:themeColor="text1"/>
          <w:sz w:val="24"/>
          <w:szCs w:val="24"/>
        </w:rPr>
        <w:t>У пациентов, получающих прямые пероральные антикоагулянты, рекомендуется использование в/в болюса НФГ во время ЧКВ независимо от времени, прошедшего после приема последней дозы прямого перорального антикоагулянта; аналогичный подход рекомендуется у пациентов, получающих антагонисты витамина К, при значениях МНО &lt;2,5.</w:t>
      </w:r>
    </w:p>
    <w:p w14:paraId="1704F3AD"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5"/>
          <w:rFonts w:ascii="Times New Roman" w:hAnsi="Times New Roman" w:cs="Times New Roman"/>
          <w:color w:val="000000" w:themeColor="text1"/>
          <w:sz w:val="24"/>
          <w:szCs w:val="24"/>
        </w:rPr>
        <w:t>При отсутствии реперфузионной терапии у пациентов, получающих прямые пероральные антикоагулянты, в начале лечения ИМпST рекомендуется использовать парентеральные антикоагулянты.</w:t>
      </w:r>
    </w:p>
    <w:p w14:paraId="34050393"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с ИМпST и показаниями к длительному применению антикоагулянтов, подвергнутых стентированию КА или не получивших реперфузионной терапии, длительность тройной антитромботической терапии (сочетание антикоагулянта с АСК и клопидогрелом) рекомендуется ограничить несколькими днями (1-7 дней). Через 1-7 дней, после отмены АСК, рекомендуется перейти на двойную антитромботическую терапию (пероральный антикоагулянт в сочетании с клопидогрелом) </w:t>
      </w:r>
      <w:hyperlink r:id="rId97" w:history="1">
        <w:r>
          <w:rPr>
            <w:rStyle w:val="a6"/>
            <w:rFonts w:ascii="Times New Roman" w:hAnsi="Times New Roman" w:cs="Times New Roman"/>
            <w:color w:val="000000" w:themeColor="text1"/>
            <w:sz w:val="24"/>
            <w:szCs w:val="24"/>
          </w:rPr>
          <w:t>[9]</w:t>
        </w:r>
      </w:hyperlink>
      <w:hyperlink r:id="rId98" w:history="1">
        <w:r>
          <w:rPr>
            <w:rStyle w:val="a6"/>
            <w:rFonts w:ascii="Times New Roman" w:hAnsi="Times New Roman" w:cs="Times New Roman"/>
            <w:color w:val="000000" w:themeColor="text1"/>
            <w:sz w:val="24"/>
            <w:szCs w:val="24"/>
          </w:rPr>
          <w:t>[243-248]</w:t>
        </w:r>
      </w:hyperlink>
      <w:r>
        <w:rPr>
          <w:rFonts w:ascii="Times New Roman" w:hAnsi="Times New Roman" w:cs="Times New Roman"/>
          <w:color w:val="000000" w:themeColor="text1"/>
          <w:sz w:val="24"/>
          <w:szCs w:val="24"/>
        </w:rPr>
        <w:t>.</w:t>
      </w:r>
    </w:p>
    <w:p w14:paraId="3F66DC12" w14:textId="19B70484"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lastRenderedPageBreak/>
        <w:t>ЕОК IA (Уровень убедительности рекомендаций С, Уровень достоверности докзательств 5)</w:t>
      </w:r>
      <w:r w:rsidR="0049557D">
        <w:rPr>
          <w:rStyle w:val="a7"/>
          <w:rFonts w:ascii="Times New Roman" w:hAnsi="Times New Roman" w:cs="Times New Roman"/>
          <w:color w:val="000000" w:themeColor="text1"/>
          <w:sz w:val="24"/>
          <w:szCs w:val="24"/>
        </w:rPr>
        <w:t xml:space="preserve">. </w:t>
      </w:r>
    </w:p>
    <w:p w14:paraId="681564D2"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Комментарии.</w:t>
      </w:r>
      <w:r>
        <w:rPr>
          <w:rFonts w:ascii="Times New Roman" w:hAnsi="Times New Roman" w:cs="Times New Roman"/>
          <w:color w:val="000000" w:themeColor="text1"/>
          <w:sz w:val="24"/>
          <w:szCs w:val="24"/>
        </w:rPr>
        <w:t> </w:t>
      </w:r>
      <w:r>
        <w:rPr>
          <w:rStyle w:val="a5"/>
          <w:rFonts w:ascii="Times New Roman" w:hAnsi="Times New Roman" w:cs="Times New Roman"/>
          <w:color w:val="000000" w:themeColor="text1"/>
          <w:sz w:val="24"/>
          <w:szCs w:val="24"/>
        </w:rPr>
        <w:t>У отдельных пациентов с очень высоким риском тромбоза КА и низким риском кровотечений может быть рассмотрено применение не клопидогрела, а тикагрелора в течение 6 мес.</w:t>
      </w:r>
    </w:p>
    <w:p w14:paraId="17C9B4AB"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с ИМпST и показаниями к длительному применению антикоагулянтов (в частности, с ФП), подвергнутых стентированию КА и имеющих высокий риск коронарных осложнений (включая особенности коронарной анатомии и/или инвазивного вмешательства), у которых ожидаемая польза представляется выше риска кровотечений, для снижения риска тромбоза стента рекомендуется рассмотреть продление тройной антитромботической терапии (сочетания перорального антикоагулянта с АСК и клопидогрелом) до 1 мес. с последующей отменой АСК и переходом на двойную антитромботическую терапию (сочетание перорального антикоагулянта с клопидогрелом) </w:t>
      </w:r>
      <w:hyperlink r:id="rId99" w:history="1">
        <w:r>
          <w:rPr>
            <w:rStyle w:val="a6"/>
            <w:rFonts w:ascii="Times New Roman" w:hAnsi="Times New Roman" w:cs="Times New Roman"/>
            <w:color w:val="000000" w:themeColor="text1"/>
            <w:sz w:val="24"/>
            <w:szCs w:val="24"/>
          </w:rPr>
          <w:t>[9]</w:t>
        </w:r>
      </w:hyperlink>
      <w:hyperlink r:id="rId100" w:history="1">
        <w:r>
          <w:rPr>
            <w:rStyle w:val="a6"/>
            <w:rFonts w:ascii="Times New Roman" w:hAnsi="Times New Roman" w:cs="Times New Roman"/>
            <w:color w:val="000000" w:themeColor="text1"/>
            <w:sz w:val="24"/>
            <w:szCs w:val="24"/>
          </w:rPr>
          <w:t>[246]</w:t>
        </w:r>
      </w:hyperlink>
      <w:r>
        <w:rPr>
          <w:rFonts w:ascii="Times New Roman" w:hAnsi="Times New Roman" w:cs="Times New Roman"/>
          <w:color w:val="000000" w:themeColor="text1"/>
          <w:sz w:val="24"/>
          <w:szCs w:val="24"/>
        </w:rPr>
        <w:t>.</w:t>
      </w:r>
    </w:p>
    <w:p w14:paraId="3024B892" w14:textId="15FCBC2A"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 IIaC (Уровень убедительности рекомендаций С, Уровень достоверности докзательств 4)</w:t>
      </w:r>
      <w:r w:rsidR="0049557D">
        <w:rPr>
          <w:rStyle w:val="a7"/>
          <w:rFonts w:ascii="Times New Roman" w:hAnsi="Times New Roman" w:cs="Times New Roman"/>
          <w:color w:val="000000" w:themeColor="text1"/>
          <w:sz w:val="24"/>
          <w:szCs w:val="24"/>
        </w:rPr>
        <w:t xml:space="preserve">. </w:t>
      </w:r>
    </w:p>
    <w:p w14:paraId="0BC99893" w14:textId="1BCB6569"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Комментарии.</w:t>
      </w:r>
      <w:r>
        <w:rPr>
          <w:rStyle w:val="a5"/>
          <w:rFonts w:ascii="Times New Roman" w:hAnsi="Times New Roman" w:cs="Times New Roman"/>
          <w:color w:val="000000" w:themeColor="text1"/>
          <w:sz w:val="24"/>
          <w:szCs w:val="24"/>
        </w:rPr>
        <w:t> У отдельных пациентов с очень высоким риском тромбоза КА и низким риском кровотечений может быть рассмотрено применение не клопидогрела, а тикагрелора в течение 6 мес.</w:t>
      </w:r>
    </w:p>
    <w:p w14:paraId="4FEF0995"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Двойная антитромботическая терапия (пероральный антикоагулянт в сочетании с клопидогрелом, реже — с АСК) у пациентов с ИМпST и показаниями к длительному применению антикоагулянтов рекомендуется вплоть до 12 мес., после чего клопидогрел (или АСК) рекомендуется отменить и продолжить монотерапию пероральным антикоагулянтом в дозе, необходимой для профилактики и/или лечения тромботических и/или тромбоэмболических осложнений </w:t>
      </w:r>
      <w:hyperlink r:id="rId101" w:history="1">
        <w:r>
          <w:rPr>
            <w:rStyle w:val="a6"/>
            <w:rFonts w:ascii="Times New Roman" w:hAnsi="Times New Roman" w:cs="Times New Roman"/>
            <w:color w:val="000000" w:themeColor="text1"/>
            <w:sz w:val="24"/>
            <w:szCs w:val="24"/>
          </w:rPr>
          <w:t>[243-248]</w:t>
        </w:r>
      </w:hyperlink>
      <w:r>
        <w:rPr>
          <w:rFonts w:ascii="Times New Roman" w:hAnsi="Times New Roman" w:cs="Times New Roman"/>
          <w:color w:val="000000" w:themeColor="text1"/>
          <w:sz w:val="24"/>
          <w:szCs w:val="24"/>
        </w:rPr>
        <w:t>.</w:t>
      </w:r>
    </w:p>
    <w:p w14:paraId="204F6C3A" w14:textId="64FE31ED" w:rsidR="00A43F72" w:rsidRPr="00F52FCA"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w:t>
      </w:r>
      <w:r>
        <w:rPr>
          <w:rStyle w:val="a7"/>
          <w:rFonts w:ascii="Times New Roman" w:hAnsi="Times New Roman" w:cs="Times New Roman"/>
          <w:color w:val="000000" w:themeColor="text1"/>
          <w:sz w:val="24"/>
          <w:szCs w:val="24"/>
          <w:lang w:val="en-US"/>
        </w:rPr>
        <w:t> IA</w:t>
      </w:r>
      <w:r w:rsidRPr="00F52FCA">
        <w:rPr>
          <w:rStyle w:val="a7"/>
          <w:rFonts w:ascii="Times New Roman" w:hAnsi="Times New Roman" w:cs="Times New Roman"/>
          <w:color w:val="000000" w:themeColor="text1"/>
          <w:sz w:val="24"/>
          <w:szCs w:val="24"/>
        </w:rPr>
        <w:t xml:space="preserve"> (</w:t>
      </w:r>
      <w:r>
        <w:rPr>
          <w:rStyle w:val="a7"/>
          <w:rFonts w:ascii="Times New Roman" w:hAnsi="Times New Roman" w:cs="Times New Roman"/>
          <w:color w:val="000000" w:themeColor="text1"/>
          <w:sz w:val="24"/>
          <w:szCs w:val="24"/>
        </w:rPr>
        <w:t>Уровень убедительности рекомендаций</w:t>
      </w:r>
      <w:r>
        <w:rPr>
          <w:rStyle w:val="a7"/>
          <w:rFonts w:ascii="Times New Roman" w:hAnsi="Times New Roman" w:cs="Times New Roman"/>
          <w:color w:val="000000" w:themeColor="text1"/>
          <w:sz w:val="24"/>
          <w:szCs w:val="24"/>
          <w:lang w:val="en-US"/>
        </w:rPr>
        <w:t> A</w:t>
      </w:r>
      <w:r w:rsidRPr="00F52FCA">
        <w:rPr>
          <w:rStyle w:val="a7"/>
          <w:rFonts w:ascii="Times New Roman" w:hAnsi="Times New Roman" w:cs="Times New Roman"/>
          <w:color w:val="000000" w:themeColor="text1"/>
          <w:sz w:val="24"/>
          <w:szCs w:val="24"/>
        </w:rPr>
        <w:t xml:space="preserve">, </w:t>
      </w:r>
      <w:r>
        <w:rPr>
          <w:rStyle w:val="a7"/>
          <w:rFonts w:ascii="Times New Roman" w:hAnsi="Times New Roman" w:cs="Times New Roman"/>
          <w:color w:val="000000" w:themeColor="text1"/>
          <w:sz w:val="24"/>
          <w:szCs w:val="24"/>
        </w:rPr>
        <w:t>Уровень достоверности докзательств</w:t>
      </w:r>
      <w:r>
        <w:rPr>
          <w:rStyle w:val="a7"/>
          <w:rFonts w:ascii="Times New Roman" w:hAnsi="Times New Roman" w:cs="Times New Roman"/>
          <w:color w:val="000000" w:themeColor="text1"/>
          <w:sz w:val="24"/>
          <w:szCs w:val="24"/>
          <w:lang w:val="en-US"/>
        </w:rPr>
        <w:t> </w:t>
      </w:r>
      <w:r w:rsidRPr="00F52FCA">
        <w:rPr>
          <w:rStyle w:val="a7"/>
          <w:rFonts w:ascii="Times New Roman" w:hAnsi="Times New Roman" w:cs="Times New Roman"/>
          <w:color w:val="000000" w:themeColor="text1"/>
          <w:sz w:val="24"/>
          <w:szCs w:val="24"/>
        </w:rPr>
        <w:t>2)</w:t>
      </w:r>
      <w:r w:rsidR="0049557D">
        <w:rPr>
          <w:rStyle w:val="a7"/>
          <w:rFonts w:ascii="Times New Roman" w:hAnsi="Times New Roman" w:cs="Times New Roman"/>
          <w:color w:val="000000" w:themeColor="text1"/>
          <w:sz w:val="24"/>
          <w:szCs w:val="24"/>
        </w:rPr>
        <w:t>.</w:t>
      </w:r>
    </w:p>
    <w:p w14:paraId="21F7B168"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с ИМпST и неклапанной ФП, нуждающихся в сочетании антикоагулянтов и антиагрегантов, прямые пероральные антикоагулянты предпочтительнее антагонистов витамина К, если к ним нет противопоказаний </w:t>
      </w:r>
      <w:hyperlink r:id="rId102" w:history="1">
        <w:r>
          <w:rPr>
            <w:rStyle w:val="a6"/>
            <w:rFonts w:ascii="Times New Roman" w:hAnsi="Times New Roman" w:cs="Times New Roman"/>
            <w:color w:val="000000" w:themeColor="text1"/>
            <w:sz w:val="24"/>
            <w:szCs w:val="24"/>
          </w:rPr>
          <w:t>[243-248]</w:t>
        </w:r>
      </w:hyperlink>
      <w:r>
        <w:rPr>
          <w:rFonts w:ascii="Times New Roman" w:hAnsi="Times New Roman" w:cs="Times New Roman"/>
          <w:color w:val="000000" w:themeColor="text1"/>
          <w:sz w:val="24"/>
          <w:szCs w:val="24"/>
        </w:rPr>
        <w:t>.</w:t>
      </w:r>
    </w:p>
    <w:p w14:paraId="365DAF6F" w14:textId="06CE4790" w:rsidR="00A43F72" w:rsidRPr="00F52FCA"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lastRenderedPageBreak/>
        <w:t>ЕОК</w:t>
      </w:r>
      <w:r>
        <w:rPr>
          <w:rStyle w:val="a7"/>
          <w:rFonts w:ascii="Times New Roman" w:hAnsi="Times New Roman" w:cs="Times New Roman"/>
          <w:color w:val="000000" w:themeColor="text1"/>
          <w:sz w:val="24"/>
          <w:szCs w:val="24"/>
          <w:lang w:val="en-US"/>
        </w:rPr>
        <w:t> IB</w:t>
      </w:r>
      <w:r w:rsidRPr="00F52FCA">
        <w:rPr>
          <w:rStyle w:val="a7"/>
          <w:rFonts w:ascii="Times New Roman" w:hAnsi="Times New Roman" w:cs="Times New Roman"/>
          <w:color w:val="000000" w:themeColor="text1"/>
          <w:sz w:val="24"/>
          <w:szCs w:val="24"/>
        </w:rPr>
        <w:t xml:space="preserve"> (</w:t>
      </w:r>
      <w:r>
        <w:rPr>
          <w:rStyle w:val="a7"/>
          <w:rFonts w:ascii="Times New Roman" w:hAnsi="Times New Roman" w:cs="Times New Roman"/>
          <w:color w:val="000000" w:themeColor="text1"/>
          <w:sz w:val="24"/>
          <w:szCs w:val="24"/>
        </w:rPr>
        <w:t>Уровень убедительности рекомендаций</w:t>
      </w:r>
      <w:r>
        <w:rPr>
          <w:rStyle w:val="a7"/>
          <w:rFonts w:ascii="Times New Roman" w:hAnsi="Times New Roman" w:cs="Times New Roman"/>
          <w:color w:val="000000" w:themeColor="text1"/>
          <w:sz w:val="24"/>
          <w:szCs w:val="24"/>
          <w:lang w:val="en-US"/>
        </w:rPr>
        <w:t> A</w:t>
      </w:r>
      <w:r w:rsidRPr="00F52FCA">
        <w:rPr>
          <w:rStyle w:val="a7"/>
          <w:rFonts w:ascii="Times New Roman" w:hAnsi="Times New Roman" w:cs="Times New Roman"/>
          <w:color w:val="000000" w:themeColor="text1"/>
          <w:sz w:val="24"/>
          <w:szCs w:val="24"/>
        </w:rPr>
        <w:t xml:space="preserve">, </w:t>
      </w:r>
      <w:r>
        <w:rPr>
          <w:rStyle w:val="a7"/>
          <w:rFonts w:ascii="Times New Roman" w:hAnsi="Times New Roman" w:cs="Times New Roman"/>
          <w:color w:val="000000" w:themeColor="text1"/>
          <w:sz w:val="24"/>
          <w:szCs w:val="24"/>
        </w:rPr>
        <w:t>Уровень достоверности докзательств</w:t>
      </w:r>
      <w:r>
        <w:rPr>
          <w:rStyle w:val="a7"/>
          <w:rFonts w:ascii="Times New Roman" w:hAnsi="Times New Roman" w:cs="Times New Roman"/>
          <w:color w:val="000000" w:themeColor="text1"/>
          <w:sz w:val="24"/>
          <w:szCs w:val="24"/>
          <w:lang w:val="en-US"/>
        </w:rPr>
        <w:t> </w:t>
      </w:r>
      <w:r w:rsidRPr="00F52FCA">
        <w:rPr>
          <w:rStyle w:val="a7"/>
          <w:rFonts w:ascii="Times New Roman" w:hAnsi="Times New Roman" w:cs="Times New Roman"/>
          <w:color w:val="000000" w:themeColor="text1"/>
          <w:sz w:val="24"/>
          <w:szCs w:val="24"/>
        </w:rPr>
        <w:t>1)</w:t>
      </w:r>
      <w:r w:rsidR="0049557D">
        <w:rPr>
          <w:rStyle w:val="a7"/>
          <w:rFonts w:ascii="Times New Roman" w:hAnsi="Times New Roman" w:cs="Times New Roman"/>
          <w:color w:val="000000" w:themeColor="text1"/>
          <w:sz w:val="24"/>
          <w:szCs w:val="24"/>
        </w:rPr>
        <w:t>.</w:t>
      </w:r>
    </w:p>
    <w:p w14:paraId="43200832"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с ИМпST и неклапанной ФП, нуждающихся в сочетании антикоагулянтов и антиагрегантов, для предотвращения тромбоэмболических осложнений рекомендуется апиксабан в дозе 5 мг 2 раза/сут. или 2,5 мг 2 раза/сут., если к нему нет противопоказаний </w:t>
      </w:r>
      <w:hyperlink r:id="rId103" w:history="1">
        <w:r>
          <w:rPr>
            <w:rStyle w:val="a6"/>
            <w:rFonts w:ascii="Times New Roman" w:hAnsi="Times New Roman" w:cs="Times New Roman"/>
            <w:color w:val="000000" w:themeColor="text1"/>
            <w:sz w:val="24"/>
            <w:szCs w:val="24"/>
          </w:rPr>
          <w:t>[246]</w:t>
        </w:r>
      </w:hyperlink>
      <w:r>
        <w:rPr>
          <w:rFonts w:ascii="Times New Roman" w:hAnsi="Times New Roman" w:cs="Times New Roman"/>
          <w:color w:val="000000" w:themeColor="text1"/>
          <w:sz w:val="24"/>
          <w:szCs w:val="24"/>
        </w:rPr>
        <w:t>.</w:t>
      </w:r>
    </w:p>
    <w:p w14:paraId="3EE73BF5" w14:textId="329C1975"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 IIaB (Уровень убедительности рекомендаций B, Уровень достоверности докзательств 2)</w:t>
      </w:r>
      <w:r w:rsidR="0049557D">
        <w:rPr>
          <w:rStyle w:val="a7"/>
          <w:rFonts w:ascii="Times New Roman" w:hAnsi="Times New Roman" w:cs="Times New Roman"/>
          <w:color w:val="000000" w:themeColor="text1"/>
          <w:sz w:val="24"/>
          <w:szCs w:val="24"/>
        </w:rPr>
        <w:t>.</w:t>
      </w:r>
    </w:p>
    <w:p w14:paraId="47F3FF05"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Комментарии.</w:t>
      </w:r>
      <w:r>
        <w:rPr>
          <w:rFonts w:ascii="Times New Roman" w:hAnsi="Times New Roman" w:cs="Times New Roman"/>
          <w:color w:val="000000" w:themeColor="text1"/>
          <w:sz w:val="24"/>
          <w:szCs w:val="24"/>
        </w:rPr>
        <w:t> </w:t>
      </w:r>
      <w:r>
        <w:rPr>
          <w:rStyle w:val="a5"/>
          <w:rFonts w:ascii="Times New Roman" w:hAnsi="Times New Roman" w:cs="Times New Roman"/>
          <w:color w:val="000000" w:themeColor="text1"/>
          <w:sz w:val="24"/>
          <w:szCs w:val="24"/>
        </w:rPr>
        <w:t>По имеющимся данным, апиксабан безопаснее варфарина в составе двойной и тройной антитромботической терапии при сходной с варфарином частоте коронарных осложнений. Апиксабан изучен как на больных с ИМпST, подвергнутых стентированию КА, так и при неинвазивном лечении ИМпST.</w:t>
      </w:r>
    </w:p>
    <w:p w14:paraId="768B348F"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5"/>
          <w:rFonts w:ascii="Times New Roman" w:hAnsi="Times New Roman" w:cs="Times New Roman"/>
          <w:color w:val="000000" w:themeColor="text1"/>
          <w:sz w:val="24"/>
          <w:szCs w:val="24"/>
        </w:rPr>
        <w:t>Стандартная доза апиксабана в этой клинической ситуации — 5 мг 2 раза/сут. При наличии как минимум 2 из указанных факторов — возраст ≥80 лет, масса тела ≤60 кг, креатинин в крови ≥133 мкмоль/л — используется доза 2,5 мг 2 раза/сут.</w:t>
      </w:r>
    </w:p>
    <w:p w14:paraId="556C58AB" w14:textId="2989758C"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 IIaB (Уровень убедительности рекомендаций B, Уровень достоверности докзательств 2)</w:t>
      </w:r>
      <w:r w:rsidR="0049557D">
        <w:rPr>
          <w:rStyle w:val="a7"/>
          <w:rFonts w:ascii="Times New Roman" w:hAnsi="Times New Roman" w:cs="Times New Roman"/>
          <w:color w:val="000000" w:themeColor="text1"/>
          <w:sz w:val="24"/>
          <w:szCs w:val="24"/>
        </w:rPr>
        <w:t>.</w:t>
      </w:r>
    </w:p>
    <w:p w14:paraId="389288BD"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с ИМпST и неклапанной ФП, нуждающихся в сочетании антикоагулянтов и антиагрегантов, для предотвращения тромбоэмболических осложнений при отсутствии противопоказаний рекомендуется ривароксабан в дозе 20 мг 1 раз/сут. (при КлКр 30-49 мл/мин — 15 мг 1 раз/сут.), а при преобладающем риске кровотечений 15 мг 1 раз/сут. (при КлКр 30-49 мл/мин — 10 мг 1 раз/сут.) </w:t>
      </w:r>
      <w:hyperlink r:id="rId104" w:history="1">
        <w:r>
          <w:rPr>
            <w:rStyle w:val="a6"/>
            <w:rFonts w:ascii="Times New Roman" w:hAnsi="Times New Roman" w:cs="Times New Roman"/>
            <w:color w:val="000000" w:themeColor="text1"/>
            <w:sz w:val="24"/>
            <w:szCs w:val="24"/>
          </w:rPr>
          <w:t>[9]</w:t>
        </w:r>
      </w:hyperlink>
      <w:hyperlink r:id="rId105" w:history="1">
        <w:r>
          <w:rPr>
            <w:rStyle w:val="a6"/>
            <w:rFonts w:ascii="Times New Roman" w:hAnsi="Times New Roman" w:cs="Times New Roman"/>
            <w:color w:val="000000" w:themeColor="text1"/>
            <w:sz w:val="24"/>
            <w:szCs w:val="24"/>
          </w:rPr>
          <w:t>[245]</w:t>
        </w:r>
      </w:hyperlink>
      <w:hyperlink r:id="rId106" w:history="1">
        <w:r>
          <w:rPr>
            <w:rStyle w:val="a6"/>
            <w:rFonts w:ascii="Times New Roman" w:hAnsi="Times New Roman" w:cs="Times New Roman"/>
            <w:color w:val="000000" w:themeColor="text1"/>
            <w:sz w:val="24"/>
            <w:szCs w:val="24"/>
          </w:rPr>
          <w:t>[249]</w:t>
        </w:r>
      </w:hyperlink>
      <w:hyperlink r:id="rId107" w:history="1">
        <w:r>
          <w:rPr>
            <w:rStyle w:val="a6"/>
            <w:rFonts w:ascii="Times New Roman" w:hAnsi="Times New Roman" w:cs="Times New Roman"/>
            <w:color w:val="000000" w:themeColor="text1"/>
            <w:sz w:val="24"/>
            <w:szCs w:val="24"/>
          </w:rPr>
          <w:t>[250]</w:t>
        </w:r>
      </w:hyperlink>
      <w:r>
        <w:rPr>
          <w:rFonts w:ascii="Times New Roman" w:hAnsi="Times New Roman" w:cs="Times New Roman"/>
          <w:color w:val="000000" w:themeColor="text1"/>
          <w:sz w:val="24"/>
          <w:szCs w:val="24"/>
        </w:rPr>
        <w:t>.</w:t>
      </w:r>
    </w:p>
    <w:p w14:paraId="689494B9" w14:textId="196F3FBF"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 IB (Уровень убедительности рекомендаций B, Уровень достоверности докзательств 2)</w:t>
      </w:r>
      <w:r w:rsidR="0049557D">
        <w:rPr>
          <w:rStyle w:val="a7"/>
          <w:rFonts w:ascii="Times New Roman" w:hAnsi="Times New Roman" w:cs="Times New Roman"/>
          <w:color w:val="000000" w:themeColor="text1"/>
          <w:sz w:val="24"/>
          <w:szCs w:val="24"/>
        </w:rPr>
        <w:t>.</w:t>
      </w:r>
    </w:p>
    <w:p w14:paraId="271A63C9"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Комментарии.</w:t>
      </w:r>
      <w:r>
        <w:rPr>
          <w:rFonts w:ascii="Times New Roman" w:hAnsi="Times New Roman" w:cs="Times New Roman"/>
          <w:color w:val="000000" w:themeColor="text1"/>
          <w:sz w:val="24"/>
          <w:szCs w:val="24"/>
        </w:rPr>
        <w:t> </w:t>
      </w:r>
      <w:r>
        <w:rPr>
          <w:rStyle w:val="a5"/>
          <w:rFonts w:ascii="Times New Roman" w:hAnsi="Times New Roman" w:cs="Times New Roman"/>
          <w:color w:val="000000" w:themeColor="text1"/>
          <w:sz w:val="24"/>
          <w:szCs w:val="24"/>
        </w:rPr>
        <w:t xml:space="preserve">Ривароксабан в дозе 15 мг 1 раз/сут. (при КлКр 30-49 мл/мин — #10 мг 1 раз/сут.) в сочетании с преимущественно клопидогрелом у больных, подвергнутых стентированию КА, безопаснее тройной антитромботической терапии (сочетание варфарина, преимущественно клопидогрел и АСК). Если риск кардиоэмболических и коронарных осложнений превышает опасность кровотечений, рекомендуется </w:t>
      </w:r>
      <w:r>
        <w:rPr>
          <w:rStyle w:val="a5"/>
          <w:rFonts w:ascii="Times New Roman" w:hAnsi="Times New Roman" w:cs="Times New Roman"/>
          <w:color w:val="000000" w:themeColor="text1"/>
          <w:sz w:val="24"/>
          <w:szCs w:val="24"/>
        </w:rPr>
        <w:lastRenderedPageBreak/>
        <w:t>применение стандартных доз ривароксабана, рекомендованных для больных с неклапанной ФП (20 мг 1 раз/сут., при КлКр 30-49 мл/мин — 15 мг 1 раз/сут.).</w:t>
      </w:r>
    </w:p>
    <w:p w14:paraId="3A72E30C"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с ИМпST и неклапанной ФП при применении антагонистов витамина К в сочетании с антитромбоцитарными препаратами для обеспечения геморрагической безопасности рекомендуется поддерживать МНО в диапазоне 2,0-2,5, а время нахождения МНО в терапевтическом диапазоне — не &lt;70% </w:t>
      </w:r>
      <w:hyperlink r:id="rId108" w:history="1">
        <w:r>
          <w:rPr>
            <w:rStyle w:val="a6"/>
            <w:rFonts w:ascii="Times New Roman" w:hAnsi="Times New Roman" w:cs="Times New Roman"/>
            <w:color w:val="000000" w:themeColor="text1"/>
            <w:sz w:val="24"/>
            <w:szCs w:val="24"/>
          </w:rPr>
          <w:t>[9]</w:t>
        </w:r>
      </w:hyperlink>
      <w:r>
        <w:rPr>
          <w:rFonts w:ascii="Times New Roman" w:hAnsi="Times New Roman" w:cs="Times New Roman"/>
          <w:color w:val="000000" w:themeColor="text1"/>
          <w:sz w:val="24"/>
          <w:szCs w:val="24"/>
        </w:rPr>
        <w:t>.</w:t>
      </w:r>
    </w:p>
    <w:p w14:paraId="647D12B5" w14:textId="5BED4B9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 IIaB (Уровень убедительности рекомендаций C, Уровень достоверности докзательств 5)</w:t>
      </w:r>
      <w:r w:rsidR="0049557D">
        <w:rPr>
          <w:rStyle w:val="a7"/>
          <w:rFonts w:ascii="Times New Roman" w:hAnsi="Times New Roman" w:cs="Times New Roman"/>
          <w:color w:val="000000" w:themeColor="text1"/>
          <w:sz w:val="24"/>
          <w:szCs w:val="24"/>
        </w:rPr>
        <w:t>.</w:t>
      </w:r>
    </w:p>
    <w:p w14:paraId="2D43914E"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Комментарии. </w:t>
      </w:r>
      <w:r>
        <w:rPr>
          <w:rStyle w:val="a5"/>
          <w:rFonts w:ascii="Times New Roman" w:hAnsi="Times New Roman" w:cs="Times New Roman"/>
          <w:color w:val="000000" w:themeColor="text1"/>
          <w:sz w:val="24"/>
          <w:szCs w:val="24"/>
        </w:rPr>
        <w:t>Целевые значения МНО при других показаниях к антагонисту витамина К могут быть выше (например, у больных с механическими протезами клапанов сердца, при тромбоэмболических осложнениях на фоне указанных значений МНО).</w:t>
      </w:r>
    </w:p>
    <w:p w14:paraId="142A383A"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с подозрением на ИМпST, получающих пероральный антикоагулянт, для уменьшения риска кровотечений не рекомендуется использовать ингибиторы Р2Y</w:t>
      </w:r>
      <w:r>
        <w:rPr>
          <w:rFonts w:ascii="Times New Roman" w:hAnsi="Times New Roman" w:cs="Times New Roman"/>
          <w:color w:val="000000" w:themeColor="text1"/>
          <w:sz w:val="24"/>
          <w:szCs w:val="24"/>
          <w:vertAlign w:val="subscript"/>
        </w:rPr>
        <w:t>12</w:t>
      </w:r>
      <w:r>
        <w:rPr>
          <w:rFonts w:ascii="Times New Roman" w:hAnsi="Times New Roman" w:cs="Times New Roman"/>
          <w:color w:val="000000" w:themeColor="text1"/>
          <w:sz w:val="24"/>
          <w:szCs w:val="24"/>
        </w:rPr>
        <w:t>-рецепторов тромбоцитов до получения результатов КГ и принятия решения о выполнении ЧКВ, а целесообразность применения ингибиторов ГП IIb/IIIa рецепторов тромбоцитов рассматривать только при очевидных тромботических осложнениях ЧКВ </w:t>
      </w:r>
      <w:hyperlink r:id="rId109" w:history="1">
        <w:r>
          <w:rPr>
            <w:rStyle w:val="a6"/>
            <w:rFonts w:ascii="Times New Roman" w:hAnsi="Times New Roman" w:cs="Times New Roman"/>
            <w:color w:val="000000" w:themeColor="text1"/>
            <w:sz w:val="24"/>
            <w:szCs w:val="24"/>
          </w:rPr>
          <w:t>[9]</w:t>
        </w:r>
      </w:hyperlink>
      <w:r>
        <w:rPr>
          <w:rFonts w:ascii="Times New Roman" w:hAnsi="Times New Roman" w:cs="Times New Roman"/>
          <w:color w:val="000000" w:themeColor="text1"/>
          <w:sz w:val="24"/>
          <w:szCs w:val="24"/>
        </w:rPr>
        <w:t>.</w:t>
      </w:r>
    </w:p>
    <w:p w14:paraId="32BBC936" w14:textId="3979CB74"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 IIIC (Уровень убедительности рекомендаций С, Уровень достоверности докзательств 5)</w:t>
      </w:r>
      <w:r w:rsidR="0049557D">
        <w:rPr>
          <w:rStyle w:val="a7"/>
          <w:rFonts w:ascii="Times New Roman" w:hAnsi="Times New Roman" w:cs="Times New Roman"/>
          <w:color w:val="000000" w:themeColor="text1"/>
          <w:sz w:val="24"/>
          <w:szCs w:val="24"/>
        </w:rPr>
        <w:t>.</w:t>
      </w:r>
    </w:p>
    <w:p w14:paraId="6922E2AC"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Для защиты слизистой желудка и снижения риска желудочно-кишечных кровотечений во время применения тройной антитромботической терапии (сочетание перорального антикоагулянта с ингибитором Р2Y</w:t>
      </w:r>
      <w:r>
        <w:rPr>
          <w:rFonts w:ascii="Times New Roman" w:hAnsi="Times New Roman" w:cs="Times New Roman"/>
          <w:color w:val="000000" w:themeColor="text1"/>
          <w:sz w:val="24"/>
          <w:szCs w:val="24"/>
          <w:vertAlign w:val="subscript"/>
        </w:rPr>
        <w:t>12</w:t>
      </w:r>
      <w:r>
        <w:rPr>
          <w:rFonts w:ascii="Times New Roman" w:hAnsi="Times New Roman" w:cs="Times New Roman"/>
          <w:color w:val="000000" w:themeColor="text1"/>
          <w:sz w:val="24"/>
          <w:szCs w:val="24"/>
        </w:rPr>
        <w:t>-рецепторов тромбоцитов и АСК) или двойной антитромботической терапии (сочетание перорального антикоагулянта с ингибитором Р2Y</w:t>
      </w:r>
      <w:r>
        <w:rPr>
          <w:rFonts w:ascii="Times New Roman" w:hAnsi="Times New Roman" w:cs="Times New Roman"/>
          <w:color w:val="000000" w:themeColor="text1"/>
          <w:sz w:val="24"/>
          <w:szCs w:val="24"/>
          <w:vertAlign w:val="subscript"/>
        </w:rPr>
        <w:t>12</w:t>
      </w:r>
      <w:r>
        <w:rPr>
          <w:rFonts w:ascii="Times New Roman" w:hAnsi="Times New Roman" w:cs="Times New Roman"/>
          <w:color w:val="000000" w:themeColor="text1"/>
          <w:sz w:val="24"/>
          <w:szCs w:val="24"/>
        </w:rPr>
        <w:t>-рецепторов тромбоцитов или АСК) у пациентов с высоким риском желудочно-кишечных кровотечений рекомендуется использовать ингибиторы протонного насоса </w:t>
      </w:r>
      <w:hyperlink r:id="rId110" w:history="1">
        <w:r>
          <w:rPr>
            <w:rStyle w:val="a6"/>
            <w:rFonts w:ascii="Times New Roman" w:hAnsi="Times New Roman" w:cs="Times New Roman"/>
            <w:color w:val="000000" w:themeColor="text1"/>
            <w:sz w:val="24"/>
            <w:szCs w:val="24"/>
          </w:rPr>
          <w:t>[251-254]</w:t>
        </w:r>
      </w:hyperlink>
      <w:r>
        <w:rPr>
          <w:rFonts w:ascii="Times New Roman" w:hAnsi="Times New Roman" w:cs="Times New Roman"/>
          <w:color w:val="000000" w:themeColor="text1"/>
          <w:sz w:val="24"/>
          <w:szCs w:val="24"/>
        </w:rPr>
        <w:t>.</w:t>
      </w:r>
    </w:p>
    <w:p w14:paraId="7A5EDA51" w14:textId="107EF4B0"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РКО IA (Уровень убедительности рекомендаций B, Уровень достоверности докзательств 2)</w:t>
      </w:r>
      <w:r w:rsidR="0049557D">
        <w:rPr>
          <w:rStyle w:val="a7"/>
          <w:rFonts w:ascii="Times New Roman" w:hAnsi="Times New Roman" w:cs="Times New Roman"/>
          <w:color w:val="000000" w:themeColor="text1"/>
          <w:sz w:val="24"/>
          <w:szCs w:val="24"/>
        </w:rPr>
        <w:t>.</w:t>
      </w:r>
    </w:p>
    <w:p w14:paraId="23EA3C9B"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Комментарии.</w:t>
      </w:r>
      <w:r>
        <w:rPr>
          <w:rFonts w:ascii="Times New Roman" w:hAnsi="Times New Roman" w:cs="Times New Roman"/>
          <w:color w:val="000000" w:themeColor="text1"/>
          <w:sz w:val="24"/>
          <w:szCs w:val="24"/>
        </w:rPr>
        <w:t> </w:t>
      </w:r>
      <w:r>
        <w:rPr>
          <w:rStyle w:val="a5"/>
          <w:rFonts w:ascii="Times New Roman" w:hAnsi="Times New Roman" w:cs="Times New Roman"/>
          <w:color w:val="000000" w:themeColor="text1"/>
          <w:sz w:val="24"/>
          <w:szCs w:val="24"/>
        </w:rPr>
        <w:t xml:space="preserve">Риск желудочно-кишечных кровотечений повышен при язвенной болезни или желудочно-кишечном кровотечении в анамнезе, хроническом использовании нестероидных противовоспалительных средств или кортикостероидов, а также </w:t>
      </w:r>
      <w:r>
        <w:rPr>
          <w:rStyle w:val="a5"/>
          <w:rFonts w:ascii="Times New Roman" w:hAnsi="Times New Roman" w:cs="Times New Roman"/>
          <w:color w:val="000000" w:themeColor="text1"/>
          <w:sz w:val="24"/>
          <w:szCs w:val="24"/>
        </w:rPr>
        <w:lastRenderedPageBreak/>
        <w:t>при наличии как минимум 2 из следующих признаков — возраст ≥65 лет, диспепсия, желудочно-пищеводный рефлюкс, инфицирование Helicobacterpylori, хроническое употребление алкоголя.</w:t>
      </w:r>
    </w:p>
    <w:p w14:paraId="6C23BE6D"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5"/>
          <w:rFonts w:ascii="Times New Roman" w:hAnsi="Times New Roman" w:cs="Times New Roman"/>
          <w:color w:val="000000" w:themeColor="text1"/>
          <w:sz w:val="24"/>
          <w:szCs w:val="24"/>
        </w:rPr>
        <w:t>Известно о возможном ослаблении антитромбоцитарного эффекта клопидогрела (по результатам лабораторной оценки активности тромбоцитов) при его сочетании с омепразолом или эзомепразолом, но не с пантопразолом или рабепразолом </w:t>
      </w:r>
      <w:hyperlink r:id="rId111" w:history="1">
        <w:r>
          <w:rPr>
            <w:rStyle w:val="a6"/>
            <w:rFonts w:ascii="Times New Roman" w:hAnsi="Times New Roman" w:cs="Times New Roman"/>
            <w:i/>
            <w:iCs/>
            <w:color w:val="000000" w:themeColor="text1"/>
            <w:sz w:val="24"/>
            <w:szCs w:val="24"/>
          </w:rPr>
          <w:t>[203]</w:t>
        </w:r>
      </w:hyperlink>
      <w:r>
        <w:rPr>
          <w:rStyle w:val="a5"/>
          <w:rFonts w:ascii="Times New Roman" w:hAnsi="Times New Roman" w:cs="Times New Roman"/>
          <w:color w:val="000000" w:themeColor="text1"/>
          <w:sz w:val="24"/>
          <w:szCs w:val="24"/>
        </w:rPr>
        <w:t>. Нет доказательств, что эти лекарственные взаимодействия оказывают неблагоприятное влияние на клинические результаты лечения.</w:t>
      </w:r>
    </w:p>
    <w:p w14:paraId="324D5DAD" w14:textId="24DD828B" w:rsidR="00A43F72" w:rsidRDefault="00A43F72" w:rsidP="00A419DB">
      <w:pPr>
        <w:pStyle w:val="20"/>
        <w:suppressAutoHyphens/>
        <w:spacing w:line="360" w:lineRule="auto"/>
        <w:jc w:val="both"/>
        <w:rPr>
          <w:rFonts w:ascii="Times New Roman" w:eastAsia="Calibri" w:hAnsi="Times New Roman" w:cs="Times New Roman"/>
          <w:bCs w:val="0"/>
          <w:iCs/>
          <w:color w:val="000000" w:themeColor="text1"/>
          <w:sz w:val="24"/>
          <w:szCs w:val="24"/>
        </w:rPr>
      </w:pPr>
      <w:bookmarkStart w:id="23" w:name="_Toc236138931"/>
      <w:r>
        <w:rPr>
          <w:rFonts w:ascii="Times New Roman" w:hAnsi="Times New Roman" w:cs="Times New Roman"/>
          <w:color w:val="000000" w:themeColor="text1"/>
          <w:sz w:val="24"/>
          <w:szCs w:val="24"/>
        </w:rPr>
        <w:t>Альтернативные подходы к выбору длительности и составу двойной антитромбоцитарной терапии (сочетания АСК с ингибитором Р2Y</w:t>
      </w:r>
      <w:r>
        <w:rPr>
          <w:rFonts w:ascii="Times New Roman" w:hAnsi="Times New Roman" w:cs="Times New Roman"/>
          <w:color w:val="000000" w:themeColor="text1"/>
          <w:sz w:val="24"/>
          <w:szCs w:val="24"/>
          <w:vertAlign w:val="subscript"/>
        </w:rPr>
        <w:t>12</w:t>
      </w:r>
      <w:r>
        <w:rPr>
          <w:rFonts w:ascii="Times New Roman" w:hAnsi="Times New Roman" w:cs="Times New Roman"/>
          <w:color w:val="000000" w:themeColor="text1"/>
          <w:sz w:val="24"/>
          <w:szCs w:val="24"/>
        </w:rPr>
        <w:t>-рецепторов тромбоцитов) в первые 12 мес. после ИМпST</w:t>
      </w:r>
      <w:bookmarkEnd w:id="23"/>
    </w:p>
    <w:p w14:paraId="5D0F75E9"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определении длительности двойной антитромбоцитарной терапии у пациентов, перенесших ИМпST, большую роль играет соотношение риска ишемических и риска геморрагических осложнений. Критерии повышенного ишемического риска изложены в Разделе 3.2.3.4. "Антитромботическая терапия через 12 мес. после ИМпST".</w:t>
      </w:r>
    </w:p>
    <w:p w14:paraId="352B5119"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оценке геморрагического риска важную роль играет шкала высокого риска кровотечений Консорциума академических исследований (ARС-HBR — Academic Research Consortiumfor High Bleeding Risk).У пациентов с ИМпST, подвергнутых ЧКВ, без высокого риска ишемических осложнений, не имевших ишемических осложнений в период двойной антитромбоцитарной терапии (сочетание АСК с ингибитором Р2Y</w:t>
      </w:r>
      <w:r>
        <w:rPr>
          <w:rFonts w:ascii="Times New Roman" w:hAnsi="Times New Roman" w:cs="Times New Roman"/>
          <w:color w:val="000000" w:themeColor="text1"/>
          <w:sz w:val="24"/>
          <w:szCs w:val="24"/>
          <w:vertAlign w:val="subscript"/>
        </w:rPr>
        <w:t>12</w:t>
      </w:r>
      <w:r>
        <w:rPr>
          <w:rFonts w:ascii="Times New Roman" w:hAnsi="Times New Roman" w:cs="Times New Roman"/>
          <w:color w:val="000000" w:themeColor="text1"/>
          <w:sz w:val="24"/>
          <w:szCs w:val="24"/>
        </w:rPr>
        <w:t>-рецепторов тромбоцитов), рекомендуется ограничить ее продолжительность 3-6 мес., перейдя на монотерапию ингибитором Р2Y</w:t>
      </w:r>
      <w:r>
        <w:rPr>
          <w:rFonts w:ascii="Times New Roman" w:hAnsi="Times New Roman" w:cs="Times New Roman"/>
          <w:color w:val="000000" w:themeColor="text1"/>
          <w:sz w:val="24"/>
          <w:szCs w:val="24"/>
          <w:vertAlign w:val="subscript"/>
        </w:rPr>
        <w:t>12</w:t>
      </w:r>
      <w:r>
        <w:rPr>
          <w:rFonts w:ascii="Times New Roman" w:hAnsi="Times New Roman" w:cs="Times New Roman"/>
          <w:color w:val="000000" w:themeColor="text1"/>
          <w:sz w:val="24"/>
          <w:szCs w:val="24"/>
        </w:rPr>
        <w:t>-рецепторов тромбоцитов, для снижения риска кровотечений и опосредованного снижения риска ишемических событий </w:t>
      </w:r>
      <w:hyperlink r:id="rId112" w:history="1">
        <w:r>
          <w:rPr>
            <w:rStyle w:val="a6"/>
            <w:rFonts w:ascii="Times New Roman" w:hAnsi="Times New Roman" w:cs="Times New Roman"/>
            <w:color w:val="000000" w:themeColor="text1"/>
            <w:sz w:val="24"/>
            <w:szCs w:val="24"/>
          </w:rPr>
          <w:t>[256-262]</w:t>
        </w:r>
      </w:hyperlink>
      <w:r>
        <w:rPr>
          <w:rFonts w:ascii="Times New Roman" w:hAnsi="Times New Roman" w:cs="Times New Roman"/>
          <w:color w:val="000000" w:themeColor="text1"/>
          <w:sz w:val="24"/>
          <w:szCs w:val="24"/>
        </w:rPr>
        <w:t>.</w:t>
      </w:r>
    </w:p>
    <w:p w14:paraId="59D303AC" w14:textId="717DCBB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 IIaA (Уровень убедительности рекомендаций A, Уровень достоверности докзательств 2)</w:t>
      </w:r>
      <w:r w:rsidR="0049557D">
        <w:rPr>
          <w:rStyle w:val="a7"/>
          <w:rFonts w:ascii="Times New Roman" w:hAnsi="Times New Roman" w:cs="Times New Roman"/>
          <w:color w:val="000000" w:themeColor="text1"/>
          <w:sz w:val="24"/>
          <w:szCs w:val="24"/>
        </w:rPr>
        <w:t>.</w:t>
      </w:r>
    </w:p>
    <w:p w14:paraId="0F40C44A"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с ИМпST и высоким риском кровотечений рекомендуется рассмотреть переход с сочетания АСК с ингибитором Р2Y</w:t>
      </w:r>
      <w:r>
        <w:rPr>
          <w:rFonts w:ascii="Times New Roman" w:hAnsi="Times New Roman" w:cs="Times New Roman"/>
          <w:color w:val="000000" w:themeColor="text1"/>
          <w:sz w:val="24"/>
          <w:szCs w:val="24"/>
          <w:vertAlign w:val="subscript"/>
        </w:rPr>
        <w:t>12</w:t>
      </w:r>
      <w:r>
        <w:rPr>
          <w:rFonts w:ascii="Times New Roman" w:hAnsi="Times New Roman" w:cs="Times New Roman"/>
          <w:color w:val="000000" w:themeColor="text1"/>
          <w:sz w:val="24"/>
          <w:szCs w:val="24"/>
        </w:rPr>
        <w:t>-рецепторов тромбоцитов (двойная антитромбоцитарная терапия) на монотерапию ингибитором Р2Y</w:t>
      </w:r>
      <w:r>
        <w:rPr>
          <w:rFonts w:ascii="Times New Roman" w:hAnsi="Times New Roman" w:cs="Times New Roman"/>
          <w:color w:val="000000" w:themeColor="text1"/>
          <w:sz w:val="24"/>
          <w:szCs w:val="24"/>
          <w:vertAlign w:val="subscript"/>
        </w:rPr>
        <w:t>12</w:t>
      </w:r>
      <w:r>
        <w:rPr>
          <w:rFonts w:ascii="Times New Roman" w:hAnsi="Times New Roman" w:cs="Times New Roman"/>
          <w:color w:val="000000" w:themeColor="text1"/>
          <w:sz w:val="24"/>
          <w:szCs w:val="24"/>
        </w:rPr>
        <w:t>-рецептора тромбоцитов или АСК через 1 мес. после начала лечения </w:t>
      </w:r>
      <w:hyperlink r:id="rId113" w:history="1">
        <w:r>
          <w:rPr>
            <w:rStyle w:val="a6"/>
            <w:rFonts w:ascii="Times New Roman" w:hAnsi="Times New Roman" w:cs="Times New Roman"/>
            <w:color w:val="000000" w:themeColor="text1"/>
            <w:sz w:val="24"/>
            <w:szCs w:val="24"/>
          </w:rPr>
          <w:t>[263]</w:t>
        </w:r>
      </w:hyperlink>
      <w:hyperlink r:id="rId114" w:history="1">
        <w:r>
          <w:rPr>
            <w:rStyle w:val="a6"/>
            <w:rFonts w:ascii="Times New Roman" w:hAnsi="Times New Roman" w:cs="Times New Roman"/>
            <w:color w:val="000000" w:themeColor="text1"/>
            <w:sz w:val="24"/>
            <w:szCs w:val="24"/>
          </w:rPr>
          <w:t>[264]</w:t>
        </w:r>
      </w:hyperlink>
      <w:r>
        <w:rPr>
          <w:rFonts w:ascii="Times New Roman" w:hAnsi="Times New Roman" w:cs="Times New Roman"/>
          <w:color w:val="000000" w:themeColor="text1"/>
          <w:sz w:val="24"/>
          <w:szCs w:val="24"/>
        </w:rPr>
        <w:t>.</w:t>
      </w:r>
    </w:p>
    <w:p w14:paraId="42B70673" w14:textId="09D45A74"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 IIbB (Уровень убедительности рекомендаций B, Уровень достоверности докзательств 2)</w:t>
      </w:r>
      <w:r w:rsidR="00004944">
        <w:rPr>
          <w:rStyle w:val="a7"/>
          <w:rFonts w:ascii="Times New Roman" w:hAnsi="Times New Roman" w:cs="Times New Roman"/>
          <w:color w:val="000000" w:themeColor="text1"/>
          <w:sz w:val="24"/>
          <w:szCs w:val="24"/>
        </w:rPr>
        <w:t>.</w:t>
      </w:r>
    </w:p>
    <w:p w14:paraId="027F5321"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У пациентов с ИМпST, подвергнутых ЧКВ, не имевших ишемических осложнений в первый месяц двойной антитромбоцитарной терапии, рекомендуется рассмотреть переход с сочетания АСК с тикагрелором или прасугрелом на сочетание АСК с клопидогрелом ("деэскалация" двойной антитромбоцитарной терапии) для снижения риска кровотечений и опосредованного снижения риска ишемических событий </w:t>
      </w:r>
      <w:hyperlink r:id="rId115" w:history="1">
        <w:r>
          <w:rPr>
            <w:rStyle w:val="a6"/>
            <w:rFonts w:ascii="Times New Roman" w:hAnsi="Times New Roman" w:cs="Times New Roman"/>
            <w:color w:val="000000" w:themeColor="text1"/>
            <w:sz w:val="24"/>
            <w:szCs w:val="24"/>
          </w:rPr>
          <w:t>[265-268]</w:t>
        </w:r>
      </w:hyperlink>
      <w:r>
        <w:rPr>
          <w:rFonts w:ascii="Times New Roman" w:hAnsi="Times New Roman" w:cs="Times New Roman"/>
          <w:color w:val="000000" w:themeColor="text1"/>
          <w:sz w:val="24"/>
          <w:szCs w:val="24"/>
        </w:rPr>
        <w:t>.</w:t>
      </w:r>
    </w:p>
    <w:p w14:paraId="69A4DB4C" w14:textId="329EDCBF"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 IIbA (Уровень убедительности рекомендаций В, Уровень достоверности докзательств 2)</w:t>
      </w:r>
      <w:r w:rsidR="00004944">
        <w:rPr>
          <w:rStyle w:val="a7"/>
          <w:rFonts w:ascii="Times New Roman" w:hAnsi="Times New Roman" w:cs="Times New Roman"/>
          <w:color w:val="000000" w:themeColor="text1"/>
          <w:sz w:val="24"/>
          <w:szCs w:val="24"/>
        </w:rPr>
        <w:t>.</w:t>
      </w:r>
    </w:p>
    <w:p w14:paraId="747DE94C"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Комментарии.</w:t>
      </w:r>
      <w:r>
        <w:rPr>
          <w:rStyle w:val="a5"/>
          <w:rFonts w:ascii="Times New Roman" w:hAnsi="Times New Roman" w:cs="Times New Roman"/>
          <w:color w:val="000000" w:themeColor="text1"/>
          <w:sz w:val="24"/>
          <w:szCs w:val="24"/>
        </w:rPr>
        <w:t> К настоящему времени "деэскалация" двойной антитромбоцитарной терапии с заменой тикагрелора или прасугрела на клопидогрел в первый месяц после начала лечения ОКС не рекомендуется. Подход к "деэскалации" двойной антитромбоцитарной терапии на основании лабораторных данных (с учетом остаточной реактивности тромбоцитов, полиморфизмов изофермента цитохрома Р450 С19), изученный при ОКСпST в ранние сроки после ЧКВ, не имеет преимуществ перед "деэскалацией" без привлечения лабораторных показателей.</w:t>
      </w:r>
    </w:p>
    <w:p w14:paraId="1D6BEEAA" w14:textId="60E5C378" w:rsidR="00A43F72" w:rsidRDefault="00A43F72" w:rsidP="00A419DB">
      <w:pPr>
        <w:pStyle w:val="20"/>
        <w:suppressAutoHyphens/>
        <w:spacing w:line="360" w:lineRule="auto"/>
        <w:jc w:val="both"/>
        <w:rPr>
          <w:rFonts w:ascii="Times New Roman" w:eastAsia="Calibri" w:hAnsi="Times New Roman" w:cs="Times New Roman"/>
          <w:iCs/>
          <w:color w:val="000000" w:themeColor="text1"/>
          <w:sz w:val="24"/>
          <w:szCs w:val="24"/>
        </w:rPr>
      </w:pPr>
      <w:bookmarkStart w:id="24" w:name="_Toc236138932"/>
      <w:r>
        <w:rPr>
          <w:rFonts w:ascii="Times New Roman" w:hAnsi="Times New Roman" w:cs="Times New Roman"/>
          <w:color w:val="000000" w:themeColor="text1"/>
          <w:sz w:val="24"/>
          <w:szCs w:val="24"/>
        </w:rPr>
        <w:t>Антитромботическая терапия через 12 мес. после ИМпST у пациентов, не имеющих показаний к длительному пероральному приему антикоагулянтов</w:t>
      </w:r>
      <w:bookmarkEnd w:id="24"/>
    </w:p>
    <w:p w14:paraId="50AFB285"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перенесших ИМпST, с высоким риском коронарных осложнений и низким риском кровотечений, не имевших кровотечений в течение первого года лечения, для снижения риска смерти, повторного ИМ, суммарного риска ишемических событий рекомендуется продление двойной антитромботической терапии (сочетание АСК с ингибитором Р2Y</w:t>
      </w:r>
      <w:r>
        <w:rPr>
          <w:rFonts w:ascii="Times New Roman" w:hAnsi="Times New Roman" w:cs="Times New Roman"/>
          <w:color w:val="000000" w:themeColor="text1"/>
          <w:sz w:val="24"/>
          <w:szCs w:val="24"/>
          <w:vertAlign w:val="subscript"/>
        </w:rPr>
        <w:t>12</w:t>
      </w:r>
      <w:r>
        <w:rPr>
          <w:rFonts w:ascii="Times New Roman" w:hAnsi="Times New Roman" w:cs="Times New Roman"/>
          <w:color w:val="000000" w:themeColor="text1"/>
          <w:sz w:val="24"/>
          <w:szCs w:val="24"/>
        </w:rPr>
        <w:t>-рецепторов тромбоцитов или ривароксабаном в дозе 2,5 мг 2 раза/сут.) на более длительный срок. При этом в ходе наблюдения соотношение пользы и риска продления двойной антитромботической терапии должно регулярно оцениваться повторно </w:t>
      </w:r>
      <w:hyperlink r:id="rId116" w:history="1">
        <w:r>
          <w:rPr>
            <w:rStyle w:val="a6"/>
            <w:rFonts w:ascii="Times New Roman" w:hAnsi="Times New Roman" w:cs="Times New Roman"/>
            <w:color w:val="000000" w:themeColor="text1"/>
            <w:sz w:val="24"/>
            <w:szCs w:val="24"/>
          </w:rPr>
          <w:t>[269-273]</w:t>
        </w:r>
      </w:hyperlink>
      <w:r>
        <w:rPr>
          <w:rFonts w:ascii="Times New Roman" w:hAnsi="Times New Roman" w:cs="Times New Roman"/>
          <w:color w:val="000000" w:themeColor="text1"/>
          <w:sz w:val="24"/>
          <w:szCs w:val="24"/>
        </w:rPr>
        <w:t>.</w:t>
      </w:r>
    </w:p>
    <w:p w14:paraId="7F606C15" w14:textId="1387659A"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 IIaА (Уровень убедительности рекомендаций B, Уровень достоверности докзательств 2)</w:t>
      </w:r>
      <w:r w:rsidR="00004944">
        <w:rPr>
          <w:rStyle w:val="a7"/>
          <w:rFonts w:ascii="Times New Roman" w:hAnsi="Times New Roman" w:cs="Times New Roman"/>
          <w:color w:val="000000" w:themeColor="text1"/>
          <w:sz w:val="24"/>
          <w:szCs w:val="24"/>
        </w:rPr>
        <w:t>.</w:t>
      </w:r>
    </w:p>
    <w:p w14:paraId="311F64AE"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Комментарии. </w:t>
      </w:r>
      <w:r>
        <w:rPr>
          <w:rStyle w:val="a5"/>
          <w:rFonts w:ascii="Times New Roman" w:hAnsi="Times New Roman" w:cs="Times New Roman"/>
          <w:color w:val="000000" w:themeColor="text1"/>
          <w:sz w:val="24"/>
          <w:szCs w:val="24"/>
        </w:rPr>
        <w:t xml:space="preserve">В пользу высокого риска коронарных осложнений свидетельствует сочетание коронарной болезни сердца в сочетании с одним из следующих критериев: СД, требующий лечения; повторные ИМ в анамнезе; многососудистая коронарная болезнь сердца; сочетание коронарного и периферического атеросклероза; преждевременная коронарная болезнь сердца (в возрасте до 45 лет); ускоренное развитие коронарной болезни сердца (два острых коронарных события за предшествующие 2 года); </w:t>
      </w:r>
      <w:r>
        <w:rPr>
          <w:rStyle w:val="a5"/>
          <w:rFonts w:ascii="Times New Roman" w:hAnsi="Times New Roman" w:cs="Times New Roman"/>
          <w:color w:val="000000" w:themeColor="text1"/>
          <w:sz w:val="24"/>
          <w:szCs w:val="24"/>
        </w:rPr>
        <w:lastRenderedPageBreak/>
        <w:t>хроническое системное воспалительное заболевание (системная красная волчанка, артрит, носительство ВИЧ); рСКФ 15-59 мл/мин/1,73 м²; технические аспекты выполненного ЧКВ — имплантация как минимум 3 стентов, вмешательство как минимум на 3 стенозах, общая длина стентов &gt;60 мм, комплексная реваскуляризация (стентирование ствола левой КА, бифуркационное стентирование как минимум 2 стентами, стентирование хронических окклюзий, стентирование последнего проходимого сосуда); тромбоз стента в анамнезе на фоне лечения антиагрегантами.</w:t>
      </w:r>
    </w:p>
    <w:p w14:paraId="1C663537"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5"/>
          <w:rFonts w:ascii="Times New Roman" w:hAnsi="Times New Roman" w:cs="Times New Roman"/>
          <w:color w:val="000000" w:themeColor="text1"/>
          <w:sz w:val="24"/>
          <w:szCs w:val="24"/>
        </w:rPr>
        <w:t>О высоком риске кровотечений свидетельствуют внутричерепное кровотечение, ишемический инсульт или другая внутричерепная патология в анамнезе, недавнее желудочно-кишечное кровотечение или анемия из-за потери крови через желудочно-кишечный тракт, другая патология желудочно-кишечного тракта с повышенным риском кровотечений, печеночная недостаточность, геморрагический диатез или коагулопатия, старческий возраст или старческая астения, ХБП, требующая диализа или с рСКФ&lt;15 мл/мин/1,73 м².</w:t>
      </w:r>
    </w:p>
    <w:p w14:paraId="181435D5"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перенесших ИМпST, с высоким риском коронарных осложнений, не имевших кровотечений в первый год двойной антитромбоцитарной терапии, для снижения риска ишемических событий рекомендуется ее продление в виде сочетания АСК с уменьшенной дозой тикагрелора (60 мг 2 раза/сут. внутрь) на дополнительные 36 мес. </w:t>
      </w:r>
      <w:hyperlink r:id="rId117" w:history="1">
        <w:r>
          <w:rPr>
            <w:rStyle w:val="a6"/>
            <w:rFonts w:ascii="Times New Roman" w:hAnsi="Times New Roman" w:cs="Times New Roman"/>
            <w:color w:val="000000" w:themeColor="text1"/>
            <w:sz w:val="24"/>
            <w:szCs w:val="24"/>
          </w:rPr>
          <w:t>[272]</w:t>
        </w:r>
      </w:hyperlink>
      <w:hyperlink r:id="rId118" w:history="1">
        <w:r>
          <w:rPr>
            <w:rStyle w:val="a6"/>
            <w:rFonts w:ascii="Times New Roman" w:hAnsi="Times New Roman" w:cs="Times New Roman"/>
            <w:color w:val="000000" w:themeColor="text1"/>
            <w:sz w:val="24"/>
            <w:szCs w:val="24"/>
          </w:rPr>
          <w:t>[273]</w:t>
        </w:r>
      </w:hyperlink>
      <w:r>
        <w:rPr>
          <w:rFonts w:ascii="Times New Roman" w:hAnsi="Times New Roman" w:cs="Times New Roman"/>
          <w:color w:val="000000" w:themeColor="text1"/>
          <w:sz w:val="24"/>
          <w:szCs w:val="24"/>
        </w:rPr>
        <w:t>.</w:t>
      </w:r>
    </w:p>
    <w:p w14:paraId="5A61DE5B" w14:textId="4C519318"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 IIаB (Уровень убедительности рекомендаций B, Уровень достоверности докзательств 2)</w:t>
      </w:r>
      <w:r w:rsidR="00004944">
        <w:rPr>
          <w:rStyle w:val="a7"/>
          <w:rFonts w:ascii="Times New Roman" w:hAnsi="Times New Roman" w:cs="Times New Roman"/>
          <w:color w:val="000000" w:themeColor="text1"/>
          <w:sz w:val="24"/>
          <w:szCs w:val="24"/>
        </w:rPr>
        <w:t>.</w:t>
      </w:r>
    </w:p>
    <w:p w14:paraId="779C28D0" w14:textId="363316BF"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перенесших ИМпST, с высоким риском тромботических осложнений атеросклероза, не имевших кровотечений в течение первого года лечения, для снижения риска ишемических событий рекомендуется длительное использование сочетания АСК с ривароксабаном в дозе 2,5 мг 2 раза/сут. внутрь </w:t>
      </w:r>
      <w:hyperlink r:id="rId119" w:history="1">
        <w:r>
          <w:rPr>
            <w:rStyle w:val="a6"/>
            <w:rFonts w:ascii="Times New Roman" w:hAnsi="Times New Roman" w:cs="Times New Roman"/>
            <w:color w:val="000000" w:themeColor="text1"/>
            <w:sz w:val="24"/>
            <w:szCs w:val="24"/>
          </w:rPr>
          <w:t>[269]</w:t>
        </w:r>
      </w:hyperlink>
      <w:r>
        <w:rPr>
          <w:rFonts w:ascii="Times New Roman" w:hAnsi="Times New Roman" w:cs="Times New Roman"/>
          <w:color w:val="000000" w:themeColor="text1"/>
          <w:sz w:val="24"/>
          <w:szCs w:val="24"/>
        </w:rPr>
        <w:t>.</w:t>
      </w:r>
    </w:p>
    <w:p w14:paraId="3CD6B903" w14:textId="7084EADD" w:rsidR="00A43F72"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 IIаB (Уровень убедительности рекомендаций B, Уровень достоверности докзательств 2)</w:t>
      </w:r>
      <w:r w:rsidR="00004944">
        <w:rPr>
          <w:rStyle w:val="a7"/>
          <w:rFonts w:ascii="Times New Roman" w:hAnsi="Times New Roman" w:cs="Times New Roman"/>
          <w:color w:val="000000" w:themeColor="text1"/>
          <w:sz w:val="24"/>
          <w:szCs w:val="24"/>
        </w:rPr>
        <w:t>.</w:t>
      </w:r>
    </w:p>
    <w:p w14:paraId="14846EE6" w14:textId="77777777" w:rsidR="00A43F72" w:rsidRDefault="00A43F72"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перенесших ИМпST, через 12 мес. рекомендуется рассмотреть переход не на монотерапию АСК, а на монотерапию ингибитором Р2Y</w:t>
      </w:r>
      <w:r>
        <w:rPr>
          <w:rFonts w:ascii="Times New Roman" w:hAnsi="Times New Roman" w:cs="Times New Roman"/>
          <w:color w:val="000000" w:themeColor="text1"/>
          <w:sz w:val="24"/>
          <w:szCs w:val="24"/>
          <w:vertAlign w:val="subscript"/>
        </w:rPr>
        <w:t>12</w:t>
      </w:r>
      <w:r>
        <w:rPr>
          <w:rFonts w:ascii="Times New Roman" w:hAnsi="Times New Roman" w:cs="Times New Roman"/>
          <w:color w:val="000000" w:themeColor="text1"/>
          <w:sz w:val="24"/>
          <w:szCs w:val="24"/>
        </w:rPr>
        <w:t>-рецепторов тромбоцитов для дополнительного снижения риска ишемических событий </w:t>
      </w:r>
      <w:hyperlink r:id="rId120" w:history="1">
        <w:r>
          <w:rPr>
            <w:rStyle w:val="a6"/>
            <w:rFonts w:ascii="Times New Roman" w:hAnsi="Times New Roman" w:cs="Times New Roman"/>
            <w:color w:val="000000" w:themeColor="text1"/>
            <w:sz w:val="24"/>
            <w:szCs w:val="24"/>
          </w:rPr>
          <w:t>[274]</w:t>
        </w:r>
      </w:hyperlink>
      <w:hyperlink r:id="rId121" w:history="1">
        <w:r>
          <w:rPr>
            <w:rStyle w:val="a6"/>
            <w:rFonts w:ascii="Times New Roman" w:hAnsi="Times New Roman" w:cs="Times New Roman"/>
            <w:color w:val="000000" w:themeColor="text1"/>
            <w:sz w:val="24"/>
            <w:szCs w:val="24"/>
          </w:rPr>
          <w:t>[275]</w:t>
        </w:r>
      </w:hyperlink>
      <w:r>
        <w:rPr>
          <w:rFonts w:ascii="Times New Roman" w:hAnsi="Times New Roman" w:cs="Times New Roman"/>
          <w:color w:val="000000" w:themeColor="text1"/>
          <w:sz w:val="24"/>
          <w:szCs w:val="24"/>
        </w:rPr>
        <w:t>.</w:t>
      </w:r>
    </w:p>
    <w:p w14:paraId="379F39FB" w14:textId="24AF419C" w:rsidR="00A43F72" w:rsidRPr="00F52FCA" w:rsidRDefault="00A43F72"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lastRenderedPageBreak/>
        <w:t>ЕОК</w:t>
      </w:r>
      <w:r>
        <w:rPr>
          <w:rStyle w:val="a7"/>
          <w:rFonts w:ascii="Times New Roman" w:hAnsi="Times New Roman" w:cs="Times New Roman"/>
          <w:color w:val="000000" w:themeColor="text1"/>
          <w:sz w:val="24"/>
          <w:szCs w:val="24"/>
          <w:lang w:val="en-US"/>
        </w:rPr>
        <w:t> IIbA</w:t>
      </w:r>
      <w:r w:rsidRPr="00F52FCA">
        <w:rPr>
          <w:rStyle w:val="a7"/>
          <w:rFonts w:ascii="Times New Roman" w:hAnsi="Times New Roman" w:cs="Times New Roman"/>
          <w:color w:val="000000" w:themeColor="text1"/>
          <w:sz w:val="24"/>
          <w:szCs w:val="24"/>
        </w:rPr>
        <w:t xml:space="preserve"> (</w:t>
      </w:r>
      <w:r>
        <w:rPr>
          <w:rStyle w:val="a7"/>
          <w:rFonts w:ascii="Times New Roman" w:hAnsi="Times New Roman" w:cs="Times New Roman"/>
          <w:color w:val="000000" w:themeColor="text1"/>
          <w:sz w:val="24"/>
          <w:szCs w:val="24"/>
        </w:rPr>
        <w:t>Уровень убедительности рекомендаций</w:t>
      </w:r>
      <w:r>
        <w:rPr>
          <w:rStyle w:val="a7"/>
          <w:rFonts w:ascii="Times New Roman" w:hAnsi="Times New Roman" w:cs="Times New Roman"/>
          <w:color w:val="000000" w:themeColor="text1"/>
          <w:sz w:val="24"/>
          <w:szCs w:val="24"/>
          <w:lang w:val="en-US"/>
        </w:rPr>
        <w:t> A</w:t>
      </w:r>
      <w:r w:rsidRPr="00F52FCA">
        <w:rPr>
          <w:rStyle w:val="a7"/>
          <w:rFonts w:ascii="Times New Roman" w:hAnsi="Times New Roman" w:cs="Times New Roman"/>
          <w:color w:val="000000" w:themeColor="text1"/>
          <w:sz w:val="24"/>
          <w:szCs w:val="24"/>
        </w:rPr>
        <w:t xml:space="preserve">, </w:t>
      </w:r>
      <w:r>
        <w:rPr>
          <w:rStyle w:val="a7"/>
          <w:rFonts w:ascii="Times New Roman" w:hAnsi="Times New Roman" w:cs="Times New Roman"/>
          <w:color w:val="000000" w:themeColor="text1"/>
          <w:sz w:val="24"/>
          <w:szCs w:val="24"/>
        </w:rPr>
        <w:t>Уровень достоверности докзательств</w:t>
      </w:r>
      <w:r>
        <w:rPr>
          <w:rStyle w:val="a7"/>
          <w:rFonts w:ascii="Times New Roman" w:hAnsi="Times New Roman" w:cs="Times New Roman"/>
          <w:color w:val="000000" w:themeColor="text1"/>
          <w:sz w:val="24"/>
          <w:szCs w:val="24"/>
          <w:lang w:val="en-US"/>
        </w:rPr>
        <w:t> </w:t>
      </w:r>
      <w:r w:rsidRPr="00F52FCA">
        <w:rPr>
          <w:rStyle w:val="a7"/>
          <w:rFonts w:ascii="Times New Roman" w:hAnsi="Times New Roman" w:cs="Times New Roman"/>
          <w:color w:val="000000" w:themeColor="text1"/>
          <w:sz w:val="24"/>
          <w:szCs w:val="24"/>
        </w:rPr>
        <w:t>1)</w:t>
      </w:r>
      <w:r w:rsidR="00BD2F09">
        <w:rPr>
          <w:rStyle w:val="a7"/>
          <w:rFonts w:ascii="Times New Roman" w:hAnsi="Times New Roman" w:cs="Times New Roman"/>
          <w:color w:val="000000" w:themeColor="text1"/>
          <w:sz w:val="24"/>
          <w:szCs w:val="24"/>
        </w:rPr>
        <w:t>.</w:t>
      </w:r>
    </w:p>
    <w:p w14:paraId="72803683" w14:textId="6988BC8A" w:rsidR="00A43F72" w:rsidRDefault="00A43F72" w:rsidP="00A419DB">
      <w:pPr>
        <w:pStyle w:val="20"/>
        <w:suppressAutoHyphens/>
        <w:spacing w:line="360" w:lineRule="auto"/>
        <w:jc w:val="both"/>
        <w:rPr>
          <w:rFonts w:ascii="Times New Roman" w:eastAsia="Calibri" w:hAnsi="Times New Roman" w:cs="Times New Roman"/>
          <w:bCs w:val="0"/>
          <w:iCs/>
          <w:color w:val="000000" w:themeColor="text1"/>
          <w:sz w:val="24"/>
          <w:szCs w:val="24"/>
        </w:rPr>
      </w:pPr>
      <w:bookmarkStart w:id="25" w:name="_Toc236138933"/>
      <w:r>
        <w:rPr>
          <w:rFonts w:ascii="Times New Roman" w:eastAsia="Calibri" w:hAnsi="Times New Roman" w:cs="Times New Roman"/>
          <w:bCs w:val="0"/>
          <w:iCs/>
          <w:color w:val="000000" w:themeColor="text1"/>
          <w:sz w:val="24"/>
          <w:szCs w:val="24"/>
        </w:rPr>
        <w:t>Органические нитраты.</w:t>
      </w:r>
      <w:bookmarkEnd w:id="25"/>
    </w:p>
    <w:p w14:paraId="3BB821BF" w14:textId="77777777" w:rsidR="00A43F72" w:rsidRDefault="00A43F72" w:rsidP="00A419DB">
      <w:pPr>
        <w:numPr>
          <w:ilvl w:val="0"/>
          <w:numId w:val="9"/>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Из-за отсутствия доказательств положительного влияния на прогноз рутинное назначение органических нитратов в виде в/в инфузии, трансдермально или перорально при ИМпST не рекомендуется </w:t>
      </w:r>
      <w:hyperlink r:id="rId122" w:history="1">
        <w:r>
          <w:rPr>
            <w:rStyle w:val="a6"/>
            <w:rFonts w:ascii="Times New Roman" w:hAnsi="Times New Roman" w:cs="Times New Roman"/>
            <w:color w:val="000000" w:themeColor="text1"/>
            <w:sz w:val="24"/>
            <w:szCs w:val="24"/>
          </w:rPr>
          <w:t>[277]</w:t>
        </w:r>
      </w:hyperlink>
      <w:hyperlink r:id="rId123" w:history="1">
        <w:r>
          <w:rPr>
            <w:rStyle w:val="a6"/>
            <w:rFonts w:ascii="Times New Roman" w:hAnsi="Times New Roman" w:cs="Times New Roman"/>
            <w:color w:val="000000" w:themeColor="text1"/>
            <w:sz w:val="24"/>
            <w:szCs w:val="24"/>
          </w:rPr>
          <w:t>[278]</w:t>
        </w:r>
      </w:hyperlink>
      <w:r>
        <w:rPr>
          <w:rFonts w:ascii="Times New Roman" w:hAnsi="Times New Roman" w:cs="Times New Roman"/>
          <w:color w:val="000000" w:themeColor="text1"/>
          <w:sz w:val="24"/>
          <w:szCs w:val="24"/>
        </w:rPr>
        <w:t>.</w:t>
      </w:r>
    </w:p>
    <w:p w14:paraId="21F3746E" w14:textId="47263FA0" w:rsidR="00A43F72" w:rsidRDefault="00A43F72"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IIIB (Уровень убедительности рекомендаций А, Уровень достоверности докзательств 2)</w:t>
      </w:r>
      <w:r w:rsidR="00BD2F09">
        <w:rPr>
          <w:rStyle w:val="a7"/>
          <w:rFonts w:eastAsiaTheme="majorEastAsia"/>
          <w:color w:val="000000" w:themeColor="text1"/>
        </w:rPr>
        <w:t>.</w:t>
      </w:r>
    </w:p>
    <w:p w14:paraId="13C663D9" w14:textId="77777777" w:rsidR="00A43F72" w:rsidRDefault="00A43F72"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Комментарии.</w:t>
      </w:r>
      <w:r>
        <w:rPr>
          <w:color w:val="000000" w:themeColor="text1"/>
        </w:rPr>
        <w:t> </w:t>
      </w:r>
      <w:r>
        <w:rPr>
          <w:rStyle w:val="a5"/>
          <w:rFonts w:eastAsiaTheme="majorEastAsia"/>
          <w:color w:val="000000" w:themeColor="text1"/>
        </w:rPr>
        <w:t>При ИМпST нитраты назначают только по показаниям, к которым прежде всего относят постинфарктную стенокардию. Иногда нитраты назначают по поводу СН, хотя для этой цели лучше подходят ингибиторы ангиотензинпревращающего фермента (иАПФ). Для профилактики толерантности к нитратам их назначают прерывисто: промежуток времени между последним приемом препарата и первым приемом на следующий день должен быть не менее 12 ч (оптимально — 16 ч).</w:t>
      </w:r>
    </w:p>
    <w:p w14:paraId="3CF1450A" w14:textId="77777777" w:rsidR="00A43F72" w:rsidRDefault="00A43F72" w:rsidP="00A419DB">
      <w:pPr>
        <w:numPr>
          <w:ilvl w:val="0"/>
          <w:numId w:val="10"/>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В/в инфузия нитратов (нитроглицерина или изосорбида динитрата) рекомендуется для симптоматического лечения у пациентов с ИМпST и продолжающейся ишемией миокарда, АГ, СН при отсутствии противопоказаний </w:t>
      </w:r>
      <w:hyperlink r:id="rId124" w:history="1">
        <w:r>
          <w:rPr>
            <w:rStyle w:val="a6"/>
            <w:rFonts w:ascii="Times New Roman" w:hAnsi="Times New Roman" w:cs="Times New Roman"/>
            <w:color w:val="000000" w:themeColor="text1"/>
            <w:sz w:val="24"/>
            <w:szCs w:val="24"/>
          </w:rPr>
          <w:t>[9]</w:t>
        </w:r>
      </w:hyperlink>
      <w:hyperlink r:id="rId125" w:history="1">
        <w:r>
          <w:rPr>
            <w:rStyle w:val="a6"/>
            <w:rFonts w:ascii="Times New Roman" w:hAnsi="Times New Roman" w:cs="Times New Roman"/>
            <w:color w:val="000000" w:themeColor="text1"/>
            <w:sz w:val="24"/>
            <w:szCs w:val="24"/>
          </w:rPr>
          <w:t>[278-281]</w:t>
        </w:r>
      </w:hyperlink>
      <w:r>
        <w:rPr>
          <w:rFonts w:ascii="Times New Roman" w:hAnsi="Times New Roman" w:cs="Times New Roman"/>
          <w:color w:val="000000" w:themeColor="text1"/>
          <w:sz w:val="24"/>
          <w:szCs w:val="24"/>
        </w:rPr>
        <w:t>.</w:t>
      </w:r>
    </w:p>
    <w:p w14:paraId="0EF255DF" w14:textId="2163AA4E" w:rsidR="00A43F72" w:rsidRDefault="00A43F72" w:rsidP="00A419DB">
      <w:pPr>
        <w:pStyle w:val="af5"/>
        <w:shd w:val="clear" w:color="auto" w:fill="FFFFFF"/>
        <w:suppressAutoHyphens/>
        <w:spacing w:before="75" w:beforeAutospacing="0" w:after="225" w:afterAutospacing="0" w:line="360" w:lineRule="auto"/>
        <w:jc w:val="both"/>
        <w:rPr>
          <w:color w:val="FF0000"/>
        </w:rPr>
      </w:pPr>
      <w:r>
        <w:rPr>
          <w:rStyle w:val="a7"/>
          <w:rFonts w:eastAsiaTheme="majorEastAsia"/>
          <w:color w:val="000000" w:themeColor="text1"/>
        </w:rPr>
        <w:t>ЕОК IC (Уровень убедительности рекомендаций B, Уровень достоверности докзательств 2)</w:t>
      </w:r>
      <w:r w:rsidR="00BD2F09">
        <w:rPr>
          <w:rStyle w:val="a7"/>
          <w:rFonts w:eastAsiaTheme="majorEastAsia"/>
          <w:color w:val="000000" w:themeColor="text1"/>
        </w:rPr>
        <w:t>.</w:t>
      </w:r>
    </w:p>
    <w:p w14:paraId="01D4F933" w14:textId="3DB5F431" w:rsidR="00A43F72" w:rsidRDefault="00A43F72" w:rsidP="00A419DB">
      <w:pPr>
        <w:pStyle w:val="20"/>
        <w:suppressAutoHyphens/>
        <w:spacing w:line="360" w:lineRule="auto"/>
        <w:jc w:val="both"/>
        <w:rPr>
          <w:rFonts w:ascii="Times New Roman" w:eastAsia="Calibri" w:hAnsi="Times New Roman" w:cs="Times New Roman"/>
          <w:bCs w:val="0"/>
          <w:iCs/>
          <w:color w:val="000000" w:themeColor="text1"/>
          <w:sz w:val="24"/>
          <w:szCs w:val="24"/>
        </w:rPr>
      </w:pPr>
      <w:bookmarkStart w:id="26" w:name="_Toc236138934"/>
      <w:r>
        <w:rPr>
          <w:rFonts w:ascii="Times New Roman" w:eastAsia="Calibri" w:hAnsi="Times New Roman" w:cs="Times New Roman"/>
          <w:bCs w:val="0"/>
          <w:iCs/>
          <w:color w:val="000000" w:themeColor="text1"/>
          <w:sz w:val="24"/>
          <w:szCs w:val="24"/>
        </w:rPr>
        <w:t>Бета-адреноблокаторы.</w:t>
      </w:r>
      <w:bookmarkEnd w:id="26"/>
    </w:p>
    <w:p w14:paraId="6268BAF2" w14:textId="77777777" w:rsidR="00A43F72" w:rsidRDefault="00A43F72" w:rsidP="00A419DB">
      <w:pPr>
        <w:numPr>
          <w:ilvl w:val="0"/>
          <w:numId w:val="11"/>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Пациентам с ИМпST, с АГ и/или сохраняющейся ишемией миокарда и/или тахикардией, не имеющим признаков ОСН, для контроля за ишемией и профилактики желудочковых аритмий рекомендуется в/в введение бета-адреноблокатора (преимущественно метопролола) при отсутствии противопоказаний </w:t>
      </w:r>
      <w:hyperlink r:id="rId126" w:history="1">
        <w:r>
          <w:rPr>
            <w:rStyle w:val="a6"/>
            <w:rFonts w:ascii="Times New Roman" w:hAnsi="Times New Roman" w:cs="Times New Roman"/>
            <w:color w:val="000000" w:themeColor="text1"/>
            <w:sz w:val="24"/>
            <w:szCs w:val="24"/>
          </w:rPr>
          <w:t>[282-287]</w:t>
        </w:r>
      </w:hyperlink>
      <w:r>
        <w:rPr>
          <w:rFonts w:ascii="Times New Roman" w:hAnsi="Times New Roman" w:cs="Times New Roman"/>
          <w:color w:val="000000" w:themeColor="text1"/>
          <w:sz w:val="24"/>
          <w:szCs w:val="24"/>
        </w:rPr>
        <w:t>.</w:t>
      </w:r>
    </w:p>
    <w:p w14:paraId="66D8B034" w14:textId="07892943" w:rsidR="00A43F72" w:rsidRDefault="00A43F72"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IIaB (Уровень убедительности рекомендаций А, Уровень достоверности докзательств 1)</w:t>
      </w:r>
      <w:r w:rsidR="00BD2F09">
        <w:rPr>
          <w:rStyle w:val="a7"/>
          <w:rFonts w:eastAsiaTheme="majorEastAsia"/>
          <w:color w:val="000000" w:themeColor="text1"/>
        </w:rPr>
        <w:t>.</w:t>
      </w:r>
    </w:p>
    <w:p w14:paraId="21ECA704" w14:textId="77777777" w:rsidR="00A43F72" w:rsidRDefault="00A43F72"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lastRenderedPageBreak/>
        <w:t>Комментарии.</w:t>
      </w:r>
      <w:r>
        <w:rPr>
          <w:color w:val="000000" w:themeColor="text1"/>
        </w:rPr>
        <w:t> </w:t>
      </w:r>
      <w:r>
        <w:rPr>
          <w:rStyle w:val="a5"/>
          <w:rFonts w:eastAsiaTheme="majorEastAsia"/>
          <w:color w:val="000000" w:themeColor="text1"/>
        </w:rPr>
        <w:t>Пациентам с ИМпST при отсутствии признаков ОСН рекомендуется в/в введение первоначальной дозы бета-адреноблокатора, особенно при наличии АГ и/или сохраняющейся ишемии миокарда и/или тахикардии, с последующим переходом на прием препаратов внутрь. В/в бета-адреноблокаторы предотвращают развитие жизнеугрожающих желудочковых аритмий </w:t>
      </w:r>
      <w:hyperlink r:id="rId127" w:history="1">
        <w:r>
          <w:rPr>
            <w:rStyle w:val="a6"/>
            <w:rFonts w:eastAsiaTheme="majorEastAsia"/>
            <w:i/>
            <w:iCs/>
            <w:color w:val="000000" w:themeColor="text1"/>
          </w:rPr>
          <w:t>[288]</w:t>
        </w:r>
      </w:hyperlink>
      <w:r>
        <w:rPr>
          <w:rStyle w:val="a5"/>
          <w:rFonts w:eastAsiaTheme="majorEastAsia"/>
          <w:color w:val="000000" w:themeColor="text1"/>
        </w:rPr>
        <w:t>.</w:t>
      </w:r>
    </w:p>
    <w:p w14:paraId="0ECFFC0E" w14:textId="77777777" w:rsidR="00A43F72" w:rsidRDefault="00A43F72" w:rsidP="00A419DB">
      <w:pPr>
        <w:pStyle w:val="af5"/>
        <w:shd w:val="clear" w:color="auto" w:fill="FFFFFF"/>
        <w:suppressAutoHyphens/>
        <w:spacing w:before="75" w:beforeAutospacing="0" w:after="225" w:afterAutospacing="0" w:line="360" w:lineRule="auto"/>
        <w:jc w:val="both"/>
        <w:rPr>
          <w:color w:val="000000" w:themeColor="text1"/>
        </w:rPr>
      </w:pPr>
      <w:r>
        <w:rPr>
          <w:rStyle w:val="a5"/>
          <w:rFonts w:eastAsiaTheme="majorEastAsia"/>
          <w:color w:val="000000" w:themeColor="text1"/>
        </w:rPr>
        <w:t>Есть данные, что польза от бета-адреноблокаторов тем выше, чем раньше начата терапия и чем быстрее проявляется их действие. Препараты и дозы для в/в введения — см. Приложение А3.</w:t>
      </w:r>
    </w:p>
    <w:p w14:paraId="5C055005" w14:textId="77777777" w:rsidR="00A43F72" w:rsidRDefault="00A43F72" w:rsidP="00A419DB">
      <w:pPr>
        <w:numPr>
          <w:ilvl w:val="0"/>
          <w:numId w:val="12"/>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Всем пациентам с ИМпST, не имеющим противопоказаний, для снижения риска осложнений ИМ и улучшения прогноза рекомендуется пероральный прием бета-адреноблокаторов </w:t>
      </w:r>
      <w:hyperlink r:id="rId128" w:history="1">
        <w:r>
          <w:rPr>
            <w:rStyle w:val="a6"/>
            <w:rFonts w:ascii="Times New Roman" w:hAnsi="Times New Roman" w:cs="Times New Roman"/>
            <w:color w:val="000000" w:themeColor="text1"/>
            <w:sz w:val="24"/>
            <w:szCs w:val="24"/>
          </w:rPr>
          <w:t>[289]</w:t>
        </w:r>
      </w:hyperlink>
      <w:r>
        <w:rPr>
          <w:rFonts w:ascii="Times New Roman" w:hAnsi="Times New Roman" w:cs="Times New Roman"/>
          <w:color w:val="000000" w:themeColor="text1"/>
          <w:sz w:val="24"/>
          <w:szCs w:val="24"/>
        </w:rPr>
        <w:t>.</w:t>
      </w:r>
    </w:p>
    <w:p w14:paraId="52DBACBA" w14:textId="3400A849" w:rsidR="00A43F72" w:rsidRDefault="00A43F72"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IIaB (Уровень убедительности рекомендаций В, Уровень достоверности докзательств 1)</w:t>
      </w:r>
      <w:r w:rsidR="00BD2F09">
        <w:rPr>
          <w:rStyle w:val="a7"/>
          <w:rFonts w:eastAsiaTheme="majorEastAsia"/>
          <w:color w:val="000000" w:themeColor="text1"/>
        </w:rPr>
        <w:t>.</w:t>
      </w:r>
    </w:p>
    <w:p w14:paraId="507E3E66" w14:textId="77777777" w:rsidR="00A43F72" w:rsidRDefault="00A43F72" w:rsidP="00A419DB">
      <w:pPr>
        <w:pStyle w:val="af5"/>
        <w:shd w:val="clear" w:color="auto" w:fill="FFFFFF"/>
        <w:suppressAutoHyphens/>
        <w:spacing w:before="75" w:beforeAutospacing="0" w:after="225" w:afterAutospacing="0" w:line="360" w:lineRule="auto"/>
        <w:jc w:val="both"/>
        <w:rPr>
          <w:color w:val="000000" w:themeColor="text1"/>
        </w:rPr>
      </w:pPr>
      <w:r>
        <w:rPr>
          <w:rStyle w:val="a5"/>
          <w:rFonts w:eastAsiaTheme="majorEastAsia"/>
          <w:color w:val="000000" w:themeColor="text1"/>
        </w:rPr>
        <w:t>Гемодинамически стабильным пациентам с ИМпST бета-адреноблокаторы могут быть назначены в первые 24 ч после начала болезни. В ранние сроки ИМпST важнейшее значение имеет выбор приемлемой дозы препарата, которая не должна быть слишком большой при опасности возникновения осложнений (прежде всего — СН). О достаточности дозы обычно судят по достигнутой частоте сердечных сокращений (ЧСС). Она не должна быть ниже 44-46 уд./мин в ночные часы в покое.</w:t>
      </w:r>
    </w:p>
    <w:p w14:paraId="162CBF4D" w14:textId="77777777" w:rsidR="00A43F72" w:rsidRDefault="00A43F72" w:rsidP="00A419DB">
      <w:pPr>
        <w:pStyle w:val="af5"/>
        <w:shd w:val="clear" w:color="auto" w:fill="FFFFFF"/>
        <w:suppressAutoHyphens/>
        <w:spacing w:before="75" w:beforeAutospacing="0" w:after="225" w:afterAutospacing="0" w:line="360" w:lineRule="auto"/>
        <w:jc w:val="both"/>
        <w:rPr>
          <w:color w:val="000000" w:themeColor="text1"/>
        </w:rPr>
      </w:pPr>
      <w:r>
        <w:rPr>
          <w:rStyle w:val="a5"/>
          <w:rFonts w:eastAsiaTheme="majorEastAsia"/>
          <w:color w:val="000000" w:themeColor="text1"/>
        </w:rPr>
        <w:t>У пациентов с существенным нарушением сократимости ЛЖ начинать лечение следует с минимальных доз бета-адреноблокаторов. Через 24-48 ч после исчезновения выраженной брадикардии, артериальной гипотензии, тяжелой СН, АВ-блокады можно начать аккуратное титрование дозы препаратов для приема внутрь. При наличии исходных противопоказаний к бета-адреноблокаторам возможность их назначения следует регулярно пересматривать. Следует воздержаться от назначения бета-адреноблокаторов с внутренней симпатомиметической активностью.</w:t>
      </w:r>
    </w:p>
    <w:p w14:paraId="4DB3A432" w14:textId="77777777" w:rsidR="00A43F72" w:rsidRDefault="00A43F72" w:rsidP="00A419DB">
      <w:pPr>
        <w:numPr>
          <w:ilvl w:val="0"/>
          <w:numId w:val="13"/>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Для уменьшения риска смерти у пациентов с ИМпST и СН и/или низкой (≤40%) ФВ ЛЖ рекомендуется пероральный прием бета-адреноблокаторов без внутренней симпатомиметической активности </w:t>
      </w:r>
      <w:hyperlink r:id="rId129" w:history="1">
        <w:r>
          <w:rPr>
            <w:rStyle w:val="a6"/>
            <w:rFonts w:ascii="Times New Roman" w:hAnsi="Times New Roman" w:cs="Times New Roman"/>
            <w:color w:val="000000" w:themeColor="text1"/>
            <w:sz w:val="24"/>
            <w:szCs w:val="24"/>
          </w:rPr>
          <w:t>[277]</w:t>
        </w:r>
      </w:hyperlink>
      <w:hyperlink r:id="rId130" w:history="1">
        <w:r>
          <w:rPr>
            <w:rStyle w:val="a6"/>
            <w:rFonts w:ascii="Times New Roman" w:hAnsi="Times New Roman" w:cs="Times New Roman"/>
            <w:color w:val="000000" w:themeColor="text1"/>
            <w:sz w:val="24"/>
            <w:szCs w:val="24"/>
          </w:rPr>
          <w:t>[289]</w:t>
        </w:r>
      </w:hyperlink>
      <w:hyperlink r:id="rId131" w:history="1">
        <w:r>
          <w:rPr>
            <w:rStyle w:val="a6"/>
            <w:rFonts w:ascii="Times New Roman" w:hAnsi="Times New Roman" w:cs="Times New Roman"/>
            <w:color w:val="000000" w:themeColor="text1"/>
            <w:sz w:val="24"/>
            <w:szCs w:val="24"/>
          </w:rPr>
          <w:t>[307]</w:t>
        </w:r>
      </w:hyperlink>
      <w:r>
        <w:rPr>
          <w:rFonts w:ascii="Times New Roman" w:hAnsi="Times New Roman" w:cs="Times New Roman"/>
          <w:color w:val="000000" w:themeColor="text1"/>
          <w:sz w:val="24"/>
          <w:szCs w:val="24"/>
        </w:rPr>
        <w:t>.</w:t>
      </w:r>
    </w:p>
    <w:p w14:paraId="7FAEE6FB" w14:textId="1844D429" w:rsidR="00A43F72" w:rsidRPr="00F52FCA" w:rsidRDefault="00A43F72"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lastRenderedPageBreak/>
        <w:t>ЕОК</w:t>
      </w:r>
      <w:r>
        <w:rPr>
          <w:rStyle w:val="a7"/>
          <w:rFonts w:eastAsiaTheme="majorEastAsia"/>
          <w:color w:val="000000" w:themeColor="text1"/>
          <w:lang w:val="en-US"/>
        </w:rPr>
        <w:t> IA</w:t>
      </w:r>
      <w:r w:rsidRPr="00F52FCA">
        <w:rPr>
          <w:rStyle w:val="a7"/>
          <w:rFonts w:eastAsiaTheme="majorEastAsia"/>
          <w:color w:val="000000" w:themeColor="text1"/>
        </w:rPr>
        <w:t xml:space="preserve"> (</w:t>
      </w:r>
      <w:r>
        <w:rPr>
          <w:rStyle w:val="a7"/>
          <w:rFonts w:eastAsiaTheme="majorEastAsia"/>
          <w:color w:val="000000" w:themeColor="text1"/>
        </w:rPr>
        <w:t>Уровень убедительности рекомендаций</w:t>
      </w:r>
      <w:r>
        <w:rPr>
          <w:rStyle w:val="a7"/>
          <w:rFonts w:eastAsiaTheme="majorEastAsia"/>
          <w:color w:val="000000" w:themeColor="text1"/>
          <w:lang w:val="en-US"/>
        </w:rPr>
        <w:t> A</w:t>
      </w:r>
      <w:r w:rsidRPr="00F52FCA">
        <w:rPr>
          <w:rStyle w:val="a7"/>
          <w:rFonts w:eastAsiaTheme="majorEastAsia"/>
          <w:color w:val="000000" w:themeColor="text1"/>
        </w:rPr>
        <w:t xml:space="preserve">, </w:t>
      </w:r>
      <w:r>
        <w:rPr>
          <w:rStyle w:val="a7"/>
          <w:rFonts w:eastAsiaTheme="majorEastAsia"/>
          <w:color w:val="000000" w:themeColor="text1"/>
        </w:rPr>
        <w:t>Уровень достоверности докзательств</w:t>
      </w:r>
      <w:r>
        <w:rPr>
          <w:rStyle w:val="a7"/>
          <w:rFonts w:eastAsiaTheme="majorEastAsia"/>
          <w:color w:val="000000" w:themeColor="text1"/>
          <w:lang w:val="en-US"/>
        </w:rPr>
        <w:t> </w:t>
      </w:r>
      <w:r w:rsidRPr="00F52FCA">
        <w:rPr>
          <w:rStyle w:val="a7"/>
          <w:rFonts w:eastAsiaTheme="majorEastAsia"/>
          <w:color w:val="000000" w:themeColor="text1"/>
        </w:rPr>
        <w:t>1)</w:t>
      </w:r>
      <w:r w:rsidR="00BD2F09">
        <w:rPr>
          <w:rStyle w:val="a7"/>
          <w:rFonts w:eastAsiaTheme="majorEastAsia"/>
          <w:color w:val="000000" w:themeColor="text1"/>
        </w:rPr>
        <w:t>.</w:t>
      </w:r>
    </w:p>
    <w:p w14:paraId="77B9E00E" w14:textId="4523AD5D" w:rsidR="00A43F72" w:rsidRPr="00050CC9" w:rsidRDefault="00A43F72"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Комментарии.</w:t>
      </w:r>
      <w:r>
        <w:rPr>
          <w:color w:val="000000" w:themeColor="text1"/>
        </w:rPr>
        <w:t> </w:t>
      </w:r>
      <w:r>
        <w:rPr>
          <w:rStyle w:val="a5"/>
          <w:rFonts w:eastAsiaTheme="majorEastAsia"/>
          <w:color w:val="000000" w:themeColor="text1"/>
        </w:rPr>
        <w:t>Изученными у пациентов с ИМпST считаются метопролол и карведилол .</w:t>
      </w:r>
    </w:p>
    <w:p w14:paraId="30D581FB" w14:textId="0865D186" w:rsidR="00A43F72" w:rsidRDefault="00A43F72" w:rsidP="00A419DB">
      <w:pPr>
        <w:pStyle w:val="20"/>
        <w:suppressAutoHyphens/>
        <w:spacing w:line="360" w:lineRule="auto"/>
        <w:jc w:val="both"/>
        <w:rPr>
          <w:rFonts w:ascii="Times New Roman" w:eastAsia="Calibri" w:hAnsi="Times New Roman" w:cs="Times New Roman"/>
          <w:bCs w:val="0"/>
          <w:iCs/>
          <w:color w:val="000000" w:themeColor="text1"/>
          <w:sz w:val="24"/>
          <w:szCs w:val="24"/>
        </w:rPr>
      </w:pPr>
      <w:bookmarkStart w:id="27" w:name="_Toc236138935"/>
      <w:r>
        <w:rPr>
          <w:rFonts w:ascii="Times New Roman" w:eastAsia="Calibri" w:hAnsi="Times New Roman" w:cs="Times New Roman"/>
          <w:bCs w:val="0"/>
          <w:iCs/>
          <w:color w:val="000000" w:themeColor="text1"/>
          <w:sz w:val="24"/>
          <w:szCs w:val="24"/>
        </w:rPr>
        <w:t>Блокаторы кальциевых каналов.</w:t>
      </w:r>
      <w:bookmarkEnd w:id="27"/>
    </w:p>
    <w:p w14:paraId="09E84EA2" w14:textId="77777777" w:rsidR="00A43F72" w:rsidRDefault="00A43F72" w:rsidP="00A419DB">
      <w:pPr>
        <w:numPr>
          <w:ilvl w:val="0"/>
          <w:numId w:val="14"/>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Из-за отсутствия доказательств эффективности у пациентов с ИМпST не рекомендуется рутинное назначение блокаторов кальциевых каналов </w:t>
      </w:r>
      <w:hyperlink r:id="rId132" w:history="1">
        <w:r>
          <w:rPr>
            <w:rStyle w:val="a6"/>
            <w:rFonts w:ascii="Times New Roman" w:hAnsi="Times New Roman" w:cs="Times New Roman"/>
            <w:color w:val="000000" w:themeColor="text1"/>
            <w:sz w:val="24"/>
            <w:szCs w:val="24"/>
          </w:rPr>
          <w:t>[308]</w:t>
        </w:r>
      </w:hyperlink>
      <w:hyperlink r:id="rId133" w:history="1">
        <w:r>
          <w:rPr>
            <w:rStyle w:val="a6"/>
            <w:rFonts w:ascii="Times New Roman" w:hAnsi="Times New Roman" w:cs="Times New Roman"/>
            <w:color w:val="000000" w:themeColor="text1"/>
            <w:sz w:val="24"/>
            <w:szCs w:val="24"/>
          </w:rPr>
          <w:t>[309]</w:t>
        </w:r>
      </w:hyperlink>
      <w:r>
        <w:rPr>
          <w:rFonts w:ascii="Times New Roman" w:hAnsi="Times New Roman" w:cs="Times New Roman"/>
          <w:color w:val="000000" w:themeColor="text1"/>
          <w:sz w:val="24"/>
          <w:szCs w:val="24"/>
        </w:rPr>
        <w:t>.</w:t>
      </w:r>
    </w:p>
    <w:p w14:paraId="301D452A" w14:textId="238BE1FE" w:rsidR="00A43F72" w:rsidRDefault="00A43F72"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IIIA (Уровень убедительности рекомендаций B, Уровень достоверности докзательств 2)</w:t>
      </w:r>
      <w:r w:rsidR="00BD2F09">
        <w:rPr>
          <w:rStyle w:val="a7"/>
          <w:rFonts w:eastAsiaTheme="majorEastAsia"/>
          <w:color w:val="000000" w:themeColor="text1"/>
        </w:rPr>
        <w:t>.</w:t>
      </w:r>
    </w:p>
    <w:p w14:paraId="6DF32B74" w14:textId="77777777" w:rsidR="00A43F72" w:rsidRDefault="00A43F72"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 xml:space="preserve"> Комментарии.</w:t>
      </w:r>
      <w:r>
        <w:rPr>
          <w:color w:val="000000" w:themeColor="text1"/>
        </w:rPr>
        <w:t> </w:t>
      </w:r>
      <w:r>
        <w:rPr>
          <w:rStyle w:val="a5"/>
          <w:rFonts w:eastAsiaTheme="majorEastAsia"/>
          <w:color w:val="000000" w:themeColor="text1"/>
        </w:rPr>
        <w:t>Амлодипин (производныедигидропиридина) можно назначать пациентам с постинфарктной стенокардией при недостаточной эффективности бета-адреноблокаторов и нитратов или при невозможности контролировать АГ другими средствами.</w:t>
      </w:r>
    </w:p>
    <w:p w14:paraId="24D7011F" w14:textId="77777777" w:rsidR="00A43F72" w:rsidRDefault="00A43F72" w:rsidP="00A419DB">
      <w:pPr>
        <w:numPr>
          <w:ilvl w:val="0"/>
          <w:numId w:val="15"/>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 непереносимости бета-адреноблокаторов для контроля за ишемией миокарда у пациентов с ИМпST без СН, без низкой ФВ ЛЖ и без других противопоказаний рекомендуется рассмотреть возможность назначения верапамила</w:t>
      </w:r>
      <w:r>
        <w:rPr>
          <w:rFonts w:ascii="Times New Roman" w:hAnsi="Times New Roman" w:cs="Times New Roman"/>
          <w:color w:val="FF0000"/>
          <w:sz w:val="24"/>
          <w:szCs w:val="24"/>
        </w:rPr>
        <w:t> </w:t>
      </w:r>
      <w:hyperlink r:id="rId134" w:history="1">
        <w:r>
          <w:rPr>
            <w:rStyle w:val="a6"/>
            <w:rFonts w:ascii="Times New Roman" w:hAnsi="Times New Roman" w:cs="Times New Roman"/>
            <w:color w:val="000000" w:themeColor="text1"/>
            <w:sz w:val="24"/>
            <w:szCs w:val="24"/>
          </w:rPr>
          <w:t>[308]</w:t>
        </w:r>
      </w:hyperlink>
      <w:r>
        <w:rPr>
          <w:rFonts w:ascii="Times New Roman" w:hAnsi="Times New Roman" w:cs="Times New Roman"/>
          <w:color w:val="000000" w:themeColor="text1"/>
          <w:sz w:val="24"/>
          <w:szCs w:val="24"/>
        </w:rPr>
        <w:t>.</w:t>
      </w:r>
    </w:p>
    <w:p w14:paraId="6752BF07" w14:textId="4869907C" w:rsidR="00A43F72" w:rsidRDefault="00A43F72"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IIbB (Уровень убедительности рекомендаций В, Уровень достоверности докзательств 2)</w:t>
      </w:r>
      <w:r w:rsidR="00BD2F09">
        <w:rPr>
          <w:rStyle w:val="a7"/>
          <w:rFonts w:eastAsiaTheme="majorEastAsia"/>
          <w:color w:val="000000" w:themeColor="text1"/>
        </w:rPr>
        <w:t>.</w:t>
      </w:r>
    </w:p>
    <w:p w14:paraId="391011B6" w14:textId="04BE9EA8" w:rsidR="00A43F72" w:rsidRPr="00050CC9" w:rsidRDefault="00A43F72"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 xml:space="preserve"> Комментарии.</w:t>
      </w:r>
      <w:r>
        <w:rPr>
          <w:color w:val="000000" w:themeColor="text1"/>
        </w:rPr>
        <w:t> </w:t>
      </w:r>
      <w:r>
        <w:rPr>
          <w:rStyle w:val="a5"/>
          <w:rFonts w:eastAsiaTheme="majorEastAsia"/>
          <w:color w:val="000000" w:themeColor="text1"/>
        </w:rPr>
        <w:t>Верапамил, дилтиазем можно назначать пациентам с постинфарктной стенокардией при недостаточной эффективности бета-адреноблокаторов и нитратов или при невозможности контролировать АГ другими средствами.  Верапамил или дилтиазем могут использоваться только при отсутствии симптомов СН и/или существенной сократительной дисфункции ЛЖ, нарушений синоатриальной и АВ-проводимости и брадиаритмий. Совместный прием верапамила или дилтиазема с бета-адреноблокатором крайне нежелателен.</w:t>
      </w:r>
    </w:p>
    <w:p w14:paraId="38844983" w14:textId="1FD94CA7" w:rsidR="00A43F72" w:rsidRDefault="00A43F72" w:rsidP="00A419DB">
      <w:pPr>
        <w:pStyle w:val="20"/>
        <w:suppressAutoHyphens/>
        <w:spacing w:line="360" w:lineRule="auto"/>
        <w:jc w:val="both"/>
        <w:rPr>
          <w:rFonts w:ascii="Times New Roman" w:eastAsia="Calibri" w:hAnsi="Times New Roman" w:cs="Times New Roman"/>
          <w:bCs w:val="0"/>
          <w:iCs/>
          <w:color w:val="000000" w:themeColor="text1"/>
          <w:sz w:val="24"/>
          <w:szCs w:val="24"/>
        </w:rPr>
      </w:pPr>
      <w:bookmarkStart w:id="28" w:name="_Toc236138936"/>
      <w:r>
        <w:rPr>
          <w:rFonts w:ascii="Times New Roman" w:eastAsia="Calibri" w:hAnsi="Times New Roman" w:cs="Times New Roman"/>
          <w:bCs w:val="0"/>
          <w:iCs/>
          <w:color w:val="000000" w:themeColor="text1"/>
          <w:sz w:val="24"/>
          <w:szCs w:val="24"/>
        </w:rPr>
        <w:t>Блокаторы ренин-ангиотензин-альдостероновой системы</w:t>
      </w:r>
      <w:bookmarkEnd w:id="28"/>
    </w:p>
    <w:p w14:paraId="4604EAA0" w14:textId="77777777" w:rsidR="00A43F72" w:rsidRDefault="00A43F72"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7"/>
          <w:rFonts w:eastAsiaTheme="majorEastAsia"/>
          <w:color w:val="000000" w:themeColor="text1"/>
          <w:szCs w:val="26"/>
        </w:rPr>
        <w:t>иАПФ и антагонисты рецептора ангиотензина II (АРА)</w:t>
      </w:r>
    </w:p>
    <w:p w14:paraId="45A9D344" w14:textId="77777777" w:rsidR="00A43F72" w:rsidRDefault="00A43F72" w:rsidP="00A419DB">
      <w:pPr>
        <w:numPr>
          <w:ilvl w:val="0"/>
          <w:numId w:val="16"/>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6"/>
        </w:rPr>
      </w:pPr>
      <w:r>
        <w:rPr>
          <w:rFonts w:ascii="Times New Roman" w:hAnsi="Times New Roman" w:cs="Times New Roman"/>
          <w:color w:val="000000" w:themeColor="text1"/>
          <w:sz w:val="24"/>
          <w:szCs w:val="26"/>
        </w:rPr>
        <w:t>Для предотвращения дисфункции ЛЖ, СН и смерти рекомендуется применение иАПФ у всех пациентов с ИМпST, не имеющих противопоказаний </w:t>
      </w:r>
      <w:hyperlink r:id="rId135" w:history="1">
        <w:r>
          <w:rPr>
            <w:rStyle w:val="a6"/>
            <w:rFonts w:ascii="Times New Roman" w:hAnsi="Times New Roman" w:cs="Times New Roman"/>
            <w:color w:val="000000" w:themeColor="text1"/>
            <w:sz w:val="24"/>
            <w:szCs w:val="26"/>
          </w:rPr>
          <w:t>[311]</w:t>
        </w:r>
      </w:hyperlink>
      <w:r>
        <w:rPr>
          <w:rFonts w:ascii="Times New Roman" w:hAnsi="Times New Roman" w:cs="Times New Roman"/>
          <w:color w:val="000000" w:themeColor="text1"/>
          <w:sz w:val="24"/>
          <w:szCs w:val="26"/>
        </w:rPr>
        <w:t>.</w:t>
      </w:r>
    </w:p>
    <w:p w14:paraId="1F1ABB0F" w14:textId="14D8BC44" w:rsidR="00A43F72" w:rsidRDefault="00A43F72"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7"/>
          <w:rFonts w:eastAsiaTheme="majorEastAsia"/>
          <w:color w:val="000000" w:themeColor="text1"/>
          <w:szCs w:val="26"/>
        </w:rPr>
        <w:lastRenderedPageBreak/>
        <w:t>ЕОК IIaA (Уровень убедительности рекомендаций B, Уровень достоверности докзательств 2)</w:t>
      </w:r>
      <w:r w:rsidR="00BD2F09">
        <w:rPr>
          <w:rStyle w:val="a7"/>
          <w:rFonts w:eastAsiaTheme="majorEastAsia"/>
          <w:color w:val="000000" w:themeColor="text1"/>
          <w:szCs w:val="26"/>
        </w:rPr>
        <w:t>.</w:t>
      </w:r>
    </w:p>
    <w:p w14:paraId="5F8702BE" w14:textId="77777777" w:rsidR="00A43F72" w:rsidRDefault="00A43F72" w:rsidP="00A419DB">
      <w:pPr>
        <w:numPr>
          <w:ilvl w:val="0"/>
          <w:numId w:val="17"/>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6"/>
        </w:rPr>
      </w:pPr>
      <w:r>
        <w:rPr>
          <w:rFonts w:ascii="Times New Roman" w:hAnsi="Times New Roman" w:cs="Times New Roman"/>
          <w:color w:val="000000" w:themeColor="text1"/>
          <w:sz w:val="24"/>
          <w:szCs w:val="26"/>
        </w:rPr>
        <w:t>Для снижения риска смерти и развития/прогрессирования СН рекомендуется раннее (в первые 24 ч ИМпST) назначение иАПФ у пациентов с СН, низкой (≤40%) ФВ ЛЖ, СД или ИМ передней локализации </w:t>
      </w:r>
      <w:hyperlink r:id="rId136" w:history="1">
        <w:r>
          <w:rPr>
            <w:rStyle w:val="a6"/>
            <w:rFonts w:ascii="Times New Roman" w:hAnsi="Times New Roman" w:cs="Times New Roman"/>
            <w:color w:val="000000" w:themeColor="text1"/>
            <w:sz w:val="24"/>
            <w:szCs w:val="26"/>
          </w:rPr>
          <w:t>[311]</w:t>
        </w:r>
      </w:hyperlink>
      <w:hyperlink r:id="rId137" w:history="1">
        <w:r>
          <w:rPr>
            <w:rStyle w:val="a6"/>
            <w:rFonts w:ascii="Times New Roman" w:hAnsi="Times New Roman" w:cs="Times New Roman"/>
            <w:color w:val="000000" w:themeColor="text1"/>
            <w:sz w:val="24"/>
            <w:szCs w:val="26"/>
          </w:rPr>
          <w:t>[312]</w:t>
        </w:r>
      </w:hyperlink>
      <w:r>
        <w:rPr>
          <w:rFonts w:ascii="Times New Roman" w:hAnsi="Times New Roman" w:cs="Times New Roman"/>
          <w:color w:val="000000" w:themeColor="text1"/>
          <w:sz w:val="24"/>
          <w:szCs w:val="26"/>
        </w:rPr>
        <w:t>.</w:t>
      </w:r>
    </w:p>
    <w:p w14:paraId="59811A20" w14:textId="59BB40A9" w:rsidR="00A43F72" w:rsidRPr="00F52FCA" w:rsidRDefault="00A43F72"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7"/>
          <w:rFonts w:eastAsiaTheme="majorEastAsia"/>
          <w:color w:val="000000" w:themeColor="text1"/>
          <w:szCs w:val="26"/>
        </w:rPr>
        <w:t>ЕОК</w:t>
      </w:r>
      <w:r>
        <w:rPr>
          <w:rStyle w:val="a7"/>
          <w:rFonts w:eastAsiaTheme="majorEastAsia"/>
          <w:color w:val="000000" w:themeColor="text1"/>
          <w:szCs w:val="26"/>
          <w:lang w:val="en-US"/>
        </w:rPr>
        <w:t> IA</w:t>
      </w:r>
      <w:r w:rsidRPr="00F52FCA">
        <w:rPr>
          <w:rStyle w:val="a7"/>
          <w:rFonts w:eastAsiaTheme="majorEastAsia"/>
          <w:color w:val="000000" w:themeColor="text1"/>
          <w:szCs w:val="26"/>
        </w:rPr>
        <w:t xml:space="preserve"> (</w:t>
      </w:r>
      <w:r>
        <w:rPr>
          <w:rStyle w:val="a7"/>
          <w:rFonts w:eastAsiaTheme="majorEastAsia"/>
          <w:color w:val="000000" w:themeColor="text1"/>
          <w:szCs w:val="26"/>
        </w:rPr>
        <w:t>Уровень убедительности рекомендаций</w:t>
      </w:r>
      <w:r>
        <w:rPr>
          <w:rStyle w:val="a7"/>
          <w:rFonts w:eastAsiaTheme="majorEastAsia"/>
          <w:color w:val="000000" w:themeColor="text1"/>
          <w:szCs w:val="26"/>
          <w:lang w:val="en-US"/>
        </w:rPr>
        <w:t> A</w:t>
      </w:r>
      <w:r w:rsidRPr="00F52FCA">
        <w:rPr>
          <w:rStyle w:val="a7"/>
          <w:rFonts w:eastAsiaTheme="majorEastAsia"/>
          <w:color w:val="000000" w:themeColor="text1"/>
          <w:szCs w:val="26"/>
        </w:rPr>
        <w:t xml:space="preserve">, </w:t>
      </w:r>
      <w:r>
        <w:rPr>
          <w:rStyle w:val="a7"/>
          <w:rFonts w:eastAsiaTheme="majorEastAsia"/>
          <w:color w:val="000000" w:themeColor="text1"/>
          <w:szCs w:val="26"/>
        </w:rPr>
        <w:t>Уровень достоверности докзательств</w:t>
      </w:r>
      <w:r>
        <w:rPr>
          <w:rStyle w:val="a7"/>
          <w:rFonts w:eastAsiaTheme="majorEastAsia"/>
          <w:color w:val="000000" w:themeColor="text1"/>
          <w:szCs w:val="26"/>
          <w:lang w:val="en-US"/>
        </w:rPr>
        <w:t> </w:t>
      </w:r>
      <w:r w:rsidRPr="00F52FCA">
        <w:rPr>
          <w:rStyle w:val="a7"/>
          <w:rFonts w:eastAsiaTheme="majorEastAsia"/>
          <w:color w:val="000000" w:themeColor="text1"/>
          <w:szCs w:val="26"/>
        </w:rPr>
        <w:t>1)</w:t>
      </w:r>
      <w:r w:rsidR="00BD2F09">
        <w:rPr>
          <w:rStyle w:val="a7"/>
          <w:rFonts w:eastAsiaTheme="majorEastAsia"/>
          <w:color w:val="000000" w:themeColor="text1"/>
          <w:szCs w:val="26"/>
        </w:rPr>
        <w:t>.</w:t>
      </w:r>
    </w:p>
    <w:p w14:paraId="48D41511" w14:textId="77777777" w:rsidR="00A43F72" w:rsidRDefault="00A43F72"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7"/>
          <w:rFonts w:eastAsiaTheme="majorEastAsia"/>
          <w:color w:val="000000" w:themeColor="text1"/>
          <w:szCs w:val="26"/>
        </w:rPr>
        <w:t>Комментарии.</w:t>
      </w:r>
      <w:r>
        <w:rPr>
          <w:color w:val="000000" w:themeColor="text1"/>
          <w:szCs w:val="26"/>
        </w:rPr>
        <w:t> </w:t>
      </w:r>
      <w:r>
        <w:rPr>
          <w:rStyle w:val="a5"/>
          <w:rFonts w:eastAsiaTheme="majorEastAsia"/>
          <w:color w:val="000000" w:themeColor="text1"/>
          <w:szCs w:val="26"/>
        </w:rPr>
        <w:t>У пациентов со стабильной гемодинамикой назначение иАПФ в первые 24 ч от начала заболевания безопасно </w:t>
      </w:r>
      <w:hyperlink r:id="rId138" w:history="1">
        <w:r>
          <w:rPr>
            <w:rStyle w:val="a6"/>
            <w:rFonts w:eastAsiaTheme="majorEastAsia"/>
            <w:i/>
            <w:iCs/>
            <w:color w:val="000000" w:themeColor="text1"/>
            <w:szCs w:val="26"/>
          </w:rPr>
          <w:t>[313]</w:t>
        </w:r>
      </w:hyperlink>
      <w:r>
        <w:rPr>
          <w:rStyle w:val="a5"/>
          <w:rFonts w:eastAsiaTheme="majorEastAsia"/>
          <w:color w:val="000000" w:themeColor="text1"/>
          <w:szCs w:val="26"/>
        </w:rPr>
        <w:t>. Следует постепенно увеличивать дозу иАПФ до рекомендуемой (целевой.  (Приложение А3).</w:t>
      </w:r>
    </w:p>
    <w:p w14:paraId="0B39060B" w14:textId="77777777" w:rsidR="00A43F72" w:rsidRDefault="00A43F72"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5"/>
          <w:rFonts w:eastAsiaTheme="majorEastAsia"/>
          <w:color w:val="000000" w:themeColor="text1"/>
          <w:szCs w:val="26"/>
        </w:rPr>
        <w:t>Противопоказания для начала использования иАПФ: систолическое АД &lt;100 мм рт.ст., выраженное снижение фильтрационной функции почек, гиперкалиемия, двусторонний стеноз почечных артерий (или стеноз почечной артерии единственной почки), беременность, индивидуальная непереносимость.</w:t>
      </w:r>
    </w:p>
    <w:p w14:paraId="25A997CF" w14:textId="77777777" w:rsidR="00A43F72" w:rsidRDefault="00A43F72" w:rsidP="00A419DB">
      <w:pPr>
        <w:numPr>
          <w:ilvl w:val="0"/>
          <w:numId w:val="18"/>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6"/>
        </w:rPr>
      </w:pPr>
      <w:r>
        <w:rPr>
          <w:rFonts w:ascii="Times New Roman" w:hAnsi="Times New Roman" w:cs="Times New Roman"/>
          <w:color w:val="000000" w:themeColor="text1"/>
          <w:sz w:val="24"/>
          <w:szCs w:val="26"/>
        </w:rPr>
        <w:t>У пациентов с ИМпST, имеющих СН и/или низкую (≤40%) ФВ ЛЖ или АГ, в случае непереносимости иАПФ для лечения СН, снижения риска смерти и прогрессирования СН рекомендуется использовать АРА, предпочтительно — валсартан </w:t>
      </w:r>
      <w:hyperlink r:id="rId139" w:history="1">
        <w:r>
          <w:rPr>
            <w:rStyle w:val="a6"/>
            <w:rFonts w:ascii="Times New Roman" w:hAnsi="Times New Roman" w:cs="Times New Roman"/>
            <w:color w:val="000000" w:themeColor="text1"/>
            <w:sz w:val="24"/>
            <w:szCs w:val="26"/>
          </w:rPr>
          <w:t>[314]</w:t>
        </w:r>
      </w:hyperlink>
      <w:r>
        <w:rPr>
          <w:rFonts w:ascii="Times New Roman" w:hAnsi="Times New Roman" w:cs="Times New Roman"/>
          <w:color w:val="000000" w:themeColor="text1"/>
          <w:sz w:val="24"/>
          <w:szCs w:val="26"/>
        </w:rPr>
        <w:t>.</w:t>
      </w:r>
    </w:p>
    <w:p w14:paraId="7631A26F" w14:textId="7FAC89ED" w:rsidR="00A43F72" w:rsidRDefault="00A43F72"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7"/>
          <w:rFonts w:eastAsiaTheme="majorEastAsia"/>
          <w:color w:val="000000" w:themeColor="text1"/>
          <w:szCs w:val="26"/>
        </w:rPr>
        <w:t>ЕОК IB (Уровень убедительности рекомендаций B, Уровень достоверности докзательств 2)</w:t>
      </w:r>
      <w:r w:rsidR="00BD2F09">
        <w:rPr>
          <w:rStyle w:val="a7"/>
          <w:rFonts w:eastAsiaTheme="majorEastAsia"/>
          <w:color w:val="000000" w:themeColor="text1"/>
          <w:szCs w:val="26"/>
        </w:rPr>
        <w:t>.</w:t>
      </w:r>
    </w:p>
    <w:p w14:paraId="69316C0A" w14:textId="77777777" w:rsidR="00A43F72" w:rsidRDefault="00A43F72"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7"/>
          <w:rFonts w:eastAsiaTheme="majorEastAsia"/>
          <w:color w:val="000000" w:themeColor="text1"/>
          <w:szCs w:val="26"/>
        </w:rPr>
        <w:t>Комментарии.</w:t>
      </w:r>
      <w:r>
        <w:rPr>
          <w:color w:val="000000" w:themeColor="text1"/>
          <w:szCs w:val="26"/>
        </w:rPr>
        <w:t> </w:t>
      </w:r>
      <w:r>
        <w:rPr>
          <w:rStyle w:val="a5"/>
          <w:rFonts w:eastAsiaTheme="majorEastAsia"/>
          <w:color w:val="000000" w:themeColor="text1"/>
          <w:szCs w:val="26"/>
        </w:rPr>
        <w:t>Начальная доза валсартана составляет 20 мг 2 раза/сут.; при хорошей переносимости дозу препарата постепенно увеличивают вплоть до 160 мг 2 раза/сут.</w:t>
      </w:r>
    </w:p>
    <w:p w14:paraId="280AB53E" w14:textId="77777777" w:rsidR="00A43F72" w:rsidRDefault="00A43F72" w:rsidP="00A419DB">
      <w:pPr>
        <w:numPr>
          <w:ilvl w:val="0"/>
          <w:numId w:val="19"/>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6"/>
        </w:rPr>
      </w:pPr>
      <w:r>
        <w:rPr>
          <w:rFonts w:ascii="Times New Roman" w:hAnsi="Times New Roman" w:cs="Times New Roman"/>
          <w:color w:val="000000" w:themeColor="text1"/>
          <w:sz w:val="24"/>
          <w:szCs w:val="26"/>
        </w:rPr>
        <w:t>У пациентов с ИМпST и низкой (≤40%) ФВ ЛЖ и/или с признаками застоя в легких для снижения риска смерти от сердечно-сосудистых причин и госпитализации по поводу СН рекомендуется назначить валсартан+сакубитрил </w:t>
      </w:r>
      <w:hyperlink r:id="rId140" w:history="1">
        <w:r>
          <w:rPr>
            <w:rStyle w:val="a6"/>
            <w:rFonts w:ascii="Times New Roman" w:hAnsi="Times New Roman" w:cs="Times New Roman"/>
            <w:color w:val="000000" w:themeColor="text1"/>
            <w:sz w:val="24"/>
            <w:szCs w:val="26"/>
          </w:rPr>
          <w:t>[315-327]</w:t>
        </w:r>
      </w:hyperlink>
      <w:r>
        <w:rPr>
          <w:rFonts w:ascii="Times New Roman" w:hAnsi="Times New Roman" w:cs="Times New Roman"/>
          <w:color w:val="000000" w:themeColor="text1"/>
          <w:sz w:val="24"/>
          <w:szCs w:val="26"/>
        </w:rPr>
        <w:t>.</w:t>
      </w:r>
    </w:p>
    <w:p w14:paraId="3DD7DDCC" w14:textId="193456F1" w:rsidR="00A43F72" w:rsidRDefault="00A43F72"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7"/>
          <w:rFonts w:eastAsiaTheme="majorEastAsia"/>
          <w:color w:val="000000" w:themeColor="text1"/>
          <w:szCs w:val="26"/>
        </w:rPr>
        <w:t>ЕОК IIaB (Уровень убедительности рекомендаций B, Уровень достоверности докзательств 2)</w:t>
      </w:r>
      <w:r w:rsidR="00BD2F09">
        <w:rPr>
          <w:rStyle w:val="a7"/>
          <w:rFonts w:eastAsiaTheme="majorEastAsia"/>
          <w:color w:val="000000" w:themeColor="text1"/>
          <w:szCs w:val="26"/>
        </w:rPr>
        <w:t>.</w:t>
      </w:r>
    </w:p>
    <w:p w14:paraId="1D649F85" w14:textId="77777777" w:rsidR="00A43F72" w:rsidRDefault="00A43F72"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7"/>
          <w:rFonts w:eastAsiaTheme="majorEastAsia"/>
          <w:color w:val="000000" w:themeColor="text1"/>
          <w:szCs w:val="26"/>
        </w:rPr>
        <w:t>Антагонисты альдостерона</w:t>
      </w:r>
    </w:p>
    <w:p w14:paraId="384884F0" w14:textId="77777777" w:rsidR="00A43F72" w:rsidRDefault="00A43F72" w:rsidP="00A419DB">
      <w:pPr>
        <w:numPr>
          <w:ilvl w:val="0"/>
          <w:numId w:val="20"/>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6"/>
        </w:rPr>
      </w:pPr>
      <w:r>
        <w:rPr>
          <w:rFonts w:ascii="Times New Roman" w:hAnsi="Times New Roman" w:cs="Times New Roman"/>
          <w:color w:val="000000" w:themeColor="text1"/>
          <w:sz w:val="24"/>
          <w:szCs w:val="26"/>
        </w:rPr>
        <w:lastRenderedPageBreak/>
        <w:t>Для снижения риска смерти и прогрессирования СН у пациентов с ИМпST и низкой (≤40%) ФВ ЛЖ в сочетании с СН или СД рекомендуется в добавление к бета-адреноблокатору и иАПФ использовать антагонист альдостерона, предпочтительно эплеренон, при условии, что нет значительного снижения фильтрационной функции почек и гиперкалиемии </w:t>
      </w:r>
      <w:hyperlink r:id="rId141" w:history="1">
        <w:r>
          <w:rPr>
            <w:rStyle w:val="a6"/>
            <w:rFonts w:ascii="Times New Roman" w:hAnsi="Times New Roman" w:cs="Times New Roman"/>
            <w:color w:val="000000" w:themeColor="text1"/>
            <w:sz w:val="24"/>
            <w:szCs w:val="26"/>
          </w:rPr>
          <w:t>[328]</w:t>
        </w:r>
      </w:hyperlink>
      <w:r>
        <w:rPr>
          <w:rFonts w:ascii="Times New Roman" w:hAnsi="Times New Roman" w:cs="Times New Roman"/>
          <w:color w:val="000000" w:themeColor="text1"/>
          <w:sz w:val="24"/>
          <w:szCs w:val="26"/>
        </w:rPr>
        <w:t>.</w:t>
      </w:r>
    </w:p>
    <w:p w14:paraId="5120B9F0" w14:textId="07F80930" w:rsidR="00A43F72" w:rsidRDefault="00A43F72"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7"/>
          <w:rFonts w:eastAsiaTheme="majorEastAsia"/>
          <w:color w:val="000000" w:themeColor="text1"/>
          <w:szCs w:val="26"/>
        </w:rPr>
        <w:t>ЕОК IIaB (Уровень убедительности рекомендаций А, Уровень достоверности докзательств 2)</w:t>
      </w:r>
      <w:r w:rsidR="00BD2F09">
        <w:rPr>
          <w:rStyle w:val="a7"/>
          <w:rFonts w:eastAsiaTheme="majorEastAsia"/>
          <w:color w:val="000000" w:themeColor="text1"/>
          <w:szCs w:val="26"/>
        </w:rPr>
        <w:t>.</w:t>
      </w:r>
    </w:p>
    <w:p w14:paraId="6F8A025A" w14:textId="77777777" w:rsidR="00A43F72" w:rsidRDefault="00A43F72"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7"/>
          <w:rFonts w:eastAsiaTheme="majorEastAsia"/>
          <w:color w:val="000000" w:themeColor="text1"/>
          <w:szCs w:val="26"/>
        </w:rPr>
        <w:t>Комментарии.</w:t>
      </w:r>
      <w:r>
        <w:rPr>
          <w:color w:val="000000" w:themeColor="text1"/>
          <w:szCs w:val="26"/>
        </w:rPr>
        <w:t> </w:t>
      </w:r>
      <w:r>
        <w:rPr>
          <w:rStyle w:val="a5"/>
          <w:rFonts w:eastAsiaTheme="majorEastAsia"/>
          <w:color w:val="000000" w:themeColor="text1"/>
          <w:szCs w:val="26"/>
        </w:rPr>
        <w:t>Предпочтительно назначать эплеренон в первые сутки от начала ИМ </w:t>
      </w:r>
      <w:hyperlink r:id="rId142" w:history="1">
        <w:r>
          <w:rPr>
            <w:rStyle w:val="a6"/>
            <w:rFonts w:eastAsiaTheme="majorEastAsia"/>
            <w:i/>
            <w:iCs/>
            <w:color w:val="000000" w:themeColor="text1"/>
            <w:szCs w:val="26"/>
          </w:rPr>
          <w:t>[329]</w:t>
        </w:r>
      </w:hyperlink>
      <w:r>
        <w:rPr>
          <w:rStyle w:val="a5"/>
          <w:rFonts w:eastAsiaTheme="majorEastAsia"/>
          <w:color w:val="000000" w:themeColor="text1"/>
          <w:szCs w:val="26"/>
        </w:rPr>
        <w:t>. Есть указания на снижение риска смерти при использовании антагонистов альдостерона, в т. ч. спиронолактон, у пациентов ИМпST при отсутствии противопоказаний и независимо от наличия СН и низкой ФВ ЛЖ </w:t>
      </w:r>
      <w:hyperlink r:id="rId143" w:history="1">
        <w:r>
          <w:rPr>
            <w:rStyle w:val="a6"/>
            <w:rFonts w:eastAsiaTheme="majorEastAsia"/>
            <w:i/>
            <w:iCs/>
            <w:color w:val="000000" w:themeColor="text1"/>
            <w:szCs w:val="26"/>
          </w:rPr>
          <w:t>[330]</w:t>
        </w:r>
      </w:hyperlink>
      <w:hyperlink r:id="rId144" w:history="1">
        <w:r>
          <w:rPr>
            <w:rStyle w:val="a6"/>
            <w:rFonts w:eastAsiaTheme="majorEastAsia"/>
            <w:i/>
            <w:iCs/>
            <w:color w:val="000000" w:themeColor="text1"/>
            <w:szCs w:val="26"/>
          </w:rPr>
          <w:t>[331]</w:t>
        </w:r>
      </w:hyperlink>
      <w:r>
        <w:rPr>
          <w:rStyle w:val="a5"/>
          <w:rFonts w:eastAsiaTheme="majorEastAsia"/>
          <w:color w:val="000000" w:themeColor="text1"/>
          <w:szCs w:val="26"/>
        </w:rPr>
        <w:t>. При таком подходе предпочтительно назначать антагонист альдостерона в пределах 72 ч от начала ИМпST.</w:t>
      </w:r>
    </w:p>
    <w:p w14:paraId="56652ECD" w14:textId="3806CDFB" w:rsidR="00A43F72" w:rsidRPr="00050CC9" w:rsidRDefault="00A43F72"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5"/>
          <w:rFonts w:eastAsiaTheme="majorEastAsia"/>
          <w:color w:val="000000" w:themeColor="text1"/>
          <w:szCs w:val="26"/>
        </w:rPr>
        <w:t>Противопоказания к назначению антагонистов альдостерона: уровень креатинина в крови у мужчин &gt;220 мкмоль/л, у женщин &gt;175 мкмоль/л, а также концентрация в крови калия &gt;5 ммоль/л. Во время лечения антагонистами альдостерона контролируют уровень креатинина и калия в крови. Если уровень калия в крови превышает 5,5 ммоль/л, препараты отменяют. Рекомендуется поддерживать концентрацию калия в крови в диапазоне 4,0-5,0 ммоль/л.</w:t>
      </w:r>
    </w:p>
    <w:p w14:paraId="02C157AD" w14:textId="6E5E704B" w:rsidR="00A43F72" w:rsidRDefault="00A43F72" w:rsidP="00A419DB">
      <w:pPr>
        <w:pStyle w:val="20"/>
        <w:suppressAutoHyphens/>
        <w:spacing w:line="360" w:lineRule="auto"/>
        <w:jc w:val="both"/>
        <w:rPr>
          <w:rFonts w:ascii="Times New Roman" w:eastAsia="Calibri" w:hAnsi="Times New Roman" w:cs="Times New Roman"/>
          <w:bCs w:val="0"/>
          <w:iCs/>
          <w:color w:val="000000" w:themeColor="text1"/>
          <w:sz w:val="24"/>
          <w:szCs w:val="24"/>
        </w:rPr>
      </w:pPr>
      <w:bookmarkStart w:id="29" w:name="_Toc236138937"/>
      <w:r>
        <w:rPr>
          <w:rFonts w:ascii="Times New Roman" w:eastAsia="Calibri" w:hAnsi="Times New Roman" w:cs="Times New Roman"/>
          <w:bCs w:val="0"/>
          <w:iCs/>
          <w:color w:val="000000" w:themeColor="text1"/>
          <w:sz w:val="24"/>
          <w:szCs w:val="24"/>
        </w:rPr>
        <w:t>Липидснижающая терапия</w:t>
      </w:r>
      <w:bookmarkEnd w:id="29"/>
    </w:p>
    <w:p w14:paraId="4E4D3C39" w14:textId="77777777" w:rsidR="00A43F72" w:rsidRDefault="00A43F72" w:rsidP="00A419DB">
      <w:pPr>
        <w:numPr>
          <w:ilvl w:val="0"/>
          <w:numId w:val="21"/>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Для снижения суммарного риска повторных ишемических событий у пациентов с ИМпST вне зависимости от исходного уровня ХС рекомендуется в период госпитализации начать или продолжить лечение ингибитором 3-гидрокси-3-метилглутарил коэнзима А редуктазы (ГМГ-КоА-редуктазы) в высокой дозе при отсутствии противопоказаний </w:t>
      </w:r>
      <w:hyperlink r:id="rId145" w:history="1">
        <w:r>
          <w:rPr>
            <w:rStyle w:val="a6"/>
            <w:rFonts w:ascii="Times New Roman" w:hAnsi="Times New Roman" w:cs="Times New Roman"/>
            <w:color w:val="000000" w:themeColor="text1"/>
            <w:sz w:val="24"/>
            <w:szCs w:val="24"/>
          </w:rPr>
          <w:t>[332-336]</w:t>
        </w:r>
      </w:hyperlink>
      <w:r>
        <w:rPr>
          <w:rFonts w:ascii="Times New Roman" w:hAnsi="Times New Roman" w:cs="Times New Roman"/>
          <w:color w:val="000000" w:themeColor="text1"/>
          <w:sz w:val="24"/>
          <w:szCs w:val="24"/>
        </w:rPr>
        <w:t>.</w:t>
      </w:r>
    </w:p>
    <w:p w14:paraId="040C2F47" w14:textId="51851B4D" w:rsidR="00A43F72" w:rsidRDefault="00A43F72"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IА (Уровень убедительности рекомендаций A, Уровень достоверности докзательств 1)</w:t>
      </w:r>
      <w:r w:rsidR="00BD2F09">
        <w:rPr>
          <w:rStyle w:val="a7"/>
          <w:rFonts w:eastAsiaTheme="majorEastAsia"/>
          <w:color w:val="000000" w:themeColor="text1"/>
        </w:rPr>
        <w:t>.</w:t>
      </w:r>
    </w:p>
    <w:p w14:paraId="627E75BB" w14:textId="77777777" w:rsidR="00A43F72" w:rsidRDefault="00A43F72"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Комментарии.</w:t>
      </w:r>
      <w:r>
        <w:rPr>
          <w:color w:val="000000" w:themeColor="text1"/>
        </w:rPr>
        <w:t> </w:t>
      </w:r>
    </w:p>
    <w:p w14:paraId="287776F4" w14:textId="77777777" w:rsidR="00A43F72" w:rsidRDefault="00A43F72" w:rsidP="00A419DB">
      <w:pPr>
        <w:pStyle w:val="af5"/>
        <w:shd w:val="clear" w:color="auto" w:fill="FFFFFF"/>
        <w:suppressAutoHyphens/>
        <w:spacing w:before="75" w:beforeAutospacing="0" w:after="225" w:afterAutospacing="0" w:line="360" w:lineRule="auto"/>
        <w:jc w:val="both"/>
        <w:rPr>
          <w:color w:val="000000" w:themeColor="text1"/>
        </w:rPr>
      </w:pPr>
      <w:r>
        <w:rPr>
          <w:rStyle w:val="a5"/>
          <w:rFonts w:eastAsiaTheme="majorEastAsia"/>
          <w:color w:val="000000" w:themeColor="text1"/>
        </w:rPr>
        <w:t xml:space="preserve">Терапия ингибиторами ГМГ-КоА-редуктазы обычно хорошо переносится, частота серьезных побочных эффектов не превышает 2%. Возможно появление миалгии и мышечной слабости, которые появляются в основном в первые недели после начала </w:t>
      </w:r>
      <w:r>
        <w:rPr>
          <w:rStyle w:val="a5"/>
          <w:rFonts w:eastAsiaTheme="majorEastAsia"/>
          <w:color w:val="000000" w:themeColor="text1"/>
        </w:rPr>
        <w:lastRenderedPageBreak/>
        <w:t>терапии и обычно быстро проходят после отмены ингибитора ГМГ-КоА-редуктазы. Рабдомиолиз с повышением уровня креатинкиназы более чем в 10 раз наблюдается крайне редко. Возможно бессимптомное повышение уровня трансаминаз в 3 и более раза, что требует снижения дозы или отмены препарата с дальнейшим наблюдением за активностью печеночных трансаминаз. Следует помнить, что в острую фазу ИМпST повышение уровня трансаминаз обусловлено некрозом кардиомиоцитов и не является причиной для отказа от назначения ингибиторов ГМГ-КоА-редуктазы.</w:t>
      </w:r>
    </w:p>
    <w:p w14:paraId="0A1B3753" w14:textId="77777777" w:rsidR="00A43F72" w:rsidRDefault="00A43F72" w:rsidP="00A419DB">
      <w:pPr>
        <w:pStyle w:val="af5"/>
        <w:shd w:val="clear" w:color="auto" w:fill="FFFFFF"/>
        <w:suppressAutoHyphens/>
        <w:spacing w:before="75" w:beforeAutospacing="0" w:after="225" w:afterAutospacing="0" w:line="360" w:lineRule="auto"/>
        <w:jc w:val="both"/>
        <w:rPr>
          <w:color w:val="000000" w:themeColor="text1"/>
        </w:rPr>
      </w:pPr>
      <w:r>
        <w:rPr>
          <w:rStyle w:val="a5"/>
          <w:rFonts w:eastAsiaTheme="majorEastAsia"/>
          <w:color w:val="000000" w:themeColor="text1"/>
        </w:rPr>
        <w:t>Основные противопоказания для назначения ингибиторов ГМГ-КоА-редуктазы: повышенная чувствительность; активное заболевание печени или повышение активности печеночных трансаминаз в плазме крови неясного генеза более чем в 3 раза по сравнению с верхней границей нормы; женщины детородного возраста, не использующие адекватные методы контрацепции; беременность; период грудного вскармливания.</w:t>
      </w:r>
    </w:p>
    <w:p w14:paraId="512625F8" w14:textId="77777777" w:rsidR="00A43F72" w:rsidRDefault="00A43F72" w:rsidP="00A419DB">
      <w:pPr>
        <w:pStyle w:val="af5"/>
        <w:shd w:val="clear" w:color="auto" w:fill="FFFFFF"/>
        <w:suppressAutoHyphens/>
        <w:spacing w:before="75" w:beforeAutospacing="0" w:after="225" w:afterAutospacing="0" w:line="360" w:lineRule="auto"/>
        <w:jc w:val="both"/>
        <w:rPr>
          <w:color w:val="000000" w:themeColor="text1"/>
        </w:rPr>
      </w:pPr>
      <w:r>
        <w:rPr>
          <w:rStyle w:val="a5"/>
          <w:rFonts w:eastAsiaTheme="majorEastAsia"/>
          <w:color w:val="000000" w:themeColor="text1"/>
        </w:rPr>
        <w:t>Рекомендуется применение ингибиторов ГМГ-КоА-редуктазы с наиболее выраженным гиполипидемическим действием, в частности аторвастатина в суточной дозе 40-80 мг или розувастатина в суточной дозе 20-40 мг</w:t>
      </w:r>
      <w:hyperlink r:id="rId146" w:history="1">
        <w:r>
          <w:rPr>
            <w:rStyle w:val="a6"/>
            <w:rFonts w:eastAsiaTheme="majorEastAsia"/>
            <w:i/>
            <w:iCs/>
            <w:color w:val="000000" w:themeColor="text1"/>
            <w:vertAlign w:val="superscript"/>
          </w:rPr>
          <w:t>6</w:t>
        </w:r>
      </w:hyperlink>
      <w:r>
        <w:rPr>
          <w:rStyle w:val="a5"/>
          <w:rFonts w:eastAsiaTheme="majorEastAsia"/>
          <w:color w:val="000000" w:themeColor="text1"/>
        </w:rPr>
        <w:t> </w:t>
      </w:r>
      <w:hyperlink r:id="rId147" w:history="1">
        <w:r>
          <w:rPr>
            <w:rStyle w:val="a6"/>
            <w:rFonts w:eastAsiaTheme="majorEastAsia"/>
            <w:i/>
            <w:iCs/>
            <w:color w:val="000000" w:themeColor="text1"/>
          </w:rPr>
          <w:t>[345]</w:t>
        </w:r>
      </w:hyperlink>
      <w:r>
        <w:rPr>
          <w:rStyle w:val="a5"/>
          <w:rFonts w:eastAsiaTheme="majorEastAsia"/>
          <w:color w:val="000000" w:themeColor="text1"/>
        </w:rPr>
        <w:t>.</w:t>
      </w:r>
    </w:p>
    <w:p w14:paraId="3F8B8B7D" w14:textId="77777777" w:rsidR="00A43F72" w:rsidRDefault="00A43F72" w:rsidP="00A419DB">
      <w:pPr>
        <w:numPr>
          <w:ilvl w:val="0"/>
          <w:numId w:val="22"/>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Для дополнительного снижения суммарного риска ишемических событий у пациентов с ИМпST в период госпитализации рекомендуется рассмотреть начало комбинированного лечения ингибитором ГМГ-КоА-редуктазы в высокой дозе и эзетимибом (вне зависимости от исходного уровня ХС, его фракций и предшествующей терапии ингибитором ГМГ-КоА-редуктазы) </w:t>
      </w:r>
      <w:hyperlink r:id="rId148" w:history="1">
        <w:r>
          <w:rPr>
            <w:rStyle w:val="a6"/>
            <w:rFonts w:ascii="Times New Roman" w:hAnsi="Times New Roman" w:cs="Times New Roman"/>
            <w:color w:val="000000" w:themeColor="text1"/>
            <w:sz w:val="24"/>
            <w:szCs w:val="24"/>
          </w:rPr>
          <w:t>[346]</w:t>
        </w:r>
      </w:hyperlink>
      <w:r>
        <w:rPr>
          <w:rFonts w:ascii="Times New Roman" w:hAnsi="Times New Roman" w:cs="Times New Roman"/>
          <w:color w:val="000000" w:themeColor="text1"/>
          <w:sz w:val="24"/>
          <w:szCs w:val="24"/>
        </w:rPr>
        <w:t>.</w:t>
      </w:r>
    </w:p>
    <w:p w14:paraId="6772FF91" w14:textId="7742C5C7" w:rsidR="00A43F72" w:rsidRDefault="00A43F72"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IIbB (Уровень убедительности рекомендаций B, Уровень достоверности докзательств 2)</w:t>
      </w:r>
      <w:r w:rsidR="00BD2F09">
        <w:rPr>
          <w:rStyle w:val="a7"/>
          <w:rFonts w:eastAsiaTheme="majorEastAsia"/>
          <w:color w:val="000000" w:themeColor="text1"/>
        </w:rPr>
        <w:t>.</w:t>
      </w:r>
    </w:p>
    <w:p w14:paraId="41C3509E" w14:textId="77777777" w:rsidR="00A43F72" w:rsidRDefault="00A43F72" w:rsidP="00A419DB">
      <w:pPr>
        <w:numPr>
          <w:ilvl w:val="0"/>
          <w:numId w:val="23"/>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перенесших ИМпST, рекомендуется поддерживать уровень ХС ЛНП &lt;1,4 ммоль/л и при этом добиваться его снижения как минимум на 50% от исходных значений для обеспечения максимального эффекта по снижению риска повторных ишемических событий </w:t>
      </w:r>
      <w:hyperlink r:id="rId149" w:history="1">
        <w:r>
          <w:rPr>
            <w:rStyle w:val="a6"/>
            <w:rFonts w:ascii="Times New Roman" w:hAnsi="Times New Roman" w:cs="Times New Roman"/>
            <w:color w:val="000000" w:themeColor="text1"/>
            <w:sz w:val="24"/>
            <w:szCs w:val="24"/>
          </w:rPr>
          <w:t>[346-350]</w:t>
        </w:r>
      </w:hyperlink>
      <w:r>
        <w:rPr>
          <w:rFonts w:ascii="Times New Roman" w:hAnsi="Times New Roman" w:cs="Times New Roman"/>
          <w:color w:val="000000" w:themeColor="text1"/>
          <w:sz w:val="24"/>
          <w:szCs w:val="24"/>
        </w:rPr>
        <w:t>.</w:t>
      </w:r>
    </w:p>
    <w:p w14:paraId="7CF8894C" w14:textId="57AA5F99" w:rsidR="00A43F72" w:rsidRDefault="00A43F72"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IA (Уровень убедительности рекомендаций А, Уровень достоверности докзательств 1)</w:t>
      </w:r>
      <w:r w:rsidR="00BD2F09">
        <w:rPr>
          <w:rStyle w:val="a7"/>
          <w:rFonts w:eastAsiaTheme="majorEastAsia"/>
          <w:color w:val="000000" w:themeColor="text1"/>
        </w:rPr>
        <w:t>.</w:t>
      </w:r>
    </w:p>
    <w:p w14:paraId="65B828E2" w14:textId="77777777" w:rsidR="00A43F72" w:rsidRDefault="00A43F72" w:rsidP="00A419DB">
      <w:pPr>
        <w:pStyle w:val="af5"/>
        <w:shd w:val="clear" w:color="auto" w:fill="FFFFFF"/>
        <w:suppressAutoHyphens/>
        <w:spacing w:before="75" w:beforeAutospacing="0" w:after="225" w:afterAutospacing="0" w:line="360" w:lineRule="auto"/>
        <w:jc w:val="both"/>
        <w:rPr>
          <w:rStyle w:val="a5"/>
          <w:rFonts w:eastAsiaTheme="majorEastAsia"/>
          <w:color w:val="000000" w:themeColor="text1"/>
        </w:rPr>
      </w:pPr>
      <w:r>
        <w:rPr>
          <w:rStyle w:val="a7"/>
          <w:rFonts w:eastAsiaTheme="majorEastAsia"/>
          <w:color w:val="000000" w:themeColor="text1"/>
        </w:rPr>
        <w:lastRenderedPageBreak/>
        <w:t>Комментарии. </w:t>
      </w:r>
      <w:r>
        <w:rPr>
          <w:rStyle w:val="a5"/>
          <w:rFonts w:eastAsiaTheme="majorEastAsia"/>
          <w:color w:val="000000" w:themeColor="text1"/>
        </w:rPr>
        <w:t>Необходимо определять уровень ХС ЛНП в крови через 4-6 нед. после начала лечения, после изменения дозы или добавления нового гиполипидемического препарата для оценки эффективности терапии, определения необходимости увеличения дозы.</w:t>
      </w:r>
    </w:p>
    <w:p w14:paraId="6505651A" w14:textId="77777777" w:rsidR="00A43F72" w:rsidRPr="00524A54" w:rsidRDefault="00A43F72" w:rsidP="00A419DB">
      <w:pPr>
        <w:pStyle w:val="af5"/>
        <w:shd w:val="clear" w:color="auto" w:fill="FFFFFF"/>
        <w:suppressAutoHyphens/>
        <w:spacing w:before="75" w:beforeAutospacing="0" w:after="225" w:afterAutospacing="0" w:line="360" w:lineRule="auto"/>
        <w:jc w:val="both"/>
        <w:rPr>
          <w:rFonts w:eastAsiaTheme="majorEastAsia"/>
          <w:i/>
          <w:iCs/>
          <w:color w:val="000000" w:themeColor="text1"/>
        </w:rPr>
      </w:pPr>
      <w:r>
        <w:rPr>
          <w:color w:val="000000" w:themeColor="text1"/>
        </w:rPr>
        <w:t>У пациентов с ИМпST, перенесших помимо данного ИМпST еще одно сосудистое (в любом сосудистом бассейне) событие в течение предшествующих 2 лет, для дополнительного снижения риска повторных ишемических событий рекомендуется целевой уровень ХС ЛНП &lt;1,0 ммоль/л </w:t>
      </w:r>
      <w:hyperlink r:id="rId150" w:history="1">
        <w:r>
          <w:rPr>
            <w:rStyle w:val="a6"/>
            <w:color w:val="000000" w:themeColor="text1"/>
          </w:rPr>
          <w:t>[351]</w:t>
        </w:r>
      </w:hyperlink>
      <w:hyperlink r:id="rId151" w:history="1">
        <w:r>
          <w:rPr>
            <w:rStyle w:val="a6"/>
            <w:color w:val="000000" w:themeColor="text1"/>
          </w:rPr>
          <w:t>[352]</w:t>
        </w:r>
      </w:hyperlink>
      <w:r>
        <w:rPr>
          <w:color w:val="000000" w:themeColor="text1"/>
        </w:rPr>
        <w:t>.</w:t>
      </w:r>
    </w:p>
    <w:p w14:paraId="1B049214" w14:textId="3E22579C" w:rsidR="00A43F72" w:rsidRDefault="00A43F72"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IIbB (Уровень убедительности рекомендаций С, Уровень достоверности докзательств 5)</w:t>
      </w:r>
      <w:r w:rsidR="00BD2F09">
        <w:rPr>
          <w:rStyle w:val="a7"/>
          <w:rFonts w:eastAsiaTheme="majorEastAsia"/>
          <w:color w:val="000000" w:themeColor="text1"/>
        </w:rPr>
        <w:t>.</w:t>
      </w:r>
    </w:p>
    <w:p w14:paraId="1964D7DE" w14:textId="77777777" w:rsidR="00A43F72" w:rsidRDefault="00A43F72" w:rsidP="00A419DB">
      <w:pPr>
        <w:numPr>
          <w:ilvl w:val="0"/>
          <w:numId w:val="24"/>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 значительном повышении (&gt;4,0 ммоль/л) уровня ХС ЛНП у пациентов с ИМпST рекомендуется раннее назначение (во время госпитализации в связи с данным коронарным событием) ингибитора ГМГ-КоА-редуктазы и эзетимиба, предпочтительно в одной таблетке или капсуле </w:t>
      </w:r>
      <w:hyperlink r:id="rId152" w:history="1">
        <w:r>
          <w:rPr>
            <w:rStyle w:val="a6"/>
            <w:rFonts w:ascii="Times New Roman" w:hAnsi="Times New Roman" w:cs="Times New Roman"/>
            <w:color w:val="000000" w:themeColor="text1"/>
            <w:sz w:val="24"/>
            <w:szCs w:val="24"/>
          </w:rPr>
          <w:t>[358]</w:t>
        </w:r>
      </w:hyperlink>
      <w:r>
        <w:rPr>
          <w:rFonts w:ascii="Times New Roman" w:hAnsi="Times New Roman" w:cs="Times New Roman"/>
          <w:color w:val="000000" w:themeColor="text1"/>
          <w:sz w:val="24"/>
          <w:szCs w:val="24"/>
        </w:rPr>
        <w:t>.</w:t>
      </w:r>
    </w:p>
    <w:p w14:paraId="4CBA27E1" w14:textId="4687CC25" w:rsidR="00A43F72" w:rsidRDefault="00A43F72"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РКО IIаA (Уровень убедительности рекомендаций А, Уровень достоверности докзательств)</w:t>
      </w:r>
      <w:r w:rsidR="00BD2F09">
        <w:rPr>
          <w:rStyle w:val="a7"/>
          <w:rFonts w:eastAsiaTheme="majorEastAsia"/>
          <w:color w:val="000000" w:themeColor="text1"/>
        </w:rPr>
        <w:t>.</w:t>
      </w:r>
    </w:p>
    <w:p w14:paraId="231BDD7E" w14:textId="77777777" w:rsidR="00A43F72" w:rsidRPr="00A43F72" w:rsidRDefault="00A43F72" w:rsidP="00A419DB">
      <w:pPr>
        <w:pStyle w:val="af9"/>
        <w:suppressAutoHyphens/>
      </w:pPr>
    </w:p>
    <w:p w14:paraId="3EA664CD" w14:textId="77777777" w:rsidR="00050CC9" w:rsidRDefault="002C7340" w:rsidP="00A419DB">
      <w:pPr>
        <w:pStyle w:val="20"/>
        <w:suppressAutoHyphens/>
        <w:spacing w:line="360" w:lineRule="auto"/>
        <w:jc w:val="both"/>
        <w:rPr>
          <w:rFonts w:ascii="Times New Roman" w:eastAsia="Calibri" w:hAnsi="Times New Roman" w:cs="Times New Roman"/>
          <w:color w:val="000000" w:themeColor="text1"/>
          <w:sz w:val="24"/>
          <w:szCs w:val="24"/>
        </w:rPr>
      </w:pPr>
      <w:bookmarkStart w:id="30" w:name="_Toc236138938"/>
      <w:r>
        <w:rPr>
          <w:rFonts w:ascii="Times New Roman" w:eastAsia="Calibri" w:hAnsi="Times New Roman" w:cs="Times New Roman"/>
          <w:color w:val="000000" w:themeColor="text1"/>
          <w:sz w:val="24"/>
          <w:szCs w:val="24"/>
        </w:rPr>
        <w:t>3.</w:t>
      </w:r>
      <w:r w:rsidR="00050CC9">
        <w:rPr>
          <w:rFonts w:ascii="Times New Roman" w:eastAsia="Calibri" w:hAnsi="Times New Roman" w:cs="Times New Roman"/>
          <w:color w:val="000000" w:themeColor="text1"/>
          <w:sz w:val="24"/>
          <w:szCs w:val="24"/>
        </w:rPr>
        <w:t>2 Хирургическое лечение</w:t>
      </w:r>
      <w:bookmarkEnd w:id="30"/>
    </w:p>
    <w:p w14:paraId="19CF9B98" w14:textId="70C4881B" w:rsidR="004C062E" w:rsidRDefault="002C7340" w:rsidP="00A419DB">
      <w:pPr>
        <w:pStyle w:val="20"/>
        <w:suppressAutoHyphens/>
        <w:spacing w:line="360" w:lineRule="auto"/>
        <w:jc w:val="both"/>
        <w:rPr>
          <w:rFonts w:ascii="Times New Roman" w:eastAsia="Calibri" w:hAnsi="Times New Roman" w:cs="Times New Roman"/>
          <w:color w:val="000000" w:themeColor="text1"/>
          <w:sz w:val="24"/>
          <w:szCs w:val="24"/>
        </w:rPr>
      </w:pPr>
      <w:bookmarkStart w:id="31" w:name="_Toc236138939"/>
      <w:r>
        <w:rPr>
          <w:rFonts w:ascii="Times New Roman" w:eastAsia="Calibri" w:hAnsi="Times New Roman" w:cs="Times New Roman"/>
          <w:color w:val="000000" w:themeColor="text1"/>
          <w:sz w:val="24"/>
          <w:szCs w:val="24"/>
        </w:rPr>
        <w:t>Реперфузионное лечение</w:t>
      </w:r>
      <w:bookmarkEnd w:id="31"/>
    </w:p>
    <w:p w14:paraId="4C90CEF0"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Устранение острой окклюзии и восстановление проходимости КА (реперфузия) являются основой лечения пациентов с ОКСпST/ИМпST. Поэтому сразу после установления диагноза "ОКСпST" все пациенты (независимо от возраста или половой принадлежности) должны рассматриваться как кандидаты на реперфузионную терапию. В настоящее время реперфузионное лечение при ОКCпST/ИМпST предусматривает использование двух стратегий: первичного ЧКВ и фармакоинвазивного подхода, включающего последовательное применение ТЛТ и ЧКВ. Выбор между этими двумя стратегиями определяется, прежде всего, доступностью подразделений, способных организовать </w:t>
      </w:r>
      <w:r>
        <w:rPr>
          <w:rStyle w:val="a5"/>
          <w:rFonts w:ascii="Times New Roman" w:hAnsi="Times New Roman" w:cs="Times New Roman"/>
          <w:color w:val="000000" w:themeColor="text1"/>
          <w:sz w:val="24"/>
          <w:szCs w:val="24"/>
          <w:shd w:val="clear" w:color="auto" w:fill="FFFFFF"/>
        </w:rPr>
        <w:t>своевременное</w:t>
      </w:r>
      <w:r>
        <w:rPr>
          <w:rFonts w:ascii="Times New Roman" w:hAnsi="Times New Roman" w:cs="Times New Roman"/>
          <w:color w:val="000000" w:themeColor="text1"/>
          <w:sz w:val="24"/>
          <w:szCs w:val="24"/>
          <w:shd w:val="clear" w:color="auto" w:fill="FFFFFF"/>
        </w:rPr>
        <w:t> ЧКВ.</w:t>
      </w:r>
    </w:p>
    <w:p w14:paraId="6A5FBA48" w14:textId="1075E305" w:rsidR="004C062E" w:rsidRDefault="002C7340" w:rsidP="00A419DB">
      <w:pPr>
        <w:pStyle w:val="20"/>
        <w:suppressAutoHyphens/>
        <w:spacing w:line="360" w:lineRule="auto"/>
        <w:jc w:val="both"/>
        <w:rPr>
          <w:rFonts w:ascii="Times New Roman" w:eastAsia="Calibri" w:hAnsi="Times New Roman" w:cs="Times New Roman"/>
          <w:color w:val="000000" w:themeColor="text1"/>
          <w:sz w:val="24"/>
          <w:szCs w:val="24"/>
        </w:rPr>
      </w:pPr>
      <w:bookmarkStart w:id="32" w:name="_Toc236138940"/>
      <w:r>
        <w:rPr>
          <w:rFonts w:ascii="Times New Roman" w:eastAsia="Calibri" w:hAnsi="Times New Roman" w:cs="Times New Roman"/>
          <w:color w:val="000000" w:themeColor="text1"/>
          <w:sz w:val="24"/>
          <w:szCs w:val="24"/>
        </w:rPr>
        <w:lastRenderedPageBreak/>
        <w:t>Выбор стратегии реперфузионного лечения.</w:t>
      </w:r>
      <w:bookmarkEnd w:id="32"/>
    </w:p>
    <w:p w14:paraId="757A47FA"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Реперфузионная терапия для снижения риска смерти рекомендуется всем пациентам с ИМпST и длительностью симптомов &lt;12 ч </w:t>
      </w:r>
      <w:hyperlink r:id="rId153" w:history="1">
        <w:r>
          <w:rPr>
            <w:rStyle w:val="a6"/>
            <w:rFonts w:ascii="Times New Roman" w:hAnsi="Times New Roman" w:cs="Times New Roman"/>
            <w:color w:val="000000" w:themeColor="text1"/>
            <w:sz w:val="24"/>
            <w:szCs w:val="24"/>
          </w:rPr>
          <w:t>[82]</w:t>
        </w:r>
      </w:hyperlink>
      <w:hyperlink r:id="rId154" w:history="1">
        <w:r>
          <w:rPr>
            <w:rStyle w:val="a6"/>
            <w:rFonts w:ascii="Times New Roman" w:hAnsi="Times New Roman" w:cs="Times New Roman"/>
            <w:color w:val="000000" w:themeColor="text1"/>
            <w:sz w:val="24"/>
            <w:szCs w:val="24"/>
          </w:rPr>
          <w:t>[83]</w:t>
        </w:r>
      </w:hyperlink>
      <w:r>
        <w:rPr>
          <w:rFonts w:ascii="Times New Roman" w:hAnsi="Times New Roman" w:cs="Times New Roman"/>
          <w:color w:val="000000" w:themeColor="text1"/>
          <w:sz w:val="24"/>
          <w:szCs w:val="24"/>
        </w:rPr>
        <w:t>.</w:t>
      </w:r>
    </w:p>
    <w:p w14:paraId="6F282A45" w14:textId="62AF846D"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ЕОК IA (</w:t>
      </w:r>
      <w:r w:rsidR="00F52FCA">
        <w:rPr>
          <w:rStyle w:val="a7"/>
          <w:rFonts w:ascii="Times New Roman" w:eastAsiaTheme="majorEastAsia" w:hAnsi="Times New Roman" w:cs="Times New Roman"/>
          <w:color w:val="000000" w:themeColor="text1"/>
          <w:sz w:val="24"/>
          <w:szCs w:val="24"/>
        </w:rPr>
        <w:t>Уровень убедительности рекомендаций</w:t>
      </w:r>
      <w:r>
        <w:rPr>
          <w:rStyle w:val="a7"/>
          <w:rFonts w:ascii="Times New Roman" w:eastAsiaTheme="majorEastAsia" w:hAnsi="Times New Roman" w:cs="Times New Roman"/>
          <w:color w:val="000000" w:themeColor="text1"/>
          <w:sz w:val="24"/>
          <w:szCs w:val="24"/>
        </w:rPr>
        <w:t xml:space="preserve"> C, </w:t>
      </w:r>
      <w:r w:rsidR="00F52FCA">
        <w:rPr>
          <w:rStyle w:val="a7"/>
          <w:rFonts w:ascii="Times New Roman" w:eastAsiaTheme="majorEastAsia" w:hAnsi="Times New Roman" w:cs="Times New Roman"/>
          <w:color w:val="000000" w:themeColor="text1"/>
          <w:sz w:val="24"/>
          <w:szCs w:val="24"/>
        </w:rPr>
        <w:t>Уровень достоверности докзательств</w:t>
      </w:r>
      <w:r>
        <w:rPr>
          <w:rStyle w:val="a7"/>
          <w:rFonts w:ascii="Times New Roman" w:eastAsiaTheme="majorEastAsia" w:hAnsi="Times New Roman" w:cs="Times New Roman"/>
          <w:color w:val="000000" w:themeColor="text1"/>
          <w:sz w:val="24"/>
          <w:szCs w:val="24"/>
        </w:rPr>
        <w:t> 4)</w:t>
      </w:r>
      <w:r w:rsidR="00BD2F09">
        <w:rPr>
          <w:rStyle w:val="a7"/>
          <w:rFonts w:ascii="Times New Roman" w:eastAsiaTheme="majorEastAsia" w:hAnsi="Times New Roman" w:cs="Times New Roman"/>
          <w:color w:val="000000" w:themeColor="text1"/>
          <w:sz w:val="24"/>
          <w:szCs w:val="24"/>
        </w:rPr>
        <w:t>.</w:t>
      </w:r>
    </w:p>
    <w:p w14:paraId="72EA7AFF"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Для снижения риска смерти рекомендуется выполнение первичного ЧКВ как предпочтительной реперфузионной стратегии в первые 12 ч от начала развития ИМпST, если ожидаемое время от момента постановки диагноза до проведения проводника в просвет инфаркт-связанной КА не превышает 120 мин </w:t>
      </w:r>
      <w:hyperlink r:id="rId155" w:history="1">
        <w:r>
          <w:rPr>
            <w:rStyle w:val="a6"/>
            <w:rFonts w:ascii="Times New Roman" w:hAnsi="Times New Roman" w:cs="Times New Roman"/>
            <w:color w:val="000000" w:themeColor="text1"/>
            <w:sz w:val="24"/>
            <w:szCs w:val="24"/>
          </w:rPr>
          <w:t>[83-86]</w:t>
        </w:r>
      </w:hyperlink>
      <w:r>
        <w:rPr>
          <w:rFonts w:ascii="Times New Roman" w:hAnsi="Times New Roman" w:cs="Times New Roman"/>
          <w:color w:val="000000" w:themeColor="text1"/>
          <w:sz w:val="24"/>
          <w:szCs w:val="24"/>
        </w:rPr>
        <w:t>.</w:t>
      </w:r>
    </w:p>
    <w:p w14:paraId="287D7210" w14:textId="02783367" w:rsidR="004C062E" w:rsidRPr="00F52FCA"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ЕОК</w:t>
      </w:r>
      <w:r>
        <w:rPr>
          <w:rStyle w:val="a7"/>
          <w:rFonts w:ascii="Times New Roman" w:eastAsiaTheme="majorEastAsia" w:hAnsi="Times New Roman" w:cs="Times New Roman"/>
          <w:color w:val="000000" w:themeColor="text1"/>
          <w:sz w:val="24"/>
          <w:szCs w:val="24"/>
          <w:lang w:val="en-US"/>
        </w:rPr>
        <w:t> IA</w:t>
      </w:r>
      <w:r w:rsidRPr="00F52FCA">
        <w:rPr>
          <w:rStyle w:val="a7"/>
          <w:rFonts w:ascii="Times New Roman" w:eastAsiaTheme="majorEastAsia" w:hAnsi="Times New Roman" w:cs="Times New Roman"/>
          <w:color w:val="000000" w:themeColor="text1"/>
          <w:sz w:val="24"/>
          <w:szCs w:val="24"/>
        </w:rPr>
        <w:t xml:space="preserve"> (</w:t>
      </w:r>
      <w:r w:rsidR="00F52FCA">
        <w:rPr>
          <w:rStyle w:val="a7"/>
          <w:rFonts w:ascii="Times New Roman" w:eastAsiaTheme="majorEastAsia" w:hAnsi="Times New Roman" w:cs="Times New Roman"/>
          <w:color w:val="000000" w:themeColor="text1"/>
          <w:sz w:val="24"/>
          <w:szCs w:val="24"/>
        </w:rPr>
        <w:t>Уровень убедительности рекомендаций</w:t>
      </w:r>
      <w:r>
        <w:rPr>
          <w:rStyle w:val="a7"/>
          <w:rFonts w:ascii="Times New Roman" w:eastAsiaTheme="majorEastAsia" w:hAnsi="Times New Roman" w:cs="Times New Roman"/>
          <w:color w:val="000000" w:themeColor="text1"/>
          <w:sz w:val="24"/>
          <w:szCs w:val="24"/>
          <w:lang w:val="en-US"/>
        </w:rPr>
        <w:t> A</w:t>
      </w:r>
      <w:r w:rsidRPr="00F52FCA">
        <w:rPr>
          <w:rStyle w:val="a7"/>
          <w:rFonts w:ascii="Times New Roman" w:eastAsiaTheme="majorEastAsia" w:hAnsi="Times New Roman" w:cs="Times New Roman"/>
          <w:color w:val="000000" w:themeColor="text1"/>
          <w:sz w:val="24"/>
          <w:szCs w:val="24"/>
        </w:rPr>
        <w:t xml:space="preserve">, </w:t>
      </w:r>
      <w:r w:rsidR="00F52FCA">
        <w:rPr>
          <w:rStyle w:val="a7"/>
          <w:rFonts w:ascii="Times New Roman" w:eastAsiaTheme="majorEastAsia" w:hAnsi="Times New Roman" w:cs="Times New Roman"/>
          <w:color w:val="000000" w:themeColor="text1"/>
          <w:sz w:val="24"/>
          <w:szCs w:val="24"/>
        </w:rPr>
        <w:t>Уровень достоверности докзательств</w:t>
      </w:r>
      <w:r>
        <w:rPr>
          <w:rStyle w:val="a7"/>
          <w:rFonts w:ascii="Times New Roman" w:eastAsiaTheme="majorEastAsia" w:hAnsi="Times New Roman" w:cs="Times New Roman"/>
          <w:color w:val="000000" w:themeColor="text1"/>
          <w:sz w:val="24"/>
          <w:szCs w:val="24"/>
          <w:lang w:val="en-US"/>
        </w:rPr>
        <w:t> </w:t>
      </w:r>
      <w:r w:rsidRPr="00F52FCA">
        <w:rPr>
          <w:rStyle w:val="a7"/>
          <w:rFonts w:ascii="Times New Roman" w:eastAsiaTheme="majorEastAsia" w:hAnsi="Times New Roman" w:cs="Times New Roman"/>
          <w:color w:val="000000" w:themeColor="text1"/>
          <w:sz w:val="24"/>
          <w:szCs w:val="24"/>
        </w:rPr>
        <w:t>1)</w:t>
      </w:r>
      <w:r w:rsidR="00BD2F09">
        <w:rPr>
          <w:rStyle w:val="a7"/>
          <w:rFonts w:ascii="Times New Roman" w:eastAsiaTheme="majorEastAsia" w:hAnsi="Times New Roman" w:cs="Times New Roman"/>
          <w:color w:val="000000" w:themeColor="text1"/>
          <w:sz w:val="24"/>
          <w:szCs w:val="24"/>
        </w:rPr>
        <w:t>.</w:t>
      </w:r>
    </w:p>
    <w:p w14:paraId="6F8D992A"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Комментарии. </w:t>
      </w:r>
      <w:r>
        <w:rPr>
          <w:rStyle w:val="a5"/>
          <w:rFonts w:ascii="Times New Roman" w:eastAsiaTheme="majorEastAsia" w:hAnsi="Times New Roman" w:cs="Times New Roman"/>
          <w:color w:val="000000" w:themeColor="text1"/>
          <w:sz w:val="24"/>
          <w:szCs w:val="24"/>
        </w:rPr>
        <w:t>Проведение первичного ЧКВ в более поздние сроки (ожидаемое время от момента постановки диагноза до проведения проводника в просвет инфаркт-связанной КА превышает 120 мин) приводит к значительному повышению</w:t>
      </w:r>
      <w:r w:rsidR="003500AE">
        <w:rPr>
          <w:rStyle w:val="a5"/>
          <w:rFonts w:ascii="Times New Roman" w:eastAsiaTheme="majorEastAsia" w:hAnsi="Times New Roman" w:cs="Times New Roman"/>
          <w:color w:val="000000" w:themeColor="text1"/>
          <w:sz w:val="24"/>
          <w:szCs w:val="24"/>
        </w:rPr>
        <w:t xml:space="preserve"> смертности, поэтому нужно</w:t>
      </w:r>
      <w:r>
        <w:rPr>
          <w:rStyle w:val="a5"/>
          <w:rFonts w:ascii="Times New Roman" w:eastAsiaTheme="majorEastAsia" w:hAnsi="Times New Roman" w:cs="Times New Roman"/>
          <w:color w:val="000000" w:themeColor="text1"/>
          <w:sz w:val="24"/>
          <w:szCs w:val="24"/>
        </w:rPr>
        <w:t>придерживаться рекомендованного алгоритма. В случае проведения первичного ЧКВ следует укладываться во временной интервал от постановки диагноза до введения проводника в просвет КА. В учреждении, реализующем первичные ЧКВ, это время не должно превышать 60 мин, а у пациентов, переведенных из "неинвазивных" учреждений, — 90 мин. Не следует рассматривать в качестве ограничений/противопоказаний к первичному ЧКВ возраст, указания на нарушенную азотвыделительную функцию почек, сопутствующие заболевания и состояния. Как относительные противопоказания к ЧКВ могут расцениваться непереносимость рентгенконтрастных веществ и чрезвычайно высокая масса тела пациента (превышающая ограничения, заявленные производителем ангиографической установки). В этих случаях возможна вынужденная ТЛТ без последующего ЧКВ.</w:t>
      </w:r>
    </w:p>
    <w:p w14:paraId="2639D9CB"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Рутинная стратегия первичного ЧКВ для снижения риска ишемических событий рекомендована у пациентов, поступивших в интервале 12-48 ч от начала симптомов ИМпST </w:t>
      </w:r>
      <w:hyperlink r:id="rId156" w:history="1">
        <w:r>
          <w:rPr>
            <w:rStyle w:val="a6"/>
            <w:rFonts w:ascii="Times New Roman" w:hAnsi="Times New Roman" w:cs="Times New Roman"/>
            <w:color w:val="000000" w:themeColor="text1"/>
            <w:sz w:val="24"/>
            <w:szCs w:val="24"/>
          </w:rPr>
          <w:t>[87-91]</w:t>
        </w:r>
      </w:hyperlink>
      <w:r>
        <w:rPr>
          <w:rFonts w:ascii="Times New Roman" w:hAnsi="Times New Roman" w:cs="Times New Roman"/>
          <w:color w:val="000000" w:themeColor="text1"/>
          <w:sz w:val="24"/>
          <w:szCs w:val="24"/>
        </w:rPr>
        <w:t>.</w:t>
      </w:r>
    </w:p>
    <w:p w14:paraId="14650C34" w14:textId="585895D0"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ЕОК IIaВ (</w:t>
      </w:r>
      <w:r w:rsidR="00F52FCA">
        <w:rPr>
          <w:rStyle w:val="a7"/>
          <w:rFonts w:ascii="Times New Roman" w:eastAsiaTheme="majorEastAsia" w:hAnsi="Times New Roman" w:cs="Times New Roman"/>
          <w:color w:val="000000" w:themeColor="text1"/>
          <w:sz w:val="24"/>
          <w:szCs w:val="24"/>
        </w:rPr>
        <w:t>Уровень убедительности рекомендаций</w:t>
      </w:r>
      <w:r>
        <w:rPr>
          <w:rStyle w:val="a7"/>
          <w:rFonts w:ascii="Times New Roman" w:eastAsiaTheme="majorEastAsia" w:hAnsi="Times New Roman" w:cs="Times New Roman"/>
          <w:color w:val="000000" w:themeColor="text1"/>
          <w:sz w:val="24"/>
          <w:szCs w:val="24"/>
        </w:rPr>
        <w:t xml:space="preserve"> B, </w:t>
      </w:r>
      <w:r w:rsidR="00F52FCA">
        <w:rPr>
          <w:rStyle w:val="a7"/>
          <w:rFonts w:ascii="Times New Roman" w:eastAsiaTheme="majorEastAsia" w:hAnsi="Times New Roman" w:cs="Times New Roman"/>
          <w:color w:val="000000" w:themeColor="text1"/>
          <w:sz w:val="24"/>
          <w:szCs w:val="24"/>
        </w:rPr>
        <w:t>Уровень достоверности докзательств</w:t>
      </w:r>
      <w:r>
        <w:rPr>
          <w:rStyle w:val="a7"/>
          <w:rFonts w:ascii="Times New Roman" w:eastAsiaTheme="majorEastAsia" w:hAnsi="Times New Roman" w:cs="Times New Roman"/>
          <w:color w:val="000000" w:themeColor="text1"/>
          <w:sz w:val="24"/>
          <w:szCs w:val="24"/>
        </w:rPr>
        <w:t> 2)</w:t>
      </w:r>
      <w:r w:rsidR="00BD2F09">
        <w:rPr>
          <w:rStyle w:val="a7"/>
          <w:rFonts w:ascii="Times New Roman" w:eastAsiaTheme="majorEastAsia" w:hAnsi="Times New Roman" w:cs="Times New Roman"/>
          <w:color w:val="000000" w:themeColor="text1"/>
          <w:sz w:val="24"/>
          <w:szCs w:val="24"/>
        </w:rPr>
        <w:t>.</w:t>
      </w:r>
    </w:p>
    <w:p w14:paraId="0391D700"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Пациентам с ИМпST вне зависимости от его давности реперфузионная терапия (а именно ЧКВ) рекомендуется в случае продолжающейся ишемии, нестабильной гемодинамики (кардиогенного шока), жизнеугрожающих аритмии, нарушении проведения сердечного импульса </w:t>
      </w:r>
      <w:hyperlink r:id="rId157" w:history="1">
        <w:r>
          <w:rPr>
            <w:rStyle w:val="a6"/>
            <w:rFonts w:ascii="Times New Roman" w:hAnsi="Times New Roman" w:cs="Times New Roman"/>
            <w:color w:val="000000" w:themeColor="text1"/>
            <w:sz w:val="24"/>
            <w:szCs w:val="24"/>
          </w:rPr>
          <w:t>[92]</w:t>
        </w:r>
      </w:hyperlink>
      <w:r>
        <w:rPr>
          <w:rFonts w:ascii="Times New Roman" w:hAnsi="Times New Roman" w:cs="Times New Roman"/>
          <w:color w:val="000000" w:themeColor="text1"/>
          <w:sz w:val="24"/>
          <w:szCs w:val="24"/>
        </w:rPr>
        <w:t>.</w:t>
      </w:r>
    </w:p>
    <w:p w14:paraId="0CF1BFA5" w14:textId="59782A86"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ЕОК IC (</w:t>
      </w:r>
      <w:r w:rsidR="00F52FCA">
        <w:rPr>
          <w:rStyle w:val="a7"/>
          <w:rFonts w:ascii="Times New Roman" w:eastAsiaTheme="majorEastAsia" w:hAnsi="Times New Roman" w:cs="Times New Roman"/>
          <w:color w:val="000000" w:themeColor="text1"/>
          <w:sz w:val="24"/>
          <w:szCs w:val="24"/>
        </w:rPr>
        <w:t>Уровень убедительности рекомендаций</w:t>
      </w:r>
      <w:r>
        <w:rPr>
          <w:rStyle w:val="a7"/>
          <w:rFonts w:ascii="Times New Roman" w:eastAsiaTheme="majorEastAsia" w:hAnsi="Times New Roman" w:cs="Times New Roman"/>
          <w:color w:val="000000" w:themeColor="text1"/>
          <w:sz w:val="24"/>
          <w:szCs w:val="24"/>
        </w:rPr>
        <w:t xml:space="preserve"> С, </w:t>
      </w:r>
      <w:r w:rsidR="00F52FCA">
        <w:rPr>
          <w:rStyle w:val="a7"/>
          <w:rFonts w:ascii="Times New Roman" w:eastAsiaTheme="majorEastAsia" w:hAnsi="Times New Roman" w:cs="Times New Roman"/>
          <w:color w:val="000000" w:themeColor="text1"/>
          <w:sz w:val="24"/>
          <w:szCs w:val="24"/>
        </w:rPr>
        <w:t>Уровень достоверности докзательств</w:t>
      </w:r>
      <w:r>
        <w:rPr>
          <w:rStyle w:val="a7"/>
          <w:rFonts w:ascii="Times New Roman" w:eastAsiaTheme="majorEastAsia" w:hAnsi="Times New Roman" w:cs="Times New Roman"/>
          <w:color w:val="000000" w:themeColor="text1"/>
          <w:sz w:val="24"/>
          <w:szCs w:val="24"/>
        </w:rPr>
        <w:t> 4)</w:t>
      </w:r>
      <w:r w:rsidR="00BD2F09">
        <w:rPr>
          <w:rStyle w:val="a7"/>
          <w:rFonts w:ascii="Times New Roman" w:eastAsiaTheme="majorEastAsia" w:hAnsi="Times New Roman" w:cs="Times New Roman"/>
          <w:color w:val="000000" w:themeColor="text1"/>
          <w:sz w:val="24"/>
          <w:szCs w:val="24"/>
        </w:rPr>
        <w:t>.</w:t>
      </w:r>
    </w:p>
    <w:p w14:paraId="3151C99A"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Если от начала ИМпST прошло &gt;48 ч, рутинное реперфузионное лечение (ЧКВ или КШ) инфаркт-связанной КА не рекомендуется при ее полной окклюзии и отсутствии дополнительных клинических оснований для вмешательства (продолжающейся или рецидивирующей ишемии миокарда, симптомов тяжелой СН, угрожающих жизни нарушений ритма сердца) </w:t>
      </w:r>
      <w:hyperlink r:id="rId158" w:history="1">
        <w:r>
          <w:rPr>
            <w:rStyle w:val="a6"/>
            <w:rFonts w:ascii="Times New Roman" w:hAnsi="Times New Roman" w:cs="Times New Roman"/>
            <w:color w:val="000000" w:themeColor="text1"/>
            <w:sz w:val="24"/>
            <w:szCs w:val="24"/>
          </w:rPr>
          <w:t>[87]</w:t>
        </w:r>
      </w:hyperlink>
      <w:hyperlink r:id="rId159" w:history="1">
        <w:r>
          <w:rPr>
            <w:rStyle w:val="a6"/>
            <w:rFonts w:ascii="Times New Roman" w:hAnsi="Times New Roman" w:cs="Times New Roman"/>
            <w:color w:val="000000" w:themeColor="text1"/>
            <w:sz w:val="24"/>
            <w:szCs w:val="24"/>
          </w:rPr>
          <w:t>[93]</w:t>
        </w:r>
      </w:hyperlink>
      <w:hyperlink r:id="rId160" w:history="1">
        <w:r>
          <w:rPr>
            <w:rStyle w:val="a6"/>
            <w:rFonts w:ascii="Times New Roman" w:hAnsi="Times New Roman" w:cs="Times New Roman"/>
            <w:color w:val="000000" w:themeColor="text1"/>
            <w:sz w:val="24"/>
            <w:szCs w:val="24"/>
          </w:rPr>
          <w:t>[94]</w:t>
        </w:r>
      </w:hyperlink>
      <w:r>
        <w:rPr>
          <w:rFonts w:ascii="Times New Roman" w:hAnsi="Times New Roman" w:cs="Times New Roman"/>
          <w:color w:val="000000" w:themeColor="text1"/>
          <w:sz w:val="24"/>
          <w:szCs w:val="24"/>
        </w:rPr>
        <w:t>.</w:t>
      </w:r>
    </w:p>
    <w:p w14:paraId="29AFD650" w14:textId="72043EFA"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ЕОК IIIА (</w:t>
      </w:r>
      <w:r w:rsidR="00F52FCA">
        <w:rPr>
          <w:rStyle w:val="a7"/>
          <w:rFonts w:ascii="Times New Roman" w:eastAsiaTheme="majorEastAsia" w:hAnsi="Times New Roman" w:cs="Times New Roman"/>
          <w:color w:val="000000" w:themeColor="text1"/>
          <w:sz w:val="24"/>
          <w:szCs w:val="24"/>
        </w:rPr>
        <w:t>Уровень убедительности рекомендаций</w:t>
      </w:r>
      <w:r>
        <w:rPr>
          <w:rStyle w:val="a7"/>
          <w:rFonts w:ascii="Times New Roman" w:eastAsiaTheme="majorEastAsia" w:hAnsi="Times New Roman" w:cs="Times New Roman"/>
          <w:color w:val="000000" w:themeColor="text1"/>
          <w:sz w:val="24"/>
          <w:szCs w:val="24"/>
        </w:rPr>
        <w:t xml:space="preserve"> A, </w:t>
      </w:r>
      <w:r w:rsidR="00F52FCA">
        <w:rPr>
          <w:rStyle w:val="a7"/>
          <w:rFonts w:ascii="Times New Roman" w:eastAsiaTheme="majorEastAsia" w:hAnsi="Times New Roman" w:cs="Times New Roman"/>
          <w:color w:val="000000" w:themeColor="text1"/>
          <w:sz w:val="24"/>
          <w:szCs w:val="24"/>
        </w:rPr>
        <w:t>Уровень достоверности докзательств</w:t>
      </w:r>
      <w:r>
        <w:rPr>
          <w:rStyle w:val="a7"/>
          <w:rFonts w:ascii="Times New Roman" w:eastAsiaTheme="majorEastAsia" w:hAnsi="Times New Roman" w:cs="Times New Roman"/>
          <w:color w:val="000000" w:themeColor="text1"/>
          <w:sz w:val="24"/>
          <w:szCs w:val="24"/>
        </w:rPr>
        <w:t> 2)</w:t>
      </w:r>
      <w:r w:rsidR="00BD2F09">
        <w:rPr>
          <w:rStyle w:val="a7"/>
          <w:rFonts w:ascii="Times New Roman" w:eastAsiaTheme="majorEastAsia" w:hAnsi="Times New Roman" w:cs="Times New Roman"/>
          <w:color w:val="000000" w:themeColor="text1"/>
          <w:sz w:val="24"/>
          <w:szCs w:val="24"/>
        </w:rPr>
        <w:t>.</w:t>
      </w:r>
    </w:p>
    <w:p w14:paraId="59BD8BD5"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связи с важностью критериев времени в выборе стратегии реперфузионного лечения у пациентов с ИМпST рекомендуется всем медицинским учреждениям, оказывающим медицинскую помощь пациентам с ИМпST, и службе СМП фиксировать и контролировать на соответствие рекомендациям указанные в данном документе временные интервалы как при выполнении реперфузионной терапии, так и при отказе от нее </w:t>
      </w:r>
      <w:hyperlink r:id="rId161" w:history="1">
        <w:r>
          <w:rPr>
            <w:rStyle w:val="a6"/>
            <w:rFonts w:ascii="Times New Roman" w:hAnsi="Times New Roman" w:cs="Times New Roman"/>
            <w:color w:val="000000" w:themeColor="text1"/>
            <w:sz w:val="24"/>
            <w:szCs w:val="24"/>
          </w:rPr>
          <w:t>[9]</w:t>
        </w:r>
      </w:hyperlink>
      <w:r>
        <w:rPr>
          <w:rFonts w:ascii="Times New Roman" w:hAnsi="Times New Roman" w:cs="Times New Roman"/>
          <w:color w:val="000000" w:themeColor="text1"/>
          <w:sz w:val="24"/>
          <w:szCs w:val="24"/>
        </w:rPr>
        <w:t>.</w:t>
      </w:r>
    </w:p>
    <w:p w14:paraId="57AA633D" w14:textId="0C546D35"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ЕОК IС (</w:t>
      </w:r>
      <w:r w:rsidR="00F52FCA">
        <w:rPr>
          <w:rStyle w:val="a7"/>
          <w:rFonts w:ascii="Times New Roman" w:eastAsiaTheme="majorEastAsia" w:hAnsi="Times New Roman" w:cs="Times New Roman"/>
          <w:color w:val="000000" w:themeColor="text1"/>
          <w:sz w:val="24"/>
          <w:szCs w:val="24"/>
        </w:rPr>
        <w:t>Уровень убедительности рекомендаций</w:t>
      </w:r>
      <w:r>
        <w:rPr>
          <w:rStyle w:val="a7"/>
          <w:rFonts w:ascii="Times New Roman" w:eastAsiaTheme="majorEastAsia" w:hAnsi="Times New Roman" w:cs="Times New Roman"/>
          <w:color w:val="000000" w:themeColor="text1"/>
          <w:sz w:val="24"/>
          <w:szCs w:val="24"/>
        </w:rPr>
        <w:t xml:space="preserve"> С, </w:t>
      </w:r>
      <w:r w:rsidR="00F52FCA">
        <w:rPr>
          <w:rStyle w:val="a7"/>
          <w:rFonts w:ascii="Times New Roman" w:eastAsiaTheme="majorEastAsia" w:hAnsi="Times New Roman" w:cs="Times New Roman"/>
          <w:color w:val="000000" w:themeColor="text1"/>
          <w:sz w:val="24"/>
          <w:szCs w:val="24"/>
        </w:rPr>
        <w:t>Уровень достоверности докзательств</w:t>
      </w:r>
      <w:r>
        <w:rPr>
          <w:rStyle w:val="a7"/>
          <w:rFonts w:ascii="Times New Roman" w:eastAsiaTheme="majorEastAsia" w:hAnsi="Times New Roman" w:cs="Times New Roman"/>
          <w:color w:val="000000" w:themeColor="text1"/>
          <w:sz w:val="24"/>
          <w:szCs w:val="24"/>
        </w:rPr>
        <w:t> 5)</w:t>
      </w:r>
      <w:r w:rsidR="00BD2F09">
        <w:rPr>
          <w:rStyle w:val="a7"/>
          <w:rFonts w:ascii="Times New Roman" w:eastAsiaTheme="majorEastAsia" w:hAnsi="Times New Roman" w:cs="Times New Roman"/>
          <w:color w:val="000000" w:themeColor="text1"/>
          <w:sz w:val="24"/>
          <w:szCs w:val="24"/>
        </w:rPr>
        <w:t>.</w:t>
      </w:r>
    </w:p>
    <w:p w14:paraId="3EADF47A" w14:textId="1592E26D" w:rsidR="004C062E" w:rsidRDefault="002C7340" w:rsidP="00A419DB">
      <w:pPr>
        <w:pStyle w:val="20"/>
        <w:suppressAutoHyphens/>
        <w:spacing w:line="360" w:lineRule="auto"/>
        <w:jc w:val="both"/>
        <w:rPr>
          <w:rFonts w:ascii="Times New Roman" w:eastAsia="Calibri" w:hAnsi="Times New Roman" w:cs="Times New Roman"/>
          <w:color w:val="000000" w:themeColor="text1"/>
          <w:sz w:val="24"/>
          <w:szCs w:val="24"/>
        </w:rPr>
      </w:pPr>
      <w:bookmarkStart w:id="33" w:name="_Toc236138941"/>
      <w:r>
        <w:rPr>
          <w:rFonts w:ascii="Times New Roman" w:eastAsia="Calibri" w:hAnsi="Times New Roman" w:cs="Times New Roman"/>
          <w:color w:val="000000" w:themeColor="text1"/>
          <w:sz w:val="24"/>
          <w:szCs w:val="24"/>
        </w:rPr>
        <w:t>Первичное ЧКВ</w:t>
      </w:r>
      <w:bookmarkEnd w:id="33"/>
    </w:p>
    <w:p w14:paraId="3288B394"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 выполнении первичного ЧКВ у пациентов с ИМпST для снижения риска смерти рекомендуется обязательное вмешательство на ИСА </w:t>
      </w:r>
      <w:hyperlink r:id="rId162" w:history="1">
        <w:r>
          <w:rPr>
            <w:rStyle w:val="a6"/>
            <w:rFonts w:ascii="Times New Roman" w:hAnsi="Times New Roman" w:cs="Times New Roman"/>
            <w:color w:val="000000" w:themeColor="text1"/>
            <w:sz w:val="24"/>
            <w:szCs w:val="24"/>
          </w:rPr>
          <w:t>[55]</w:t>
        </w:r>
      </w:hyperlink>
      <w:hyperlink r:id="rId163" w:history="1">
        <w:r>
          <w:rPr>
            <w:rStyle w:val="a6"/>
            <w:rFonts w:ascii="Times New Roman" w:hAnsi="Times New Roman" w:cs="Times New Roman"/>
            <w:color w:val="000000" w:themeColor="text1"/>
            <w:sz w:val="24"/>
            <w:szCs w:val="24"/>
          </w:rPr>
          <w:t>[95]</w:t>
        </w:r>
      </w:hyperlink>
      <w:r>
        <w:rPr>
          <w:rFonts w:ascii="Times New Roman" w:hAnsi="Times New Roman" w:cs="Times New Roman"/>
          <w:color w:val="000000" w:themeColor="text1"/>
          <w:sz w:val="24"/>
          <w:szCs w:val="24"/>
        </w:rPr>
        <w:t>.</w:t>
      </w:r>
    </w:p>
    <w:p w14:paraId="415E04A4" w14:textId="1DEE3664" w:rsidR="004C062E" w:rsidRPr="00F52FCA"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ЕОК</w:t>
      </w:r>
      <w:r>
        <w:rPr>
          <w:rStyle w:val="a7"/>
          <w:rFonts w:ascii="Times New Roman" w:eastAsiaTheme="majorEastAsia" w:hAnsi="Times New Roman" w:cs="Times New Roman"/>
          <w:color w:val="000000" w:themeColor="text1"/>
          <w:sz w:val="24"/>
          <w:szCs w:val="24"/>
          <w:lang w:val="en-US"/>
        </w:rPr>
        <w:t> IA</w:t>
      </w:r>
      <w:r w:rsidRPr="00F52FCA">
        <w:rPr>
          <w:rStyle w:val="a7"/>
          <w:rFonts w:ascii="Times New Roman" w:eastAsiaTheme="majorEastAsia" w:hAnsi="Times New Roman" w:cs="Times New Roman"/>
          <w:color w:val="000000" w:themeColor="text1"/>
          <w:sz w:val="24"/>
          <w:szCs w:val="24"/>
        </w:rPr>
        <w:t xml:space="preserve"> (</w:t>
      </w:r>
      <w:r w:rsidR="00F52FCA">
        <w:rPr>
          <w:rStyle w:val="a7"/>
          <w:rFonts w:ascii="Times New Roman" w:eastAsiaTheme="majorEastAsia" w:hAnsi="Times New Roman" w:cs="Times New Roman"/>
          <w:color w:val="000000" w:themeColor="text1"/>
          <w:sz w:val="24"/>
          <w:szCs w:val="24"/>
        </w:rPr>
        <w:t>Уровень убедительности рекомендаций</w:t>
      </w:r>
      <w:r>
        <w:rPr>
          <w:rStyle w:val="a7"/>
          <w:rFonts w:ascii="Times New Roman" w:eastAsiaTheme="majorEastAsia" w:hAnsi="Times New Roman" w:cs="Times New Roman"/>
          <w:color w:val="000000" w:themeColor="text1"/>
          <w:sz w:val="24"/>
          <w:szCs w:val="24"/>
          <w:lang w:val="en-US"/>
        </w:rPr>
        <w:t> A</w:t>
      </w:r>
      <w:r w:rsidRPr="00F52FCA">
        <w:rPr>
          <w:rStyle w:val="a7"/>
          <w:rFonts w:ascii="Times New Roman" w:eastAsiaTheme="majorEastAsia" w:hAnsi="Times New Roman" w:cs="Times New Roman"/>
          <w:color w:val="000000" w:themeColor="text1"/>
          <w:sz w:val="24"/>
          <w:szCs w:val="24"/>
        </w:rPr>
        <w:t xml:space="preserve">, </w:t>
      </w:r>
      <w:r w:rsidR="00F52FCA">
        <w:rPr>
          <w:rStyle w:val="a7"/>
          <w:rFonts w:ascii="Times New Roman" w:eastAsiaTheme="majorEastAsia" w:hAnsi="Times New Roman" w:cs="Times New Roman"/>
          <w:color w:val="000000" w:themeColor="text1"/>
          <w:sz w:val="24"/>
          <w:szCs w:val="24"/>
        </w:rPr>
        <w:t>Уровень достоверности докзательств</w:t>
      </w:r>
      <w:r>
        <w:rPr>
          <w:rStyle w:val="a7"/>
          <w:rFonts w:ascii="Times New Roman" w:eastAsiaTheme="majorEastAsia" w:hAnsi="Times New Roman" w:cs="Times New Roman"/>
          <w:color w:val="000000" w:themeColor="text1"/>
          <w:sz w:val="24"/>
          <w:szCs w:val="24"/>
          <w:lang w:val="en-US"/>
        </w:rPr>
        <w:t> </w:t>
      </w:r>
      <w:r w:rsidRPr="00F52FCA">
        <w:rPr>
          <w:rStyle w:val="a7"/>
          <w:rFonts w:ascii="Times New Roman" w:eastAsiaTheme="majorEastAsia" w:hAnsi="Times New Roman" w:cs="Times New Roman"/>
          <w:color w:val="000000" w:themeColor="text1"/>
          <w:sz w:val="24"/>
          <w:szCs w:val="24"/>
        </w:rPr>
        <w:t>1)</w:t>
      </w:r>
      <w:r w:rsidR="00BD2F09">
        <w:rPr>
          <w:rStyle w:val="a7"/>
          <w:rFonts w:ascii="Times New Roman" w:eastAsiaTheme="majorEastAsia" w:hAnsi="Times New Roman" w:cs="Times New Roman"/>
          <w:color w:val="000000" w:themeColor="text1"/>
          <w:sz w:val="24"/>
          <w:szCs w:val="24"/>
        </w:rPr>
        <w:t>.</w:t>
      </w:r>
    </w:p>
    <w:p w14:paraId="4EE4D32E"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гемодинамически стабильных пациентов с ИМпST и многососудистым поражением коронарного русла во время первичного ЧКВ или в течение 45 дней после первичного вмешательства для снижения суммарного риска ишемических событий (смерть, рецидив ИМ или необходимость в повторной реваскуляризации) рекомендуется ЧКВ на не-</w:t>
      </w:r>
      <w:r>
        <w:rPr>
          <w:rFonts w:ascii="Times New Roman" w:hAnsi="Times New Roman" w:cs="Times New Roman"/>
          <w:color w:val="000000" w:themeColor="text1"/>
          <w:sz w:val="24"/>
          <w:szCs w:val="24"/>
        </w:rPr>
        <w:lastRenderedPageBreak/>
        <w:t>инфаркт-связанных КА в случае выявления в них гемодинамически значимых изменений</w:t>
      </w:r>
      <w:r w:rsidR="001C434F">
        <w:rPr>
          <w:rFonts w:ascii="Times New Roman" w:hAnsi="Times New Roman" w:cs="Times New Roman"/>
          <w:color w:val="000000" w:themeColor="text1"/>
          <w:sz w:val="24"/>
          <w:szCs w:val="24"/>
        </w:rPr>
        <w:t xml:space="preserve"> в плановом порядке</w:t>
      </w:r>
      <w:r>
        <w:rPr>
          <w:rFonts w:ascii="Times New Roman" w:hAnsi="Times New Roman" w:cs="Times New Roman"/>
          <w:color w:val="000000" w:themeColor="text1"/>
          <w:sz w:val="24"/>
          <w:szCs w:val="24"/>
        </w:rPr>
        <w:t> </w:t>
      </w:r>
      <w:hyperlink r:id="rId164" w:history="1">
        <w:r>
          <w:rPr>
            <w:rStyle w:val="a6"/>
            <w:rFonts w:ascii="Times New Roman" w:hAnsi="Times New Roman" w:cs="Times New Roman"/>
            <w:color w:val="000000" w:themeColor="text1"/>
            <w:sz w:val="24"/>
            <w:szCs w:val="24"/>
          </w:rPr>
          <w:t>[115-122]</w:t>
        </w:r>
      </w:hyperlink>
      <w:r>
        <w:rPr>
          <w:rFonts w:ascii="Times New Roman" w:hAnsi="Times New Roman" w:cs="Times New Roman"/>
          <w:color w:val="000000" w:themeColor="text1"/>
          <w:sz w:val="24"/>
          <w:szCs w:val="24"/>
        </w:rPr>
        <w:t>.</w:t>
      </w:r>
    </w:p>
    <w:p w14:paraId="3B86701E" w14:textId="56A94D4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ЕОК IA (</w:t>
      </w:r>
      <w:r w:rsidR="00F52FCA">
        <w:rPr>
          <w:rStyle w:val="a7"/>
          <w:rFonts w:ascii="Times New Roman" w:eastAsiaTheme="majorEastAsia" w:hAnsi="Times New Roman" w:cs="Times New Roman"/>
          <w:color w:val="000000" w:themeColor="text1"/>
          <w:sz w:val="24"/>
          <w:szCs w:val="24"/>
        </w:rPr>
        <w:t>Уровень убедительности рекомендаций</w:t>
      </w:r>
      <w:r>
        <w:rPr>
          <w:rStyle w:val="a7"/>
          <w:rFonts w:ascii="Times New Roman" w:eastAsiaTheme="majorEastAsia" w:hAnsi="Times New Roman" w:cs="Times New Roman"/>
          <w:color w:val="000000" w:themeColor="text1"/>
          <w:sz w:val="24"/>
          <w:szCs w:val="24"/>
        </w:rPr>
        <w:t xml:space="preserve"> B, </w:t>
      </w:r>
      <w:r w:rsidR="00F52FCA">
        <w:rPr>
          <w:rStyle w:val="a7"/>
          <w:rFonts w:ascii="Times New Roman" w:eastAsiaTheme="majorEastAsia" w:hAnsi="Times New Roman" w:cs="Times New Roman"/>
          <w:color w:val="000000" w:themeColor="text1"/>
          <w:sz w:val="24"/>
          <w:szCs w:val="24"/>
        </w:rPr>
        <w:t>Уровень достоверности докзательств</w:t>
      </w:r>
      <w:r>
        <w:rPr>
          <w:rStyle w:val="a7"/>
          <w:rFonts w:ascii="Times New Roman" w:eastAsiaTheme="majorEastAsia" w:hAnsi="Times New Roman" w:cs="Times New Roman"/>
          <w:color w:val="000000" w:themeColor="text1"/>
          <w:sz w:val="24"/>
          <w:szCs w:val="24"/>
        </w:rPr>
        <w:t> 2)</w:t>
      </w:r>
      <w:r w:rsidR="00BD2F09">
        <w:rPr>
          <w:rStyle w:val="a7"/>
          <w:rFonts w:ascii="Times New Roman" w:eastAsiaTheme="majorEastAsia" w:hAnsi="Times New Roman" w:cs="Times New Roman"/>
          <w:color w:val="000000" w:themeColor="text1"/>
          <w:sz w:val="24"/>
          <w:szCs w:val="24"/>
        </w:rPr>
        <w:t>.</w:t>
      </w:r>
    </w:p>
    <w:p w14:paraId="2F87F1A9"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Решение о реваскуляризации не-инфаркт-связанной КА во время первичного ЧКВ у пациентов с ИМпST рекомендуется принимать на основании ангиографической оценки значимости поражения </w:t>
      </w:r>
      <w:hyperlink r:id="rId165" w:history="1">
        <w:r>
          <w:rPr>
            <w:rStyle w:val="a6"/>
            <w:rFonts w:ascii="Times New Roman" w:hAnsi="Times New Roman" w:cs="Times New Roman"/>
            <w:color w:val="000000" w:themeColor="text1"/>
            <w:sz w:val="24"/>
            <w:szCs w:val="24"/>
          </w:rPr>
          <w:t>[108]</w:t>
        </w:r>
      </w:hyperlink>
      <w:hyperlink r:id="rId166" w:history="1">
        <w:r>
          <w:rPr>
            <w:rStyle w:val="a6"/>
            <w:rFonts w:ascii="Times New Roman" w:hAnsi="Times New Roman" w:cs="Times New Roman"/>
            <w:color w:val="000000" w:themeColor="text1"/>
            <w:sz w:val="24"/>
            <w:szCs w:val="24"/>
          </w:rPr>
          <w:t>[113]</w:t>
        </w:r>
      </w:hyperlink>
      <w:hyperlink r:id="rId167" w:history="1">
        <w:r>
          <w:rPr>
            <w:rStyle w:val="a6"/>
            <w:rFonts w:ascii="Times New Roman" w:hAnsi="Times New Roman" w:cs="Times New Roman"/>
            <w:color w:val="000000" w:themeColor="text1"/>
            <w:sz w:val="24"/>
            <w:szCs w:val="24"/>
          </w:rPr>
          <w:t>[127]</w:t>
        </w:r>
      </w:hyperlink>
      <w:r>
        <w:rPr>
          <w:rFonts w:ascii="Times New Roman" w:hAnsi="Times New Roman" w:cs="Times New Roman"/>
          <w:color w:val="000000" w:themeColor="text1"/>
          <w:sz w:val="24"/>
          <w:szCs w:val="24"/>
        </w:rPr>
        <w:t>.</w:t>
      </w:r>
    </w:p>
    <w:p w14:paraId="1F628BF2" w14:textId="38068A6A" w:rsidR="001C434F" w:rsidRPr="00050CC9" w:rsidRDefault="002C7340" w:rsidP="00A419DB">
      <w:pPr>
        <w:suppressAutoHyphens/>
        <w:spacing w:line="360" w:lineRule="auto"/>
        <w:jc w:val="both"/>
        <w:rPr>
          <w:rFonts w:ascii="Times New Roman" w:eastAsiaTheme="majorEastAsia" w:hAnsi="Times New Roman" w:cs="Times New Roman"/>
          <w:b/>
          <w:bCs/>
          <w:color w:val="000000" w:themeColor="text1"/>
          <w:sz w:val="24"/>
          <w:szCs w:val="24"/>
        </w:rPr>
      </w:pPr>
      <w:r>
        <w:rPr>
          <w:rStyle w:val="a7"/>
          <w:rFonts w:ascii="Times New Roman" w:eastAsiaTheme="majorEastAsia" w:hAnsi="Times New Roman" w:cs="Times New Roman"/>
          <w:color w:val="000000" w:themeColor="text1"/>
          <w:sz w:val="24"/>
          <w:szCs w:val="24"/>
        </w:rPr>
        <w:t>ЕОК IB (</w:t>
      </w:r>
      <w:r w:rsidR="00F52FCA">
        <w:rPr>
          <w:rStyle w:val="a7"/>
          <w:rFonts w:ascii="Times New Roman" w:eastAsiaTheme="majorEastAsia" w:hAnsi="Times New Roman" w:cs="Times New Roman"/>
          <w:color w:val="000000" w:themeColor="text1"/>
          <w:sz w:val="24"/>
          <w:szCs w:val="24"/>
        </w:rPr>
        <w:t>Уровень убедительности рекомендаций</w:t>
      </w:r>
      <w:r>
        <w:rPr>
          <w:rStyle w:val="a7"/>
          <w:rFonts w:ascii="Times New Roman" w:eastAsiaTheme="majorEastAsia" w:hAnsi="Times New Roman" w:cs="Times New Roman"/>
          <w:color w:val="000000" w:themeColor="text1"/>
          <w:sz w:val="24"/>
          <w:szCs w:val="24"/>
        </w:rPr>
        <w:t xml:space="preserve"> B, </w:t>
      </w:r>
      <w:r w:rsidR="00F52FCA">
        <w:rPr>
          <w:rStyle w:val="a7"/>
          <w:rFonts w:ascii="Times New Roman" w:eastAsiaTheme="majorEastAsia" w:hAnsi="Times New Roman" w:cs="Times New Roman"/>
          <w:color w:val="000000" w:themeColor="text1"/>
          <w:sz w:val="24"/>
          <w:szCs w:val="24"/>
        </w:rPr>
        <w:t>Уровень достоверности докзательств</w:t>
      </w:r>
      <w:r>
        <w:rPr>
          <w:rStyle w:val="a7"/>
          <w:rFonts w:ascii="Times New Roman" w:eastAsiaTheme="majorEastAsia" w:hAnsi="Times New Roman" w:cs="Times New Roman"/>
          <w:color w:val="000000" w:themeColor="text1"/>
          <w:sz w:val="24"/>
          <w:szCs w:val="24"/>
        </w:rPr>
        <w:t> 2)</w:t>
      </w:r>
      <w:r w:rsidR="00BD2F09">
        <w:rPr>
          <w:rStyle w:val="a7"/>
          <w:rFonts w:ascii="Times New Roman" w:eastAsiaTheme="majorEastAsia" w:hAnsi="Times New Roman" w:cs="Times New Roman"/>
          <w:color w:val="000000" w:themeColor="text1"/>
          <w:sz w:val="24"/>
          <w:szCs w:val="24"/>
        </w:rPr>
        <w:t>.</w:t>
      </w:r>
    </w:p>
    <w:p w14:paraId="229F90D7" w14:textId="473B723E" w:rsidR="004C062E" w:rsidRDefault="002C7340" w:rsidP="00A419DB">
      <w:pPr>
        <w:pStyle w:val="20"/>
        <w:suppressAutoHyphens/>
        <w:spacing w:line="360" w:lineRule="auto"/>
        <w:jc w:val="both"/>
        <w:rPr>
          <w:rFonts w:ascii="Times New Roman" w:eastAsia="Calibri" w:hAnsi="Times New Roman" w:cs="Times New Roman"/>
          <w:color w:val="000000" w:themeColor="text1"/>
          <w:sz w:val="24"/>
          <w:szCs w:val="24"/>
        </w:rPr>
      </w:pPr>
      <w:bookmarkStart w:id="34" w:name="_Toc236138942"/>
      <w:r>
        <w:rPr>
          <w:rFonts w:ascii="Times New Roman" w:eastAsia="Calibri" w:hAnsi="Times New Roman" w:cs="Times New Roman"/>
          <w:color w:val="000000" w:themeColor="text1"/>
          <w:sz w:val="24"/>
          <w:szCs w:val="24"/>
        </w:rPr>
        <w:t>Фармакоинвазивный подход</w:t>
      </w:r>
      <w:bookmarkEnd w:id="34"/>
    </w:p>
    <w:p w14:paraId="5E845E59"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Фармакоинвазивная стратегия заключается в догоспитальной ТЛТ с последующей КГ с намерением выполнить ЧКВ в ИСА ("спасающее" ЧКВ — немедленное ЧКВ при отсутствии свидетельств реперфузии миокарда после ТЛТ или появлении жизнеугрожающих состояний; "раннее рутинное" ЧКВ — в ближайшие 2-24 ч после успешной ТЛТ).</w:t>
      </w:r>
    </w:p>
    <w:p w14:paraId="172458CC"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Режимы дозирования тромболитических средств приведены в Приложении А3. Тромболитики и режимы их дозирования при ИМпST.</w:t>
      </w:r>
    </w:p>
    <w:p w14:paraId="686F4321"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Если первичное ЧКВ не может быть выполнено в течение 120 мин от момента постановки диагноза ОКСпST/ИМпST и прошло не более 12 ч от начала симптомов, рекомендуется максимально быстрое (в пределах 10 мин от постановки диагноза) начало в/в введения лекарственных препаратов для ТЛТ при отсутствии противопоказаний к ТЛТ </w:t>
      </w:r>
      <w:hyperlink r:id="rId168" w:history="1">
        <w:r>
          <w:rPr>
            <w:rStyle w:val="a6"/>
            <w:rFonts w:ascii="Times New Roman" w:hAnsi="Times New Roman" w:cs="Times New Roman"/>
            <w:color w:val="000000" w:themeColor="text1"/>
            <w:sz w:val="24"/>
            <w:szCs w:val="24"/>
          </w:rPr>
          <w:t>[84]</w:t>
        </w:r>
      </w:hyperlink>
      <w:hyperlink r:id="rId169" w:history="1">
        <w:r>
          <w:rPr>
            <w:rStyle w:val="a6"/>
            <w:rFonts w:ascii="Times New Roman" w:hAnsi="Times New Roman" w:cs="Times New Roman"/>
            <w:color w:val="000000" w:themeColor="text1"/>
            <w:sz w:val="24"/>
            <w:szCs w:val="24"/>
          </w:rPr>
          <w:t>[86]</w:t>
        </w:r>
      </w:hyperlink>
      <w:r>
        <w:rPr>
          <w:rFonts w:ascii="Times New Roman" w:hAnsi="Times New Roman" w:cs="Times New Roman"/>
          <w:color w:val="000000" w:themeColor="text1"/>
          <w:sz w:val="24"/>
          <w:szCs w:val="24"/>
        </w:rPr>
        <w:t>.</w:t>
      </w:r>
    </w:p>
    <w:p w14:paraId="36E8418F" w14:textId="6DF8D461" w:rsidR="004C062E" w:rsidRPr="00050CC9" w:rsidRDefault="002C7340" w:rsidP="00A419DB">
      <w:pPr>
        <w:suppressAutoHyphens/>
        <w:spacing w:line="360" w:lineRule="auto"/>
        <w:jc w:val="both"/>
        <w:rPr>
          <w:rStyle w:val="a7"/>
          <w:rFonts w:ascii="Times New Roman" w:hAnsi="Times New Roman" w:cs="Times New Roman"/>
          <w:b w:val="0"/>
          <w:bCs w:val="0"/>
          <w:color w:val="000000" w:themeColor="text1"/>
          <w:sz w:val="24"/>
          <w:szCs w:val="24"/>
        </w:rPr>
      </w:pPr>
      <w:r>
        <w:rPr>
          <w:rStyle w:val="a7"/>
          <w:rFonts w:ascii="Times New Roman" w:eastAsiaTheme="majorEastAsia" w:hAnsi="Times New Roman" w:cs="Times New Roman"/>
          <w:color w:val="000000" w:themeColor="text1"/>
          <w:sz w:val="24"/>
          <w:szCs w:val="24"/>
        </w:rPr>
        <w:t>ЕОК IА (</w:t>
      </w:r>
      <w:r w:rsidR="00F52FCA">
        <w:rPr>
          <w:rStyle w:val="a7"/>
          <w:rFonts w:ascii="Times New Roman" w:eastAsiaTheme="majorEastAsia" w:hAnsi="Times New Roman" w:cs="Times New Roman"/>
          <w:color w:val="000000" w:themeColor="text1"/>
          <w:sz w:val="24"/>
          <w:szCs w:val="24"/>
        </w:rPr>
        <w:t>Уровень убедительности рекомендаций</w:t>
      </w:r>
      <w:r>
        <w:rPr>
          <w:rStyle w:val="a7"/>
          <w:rFonts w:ascii="Times New Roman" w:eastAsiaTheme="majorEastAsia" w:hAnsi="Times New Roman" w:cs="Times New Roman"/>
          <w:color w:val="000000" w:themeColor="text1"/>
          <w:sz w:val="24"/>
          <w:szCs w:val="24"/>
        </w:rPr>
        <w:t xml:space="preserve"> A, </w:t>
      </w:r>
      <w:r w:rsidR="00F52FCA">
        <w:rPr>
          <w:rStyle w:val="a7"/>
          <w:rFonts w:ascii="Times New Roman" w:eastAsiaTheme="majorEastAsia" w:hAnsi="Times New Roman" w:cs="Times New Roman"/>
          <w:color w:val="000000" w:themeColor="text1"/>
          <w:sz w:val="24"/>
          <w:szCs w:val="24"/>
        </w:rPr>
        <w:t>Уровень достоверности докзательств</w:t>
      </w:r>
      <w:r>
        <w:rPr>
          <w:rStyle w:val="a7"/>
          <w:rFonts w:ascii="Times New Roman" w:eastAsiaTheme="majorEastAsia" w:hAnsi="Times New Roman" w:cs="Times New Roman"/>
          <w:color w:val="000000" w:themeColor="text1"/>
          <w:sz w:val="24"/>
          <w:szCs w:val="24"/>
        </w:rPr>
        <w:t> 1)</w:t>
      </w:r>
      <w:r w:rsidR="00BD2F09">
        <w:rPr>
          <w:rStyle w:val="a7"/>
          <w:rFonts w:ascii="Times New Roman" w:eastAsiaTheme="majorEastAsia" w:hAnsi="Times New Roman" w:cs="Times New Roman"/>
          <w:color w:val="000000" w:themeColor="text1"/>
          <w:sz w:val="24"/>
          <w:szCs w:val="24"/>
        </w:rPr>
        <w:t>.</w:t>
      </w:r>
    </w:p>
    <w:p w14:paraId="0727CE8A"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ЭКГ-критерии применения ТЛТ:</w:t>
      </w:r>
    </w:p>
    <w:p w14:paraId="1D2B3178"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Остро возникшие подъемы сегмента ST на уровне точки J как минимум в двух смежных отведениях ЭКГ ≥0,1 мВ во всех отведениях, за исключением отведений V</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-V</w:t>
      </w:r>
      <w:r>
        <w:rPr>
          <w:rFonts w:ascii="Times New Roman" w:hAnsi="Times New Roman" w:cs="Times New Roman"/>
          <w:color w:val="000000" w:themeColor="text1"/>
          <w:sz w:val="24"/>
          <w:szCs w:val="24"/>
          <w:vertAlign w:val="subscript"/>
        </w:rPr>
        <w:t>3</w:t>
      </w:r>
      <w:r>
        <w:rPr>
          <w:rFonts w:ascii="Times New Roman" w:hAnsi="Times New Roman" w:cs="Times New Roman"/>
          <w:color w:val="000000" w:themeColor="text1"/>
          <w:sz w:val="24"/>
          <w:szCs w:val="24"/>
        </w:rPr>
        <w:t>, где элевация сегмента ST должна составлять ≥0,2 мВ у мужчин в возрасте 40 лет и старше, ≥0,25 мВ у мужчин моложе 40 лет или ≥0,15 мВ у женщин (при отсутствии гипертрофии ЛЖ или блокады ЛНПГ);</w:t>
      </w:r>
    </w:p>
    <w:p w14:paraId="1D1577F3"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Впервые (или предположительно впервые) возникшая полная блокада ЛНПГ.</w:t>
      </w:r>
    </w:p>
    <w:p w14:paraId="5BA77753" w14:textId="77777777" w:rsidR="004C062E" w:rsidRDefault="0098720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П</w:t>
      </w:r>
      <w:r w:rsidR="002C7340">
        <w:rPr>
          <w:rStyle w:val="a7"/>
          <w:rFonts w:ascii="Times New Roman" w:eastAsiaTheme="majorEastAsia" w:hAnsi="Times New Roman" w:cs="Times New Roman"/>
          <w:color w:val="000000" w:themeColor="text1"/>
          <w:sz w:val="24"/>
          <w:szCs w:val="24"/>
        </w:rPr>
        <w:t>ротивопоказания к ТЛТ:</w:t>
      </w:r>
    </w:p>
    <w:p w14:paraId="42998105"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ранее перенесенный геморрагический инсульт или нарушение мозгового кровообращения неизвестной этиологии;</w:t>
      </w:r>
    </w:p>
    <w:p w14:paraId="15F77CCD"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ишемический инсульт в предшествующие 6 мес.;</w:t>
      </w:r>
    </w:p>
    <w:p w14:paraId="527B9219"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повреждения или новообразования центральной нервной системы, артериовенозные мальформации центральной нервной системы;</w:t>
      </w:r>
    </w:p>
    <w:p w14:paraId="69A0A9D0"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недавняя серьезная травма/хирургическое вмешательство/травма головы/желудочно-кишечное кровотечение (в течение предыдущего месяца);</w:t>
      </w:r>
    </w:p>
    <w:p w14:paraId="539F7D82"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известные геморрагический диатез или кровоточивость (кроме менструальных кровотечений);</w:t>
      </w:r>
    </w:p>
    <w:p w14:paraId="289EC21D"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расслоение аорты (заподозренное или подтвержденное);</w:t>
      </w:r>
    </w:p>
    <w:p w14:paraId="6D899CDD"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пункция некомпрессируемых сосудов, биопсия печени, спинномозговая пункция в течение предыдущих 24 ч.</w:t>
      </w:r>
    </w:p>
    <w:p w14:paraId="5353AB51"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транзиторная ишемическая атака в предыдущие 6 мес.;</w:t>
      </w:r>
    </w:p>
    <w:p w14:paraId="4BE024F5"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прием пероральных антикоагулянтов;</w:t>
      </w:r>
    </w:p>
    <w:p w14:paraId="70F69F5F"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беременность и 1-я неделя после родов;</w:t>
      </w:r>
    </w:p>
    <w:p w14:paraId="404CED95"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рефрактерная АГ: систолическое АД &gt;180 мм рт.ст. и/или диастолическое АД &gt;110 мм рт.ст.;</w:t>
      </w:r>
    </w:p>
    <w:p w14:paraId="62434086"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тяжелое заболевание печени;</w:t>
      </w:r>
    </w:p>
    <w:p w14:paraId="490F34E3"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инфекционный эндокардит;</w:t>
      </w:r>
    </w:p>
    <w:p w14:paraId="676CCAFE"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травматичная или длительная сердечно-легочная реанимация;</w:t>
      </w:r>
    </w:p>
    <w:p w14:paraId="53B46D01" w14:textId="77777777" w:rsidR="004C062E" w:rsidRPr="00B77EC7" w:rsidRDefault="0098720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обострение язвенной болезни.</w:t>
      </w:r>
    </w:p>
    <w:p w14:paraId="4BC6AD6F"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Всем пациентам с ИМпST, получающим системную ТЛТ (догоспитально или в стационаре без возможности выполнения ЧКВ), для снижения риска смерти рекомендована </w:t>
      </w:r>
      <w:r>
        <w:rPr>
          <w:rFonts w:ascii="Times New Roman" w:hAnsi="Times New Roman" w:cs="Times New Roman"/>
          <w:color w:val="000000" w:themeColor="text1"/>
          <w:sz w:val="24"/>
          <w:szCs w:val="24"/>
        </w:rPr>
        <w:lastRenderedPageBreak/>
        <w:t>незамедлительная госпитализация или незамедлительный перевод в медицинские учреждения, реализующие ЧКВ в круглосуточном режиме </w:t>
      </w:r>
      <w:hyperlink r:id="rId170" w:history="1">
        <w:r>
          <w:rPr>
            <w:rStyle w:val="a6"/>
            <w:rFonts w:ascii="Times New Roman" w:hAnsi="Times New Roman" w:cs="Times New Roman"/>
            <w:color w:val="000000" w:themeColor="text1"/>
            <w:sz w:val="24"/>
            <w:szCs w:val="24"/>
          </w:rPr>
          <w:t>[140-143]</w:t>
        </w:r>
      </w:hyperlink>
      <w:r>
        <w:rPr>
          <w:rFonts w:ascii="Times New Roman" w:hAnsi="Times New Roman" w:cs="Times New Roman"/>
          <w:color w:val="000000" w:themeColor="text1"/>
          <w:sz w:val="24"/>
          <w:szCs w:val="24"/>
        </w:rPr>
        <w:t>.</w:t>
      </w:r>
    </w:p>
    <w:p w14:paraId="13EDE92F" w14:textId="7DF87F33" w:rsidR="004C062E" w:rsidRPr="00A43F72"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ЕОК IA (</w:t>
      </w:r>
      <w:r w:rsidR="00F52FCA">
        <w:rPr>
          <w:rStyle w:val="a7"/>
          <w:rFonts w:ascii="Times New Roman" w:eastAsiaTheme="majorEastAsia" w:hAnsi="Times New Roman" w:cs="Times New Roman"/>
          <w:color w:val="000000" w:themeColor="text1"/>
          <w:sz w:val="24"/>
          <w:szCs w:val="24"/>
        </w:rPr>
        <w:t>Уровень убедительности рекомендаций</w:t>
      </w:r>
      <w:r>
        <w:rPr>
          <w:rStyle w:val="a7"/>
          <w:rFonts w:ascii="Times New Roman" w:eastAsiaTheme="majorEastAsia" w:hAnsi="Times New Roman" w:cs="Times New Roman"/>
          <w:color w:val="000000" w:themeColor="text1"/>
          <w:sz w:val="24"/>
          <w:szCs w:val="24"/>
        </w:rPr>
        <w:t xml:space="preserve"> А, </w:t>
      </w:r>
      <w:r w:rsidR="00F52FCA">
        <w:rPr>
          <w:rStyle w:val="a7"/>
          <w:rFonts w:ascii="Times New Roman" w:eastAsiaTheme="majorEastAsia" w:hAnsi="Times New Roman" w:cs="Times New Roman"/>
          <w:color w:val="000000" w:themeColor="text1"/>
          <w:sz w:val="24"/>
          <w:szCs w:val="24"/>
        </w:rPr>
        <w:t>Уровень достоверности докзательств</w:t>
      </w:r>
      <w:r>
        <w:rPr>
          <w:rStyle w:val="a7"/>
          <w:rFonts w:ascii="Times New Roman" w:eastAsiaTheme="majorEastAsia" w:hAnsi="Times New Roman" w:cs="Times New Roman"/>
          <w:color w:val="000000" w:themeColor="text1"/>
          <w:sz w:val="24"/>
          <w:szCs w:val="24"/>
        </w:rPr>
        <w:t> 1)</w:t>
      </w:r>
      <w:r w:rsidR="00BD2F09">
        <w:rPr>
          <w:rStyle w:val="a7"/>
          <w:rFonts w:ascii="Times New Roman" w:eastAsiaTheme="majorEastAsia" w:hAnsi="Times New Roman" w:cs="Times New Roman"/>
          <w:color w:val="000000" w:themeColor="text1"/>
          <w:sz w:val="24"/>
          <w:szCs w:val="24"/>
        </w:rPr>
        <w:t>.</w:t>
      </w:r>
    </w:p>
    <w:p w14:paraId="2917705D"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 безуспешной системной ТЛТ у пациентов с ИМпST (через 60-90 мин от начала в/в введения тромболитика нет снижения подъема сегмента ST на ЭКГ или снижение &lt;50% от исходного подъема ST) для восстановления проходимости КА, предотвращения рецидива ИМ и СН рекомендуется срочная КГ с намерением выполнения "спасающего" ЧКВ и не рекомендуется повторная системная ТЛТ </w:t>
      </w:r>
      <w:hyperlink r:id="rId171" w:history="1">
        <w:r>
          <w:rPr>
            <w:rStyle w:val="a6"/>
            <w:rFonts w:ascii="Times New Roman" w:hAnsi="Times New Roman" w:cs="Times New Roman"/>
            <w:color w:val="000000" w:themeColor="text1"/>
            <w:sz w:val="24"/>
            <w:szCs w:val="24"/>
          </w:rPr>
          <w:t>[148-152]</w:t>
        </w:r>
      </w:hyperlink>
      <w:r>
        <w:rPr>
          <w:rFonts w:ascii="Times New Roman" w:hAnsi="Times New Roman" w:cs="Times New Roman"/>
          <w:color w:val="000000" w:themeColor="text1"/>
          <w:sz w:val="24"/>
          <w:szCs w:val="24"/>
        </w:rPr>
        <w:t>.</w:t>
      </w:r>
    </w:p>
    <w:p w14:paraId="033E73C9" w14:textId="4134D25F"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ЕОК IA (</w:t>
      </w:r>
      <w:r w:rsidR="00F52FCA">
        <w:rPr>
          <w:rStyle w:val="a7"/>
          <w:rFonts w:ascii="Times New Roman" w:eastAsiaTheme="majorEastAsia" w:hAnsi="Times New Roman" w:cs="Times New Roman"/>
          <w:color w:val="000000" w:themeColor="text1"/>
          <w:sz w:val="24"/>
          <w:szCs w:val="24"/>
        </w:rPr>
        <w:t>Уровень убедительности рекомендаций</w:t>
      </w:r>
      <w:r>
        <w:rPr>
          <w:rStyle w:val="a7"/>
          <w:rFonts w:ascii="Times New Roman" w:eastAsiaTheme="majorEastAsia" w:hAnsi="Times New Roman" w:cs="Times New Roman"/>
          <w:color w:val="000000" w:themeColor="text1"/>
          <w:sz w:val="24"/>
          <w:szCs w:val="24"/>
        </w:rPr>
        <w:t xml:space="preserve"> А, </w:t>
      </w:r>
      <w:r w:rsidR="00F52FCA">
        <w:rPr>
          <w:rStyle w:val="a7"/>
          <w:rFonts w:ascii="Times New Roman" w:eastAsiaTheme="majorEastAsia" w:hAnsi="Times New Roman" w:cs="Times New Roman"/>
          <w:color w:val="000000" w:themeColor="text1"/>
          <w:sz w:val="24"/>
          <w:szCs w:val="24"/>
        </w:rPr>
        <w:t>Уровень достоверности докзательств</w:t>
      </w:r>
      <w:r>
        <w:rPr>
          <w:rStyle w:val="a7"/>
          <w:rFonts w:ascii="Times New Roman" w:eastAsiaTheme="majorEastAsia" w:hAnsi="Times New Roman" w:cs="Times New Roman"/>
          <w:color w:val="000000" w:themeColor="text1"/>
          <w:sz w:val="24"/>
          <w:szCs w:val="24"/>
        </w:rPr>
        <w:t> 1)</w:t>
      </w:r>
      <w:r w:rsidR="00BD2F09">
        <w:rPr>
          <w:rStyle w:val="a7"/>
          <w:rFonts w:ascii="Times New Roman" w:eastAsiaTheme="majorEastAsia" w:hAnsi="Times New Roman" w:cs="Times New Roman"/>
          <w:color w:val="000000" w:themeColor="text1"/>
          <w:sz w:val="24"/>
          <w:szCs w:val="24"/>
        </w:rPr>
        <w:t>.</w:t>
      </w:r>
    </w:p>
    <w:p w14:paraId="0DEC8AE3"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с ИМпST рекомендуется срочная КГ с намерением выполнения "спасающей" ЧКВ до времени оценки эффективности системной ТЛТ (60-90 мин от ее начала) при появлении признаков гемодинамической (ОСН) или электрической (жизнеугрожающие аритмии) нестабильности, прогрессирующей ишемии или нестихающей боли в груди </w:t>
      </w:r>
      <w:hyperlink r:id="rId172" w:history="1">
        <w:r>
          <w:rPr>
            <w:rStyle w:val="a6"/>
            <w:rFonts w:ascii="Times New Roman" w:hAnsi="Times New Roman" w:cs="Times New Roman"/>
            <w:color w:val="000000" w:themeColor="text1"/>
            <w:sz w:val="24"/>
            <w:szCs w:val="24"/>
          </w:rPr>
          <w:t>[148-152]</w:t>
        </w:r>
      </w:hyperlink>
      <w:r>
        <w:rPr>
          <w:rFonts w:ascii="Times New Roman" w:hAnsi="Times New Roman" w:cs="Times New Roman"/>
          <w:color w:val="000000" w:themeColor="text1"/>
          <w:sz w:val="24"/>
          <w:szCs w:val="24"/>
        </w:rPr>
        <w:t>.</w:t>
      </w:r>
    </w:p>
    <w:p w14:paraId="4698E808" w14:textId="22775051"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ЕОК IA (</w:t>
      </w:r>
      <w:r w:rsidR="00F52FCA">
        <w:rPr>
          <w:rStyle w:val="a7"/>
          <w:rFonts w:ascii="Times New Roman" w:eastAsiaTheme="majorEastAsia" w:hAnsi="Times New Roman" w:cs="Times New Roman"/>
          <w:color w:val="000000" w:themeColor="text1"/>
          <w:sz w:val="24"/>
          <w:szCs w:val="24"/>
        </w:rPr>
        <w:t>Уровень убедительности рекомендаций</w:t>
      </w:r>
      <w:r>
        <w:rPr>
          <w:rStyle w:val="a7"/>
          <w:rFonts w:ascii="Times New Roman" w:eastAsiaTheme="majorEastAsia" w:hAnsi="Times New Roman" w:cs="Times New Roman"/>
          <w:color w:val="000000" w:themeColor="text1"/>
          <w:sz w:val="24"/>
          <w:szCs w:val="24"/>
        </w:rPr>
        <w:t xml:space="preserve"> А, </w:t>
      </w:r>
      <w:r w:rsidR="00F52FCA">
        <w:rPr>
          <w:rStyle w:val="a7"/>
          <w:rFonts w:ascii="Times New Roman" w:eastAsiaTheme="majorEastAsia" w:hAnsi="Times New Roman" w:cs="Times New Roman"/>
          <w:color w:val="000000" w:themeColor="text1"/>
          <w:sz w:val="24"/>
          <w:szCs w:val="24"/>
        </w:rPr>
        <w:t>Уровень достоверности докзательств</w:t>
      </w:r>
      <w:r>
        <w:rPr>
          <w:rStyle w:val="a7"/>
          <w:rFonts w:ascii="Times New Roman" w:eastAsiaTheme="majorEastAsia" w:hAnsi="Times New Roman" w:cs="Times New Roman"/>
          <w:color w:val="000000" w:themeColor="text1"/>
          <w:sz w:val="24"/>
          <w:szCs w:val="24"/>
        </w:rPr>
        <w:t> 1)</w:t>
      </w:r>
      <w:r w:rsidR="00BD2F09">
        <w:rPr>
          <w:rStyle w:val="a7"/>
          <w:rFonts w:ascii="Times New Roman" w:eastAsiaTheme="majorEastAsia" w:hAnsi="Times New Roman" w:cs="Times New Roman"/>
          <w:color w:val="000000" w:themeColor="text1"/>
          <w:sz w:val="24"/>
          <w:szCs w:val="24"/>
        </w:rPr>
        <w:t>.</w:t>
      </w:r>
    </w:p>
    <w:p w14:paraId="730A42E9"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После успешной системной ТЛТ у пациентов с ИМпST рекомендуется ранняя (2-24 ч после окончания ТЛТ) КГ с намерением выполнить "раннее рутинное" ЧКВ в ИСА (для снижения рецидива ИМ, суммарного риска рецидива ИМ и смерти, а также для снижения риска повторной ишемии миокарда) </w:t>
      </w:r>
      <w:hyperlink r:id="rId173" w:history="1">
        <w:r>
          <w:rPr>
            <w:rStyle w:val="a6"/>
            <w:rFonts w:ascii="Times New Roman" w:hAnsi="Times New Roman" w:cs="Times New Roman"/>
            <w:color w:val="000000" w:themeColor="text1"/>
            <w:sz w:val="24"/>
            <w:szCs w:val="24"/>
          </w:rPr>
          <w:t>[141]</w:t>
        </w:r>
      </w:hyperlink>
      <w:hyperlink r:id="rId174" w:history="1">
        <w:r>
          <w:rPr>
            <w:rStyle w:val="a6"/>
            <w:rFonts w:ascii="Times New Roman" w:hAnsi="Times New Roman" w:cs="Times New Roman"/>
            <w:color w:val="000000" w:themeColor="text1"/>
            <w:sz w:val="24"/>
            <w:szCs w:val="24"/>
          </w:rPr>
          <w:t>[142]</w:t>
        </w:r>
      </w:hyperlink>
      <w:r>
        <w:rPr>
          <w:rFonts w:ascii="Times New Roman" w:hAnsi="Times New Roman" w:cs="Times New Roman"/>
          <w:color w:val="000000" w:themeColor="text1"/>
          <w:sz w:val="24"/>
          <w:szCs w:val="24"/>
        </w:rPr>
        <w:t>.</w:t>
      </w:r>
    </w:p>
    <w:p w14:paraId="6BB5D3D6" w14:textId="56510A0B"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ЕОК IA (</w:t>
      </w:r>
      <w:r w:rsidR="00F52FCA">
        <w:rPr>
          <w:rStyle w:val="a7"/>
          <w:rFonts w:ascii="Times New Roman" w:eastAsiaTheme="majorEastAsia" w:hAnsi="Times New Roman" w:cs="Times New Roman"/>
          <w:color w:val="000000" w:themeColor="text1"/>
          <w:sz w:val="24"/>
          <w:szCs w:val="24"/>
        </w:rPr>
        <w:t>Уровень убедительности рекомендаций</w:t>
      </w:r>
      <w:r>
        <w:rPr>
          <w:rStyle w:val="a7"/>
          <w:rFonts w:ascii="Times New Roman" w:eastAsiaTheme="majorEastAsia" w:hAnsi="Times New Roman" w:cs="Times New Roman"/>
          <w:color w:val="000000" w:themeColor="text1"/>
          <w:sz w:val="24"/>
          <w:szCs w:val="24"/>
        </w:rPr>
        <w:t xml:space="preserve"> А, </w:t>
      </w:r>
      <w:r w:rsidR="00F52FCA">
        <w:rPr>
          <w:rStyle w:val="a7"/>
          <w:rFonts w:ascii="Times New Roman" w:eastAsiaTheme="majorEastAsia" w:hAnsi="Times New Roman" w:cs="Times New Roman"/>
          <w:color w:val="000000" w:themeColor="text1"/>
          <w:sz w:val="24"/>
          <w:szCs w:val="24"/>
        </w:rPr>
        <w:t>Уровень достоверности докзательств</w:t>
      </w:r>
      <w:r>
        <w:rPr>
          <w:rStyle w:val="a7"/>
          <w:rFonts w:ascii="Times New Roman" w:eastAsiaTheme="majorEastAsia" w:hAnsi="Times New Roman" w:cs="Times New Roman"/>
          <w:color w:val="000000" w:themeColor="text1"/>
          <w:sz w:val="24"/>
          <w:szCs w:val="24"/>
        </w:rPr>
        <w:t> 1)</w:t>
      </w:r>
      <w:r w:rsidR="00BD2F09">
        <w:rPr>
          <w:rStyle w:val="a7"/>
          <w:rFonts w:ascii="Times New Roman" w:eastAsiaTheme="majorEastAsia" w:hAnsi="Times New Roman" w:cs="Times New Roman"/>
          <w:color w:val="000000" w:themeColor="text1"/>
          <w:sz w:val="24"/>
          <w:szCs w:val="24"/>
        </w:rPr>
        <w:t>.</w:t>
      </w:r>
    </w:p>
    <w:p w14:paraId="398CA7DD" w14:textId="77777777" w:rsidR="004C062E" w:rsidRDefault="002C7340" w:rsidP="00A419DB">
      <w:pPr>
        <w:suppressAutoHyphens/>
        <w:spacing w:line="360" w:lineRule="auto"/>
        <w:jc w:val="both"/>
        <w:rPr>
          <w:rStyle w:val="a5"/>
          <w:rFonts w:ascii="Times New Roman" w:eastAsiaTheme="majorEastAsia"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Комментарии.</w:t>
      </w:r>
      <w:r>
        <w:rPr>
          <w:rFonts w:ascii="Times New Roman" w:hAnsi="Times New Roman" w:cs="Times New Roman"/>
          <w:color w:val="000000" w:themeColor="text1"/>
          <w:sz w:val="24"/>
          <w:szCs w:val="24"/>
        </w:rPr>
        <w:t> </w:t>
      </w:r>
      <w:r>
        <w:rPr>
          <w:rStyle w:val="a5"/>
          <w:rFonts w:ascii="Times New Roman" w:eastAsiaTheme="majorEastAsia" w:hAnsi="Times New Roman" w:cs="Times New Roman"/>
          <w:color w:val="000000" w:themeColor="text1"/>
          <w:sz w:val="24"/>
          <w:szCs w:val="24"/>
        </w:rPr>
        <w:t xml:space="preserve">Критерии успешности ТЛТ многочисленны, но на практике используется оценка изменения положения сегмента ST в наиболее информативном отведении ЭКГ (там, где на исходной ЭКГ смещение сегмента вверх было наибольшим). Желательно полное исчезновение подъема сегмента ST через 90 мин от начала ТЛТ, но для признания ТЛТ эффективной достаточно снижения подъема сегмента ST на ≥50% от исходного. </w:t>
      </w:r>
    </w:p>
    <w:p w14:paraId="64108B25"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При рецидиве ишемии миокарда или других признаках реокклюзии (электрическая или гемодинамическая нестабильность) после первоначально успешной ТЛТ у пациентов с ИМпST для снижения риска смерти рекомендуется отказаться от тактики "раннего рутинного" ЧКВ (</w:t>
      </w:r>
      <w:r>
        <w:rPr>
          <w:rStyle w:val="a5"/>
          <w:rFonts w:ascii="Times New Roman" w:hAnsi="Times New Roman" w:cs="Times New Roman"/>
          <w:color w:val="000000" w:themeColor="text1"/>
          <w:sz w:val="24"/>
          <w:szCs w:val="24"/>
        </w:rPr>
        <w:t xml:space="preserve">плановое </w:t>
      </w:r>
      <w:r>
        <w:rPr>
          <w:rFonts w:ascii="Times New Roman" w:hAnsi="Times New Roman" w:cs="Times New Roman"/>
          <w:color w:val="000000" w:themeColor="text1"/>
          <w:sz w:val="24"/>
          <w:szCs w:val="24"/>
        </w:rPr>
        <w:t>выполнение в течение 2-24 ч после окончания ТЛТ) и выполнить </w:t>
      </w:r>
      <w:r>
        <w:rPr>
          <w:rStyle w:val="a5"/>
          <w:rFonts w:ascii="Times New Roman" w:hAnsi="Times New Roman" w:cs="Times New Roman"/>
          <w:color w:val="000000" w:themeColor="text1"/>
          <w:sz w:val="24"/>
          <w:szCs w:val="24"/>
        </w:rPr>
        <w:t xml:space="preserve">срочную </w:t>
      </w:r>
      <w:r>
        <w:rPr>
          <w:rFonts w:ascii="Times New Roman" w:hAnsi="Times New Roman" w:cs="Times New Roman"/>
          <w:color w:val="000000" w:themeColor="text1"/>
          <w:sz w:val="24"/>
          <w:szCs w:val="24"/>
        </w:rPr>
        <w:t>КГ для решения вопроса о целесообразности и объеме ЧКВ </w:t>
      </w:r>
      <w:hyperlink r:id="rId175" w:history="1">
        <w:r>
          <w:rPr>
            <w:rStyle w:val="a6"/>
            <w:rFonts w:ascii="Times New Roman" w:hAnsi="Times New Roman" w:cs="Times New Roman"/>
            <w:color w:val="000000" w:themeColor="text1"/>
            <w:sz w:val="24"/>
            <w:szCs w:val="24"/>
          </w:rPr>
          <w:t>[153]</w:t>
        </w:r>
      </w:hyperlink>
      <w:hyperlink r:id="rId176" w:history="1">
        <w:r>
          <w:rPr>
            <w:rStyle w:val="a6"/>
            <w:rFonts w:ascii="Times New Roman" w:hAnsi="Times New Roman" w:cs="Times New Roman"/>
            <w:color w:val="000000" w:themeColor="text1"/>
            <w:sz w:val="24"/>
            <w:szCs w:val="24"/>
          </w:rPr>
          <w:t>[154]</w:t>
        </w:r>
      </w:hyperlink>
      <w:r>
        <w:rPr>
          <w:rFonts w:ascii="Times New Roman" w:hAnsi="Times New Roman" w:cs="Times New Roman"/>
          <w:color w:val="000000" w:themeColor="text1"/>
          <w:sz w:val="24"/>
          <w:szCs w:val="24"/>
        </w:rPr>
        <w:t>.</w:t>
      </w:r>
    </w:p>
    <w:p w14:paraId="69B6FDAE" w14:textId="7DFB20EF"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ЕОК IС (</w:t>
      </w:r>
      <w:r w:rsidR="00F52FCA">
        <w:rPr>
          <w:rStyle w:val="a7"/>
          <w:rFonts w:ascii="Times New Roman" w:eastAsiaTheme="majorEastAsia" w:hAnsi="Times New Roman" w:cs="Times New Roman"/>
          <w:color w:val="000000" w:themeColor="text1"/>
          <w:sz w:val="24"/>
          <w:szCs w:val="24"/>
        </w:rPr>
        <w:t>Уровень убедительности рекомендаций</w:t>
      </w:r>
      <w:r>
        <w:rPr>
          <w:rStyle w:val="a7"/>
          <w:rFonts w:ascii="Times New Roman" w:eastAsiaTheme="majorEastAsia" w:hAnsi="Times New Roman" w:cs="Times New Roman"/>
          <w:color w:val="000000" w:themeColor="text1"/>
          <w:sz w:val="24"/>
          <w:szCs w:val="24"/>
        </w:rPr>
        <w:t xml:space="preserve"> С, </w:t>
      </w:r>
      <w:r w:rsidR="00F52FCA">
        <w:rPr>
          <w:rStyle w:val="a7"/>
          <w:rFonts w:ascii="Times New Roman" w:eastAsiaTheme="majorEastAsia" w:hAnsi="Times New Roman" w:cs="Times New Roman"/>
          <w:color w:val="000000" w:themeColor="text1"/>
          <w:sz w:val="24"/>
          <w:szCs w:val="24"/>
        </w:rPr>
        <w:t>Уровень достоверности докзательств</w:t>
      </w:r>
      <w:r>
        <w:rPr>
          <w:rStyle w:val="a7"/>
          <w:rFonts w:ascii="Times New Roman" w:eastAsiaTheme="majorEastAsia" w:hAnsi="Times New Roman" w:cs="Times New Roman"/>
          <w:color w:val="000000" w:themeColor="text1"/>
          <w:sz w:val="24"/>
          <w:szCs w:val="24"/>
        </w:rPr>
        <w:t> 5)</w:t>
      </w:r>
      <w:r w:rsidR="00BD2F09">
        <w:rPr>
          <w:rStyle w:val="a7"/>
          <w:rFonts w:ascii="Times New Roman" w:eastAsiaTheme="majorEastAsia" w:hAnsi="Times New Roman" w:cs="Times New Roman"/>
          <w:color w:val="000000" w:themeColor="text1"/>
          <w:sz w:val="24"/>
          <w:szCs w:val="24"/>
        </w:rPr>
        <w:t>.</w:t>
      </w:r>
    </w:p>
    <w:p w14:paraId="2C2EE3FD"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Если у пациента с ИМпST не удалось по каким-либо причинам выполнить КГ и ЧКВ до 24 ч после окончания ТЛТ, рекомендуется выполнить КГ и определиться с необходимостью ЧКВ в более поздний период госпитализации (для уменьшения риска рецидива ИМ) </w:t>
      </w:r>
      <w:hyperlink r:id="rId177" w:history="1">
        <w:r>
          <w:rPr>
            <w:rStyle w:val="a6"/>
            <w:rFonts w:ascii="Times New Roman" w:hAnsi="Times New Roman" w:cs="Times New Roman"/>
            <w:color w:val="000000" w:themeColor="text1"/>
            <w:sz w:val="24"/>
            <w:szCs w:val="24"/>
          </w:rPr>
          <w:t>[153]</w:t>
        </w:r>
      </w:hyperlink>
      <w:r>
        <w:rPr>
          <w:rFonts w:ascii="Times New Roman" w:hAnsi="Times New Roman" w:cs="Times New Roman"/>
          <w:color w:val="000000" w:themeColor="text1"/>
          <w:sz w:val="24"/>
          <w:szCs w:val="24"/>
        </w:rPr>
        <w:t>.</w:t>
      </w:r>
    </w:p>
    <w:p w14:paraId="387AD792" w14:textId="262B61F8" w:rsidR="004C062E" w:rsidRPr="00A43F72"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eastAsiaTheme="majorEastAsia" w:hAnsi="Times New Roman" w:cs="Times New Roman"/>
          <w:color w:val="000000" w:themeColor="text1"/>
          <w:sz w:val="24"/>
          <w:szCs w:val="24"/>
        </w:rPr>
        <w:t>ЕОК IС (</w:t>
      </w:r>
      <w:r w:rsidR="00F52FCA">
        <w:rPr>
          <w:rStyle w:val="a7"/>
          <w:rFonts w:ascii="Times New Roman" w:eastAsiaTheme="majorEastAsia" w:hAnsi="Times New Roman" w:cs="Times New Roman"/>
          <w:color w:val="000000" w:themeColor="text1"/>
          <w:sz w:val="24"/>
          <w:szCs w:val="24"/>
        </w:rPr>
        <w:t>Уровень убедительности рекомендаций</w:t>
      </w:r>
      <w:r>
        <w:rPr>
          <w:rStyle w:val="a7"/>
          <w:rFonts w:ascii="Times New Roman" w:eastAsiaTheme="majorEastAsia" w:hAnsi="Times New Roman" w:cs="Times New Roman"/>
          <w:color w:val="000000" w:themeColor="text1"/>
          <w:sz w:val="24"/>
          <w:szCs w:val="24"/>
        </w:rPr>
        <w:t xml:space="preserve"> С, </w:t>
      </w:r>
      <w:r w:rsidR="00F52FCA">
        <w:rPr>
          <w:rStyle w:val="a7"/>
          <w:rFonts w:ascii="Times New Roman" w:eastAsiaTheme="majorEastAsia" w:hAnsi="Times New Roman" w:cs="Times New Roman"/>
          <w:color w:val="000000" w:themeColor="text1"/>
          <w:sz w:val="24"/>
          <w:szCs w:val="24"/>
        </w:rPr>
        <w:t>Уровень достоверности докзательств</w:t>
      </w:r>
      <w:r>
        <w:rPr>
          <w:rStyle w:val="a7"/>
          <w:rFonts w:ascii="Times New Roman" w:eastAsiaTheme="majorEastAsia" w:hAnsi="Times New Roman" w:cs="Times New Roman"/>
          <w:color w:val="000000" w:themeColor="text1"/>
          <w:sz w:val="24"/>
          <w:szCs w:val="24"/>
        </w:rPr>
        <w:t> 5)</w:t>
      </w:r>
      <w:r w:rsidR="00BD2F09">
        <w:rPr>
          <w:rStyle w:val="a7"/>
          <w:rFonts w:ascii="Times New Roman" w:eastAsiaTheme="majorEastAsia" w:hAnsi="Times New Roman" w:cs="Times New Roman"/>
          <w:color w:val="000000" w:themeColor="text1"/>
          <w:sz w:val="24"/>
          <w:szCs w:val="24"/>
        </w:rPr>
        <w:t>.</w:t>
      </w:r>
    </w:p>
    <w:p w14:paraId="5BACC4F1" w14:textId="18716D30" w:rsidR="004C062E" w:rsidRDefault="002C7340" w:rsidP="00A419DB">
      <w:pPr>
        <w:pStyle w:val="20"/>
        <w:suppressAutoHyphens/>
        <w:spacing w:line="360" w:lineRule="auto"/>
        <w:jc w:val="both"/>
        <w:rPr>
          <w:rFonts w:ascii="Times New Roman" w:eastAsia="Calibri" w:hAnsi="Times New Roman" w:cs="Times New Roman"/>
          <w:color w:val="000000" w:themeColor="text1"/>
          <w:sz w:val="24"/>
          <w:szCs w:val="24"/>
        </w:rPr>
      </w:pPr>
      <w:bookmarkStart w:id="35" w:name="_Toc236138943"/>
      <w:r>
        <w:rPr>
          <w:rFonts w:ascii="Times New Roman" w:eastAsia="Calibri" w:hAnsi="Times New Roman" w:cs="Times New Roman"/>
          <w:color w:val="000000" w:themeColor="text1"/>
          <w:sz w:val="24"/>
          <w:szCs w:val="24"/>
        </w:rPr>
        <w:t>Спонтанная диссекция.</w:t>
      </w:r>
      <w:bookmarkEnd w:id="35"/>
    </w:p>
    <w:p w14:paraId="0E0C47A4"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Спонтанная диссекция КА — это неатеросклеротическое поражение КА, характеризующееся отслоением интимы артерии с формированием субинтимальной гематомы и обструкцией просвета артерии спонтанной (неятрогенной) природы. Спонтанная диссекция КА встречается примерно в 4% случаев всех ОКС, преимущественно у женщин младше 60 лет. </w:t>
      </w:r>
    </w:p>
    <w:p w14:paraId="08251C3F"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Клинические проявления спонтанной диссекции КА не отличаются от таковых при атеротромбозе, в связи с чем первичная стратегия соответствует стандартным рекомендациям по лечению больных с ОКС (в т. ч. с ИМпST). При тотальной обструкции КА, обусловленной наличием спонтанной диссекции, при гемодинамической нестабильности пациента, сохранении признаков ишемии, высоком риске сердечно-сосудистых осложнений, рекомендованной стратегией реваскуляризации является выполнение ЧКВ с использованием баллонной дилатации и/или имплантации коронарного СВЛ для восстановления коронарного кровотока </w:t>
      </w:r>
      <w:hyperlink r:id="rId178" w:history="1">
        <w:r>
          <w:rPr>
            <w:rStyle w:val="a6"/>
            <w:rFonts w:ascii="Times New Roman" w:hAnsi="Times New Roman" w:cs="Times New Roman"/>
            <w:color w:val="000000" w:themeColor="text1"/>
            <w:sz w:val="24"/>
            <w:szCs w:val="24"/>
          </w:rPr>
          <w:t>[163]</w:t>
        </w:r>
      </w:hyperlink>
      <w:hyperlink r:id="rId179" w:history="1">
        <w:r>
          <w:rPr>
            <w:rStyle w:val="a6"/>
            <w:rFonts w:ascii="Times New Roman" w:hAnsi="Times New Roman" w:cs="Times New Roman"/>
            <w:color w:val="000000" w:themeColor="text1"/>
            <w:sz w:val="24"/>
            <w:szCs w:val="24"/>
          </w:rPr>
          <w:t>[164]</w:t>
        </w:r>
      </w:hyperlink>
      <w:r>
        <w:rPr>
          <w:rFonts w:ascii="Times New Roman" w:hAnsi="Times New Roman" w:cs="Times New Roman"/>
          <w:color w:val="000000" w:themeColor="text1"/>
          <w:sz w:val="24"/>
          <w:szCs w:val="24"/>
        </w:rPr>
        <w:t>.</w:t>
      </w:r>
    </w:p>
    <w:p w14:paraId="12B9632C" w14:textId="695A255B"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 IC (</w:t>
      </w:r>
      <w:r w:rsidR="00F52FCA">
        <w:rPr>
          <w:rStyle w:val="a7"/>
          <w:rFonts w:ascii="Times New Roman" w:hAnsi="Times New Roman" w:cs="Times New Roman"/>
          <w:color w:val="000000" w:themeColor="text1"/>
          <w:sz w:val="24"/>
          <w:szCs w:val="24"/>
        </w:rPr>
        <w:t>Уровень убедительности рекомендаций</w:t>
      </w:r>
      <w:r>
        <w:rPr>
          <w:rStyle w:val="a7"/>
          <w:rFonts w:ascii="Times New Roman" w:hAnsi="Times New Roman" w:cs="Times New Roman"/>
          <w:color w:val="000000" w:themeColor="text1"/>
          <w:sz w:val="24"/>
          <w:szCs w:val="24"/>
        </w:rPr>
        <w:t xml:space="preserve"> С, </w:t>
      </w:r>
      <w:r w:rsidR="00F52FCA">
        <w:rPr>
          <w:rStyle w:val="a7"/>
          <w:rFonts w:ascii="Times New Roman" w:hAnsi="Times New Roman" w:cs="Times New Roman"/>
          <w:color w:val="000000" w:themeColor="text1"/>
          <w:sz w:val="24"/>
          <w:szCs w:val="24"/>
        </w:rPr>
        <w:t>Уровень достоверности докзательств</w:t>
      </w:r>
      <w:r>
        <w:rPr>
          <w:rStyle w:val="a7"/>
          <w:rFonts w:ascii="Times New Roman" w:hAnsi="Times New Roman" w:cs="Times New Roman"/>
          <w:color w:val="000000" w:themeColor="text1"/>
          <w:sz w:val="24"/>
          <w:szCs w:val="24"/>
        </w:rPr>
        <w:t> 4)</w:t>
      </w:r>
      <w:r w:rsidR="00BD2F09">
        <w:rPr>
          <w:rStyle w:val="a7"/>
          <w:rFonts w:ascii="Times New Roman" w:hAnsi="Times New Roman" w:cs="Times New Roman"/>
          <w:color w:val="000000" w:themeColor="text1"/>
          <w:sz w:val="24"/>
          <w:szCs w:val="24"/>
        </w:rPr>
        <w:t>.</w:t>
      </w:r>
    </w:p>
    <w:p w14:paraId="6D1E50FE" w14:textId="47BAC3C3" w:rsidR="004C062E" w:rsidRDefault="002C7340" w:rsidP="00A419DB">
      <w:pPr>
        <w:pStyle w:val="20"/>
        <w:suppressAutoHyphens/>
        <w:spacing w:line="360" w:lineRule="auto"/>
        <w:jc w:val="both"/>
        <w:rPr>
          <w:rFonts w:ascii="Times New Roman" w:eastAsia="Calibri" w:hAnsi="Times New Roman" w:cs="Times New Roman"/>
          <w:color w:val="000000" w:themeColor="text1"/>
          <w:sz w:val="24"/>
          <w:szCs w:val="24"/>
        </w:rPr>
      </w:pPr>
      <w:bookmarkStart w:id="36" w:name="_Toc236138944"/>
      <w:r>
        <w:rPr>
          <w:rFonts w:ascii="Times New Roman" w:eastAsia="Calibri" w:hAnsi="Times New Roman" w:cs="Times New Roman"/>
          <w:color w:val="000000" w:themeColor="text1"/>
          <w:sz w:val="24"/>
          <w:szCs w:val="24"/>
        </w:rPr>
        <w:lastRenderedPageBreak/>
        <w:t>КШ.</w:t>
      </w:r>
      <w:bookmarkEnd w:id="36"/>
    </w:p>
    <w:p w14:paraId="3F162173"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КШ у пациентов с ИМпST имеет ограниченное применение и не рассматривается среди основных подходов к реперфузии миокарда. С целью снижения риска смерти у пациентов с ИМпST и продолжающейся или рецидивирующей ишемией миокарда при невозможности выполнения ЧКВ или безуспешном ЧКВ рекомендуется неотложное КШ </w:t>
      </w:r>
      <w:hyperlink r:id="rId180" w:history="1">
        <w:r>
          <w:rPr>
            <w:rStyle w:val="a6"/>
            <w:rFonts w:ascii="Times New Roman" w:hAnsi="Times New Roman" w:cs="Times New Roman"/>
            <w:color w:val="000000" w:themeColor="text1"/>
            <w:sz w:val="24"/>
            <w:szCs w:val="24"/>
          </w:rPr>
          <w:t>[94]</w:t>
        </w:r>
      </w:hyperlink>
      <w:hyperlink r:id="rId181" w:history="1">
        <w:r>
          <w:rPr>
            <w:rStyle w:val="a6"/>
            <w:rFonts w:ascii="Times New Roman" w:hAnsi="Times New Roman" w:cs="Times New Roman"/>
            <w:color w:val="000000" w:themeColor="text1"/>
            <w:sz w:val="24"/>
            <w:szCs w:val="24"/>
          </w:rPr>
          <w:t>[153]</w:t>
        </w:r>
      </w:hyperlink>
      <w:hyperlink r:id="rId182" w:history="1">
        <w:r>
          <w:rPr>
            <w:rStyle w:val="a6"/>
            <w:rFonts w:ascii="Times New Roman" w:hAnsi="Times New Roman" w:cs="Times New Roman"/>
            <w:color w:val="000000" w:themeColor="text1"/>
            <w:sz w:val="24"/>
            <w:szCs w:val="24"/>
          </w:rPr>
          <w:t>[154]</w:t>
        </w:r>
      </w:hyperlink>
      <w:r>
        <w:rPr>
          <w:rFonts w:ascii="Times New Roman" w:hAnsi="Times New Roman" w:cs="Times New Roman"/>
          <w:color w:val="000000" w:themeColor="text1"/>
          <w:sz w:val="24"/>
          <w:szCs w:val="24"/>
        </w:rPr>
        <w:t>.</w:t>
      </w:r>
    </w:p>
    <w:p w14:paraId="4F0E184F" w14:textId="694DE30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 IIаC (</w:t>
      </w:r>
      <w:r w:rsidR="00F52FCA">
        <w:rPr>
          <w:rStyle w:val="a7"/>
          <w:rFonts w:ascii="Times New Roman" w:hAnsi="Times New Roman" w:cs="Times New Roman"/>
          <w:color w:val="000000" w:themeColor="text1"/>
          <w:sz w:val="24"/>
          <w:szCs w:val="24"/>
        </w:rPr>
        <w:t>Уровень убедительности рекомендаций</w:t>
      </w:r>
      <w:r>
        <w:rPr>
          <w:rStyle w:val="a7"/>
          <w:rFonts w:ascii="Times New Roman" w:hAnsi="Times New Roman" w:cs="Times New Roman"/>
          <w:color w:val="000000" w:themeColor="text1"/>
          <w:sz w:val="24"/>
          <w:szCs w:val="24"/>
        </w:rPr>
        <w:t xml:space="preserve"> С, </w:t>
      </w:r>
      <w:r w:rsidR="00F52FCA">
        <w:rPr>
          <w:rStyle w:val="a7"/>
          <w:rFonts w:ascii="Times New Roman" w:hAnsi="Times New Roman" w:cs="Times New Roman"/>
          <w:color w:val="000000" w:themeColor="text1"/>
          <w:sz w:val="24"/>
          <w:szCs w:val="24"/>
        </w:rPr>
        <w:t>Уровень достоверности докзательств</w:t>
      </w:r>
      <w:r>
        <w:rPr>
          <w:rStyle w:val="a7"/>
          <w:rFonts w:ascii="Times New Roman" w:hAnsi="Times New Roman" w:cs="Times New Roman"/>
          <w:color w:val="000000" w:themeColor="text1"/>
          <w:sz w:val="24"/>
          <w:szCs w:val="24"/>
        </w:rPr>
        <w:t> 5)</w:t>
      </w:r>
      <w:r w:rsidR="00BD2F09">
        <w:rPr>
          <w:rStyle w:val="a7"/>
          <w:rFonts w:ascii="Times New Roman" w:hAnsi="Times New Roman" w:cs="Times New Roman"/>
          <w:color w:val="000000" w:themeColor="text1"/>
          <w:sz w:val="24"/>
          <w:szCs w:val="24"/>
        </w:rPr>
        <w:t>.</w:t>
      </w:r>
    </w:p>
    <w:p w14:paraId="6AC77F3D" w14:textId="26FD095B"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eastAsia="Calibri" w:hAnsi="Times New Roman" w:cs="Times New Roman"/>
          <w:b/>
          <w:bCs/>
          <w:color w:val="000000" w:themeColor="text1"/>
          <w:sz w:val="24"/>
          <w:szCs w:val="24"/>
        </w:rPr>
        <w:t>Реперфузионное лечение у пациентов с кардиогенным шоком и внезапной остановкой кровообращения</w:t>
      </w:r>
      <w:r>
        <w:rPr>
          <w:rFonts w:ascii="Times New Roman" w:eastAsia="Calibri" w:hAnsi="Times New Roman" w:cs="Times New Roman"/>
          <w:b/>
          <w:bCs/>
          <w:color w:val="000000" w:themeColor="text1"/>
          <w:sz w:val="24"/>
          <w:szCs w:val="24"/>
        </w:rPr>
        <w:br/>
      </w:r>
      <w:r>
        <w:rPr>
          <w:rFonts w:ascii="Times New Roman" w:hAnsi="Times New Roman" w:cs="Times New Roman"/>
          <w:color w:val="000000" w:themeColor="text1"/>
          <w:sz w:val="24"/>
          <w:szCs w:val="24"/>
        </w:rPr>
        <w:t>У пациентов с ИМпST и кардиогенным шоком для улучшения прогноза рекомендуется скорейшая реваскуляризация миокарда </w:t>
      </w:r>
      <w:hyperlink r:id="rId183" w:history="1">
        <w:r>
          <w:rPr>
            <w:rStyle w:val="a6"/>
            <w:rFonts w:ascii="Times New Roman" w:hAnsi="Times New Roman" w:cs="Times New Roman"/>
            <w:color w:val="000000" w:themeColor="text1"/>
            <w:sz w:val="24"/>
            <w:szCs w:val="24"/>
          </w:rPr>
          <w:t>[173]</w:t>
        </w:r>
      </w:hyperlink>
      <w:r>
        <w:rPr>
          <w:rFonts w:ascii="Times New Roman" w:hAnsi="Times New Roman" w:cs="Times New Roman"/>
          <w:color w:val="000000" w:themeColor="text1"/>
          <w:sz w:val="24"/>
          <w:szCs w:val="24"/>
        </w:rPr>
        <w:t>.</w:t>
      </w:r>
    </w:p>
    <w:p w14:paraId="0269409F" w14:textId="62F4EDA6"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 IIaB (</w:t>
      </w:r>
      <w:r w:rsidR="00F52FCA">
        <w:rPr>
          <w:rStyle w:val="a7"/>
          <w:rFonts w:ascii="Times New Roman" w:hAnsi="Times New Roman" w:cs="Times New Roman"/>
          <w:color w:val="000000" w:themeColor="text1"/>
          <w:sz w:val="24"/>
          <w:szCs w:val="24"/>
        </w:rPr>
        <w:t>Уровень убедительности рекомендаций</w:t>
      </w:r>
      <w:r>
        <w:rPr>
          <w:rStyle w:val="a7"/>
          <w:rFonts w:ascii="Times New Roman" w:hAnsi="Times New Roman" w:cs="Times New Roman"/>
          <w:color w:val="000000" w:themeColor="text1"/>
          <w:sz w:val="24"/>
          <w:szCs w:val="24"/>
        </w:rPr>
        <w:t xml:space="preserve"> В, </w:t>
      </w:r>
      <w:r w:rsidR="00F52FCA">
        <w:rPr>
          <w:rStyle w:val="a7"/>
          <w:rFonts w:ascii="Times New Roman" w:hAnsi="Times New Roman" w:cs="Times New Roman"/>
          <w:color w:val="000000" w:themeColor="text1"/>
          <w:sz w:val="24"/>
          <w:szCs w:val="24"/>
        </w:rPr>
        <w:t>Уровень достоверности докзательств</w:t>
      </w:r>
      <w:r>
        <w:rPr>
          <w:rStyle w:val="a7"/>
          <w:rFonts w:ascii="Times New Roman" w:hAnsi="Times New Roman" w:cs="Times New Roman"/>
          <w:color w:val="000000" w:themeColor="text1"/>
          <w:sz w:val="24"/>
          <w:szCs w:val="24"/>
        </w:rPr>
        <w:t> 2)</w:t>
      </w:r>
      <w:r w:rsidR="00BD2F09">
        <w:rPr>
          <w:rStyle w:val="a7"/>
          <w:rFonts w:ascii="Times New Roman" w:hAnsi="Times New Roman" w:cs="Times New Roman"/>
          <w:color w:val="000000" w:themeColor="text1"/>
          <w:sz w:val="24"/>
          <w:szCs w:val="24"/>
        </w:rPr>
        <w:t>.</w:t>
      </w:r>
    </w:p>
    <w:p w14:paraId="1AE0D82D"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с ОКСпST/ИМпST и кардиогенным шоком при невозможности выполнения первичного ЧКВ в течение 120 мин от постановки диагноза и отсутствии механических осложнений ИМ рекомендуется выполнение системной ТЛТ </w:t>
      </w:r>
      <w:hyperlink r:id="rId184" w:history="1">
        <w:r>
          <w:rPr>
            <w:rStyle w:val="a6"/>
            <w:rFonts w:ascii="Times New Roman" w:hAnsi="Times New Roman" w:cs="Times New Roman"/>
            <w:color w:val="000000" w:themeColor="text1"/>
            <w:sz w:val="24"/>
            <w:szCs w:val="24"/>
          </w:rPr>
          <w:t>[86]</w:t>
        </w:r>
      </w:hyperlink>
      <w:r>
        <w:rPr>
          <w:rFonts w:ascii="Times New Roman" w:hAnsi="Times New Roman" w:cs="Times New Roman"/>
          <w:color w:val="000000" w:themeColor="text1"/>
          <w:sz w:val="24"/>
          <w:szCs w:val="24"/>
        </w:rPr>
        <w:t>.</w:t>
      </w:r>
    </w:p>
    <w:p w14:paraId="3ED1E39B" w14:textId="6C0B68B2"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 IIaC (</w:t>
      </w:r>
      <w:r w:rsidR="00F52FCA">
        <w:rPr>
          <w:rStyle w:val="a7"/>
          <w:rFonts w:ascii="Times New Roman" w:hAnsi="Times New Roman" w:cs="Times New Roman"/>
          <w:color w:val="000000" w:themeColor="text1"/>
          <w:sz w:val="24"/>
          <w:szCs w:val="24"/>
        </w:rPr>
        <w:t>Уровень убедительности рекомендаций</w:t>
      </w:r>
      <w:r>
        <w:rPr>
          <w:rStyle w:val="a7"/>
          <w:rFonts w:ascii="Times New Roman" w:hAnsi="Times New Roman" w:cs="Times New Roman"/>
          <w:color w:val="000000" w:themeColor="text1"/>
          <w:sz w:val="24"/>
          <w:szCs w:val="24"/>
        </w:rPr>
        <w:t xml:space="preserve"> С, </w:t>
      </w:r>
      <w:r w:rsidR="00F52FCA">
        <w:rPr>
          <w:rStyle w:val="a7"/>
          <w:rFonts w:ascii="Times New Roman" w:hAnsi="Times New Roman" w:cs="Times New Roman"/>
          <w:color w:val="000000" w:themeColor="text1"/>
          <w:sz w:val="24"/>
          <w:szCs w:val="24"/>
        </w:rPr>
        <w:t>Уровень достоверности докзательств</w:t>
      </w:r>
      <w:r>
        <w:rPr>
          <w:rStyle w:val="a7"/>
          <w:rFonts w:ascii="Times New Roman" w:hAnsi="Times New Roman" w:cs="Times New Roman"/>
          <w:color w:val="000000" w:themeColor="text1"/>
          <w:sz w:val="24"/>
          <w:szCs w:val="24"/>
        </w:rPr>
        <w:t> 5)</w:t>
      </w:r>
      <w:r w:rsidR="00BD2F09">
        <w:rPr>
          <w:rStyle w:val="a7"/>
          <w:rFonts w:ascii="Times New Roman" w:hAnsi="Times New Roman" w:cs="Times New Roman"/>
          <w:color w:val="000000" w:themeColor="text1"/>
          <w:sz w:val="24"/>
          <w:szCs w:val="24"/>
        </w:rPr>
        <w:t>.</w:t>
      </w:r>
    </w:p>
    <w:p w14:paraId="15159710" w14:textId="77777777" w:rsidR="004C062E" w:rsidRDefault="002C7340" w:rsidP="00A419DB">
      <w:pPr>
        <w:suppressAutoHyphens/>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после успешной реанимации по поводу внезапной остановки кровообращения, при гемодинамической стабильности и отсутствии диагностически значимого для ИМпST смещения сегмента ST на ЭКГ рутинная немедленная КГ не рекомендуется </w:t>
      </w:r>
      <w:hyperlink r:id="rId185" w:history="1">
        <w:r>
          <w:rPr>
            <w:rStyle w:val="a6"/>
            <w:rFonts w:ascii="Times New Roman" w:hAnsi="Times New Roman" w:cs="Times New Roman"/>
            <w:color w:val="000000" w:themeColor="text1"/>
            <w:sz w:val="24"/>
            <w:szCs w:val="24"/>
          </w:rPr>
          <w:t>[141-143]</w:t>
        </w:r>
      </w:hyperlink>
      <w:hyperlink r:id="rId186" w:history="1">
        <w:r>
          <w:rPr>
            <w:rStyle w:val="a6"/>
            <w:rFonts w:ascii="Times New Roman" w:hAnsi="Times New Roman" w:cs="Times New Roman"/>
            <w:color w:val="000000" w:themeColor="text1"/>
            <w:sz w:val="24"/>
            <w:szCs w:val="24"/>
          </w:rPr>
          <w:t>[146]</w:t>
        </w:r>
      </w:hyperlink>
      <w:hyperlink r:id="rId187" w:history="1">
        <w:r>
          <w:rPr>
            <w:rStyle w:val="a6"/>
            <w:rFonts w:ascii="Times New Roman" w:hAnsi="Times New Roman" w:cs="Times New Roman"/>
            <w:color w:val="000000" w:themeColor="text1"/>
            <w:sz w:val="24"/>
            <w:szCs w:val="24"/>
          </w:rPr>
          <w:t>[148]</w:t>
        </w:r>
      </w:hyperlink>
      <w:hyperlink r:id="rId188" w:history="1">
        <w:r>
          <w:rPr>
            <w:rStyle w:val="a6"/>
            <w:rFonts w:ascii="Times New Roman" w:hAnsi="Times New Roman" w:cs="Times New Roman"/>
            <w:color w:val="000000" w:themeColor="text1"/>
            <w:sz w:val="24"/>
            <w:szCs w:val="24"/>
          </w:rPr>
          <w:t>[179]</w:t>
        </w:r>
      </w:hyperlink>
      <w:r>
        <w:rPr>
          <w:rFonts w:ascii="Times New Roman" w:hAnsi="Times New Roman" w:cs="Times New Roman"/>
          <w:color w:val="000000" w:themeColor="text1"/>
          <w:sz w:val="24"/>
          <w:szCs w:val="24"/>
        </w:rPr>
        <w:t>.</w:t>
      </w:r>
    </w:p>
    <w:p w14:paraId="78510DE9" w14:textId="0CBC56C0" w:rsidR="004C062E" w:rsidRDefault="002C7340" w:rsidP="00A419DB">
      <w:pPr>
        <w:suppressAutoHyphens/>
        <w:spacing w:line="360" w:lineRule="auto"/>
        <w:jc w:val="both"/>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ЕОК IIIA (</w:t>
      </w:r>
      <w:r w:rsidR="00F52FCA">
        <w:rPr>
          <w:rStyle w:val="a7"/>
          <w:rFonts w:ascii="Times New Roman" w:hAnsi="Times New Roman" w:cs="Times New Roman"/>
          <w:color w:val="000000" w:themeColor="text1"/>
          <w:sz w:val="24"/>
          <w:szCs w:val="24"/>
        </w:rPr>
        <w:t>Уровень убедительности рекомендаций</w:t>
      </w:r>
      <w:r>
        <w:rPr>
          <w:rStyle w:val="a7"/>
          <w:rFonts w:ascii="Times New Roman" w:hAnsi="Times New Roman" w:cs="Times New Roman"/>
          <w:color w:val="000000" w:themeColor="text1"/>
          <w:sz w:val="24"/>
          <w:szCs w:val="24"/>
        </w:rPr>
        <w:t xml:space="preserve"> В, </w:t>
      </w:r>
      <w:r w:rsidR="00F52FCA">
        <w:rPr>
          <w:rStyle w:val="a7"/>
          <w:rFonts w:ascii="Times New Roman" w:hAnsi="Times New Roman" w:cs="Times New Roman"/>
          <w:color w:val="000000" w:themeColor="text1"/>
          <w:sz w:val="24"/>
          <w:szCs w:val="24"/>
        </w:rPr>
        <w:t>Уровень достоверности докзательств</w:t>
      </w:r>
      <w:r>
        <w:rPr>
          <w:rStyle w:val="a7"/>
          <w:rFonts w:ascii="Times New Roman" w:hAnsi="Times New Roman" w:cs="Times New Roman"/>
          <w:color w:val="000000" w:themeColor="text1"/>
          <w:sz w:val="24"/>
          <w:szCs w:val="24"/>
        </w:rPr>
        <w:t> 2)</w:t>
      </w:r>
      <w:r w:rsidR="00BD2F09">
        <w:rPr>
          <w:rStyle w:val="a7"/>
          <w:rFonts w:ascii="Times New Roman" w:hAnsi="Times New Roman" w:cs="Times New Roman"/>
          <w:color w:val="000000" w:themeColor="text1"/>
          <w:sz w:val="24"/>
          <w:szCs w:val="24"/>
        </w:rPr>
        <w:t>.</w:t>
      </w:r>
    </w:p>
    <w:p w14:paraId="588FA053" w14:textId="545C9DA2" w:rsidR="004C062E" w:rsidRDefault="002C7340" w:rsidP="00A419DB">
      <w:pPr>
        <w:pStyle w:val="af5"/>
        <w:shd w:val="clear" w:color="auto" w:fill="FFFFFF"/>
        <w:suppressAutoHyphens/>
        <w:spacing w:before="75" w:beforeAutospacing="0" w:after="225" w:afterAutospacing="0" w:line="360" w:lineRule="auto"/>
        <w:rPr>
          <w:rFonts w:eastAsia="Calibri"/>
          <w:b/>
          <w:bCs/>
          <w:color w:val="000000" w:themeColor="text1"/>
        </w:rPr>
      </w:pPr>
      <w:r>
        <w:rPr>
          <w:rFonts w:eastAsia="Calibri"/>
          <w:b/>
          <w:bCs/>
          <w:color w:val="000000" w:themeColor="text1"/>
        </w:rPr>
        <w:t>ИМ без обструктивного поражения КА</w:t>
      </w:r>
    </w:p>
    <w:p w14:paraId="19067396" w14:textId="77777777" w:rsidR="004C062E" w:rsidRDefault="002C7340" w:rsidP="00A419DB">
      <w:pPr>
        <w:pStyle w:val="af5"/>
        <w:shd w:val="clear" w:color="auto" w:fill="FFFFFF"/>
        <w:suppressAutoHyphens/>
        <w:spacing w:before="75" w:beforeAutospacing="0" w:after="225" w:afterAutospacing="0" w:line="360" w:lineRule="auto"/>
        <w:rPr>
          <w:color w:val="000000" w:themeColor="text1"/>
        </w:rPr>
      </w:pPr>
      <w:r>
        <w:rPr>
          <w:color w:val="000000" w:themeColor="text1"/>
        </w:rPr>
        <w:t>ИМ без обструктивного поражения КА (ИМБОКА) — "рабочий" диагноз, который устанавливается у пациентов с критериями ИМ согласно Четвертому универсальному определению (Приложение А3. Критерии диагностики ИМ) </w:t>
      </w:r>
      <w:hyperlink r:id="rId189" w:history="1">
        <w:r>
          <w:rPr>
            <w:rStyle w:val="a6"/>
            <w:rFonts w:eastAsiaTheme="majorEastAsia"/>
            <w:color w:val="000000" w:themeColor="text1"/>
          </w:rPr>
          <w:t>[5]</w:t>
        </w:r>
      </w:hyperlink>
      <w:r>
        <w:rPr>
          <w:color w:val="000000" w:themeColor="text1"/>
        </w:rPr>
        <w:t>, когда при КГ ни в одной крупной КА не обнаружено стенозов ≥50%</w:t>
      </w:r>
      <w:r w:rsidR="006B1240">
        <w:rPr>
          <w:color w:val="000000" w:themeColor="text1"/>
        </w:rPr>
        <w:t>)</w:t>
      </w:r>
      <w:r>
        <w:rPr>
          <w:color w:val="000000" w:themeColor="text1"/>
        </w:rPr>
        <w:t>.</w:t>
      </w:r>
    </w:p>
    <w:p w14:paraId="278CF665"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color w:val="000000" w:themeColor="text1"/>
        </w:rPr>
        <w:lastRenderedPageBreak/>
        <w:t>Термин "ИМБОКА" включает в себя гетерогенную группу патологий, как коронарных, так и некоронарных, в т. ч. некардиальных. Основная цель введения этого термина связана с тем, что пациенту с диагнозом ИМБОКА необходимо проведение дальнейшего обследования для верификации окончательного диагноза и проведения адекватного лечения.</w:t>
      </w:r>
    </w:p>
    <w:p w14:paraId="65D53D4E" w14:textId="77777777" w:rsidR="004C062E" w:rsidRDefault="002C7340" w:rsidP="00A419DB">
      <w:pPr>
        <w:numPr>
          <w:ilvl w:val="0"/>
          <w:numId w:val="4"/>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с отсутствием обструктивного поражения КА (стенозы как минимум на 50% по данным КГ) при наличии клинических и лабораторных признаков ИМ рекомендован обширный диагностический поиск для определения причины повреждения миокарда и верификации диагноза </w:t>
      </w:r>
      <w:hyperlink r:id="rId190" w:history="1">
        <w:r>
          <w:rPr>
            <w:rStyle w:val="a6"/>
            <w:rFonts w:ascii="Times New Roman" w:hAnsi="Times New Roman" w:cs="Times New Roman"/>
            <w:color w:val="000000" w:themeColor="text1"/>
            <w:sz w:val="24"/>
            <w:szCs w:val="24"/>
          </w:rPr>
          <w:t>[180]</w:t>
        </w:r>
      </w:hyperlink>
      <w:hyperlink r:id="rId191" w:history="1">
        <w:r>
          <w:rPr>
            <w:rStyle w:val="a6"/>
            <w:rFonts w:ascii="Times New Roman" w:hAnsi="Times New Roman" w:cs="Times New Roman"/>
            <w:color w:val="000000" w:themeColor="text1"/>
            <w:sz w:val="24"/>
            <w:szCs w:val="24"/>
          </w:rPr>
          <w:t>[181]</w:t>
        </w:r>
      </w:hyperlink>
      <w:r>
        <w:rPr>
          <w:rFonts w:ascii="Times New Roman" w:hAnsi="Times New Roman" w:cs="Times New Roman"/>
          <w:color w:val="000000" w:themeColor="text1"/>
          <w:sz w:val="24"/>
          <w:szCs w:val="24"/>
        </w:rPr>
        <w:t>.</w:t>
      </w:r>
    </w:p>
    <w:p w14:paraId="0261B84D" w14:textId="3058AE63" w:rsidR="004C062E" w:rsidRPr="00050CC9"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IС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С,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4)</w:t>
      </w:r>
      <w:r w:rsidR="00BD2F09">
        <w:rPr>
          <w:rStyle w:val="a7"/>
          <w:rFonts w:eastAsiaTheme="majorEastAsia"/>
          <w:color w:val="000000" w:themeColor="text1"/>
        </w:rPr>
        <w:t>.</w:t>
      </w:r>
    </w:p>
    <w:p w14:paraId="5C535D96" w14:textId="77777777" w:rsidR="004C062E" w:rsidRDefault="002C7340" w:rsidP="00A419DB">
      <w:pPr>
        <w:pStyle w:val="20"/>
        <w:suppressAutoHyphens/>
        <w:spacing w:line="360" w:lineRule="auto"/>
        <w:jc w:val="both"/>
        <w:rPr>
          <w:rFonts w:ascii="Times New Roman" w:eastAsia="Calibri" w:hAnsi="Times New Roman" w:cs="Times New Roman"/>
          <w:bCs w:val="0"/>
          <w:iCs/>
          <w:color w:val="000000" w:themeColor="text1"/>
          <w:sz w:val="24"/>
          <w:szCs w:val="24"/>
        </w:rPr>
      </w:pPr>
      <w:bookmarkStart w:id="37" w:name="_Toc236138945"/>
      <w:r>
        <w:rPr>
          <w:rFonts w:ascii="Times New Roman" w:eastAsia="Calibri" w:hAnsi="Times New Roman" w:cs="Times New Roman"/>
          <w:bCs w:val="0"/>
          <w:iCs/>
          <w:color w:val="000000" w:themeColor="text1"/>
          <w:sz w:val="24"/>
          <w:szCs w:val="24"/>
        </w:rPr>
        <w:t>3.3 Иное лечение.</w:t>
      </w:r>
      <w:bookmarkEnd w:id="37"/>
    </w:p>
    <w:p w14:paraId="053A274D" w14:textId="77777777" w:rsidR="004C062E" w:rsidRDefault="002C7340" w:rsidP="00A419DB">
      <w:pPr>
        <w:numPr>
          <w:ilvl w:val="0"/>
          <w:numId w:val="25"/>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с ИМпST при концентрации глюкозы в крови &gt;10 ммоль/л рекомендуется использование сахароснижающих лекарственных средств для контроля уровня гликемии </w:t>
      </w:r>
      <w:hyperlink r:id="rId192" w:history="1">
        <w:r>
          <w:rPr>
            <w:rStyle w:val="a6"/>
            <w:rFonts w:ascii="Times New Roman" w:hAnsi="Times New Roman" w:cs="Times New Roman"/>
            <w:color w:val="000000" w:themeColor="text1"/>
            <w:sz w:val="24"/>
            <w:szCs w:val="24"/>
          </w:rPr>
          <w:t>[362-364]</w:t>
        </w:r>
      </w:hyperlink>
      <w:r>
        <w:rPr>
          <w:rFonts w:ascii="Times New Roman" w:hAnsi="Times New Roman" w:cs="Times New Roman"/>
          <w:color w:val="000000" w:themeColor="text1"/>
          <w:sz w:val="24"/>
          <w:szCs w:val="24"/>
        </w:rPr>
        <w:t>.</w:t>
      </w:r>
    </w:p>
    <w:p w14:paraId="2302665A" w14:textId="5526CD00"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IIaС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B,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2)</w:t>
      </w:r>
      <w:r w:rsidR="00BD2F09">
        <w:rPr>
          <w:rStyle w:val="a7"/>
          <w:rFonts w:eastAsiaTheme="majorEastAsia"/>
          <w:color w:val="000000" w:themeColor="text1"/>
        </w:rPr>
        <w:t>.</w:t>
      </w:r>
    </w:p>
    <w:p w14:paraId="2E1D5912"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color w:val="000000" w:themeColor="text1"/>
        </w:rPr>
        <w:t>У пациентов с ИМпST не рекомендуется использовать нестероидные противовоспалительные и противоревматические препараты (за исключением низких доз АСК в качестве антиагреганта и средних доз ACК для лечения перикардита) из-за неблагоприятного влияния на прогноз </w:t>
      </w:r>
      <w:hyperlink r:id="rId193" w:history="1">
        <w:r>
          <w:rPr>
            <w:rStyle w:val="a6"/>
            <w:color w:val="000000" w:themeColor="text1"/>
          </w:rPr>
          <w:t>[366-368]</w:t>
        </w:r>
      </w:hyperlink>
      <w:r>
        <w:rPr>
          <w:color w:val="000000" w:themeColor="text1"/>
        </w:rPr>
        <w:t>.</w:t>
      </w:r>
    </w:p>
    <w:p w14:paraId="36EEE13B" w14:textId="4C936C50"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IIIB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А,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1)</w:t>
      </w:r>
      <w:r w:rsidR="00BD2F09">
        <w:rPr>
          <w:rStyle w:val="a7"/>
          <w:rFonts w:eastAsiaTheme="majorEastAsia"/>
          <w:color w:val="000000" w:themeColor="text1"/>
        </w:rPr>
        <w:t>.</w:t>
      </w:r>
    </w:p>
    <w:p w14:paraId="0543582C"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Комментарии.</w:t>
      </w:r>
      <w:r>
        <w:rPr>
          <w:color w:val="000000" w:themeColor="text1"/>
        </w:rPr>
        <w:t> </w:t>
      </w:r>
      <w:r>
        <w:rPr>
          <w:rStyle w:val="a5"/>
          <w:rFonts w:eastAsiaTheme="majorEastAsia"/>
          <w:color w:val="000000" w:themeColor="text1"/>
        </w:rPr>
        <w:t>Рекомендуется отменить нестероидные противовоспалительные и противоревматические препараты и/или не начинать их использование при госпитализации с ИМпST.</w:t>
      </w:r>
    </w:p>
    <w:p w14:paraId="039A4B42" w14:textId="77777777" w:rsidR="004C062E" w:rsidRDefault="002C7340" w:rsidP="00A419DB">
      <w:pPr>
        <w:numPr>
          <w:ilvl w:val="0"/>
          <w:numId w:val="26"/>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У пациентов с ИМпST и анемией, не имеющих признаков продолжающегося кровотечения и гемодинамической нестабильности, целесообразность гемотрансфузии рекомендуется рассматривать при снижении уровня гематокрита &lt;25% и/или гемоглобина </w:t>
      </w:r>
      <w:r>
        <w:rPr>
          <w:rFonts w:ascii="Times New Roman" w:hAnsi="Times New Roman" w:cs="Times New Roman"/>
          <w:color w:val="000000" w:themeColor="text1"/>
          <w:sz w:val="24"/>
          <w:szCs w:val="24"/>
        </w:rPr>
        <w:lastRenderedPageBreak/>
        <w:t>&lt;70 г/л для уменьшения риска осложнений, связанных с гемотрансфузий, и возможного неблагоприятного влияния гемотрансфузий на прогноз </w:t>
      </w:r>
      <w:hyperlink r:id="rId194" w:history="1">
        <w:r>
          <w:rPr>
            <w:rStyle w:val="a6"/>
            <w:rFonts w:ascii="Times New Roman" w:hAnsi="Times New Roman" w:cs="Times New Roman"/>
            <w:color w:val="000000" w:themeColor="text1"/>
            <w:sz w:val="24"/>
            <w:szCs w:val="24"/>
          </w:rPr>
          <w:t>[9]</w:t>
        </w:r>
      </w:hyperlink>
      <w:r>
        <w:rPr>
          <w:rFonts w:ascii="Times New Roman" w:hAnsi="Times New Roman" w:cs="Times New Roman"/>
          <w:color w:val="000000" w:themeColor="text1"/>
          <w:sz w:val="24"/>
          <w:szCs w:val="24"/>
        </w:rPr>
        <w:t>.</w:t>
      </w:r>
    </w:p>
    <w:p w14:paraId="5145CA17" w14:textId="4EAF27CE"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IIbC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C,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5)</w:t>
      </w:r>
      <w:r w:rsidR="00BD2F09">
        <w:rPr>
          <w:rStyle w:val="a7"/>
          <w:rFonts w:eastAsiaTheme="majorEastAsia"/>
          <w:color w:val="000000" w:themeColor="text1"/>
        </w:rPr>
        <w:t>.</w:t>
      </w:r>
    </w:p>
    <w:p w14:paraId="7D66A726" w14:textId="77777777" w:rsidR="004C062E" w:rsidRDefault="002C7340" w:rsidP="00A419DB">
      <w:pPr>
        <w:numPr>
          <w:ilvl w:val="0"/>
          <w:numId w:val="27"/>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Пациентам с ИМпST, которые находятся в коме после внегоспитальной или внутригоспитальной остановки кровообращения, рекомендуется контроль температуры тела, включающий постоянный мониторинг центральной температуры и активное предотвращение лихорадки (&gt;37,7 °C), в течение по меньшей мере 72 ч с целью предотвращения осложнений </w:t>
      </w:r>
      <w:hyperlink r:id="rId195" w:history="1">
        <w:r>
          <w:rPr>
            <w:rStyle w:val="a6"/>
            <w:rFonts w:ascii="Times New Roman" w:hAnsi="Times New Roman" w:cs="Times New Roman"/>
            <w:color w:val="000000" w:themeColor="text1"/>
            <w:sz w:val="24"/>
            <w:szCs w:val="24"/>
          </w:rPr>
          <w:t>[369-379]</w:t>
        </w:r>
      </w:hyperlink>
      <w:r>
        <w:rPr>
          <w:rFonts w:ascii="Times New Roman" w:hAnsi="Times New Roman" w:cs="Times New Roman"/>
          <w:color w:val="000000" w:themeColor="text1"/>
          <w:sz w:val="24"/>
          <w:szCs w:val="24"/>
        </w:rPr>
        <w:t>.</w:t>
      </w:r>
    </w:p>
    <w:p w14:paraId="662751FE" w14:textId="3096F582"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IB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В,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3)</w:t>
      </w:r>
      <w:r w:rsidR="00BD2F09">
        <w:rPr>
          <w:rStyle w:val="a7"/>
          <w:rFonts w:eastAsiaTheme="majorEastAsia"/>
          <w:color w:val="000000" w:themeColor="text1"/>
        </w:rPr>
        <w:t>.</w:t>
      </w:r>
    </w:p>
    <w:p w14:paraId="0D815A6A" w14:textId="39496561" w:rsidR="004C062E" w:rsidRPr="00050CC9" w:rsidRDefault="002C7340" w:rsidP="00A419DB">
      <w:pPr>
        <w:shd w:val="clear" w:color="auto" w:fill="FFFFFF"/>
        <w:suppressAutoHyphens/>
        <w:spacing w:before="100" w:beforeAutospacing="1" w:after="100" w:afterAutospacing="1" w:line="360" w:lineRule="auto"/>
        <w:jc w:val="center"/>
        <w:rPr>
          <w:rFonts w:ascii="Times New Roman" w:eastAsia="Calibri" w:hAnsi="Times New Roman" w:cs="Times New Roman"/>
          <w:b/>
          <w:bCs/>
          <w:iCs/>
          <w:color w:val="000000" w:themeColor="text1"/>
          <w:sz w:val="24"/>
          <w:szCs w:val="24"/>
        </w:rPr>
      </w:pPr>
      <w:r w:rsidRPr="00050CC9">
        <w:rPr>
          <w:rFonts w:ascii="Times New Roman" w:eastAsia="Calibri" w:hAnsi="Times New Roman" w:cs="Times New Roman"/>
          <w:b/>
          <w:bCs/>
          <w:iCs/>
          <w:color w:val="000000" w:themeColor="text1"/>
          <w:sz w:val="24"/>
          <w:szCs w:val="24"/>
        </w:rPr>
        <w:t>Осложнения.</w:t>
      </w:r>
    </w:p>
    <w:p w14:paraId="36763F84" w14:textId="4FC312F4" w:rsidR="004C062E" w:rsidRDefault="002C7340" w:rsidP="00A419DB">
      <w:pPr>
        <w:pStyle w:val="20"/>
        <w:suppressAutoHyphens/>
        <w:spacing w:line="360" w:lineRule="auto"/>
        <w:jc w:val="both"/>
        <w:rPr>
          <w:rFonts w:ascii="Times New Roman" w:eastAsia="Calibri" w:hAnsi="Times New Roman" w:cs="Times New Roman"/>
          <w:bCs w:val="0"/>
          <w:iCs/>
          <w:color w:val="000000" w:themeColor="text1"/>
          <w:sz w:val="24"/>
          <w:szCs w:val="24"/>
        </w:rPr>
      </w:pPr>
      <w:bookmarkStart w:id="38" w:name="_Toc236138946"/>
      <w:r>
        <w:rPr>
          <w:rFonts w:ascii="Times New Roman" w:eastAsia="Calibri" w:hAnsi="Times New Roman" w:cs="Times New Roman"/>
          <w:bCs w:val="0"/>
          <w:iCs/>
          <w:color w:val="000000" w:themeColor="text1"/>
          <w:sz w:val="24"/>
          <w:szCs w:val="24"/>
        </w:rPr>
        <w:t>ОСН.</w:t>
      </w:r>
      <w:bookmarkEnd w:id="38"/>
    </w:p>
    <w:p w14:paraId="716F8ED4"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color w:val="000000" w:themeColor="text1"/>
          <w:szCs w:val="26"/>
        </w:rPr>
        <w:t>ОСН может возникать как осложнение ИМпST или отражать декомпенсацию ранее существовавшей ХСН при ишемическом повреждении миокарда. При возникновении ОСН у пациентов с ИМпST увеличивается риск других осложнений: снижения фильтрационной функции почек, дыхательной недостаточности, пневмонии, повышается вероятность летального исхода.</w:t>
      </w:r>
    </w:p>
    <w:p w14:paraId="5FC76016"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color w:val="000000" w:themeColor="text1"/>
          <w:szCs w:val="26"/>
        </w:rPr>
        <w:t xml:space="preserve"> Основной стратегией терапии у пациентов с ИМпST, осложненном ОСН, является экстренная реваскуляризация миокарда с целью ограничения ишемического повреждения.</w:t>
      </w:r>
    </w:p>
    <w:p w14:paraId="7EBE1C9B" w14:textId="77777777" w:rsidR="004C062E" w:rsidRDefault="002C7340" w:rsidP="00A419DB">
      <w:pPr>
        <w:numPr>
          <w:ilvl w:val="0"/>
          <w:numId w:val="29"/>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6"/>
        </w:rPr>
      </w:pPr>
      <w:r>
        <w:rPr>
          <w:rFonts w:ascii="Times New Roman" w:hAnsi="Times New Roman" w:cs="Times New Roman"/>
          <w:color w:val="000000" w:themeColor="text1"/>
          <w:sz w:val="24"/>
          <w:szCs w:val="26"/>
        </w:rPr>
        <w:t>У пациентов с ИМпST и ОСН рекомендуется непрерывное мониторирование основных жизненно важных функций — как минимум, сердечного ритма, АД, SpO</w:t>
      </w:r>
      <w:r>
        <w:rPr>
          <w:rFonts w:ascii="Times New Roman" w:hAnsi="Times New Roman" w:cs="Times New Roman"/>
          <w:color w:val="000000" w:themeColor="text1"/>
          <w:sz w:val="24"/>
          <w:szCs w:val="26"/>
          <w:vertAlign w:val="subscript"/>
        </w:rPr>
        <w:t>2</w:t>
      </w:r>
      <w:r>
        <w:rPr>
          <w:rFonts w:ascii="Times New Roman" w:hAnsi="Times New Roman" w:cs="Times New Roman"/>
          <w:color w:val="000000" w:themeColor="text1"/>
          <w:sz w:val="24"/>
          <w:szCs w:val="26"/>
        </w:rPr>
        <w:t>и диуреза — до стабилизации гемодинамики </w:t>
      </w:r>
      <w:hyperlink r:id="rId196" w:history="1">
        <w:r>
          <w:rPr>
            <w:rStyle w:val="a6"/>
            <w:rFonts w:ascii="Times New Roman" w:hAnsi="Times New Roman" w:cs="Times New Roman"/>
            <w:color w:val="000000" w:themeColor="text1"/>
            <w:sz w:val="24"/>
            <w:szCs w:val="26"/>
          </w:rPr>
          <w:t>[9]</w:t>
        </w:r>
      </w:hyperlink>
      <w:hyperlink r:id="rId197" w:history="1">
        <w:r>
          <w:rPr>
            <w:rStyle w:val="a6"/>
            <w:rFonts w:ascii="Times New Roman" w:hAnsi="Times New Roman" w:cs="Times New Roman"/>
            <w:color w:val="000000" w:themeColor="text1"/>
            <w:sz w:val="24"/>
            <w:szCs w:val="26"/>
          </w:rPr>
          <w:t>[380]</w:t>
        </w:r>
      </w:hyperlink>
      <w:hyperlink r:id="rId198" w:history="1">
        <w:r>
          <w:rPr>
            <w:rStyle w:val="a6"/>
            <w:rFonts w:ascii="Times New Roman" w:hAnsi="Times New Roman" w:cs="Times New Roman"/>
            <w:color w:val="000000" w:themeColor="text1"/>
            <w:sz w:val="24"/>
            <w:szCs w:val="26"/>
          </w:rPr>
          <w:t>[383]</w:t>
        </w:r>
      </w:hyperlink>
      <w:r>
        <w:rPr>
          <w:rFonts w:ascii="Times New Roman" w:hAnsi="Times New Roman" w:cs="Times New Roman"/>
          <w:color w:val="000000" w:themeColor="text1"/>
          <w:sz w:val="24"/>
          <w:szCs w:val="26"/>
        </w:rPr>
        <w:t>.</w:t>
      </w:r>
    </w:p>
    <w:p w14:paraId="5E5C66BC" w14:textId="3C718CED"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7"/>
          <w:rFonts w:eastAsiaTheme="majorEastAsia"/>
          <w:color w:val="000000" w:themeColor="text1"/>
          <w:szCs w:val="26"/>
        </w:rPr>
        <w:t>РКО IIaC (</w:t>
      </w:r>
      <w:r w:rsidR="00F52FCA">
        <w:rPr>
          <w:rStyle w:val="a7"/>
          <w:rFonts w:eastAsiaTheme="majorEastAsia"/>
          <w:color w:val="000000" w:themeColor="text1"/>
          <w:szCs w:val="26"/>
        </w:rPr>
        <w:t>Уровень убедительности рекомендаций</w:t>
      </w:r>
      <w:r>
        <w:rPr>
          <w:rStyle w:val="a7"/>
          <w:rFonts w:eastAsiaTheme="majorEastAsia"/>
          <w:color w:val="000000" w:themeColor="text1"/>
          <w:szCs w:val="26"/>
        </w:rPr>
        <w:t xml:space="preserve"> С, </w:t>
      </w:r>
      <w:r w:rsidR="00F52FCA">
        <w:rPr>
          <w:rStyle w:val="a7"/>
          <w:rFonts w:eastAsiaTheme="majorEastAsia"/>
          <w:color w:val="000000" w:themeColor="text1"/>
          <w:szCs w:val="26"/>
        </w:rPr>
        <w:t>Уровень достоверности докзательств</w:t>
      </w:r>
      <w:r>
        <w:rPr>
          <w:rStyle w:val="a7"/>
          <w:rFonts w:eastAsiaTheme="majorEastAsia"/>
          <w:color w:val="000000" w:themeColor="text1"/>
          <w:szCs w:val="26"/>
        </w:rPr>
        <w:t> 5)</w:t>
      </w:r>
    </w:p>
    <w:p w14:paraId="19DE2107" w14:textId="77777777" w:rsidR="004C062E" w:rsidRDefault="002C7340" w:rsidP="00A419DB">
      <w:pPr>
        <w:numPr>
          <w:ilvl w:val="0"/>
          <w:numId w:val="30"/>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6"/>
        </w:rPr>
      </w:pPr>
      <w:r>
        <w:rPr>
          <w:rFonts w:ascii="Times New Roman" w:hAnsi="Times New Roman" w:cs="Times New Roman"/>
          <w:color w:val="000000" w:themeColor="text1"/>
          <w:sz w:val="24"/>
          <w:szCs w:val="26"/>
        </w:rPr>
        <w:t>Пациентам с ИМпST при появлении признаков OCН рекомендуется выполнить ЭхоКГ с целью оценки сократительной функции миокарда ЛЖ, состояния клапанов и поиска механических осложнений ИМ </w:t>
      </w:r>
      <w:hyperlink r:id="rId199" w:history="1">
        <w:r>
          <w:rPr>
            <w:rStyle w:val="a6"/>
            <w:rFonts w:ascii="Times New Roman" w:hAnsi="Times New Roman" w:cs="Times New Roman"/>
            <w:color w:val="000000" w:themeColor="text1"/>
            <w:sz w:val="24"/>
            <w:szCs w:val="26"/>
          </w:rPr>
          <w:t>[9]</w:t>
        </w:r>
      </w:hyperlink>
      <w:hyperlink r:id="rId200" w:history="1">
        <w:r>
          <w:rPr>
            <w:rStyle w:val="a6"/>
            <w:rFonts w:ascii="Times New Roman" w:hAnsi="Times New Roman" w:cs="Times New Roman"/>
            <w:color w:val="000000" w:themeColor="text1"/>
            <w:sz w:val="24"/>
            <w:szCs w:val="26"/>
          </w:rPr>
          <w:t>[57-59]</w:t>
        </w:r>
      </w:hyperlink>
      <w:r>
        <w:rPr>
          <w:rFonts w:ascii="Times New Roman" w:hAnsi="Times New Roman" w:cs="Times New Roman"/>
          <w:color w:val="000000" w:themeColor="text1"/>
          <w:sz w:val="24"/>
          <w:szCs w:val="26"/>
        </w:rPr>
        <w:t>.</w:t>
      </w:r>
    </w:p>
    <w:p w14:paraId="79A5BE24" w14:textId="2A5556BE"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7"/>
          <w:rFonts w:eastAsiaTheme="majorEastAsia"/>
          <w:color w:val="000000" w:themeColor="text1"/>
          <w:szCs w:val="26"/>
        </w:rPr>
        <w:lastRenderedPageBreak/>
        <w:t>РКО IIaC (</w:t>
      </w:r>
      <w:r w:rsidR="00F52FCA">
        <w:rPr>
          <w:rStyle w:val="a7"/>
          <w:rFonts w:eastAsiaTheme="majorEastAsia"/>
          <w:color w:val="000000" w:themeColor="text1"/>
          <w:szCs w:val="26"/>
        </w:rPr>
        <w:t>Уровень убедительности рекомендаций</w:t>
      </w:r>
      <w:r>
        <w:rPr>
          <w:rStyle w:val="a7"/>
          <w:rFonts w:eastAsiaTheme="majorEastAsia"/>
          <w:color w:val="000000" w:themeColor="text1"/>
          <w:szCs w:val="26"/>
        </w:rPr>
        <w:t xml:space="preserve"> С, </w:t>
      </w:r>
      <w:r w:rsidR="00F52FCA">
        <w:rPr>
          <w:rStyle w:val="a7"/>
          <w:rFonts w:eastAsiaTheme="majorEastAsia"/>
          <w:color w:val="000000" w:themeColor="text1"/>
          <w:szCs w:val="26"/>
        </w:rPr>
        <w:t>Уровень достоверности докзательств</w:t>
      </w:r>
      <w:r>
        <w:rPr>
          <w:rStyle w:val="a7"/>
          <w:rFonts w:eastAsiaTheme="majorEastAsia"/>
          <w:color w:val="000000" w:themeColor="text1"/>
          <w:szCs w:val="26"/>
        </w:rPr>
        <w:t> 5)</w:t>
      </w:r>
      <w:r w:rsidR="00BD2F09">
        <w:rPr>
          <w:rStyle w:val="a7"/>
          <w:rFonts w:eastAsiaTheme="majorEastAsia"/>
          <w:color w:val="000000" w:themeColor="text1"/>
          <w:szCs w:val="26"/>
        </w:rPr>
        <w:t>.</w:t>
      </w:r>
    </w:p>
    <w:p w14:paraId="667C588C" w14:textId="77777777" w:rsidR="004C062E" w:rsidRDefault="002C7340" w:rsidP="00A419DB">
      <w:pPr>
        <w:numPr>
          <w:ilvl w:val="0"/>
          <w:numId w:val="31"/>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6"/>
        </w:rPr>
      </w:pPr>
      <w:r>
        <w:rPr>
          <w:rFonts w:ascii="Times New Roman" w:hAnsi="Times New Roman" w:cs="Times New Roman"/>
          <w:color w:val="000000" w:themeColor="text1"/>
          <w:sz w:val="24"/>
          <w:szCs w:val="26"/>
        </w:rPr>
        <w:t>Для оценки наличия и выраженности ОСН рекомендуется во всех случаях ИМпST использовать классификацию Killip </w:t>
      </w:r>
      <w:hyperlink r:id="rId201" w:history="1">
        <w:r>
          <w:rPr>
            <w:rStyle w:val="a6"/>
            <w:rFonts w:ascii="Times New Roman" w:hAnsi="Times New Roman" w:cs="Times New Roman"/>
            <w:color w:val="000000" w:themeColor="text1"/>
            <w:sz w:val="24"/>
            <w:szCs w:val="26"/>
          </w:rPr>
          <w:t>[9]</w:t>
        </w:r>
      </w:hyperlink>
      <w:hyperlink r:id="rId202" w:history="1">
        <w:r>
          <w:rPr>
            <w:rStyle w:val="a6"/>
            <w:rFonts w:ascii="Times New Roman" w:hAnsi="Times New Roman" w:cs="Times New Roman"/>
            <w:color w:val="000000" w:themeColor="text1"/>
            <w:sz w:val="24"/>
            <w:szCs w:val="26"/>
          </w:rPr>
          <w:t>[211]</w:t>
        </w:r>
      </w:hyperlink>
      <w:hyperlink r:id="rId203" w:history="1">
        <w:r>
          <w:rPr>
            <w:rStyle w:val="a6"/>
            <w:rFonts w:ascii="Times New Roman" w:hAnsi="Times New Roman" w:cs="Times New Roman"/>
            <w:color w:val="000000" w:themeColor="text1"/>
            <w:sz w:val="24"/>
            <w:szCs w:val="26"/>
          </w:rPr>
          <w:t>[384]</w:t>
        </w:r>
      </w:hyperlink>
      <w:r>
        <w:rPr>
          <w:rFonts w:ascii="Times New Roman" w:hAnsi="Times New Roman" w:cs="Times New Roman"/>
          <w:color w:val="000000" w:themeColor="text1"/>
          <w:sz w:val="24"/>
          <w:szCs w:val="26"/>
        </w:rPr>
        <w:t>.</w:t>
      </w:r>
    </w:p>
    <w:p w14:paraId="4B5DDB3C" w14:textId="26ED7AAF"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7"/>
          <w:rFonts w:eastAsiaTheme="majorEastAsia"/>
          <w:color w:val="000000" w:themeColor="text1"/>
          <w:szCs w:val="26"/>
        </w:rPr>
        <w:t>ЕОК IIaC (</w:t>
      </w:r>
      <w:r w:rsidR="00F52FCA">
        <w:rPr>
          <w:rStyle w:val="a7"/>
          <w:rFonts w:eastAsiaTheme="majorEastAsia"/>
          <w:color w:val="000000" w:themeColor="text1"/>
          <w:szCs w:val="26"/>
        </w:rPr>
        <w:t>Уровень убедительности рекомендаций</w:t>
      </w:r>
      <w:r>
        <w:rPr>
          <w:rStyle w:val="a7"/>
          <w:rFonts w:eastAsiaTheme="majorEastAsia"/>
          <w:color w:val="000000" w:themeColor="text1"/>
          <w:szCs w:val="26"/>
        </w:rPr>
        <w:t xml:space="preserve"> C, </w:t>
      </w:r>
      <w:r w:rsidR="00F52FCA">
        <w:rPr>
          <w:rStyle w:val="a7"/>
          <w:rFonts w:eastAsiaTheme="majorEastAsia"/>
          <w:color w:val="000000" w:themeColor="text1"/>
          <w:szCs w:val="26"/>
        </w:rPr>
        <w:t>Уровень достоверности докзательств</w:t>
      </w:r>
      <w:r>
        <w:rPr>
          <w:rStyle w:val="a7"/>
          <w:rFonts w:eastAsiaTheme="majorEastAsia"/>
          <w:color w:val="000000" w:themeColor="text1"/>
          <w:szCs w:val="26"/>
        </w:rPr>
        <w:t> 5)</w:t>
      </w:r>
      <w:r w:rsidR="00BD2F09">
        <w:rPr>
          <w:rStyle w:val="a7"/>
          <w:rFonts w:eastAsiaTheme="majorEastAsia"/>
          <w:color w:val="000000" w:themeColor="text1"/>
          <w:szCs w:val="26"/>
        </w:rPr>
        <w:t>.</w:t>
      </w:r>
    </w:p>
    <w:p w14:paraId="0C83AB35" w14:textId="09BB0485" w:rsidR="004C062E" w:rsidRPr="00050CC9"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7"/>
          <w:rFonts w:eastAsiaTheme="majorEastAsia"/>
          <w:color w:val="000000" w:themeColor="text1"/>
          <w:szCs w:val="26"/>
        </w:rPr>
        <w:t>Комментарии.</w:t>
      </w:r>
      <w:r>
        <w:rPr>
          <w:color w:val="000000" w:themeColor="text1"/>
          <w:szCs w:val="26"/>
        </w:rPr>
        <w:t> </w:t>
      </w:r>
      <w:r>
        <w:rPr>
          <w:rStyle w:val="a5"/>
          <w:rFonts w:eastAsiaTheme="majorEastAsia"/>
          <w:color w:val="000000" w:themeColor="text1"/>
          <w:szCs w:val="26"/>
        </w:rPr>
        <w:t>Классификация Killip приведена в Приложении А3. Классификация ОСН при ИМ по Killip.</w:t>
      </w:r>
    </w:p>
    <w:p w14:paraId="324BDA6F" w14:textId="66A908AD" w:rsidR="004C062E" w:rsidRDefault="002C7340" w:rsidP="00A419DB">
      <w:pPr>
        <w:pStyle w:val="20"/>
        <w:suppressAutoHyphens/>
        <w:spacing w:line="360" w:lineRule="auto"/>
        <w:jc w:val="both"/>
        <w:rPr>
          <w:rFonts w:ascii="Times New Roman" w:eastAsia="Calibri" w:hAnsi="Times New Roman" w:cs="Times New Roman"/>
          <w:bCs w:val="0"/>
          <w:iCs/>
          <w:color w:val="000000" w:themeColor="text1"/>
          <w:sz w:val="24"/>
          <w:szCs w:val="24"/>
        </w:rPr>
      </w:pPr>
      <w:bookmarkStart w:id="39" w:name="_Toc236138947"/>
      <w:r>
        <w:rPr>
          <w:rFonts w:ascii="Times New Roman" w:eastAsia="Calibri" w:hAnsi="Times New Roman" w:cs="Times New Roman"/>
          <w:bCs w:val="0"/>
          <w:iCs/>
          <w:color w:val="000000" w:themeColor="text1"/>
          <w:sz w:val="24"/>
          <w:szCs w:val="24"/>
        </w:rPr>
        <w:t>Отёк легких.</w:t>
      </w:r>
      <w:bookmarkEnd w:id="39"/>
    </w:p>
    <w:p w14:paraId="2307A76C"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color w:val="000000" w:themeColor="text1"/>
          <w:szCs w:val="26"/>
        </w:rPr>
        <w:t>На фоне выраженного снижения систолической функции миокарда ЛЖ и/или механических осложнений (дисфункция митрального клапана, разрыв МЖП) происходит повышение давления крови в капиллярах малого круга и поступление жидкой компоненты крови из внутрисосудистого русла в ткань легких. Различают интерстициальный и альвеолярный отек легких. При осмотре наиболее характерными признаками являются: тахикардия, тахипноэ, вынужденное возвышенное положение (ортопноэ). При аускультации легких выслушиваются "застойные" мелкопузырчатые хрипы. Регистрируется снижение оксигенации крови. Диагноз можно подтвердить с помощью обзорной рентгенографии грудной клетки и УЗИ легких. У пациентов с ИМпST и ОСН (особенно при отеке легких) отмечается снижение сатурации крови.</w:t>
      </w:r>
    </w:p>
    <w:p w14:paraId="77AE9E91" w14:textId="77777777" w:rsidR="004C062E" w:rsidRDefault="002C7340" w:rsidP="00A419DB">
      <w:pPr>
        <w:numPr>
          <w:ilvl w:val="0"/>
          <w:numId w:val="32"/>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6"/>
        </w:rPr>
      </w:pPr>
      <w:r>
        <w:rPr>
          <w:rFonts w:ascii="Times New Roman" w:hAnsi="Times New Roman" w:cs="Times New Roman"/>
          <w:color w:val="000000" w:themeColor="text1"/>
          <w:sz w:val="24"/>
          <w:szCs w:val="26"/>
        </w:rPr>
        <w:t>Рекомендуется ингаляторное введение кислорода (оксигенотерапия) пациенту с ИМпST и ОСН путем ингаляции увлажненного кислорода через маску при SpO</w:t>
      </w:r>
      <w:r>
        <w:rPr>
          <w:rFonts w:ascii="Times New Roman" w:hAnsi="Times New Roman" w:cs="Times New Roman"/>
          <w:color w:val="000000" w:themeColor="text1"/>
          <w:sz w:val="24"/>
          <w:szCs w:val="26"/>
          <w:vertAlign w:val="subscript"/>
        </w:rPr>
        <w:t>2</w:t>
      </w:r>
      <w:r>
        <w:rPr>
          <w:rFonts w:ascii="Times New Roman" w:hAnsi="Times New Roman" w:cs="Times New Roman"/>
          <w:color w:val="000000" w:themeColor="text1"/>
          <w:sz w:val="24"/>
          <w:szCs w:val="26"/>
        </w:rPr>
        <w:t>&lt;90% или РaO</w:t>
      </w:r>
      <w:r>
        <w:rPr>
          <w:rFonts w:ascii="Times New Roman" w:hAnsi="Times New Roman" w:cs="Times New Roman"/>
          <w:color w:val="000000" w:themeColor="text1"/>
          <w:sz w:val="24"/>
          <w:szCs w:val="26"/>
          <w:vertAlign w:val="subscript"/>
        </w:rPr>
        <w:t>2</w:t>
      </w:r>
      <w:r>
        <w:rPr>
          <w:rFonts w:ascii="Times New Roman" w:hAnsi="Times New Roman" w:cs="Times New Roman"/>
          <w:color w:val="000000" w:themeColor="text1"/>
          <w:sz w:val="24"/>
          <w:szCs w:val="26"/>
        </w:rPr>
        <w:t>&lt;60 мм рт.ст. с целью коррекции гипоксемии </w:t>
      </w:r>
      <w:hyperlink r:id="rId204" w:history="1">
        <w:r>
          <w:rPr>
            <w:rStyle w:val="a6"/>
            <w:rFonts w:ascii="Times New Roman" w:hAnsi="Times New Roman" w:cs="Times New Roman"/>
            <w:color w:val="000000" w:themeColor="text1"/>
            <w:sz w:val="24"/>
            <w:szCs w:val="26"/>
          </w:rPr>
          <w:t>[9]</w:t>
        </w:r>
      </w:hyperlink>
      <w:hyperlink r:id="rId205" w:history="1">
        <w:r>
          <w:rPr>
            <w:rStyle w:val="a6"/>
            <w:rFonts w:ascii="Times New Roman" w:hAnsi="Times New Roman" w:cs="Times New Roman"/>
            <w:color w:val="000000" w:themeColor="text1"/>
            <w:sz w:val="24"/>
            <w:szCs w:val="26"/>
          </w:rPr>
          <w:t>[189]</w:t>
        </w:r>
      </w:hyperlink>
      <w:hyperlink r:id="rId206" w:history="1">
        <w:r>
          <w:rPr>
            <w:rStyle w:val="a6"/>
            <w:rFonts w:ascii="Times New Roman" w:hAnsi="Times New Roman" w:cs="Times New Roman"/>
            <w:color w:val="000000" w:themeColor="text1"/>
            <w:sz w:val="24"/>
            <w:szCs w:val="26"/>
          </w:rPr>
          <w:t>[190]</w:t>
        </w:r>
      </w:hyperlink>
      <w:r>
        <w:rPr>
          <w:rFonts w:ascii="Times New Roman" w:hAnsi="Times New Roman" w:cs="Times New Roman"/>
          <w:color w:val="000000" w:themeColor="text1"/>
          <w:sz w:val="24"/>
          <w:szCs w:val="26"/>
        </w:rPr>
        <w:t>.</w:t>
      </w:r>
    </w:p>
    <w:p w14:paraId="010613B2" w14:textId="7F88663C"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7"/>
          <w:rFonts w:eastAsiaTheme="majorEastAsia"/>
          <w:color w:val="000000" w:themeColor="text1"/>
          <w:szCs w:val="26"/>
        </w:rPr>
        <w:t>ЕОК IC (</w:t>
      </w:r>
      <w:r w:rsidR="00F52FCA">
        <w:rPr>
          <w:rStyle w:val="a7"/>
          <w:rFonts w:eastAsiaTheme="majorEastAsia"/>
          <w:color w:val="000000" w:themeColor="text1"/>
          <w:szCs w:val="26"/>
        </w:rPr>
        <w:t>Уровень убедительности рекомендаций</w:t>
      </w:r>
      <w:r>
        <w:rPr>
          <w:rStyle w:val="a7"/>
          <w:rFonts w:eastAsiaTheme="majorEastAsia"/>
          <w:color w:val="000000" w:themeColor="text1"/>
          <w:szCs w:val="26"/>
        </w:rPr>
        <w:t xml:space="preserve"> С, </w:t>
      </w:r>
      <w:r w:rsidR="00F52FCA">
        <w:rPr>
          <w:rStyle w:val="a7"/>
          <w:rFonts w:eastAsiaTheme="majorEastAsia"/>
          <w:color w:val="000000" w:themeColor="text1"/>
          <w:szCs w:val="26"/>
        </w:rPr>
        <w:t>Уровень достоверности докзательств</w:t>
      </w:r>
      <w:r>
        <w:rPr>
          <w:rStyle w:val="a7"/>
          <w:rFonts w:eastAsiaTheme="majorEastAsia"/>
          <w:color w:val="000000" w:themeColor="text1"/>
          <w:szCs w:val="26"/>
        </w:rPr>
        <w:t> 5)</w:t>
      </w:r>
      <w:r w:rsidR="00BD2F09">
        <w:rPr>
          <w:rStyle w:val="a7"/>
          <w:rFonts w:eastAsiaTheme="majorEastAsia"/>
          <w:color w:val="000000" w:themeColor="text1"/>
          <w:szCs w:val="26"/>
        </w:rPr>
        <w:t>.</w:t>
      </w:r>
    </w:p>
    <w:p w14:paraId="612E403F"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7"/>
          <w:rFonts w:eastAsiaTheme="majorEastAsia"/>
          <w:color w:val="000000" w:themeColor="text1"/>
          <w:szCs w:val="26"/>
        </w:rPr>
        <w:t>Комментарии.</w:t>
      </w:r>
      <w:r>
        <w:rPr>
          <w:color w:val="000000" w:themeColor="text1"/>
          <w:szCs w:val="26"/>
        </w:rPr>
        <w:t> </w:t>
      </w:r>
      <w:r>
        <w:rPr>
          <w:rStyle w:val="a5"/>
          <w:rFonts w:eastAsiaTheme="majorEastAsia"/>
          <w:color w:val="000000" w:themeColor="text1"/>
          <w:szCs w:val="26"/>
        </w:rPr>
        <w:t>При длительно проводимом ингаляторном введении кислорода (оксигенотерапии) рекомендуется периодическая оценка газового состава артериальной и венозной крови (исследование кислотно-основного состояния и газов крови).</w:t>
      </w:r>
    </w:p>
    <w:p w14:paraId="46638DA6"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5"/>
          <w:rFonts w:eastAsiaTheme="majorEastAsia"/>
          <w:color w:val="000000" w:themeColor="text1"/>
          <w:szCs w:val="26"/>
        </w:rPr>
        <w:t>Рутинное проведение оксигенотерапии пациентам без гипоксемии (SpO</w:t>
      </w:r>
      <w:r>
        <w:rPr>
          <w:rStyle w:val="a5"/>
          <w:rFonts w:eastAsiaTheme="majorEastAsia"/>
          <w:color w:val="000000" w:themeColor="text1"/>
          <w:szCs w:val="26"/>
          <w:vertAlign w:val="subscript"/>
        </w:rPr>
        <w:t>2</w:t>
      </w:r>
      <w:r>
        <w:rPr>
          <w:rStyle w:val="a5"/>
          <w:rFonts w:eastAsiaTheme="majorEastAsia"/>
          <w:color w:val="000000" w:themeColor="text1"/>
          <w:szCs w:val="26"/>
        </w:rPr>
        <w:t> ≥90%) не рекомендуется.</w:t>
      </w:r>
    </w:p>
    <w:p w14:paraId="743DF9A9" w14:textId="77777777" w:rsidR="004C062E" w:rsidRDefault="002C7340" w:rsidP="00A419DB">
      <w:pPr>
        <w:numPr>
          <w:ilvl w:val="0"/>
          <w:numId w:val="33"/>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6"/>
        </w:rPr>
      </w:pPr>
      <w:r>
        <w:rPr>
          <w:rFonts w:ascii="Times New Roman" w:hAnsi="Times New Roman" w:cs="Times New Roman"/>
          <w:color w:val="000000" w:themeColor="text1"/>
          <w:sz w:val="24"/>
          <w:szCs w:val="26"/>
        </w:rPr>
        <w:lastRenderedPageBreak/>
        <w:t>Для улучшения эффективности лечения СН у пациентов с ИМпST при тяжелой дыхательной недостаточности (SpO</w:t>
      </w:r>
      <w:r>
        <w:rPr>
          <w:rFonts w:ascii="Times New Roman" w:hAnsi="Times New Roman" w:cs="Times New Roman"/>
          <w:color w:val="000000" w:themeColor="text1"/>
          <w:sz w:val="24"/>
          <w:szCs w:val="26"/>
          <w:vertAlign w:val="subscript"/>
        </w:rPr>
        <w:t>2</w:t>
      </w:r>
      <w:r>
        <w:rPr>
          <w:rFonts w:ascii="Times New Roman" w:hAnsi="Times New Roman" w:cs="Times New Roman"/>
          <w:color w:val="000000" w:themeColor="text1"/>
          <w:sz w:val="24"/>
          <w:szCs w:val="26"/>
        </w:rPr>
        <w:t>&lt;90% и тахипноэ &gt;25 в мин) рекомендуется рассмотреть возможность проведения неинвазивной масочной искусственной вентиляции легких (ИВЛ) с постоянным положительным давлением в конце выдоха (постоянная или бифазная вентиляция) </w:t>
      </w:r>
      <w:hyperlink r:id="rId207" w:history="1">
        <w:r>
          <w:rPr>
            <w:rStyle w:val="a6"/>
            <w:rFonts w:ascii="Times New Roman" w:hAnsi="Times New Roman" w:cs="Times New Roman"/>
            <w:color w:val="000000" w:themeColor="text1"/>
            <w:sz w:val="24"/>
            <w:szCs w:val="26"/>
          </w:rPr>
          <w:t>[385-387]</w:t>
        </w:r>
      </w:hyperlink>
      <w:r>
        <w:rPr>
          <w:rFonts w:ascii="Times New Roman" w:hAnsi="Times New Roman" w:cs="Times New Roman"/>
          <w:color w:val="000000" w:themeColor="text1"/>
          <w:sz w:val="24"/>
          <w:szCs w:val="26"/>
        </w:rPr>
        <w:t>.</w:t>
      </w:r>
    </w:p>
    <w:p w14:paraId="089FB8DE" w14:textId="2EC703C2"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7"/>
          <w:rFonts w:eastAsiaTheme="majorEastAsia"/>
          <w:color w:val="000000" w:themeColor="text1"/>
          <w:szCs w:val="26"/>
        </w:rPr>
        <w:t>ЕОК IIaB (</w:t>
      </w:r>
      <w:r w:rsidR="00F52FCA">
        <w:rPr>
          <w:rStyle w:val="a7"/>
          <w:rFonts w:eastAsiaTheme="majorEastAsia"/>
          <w:color w:val="000000" w:themeColor="text1"/>
          <w:szCs w:val="26"/>
        </w:rPr>
        <w:t>Уровень убедительности рекомендаций</w:t>
      </w:r>
      <w:r>
        <w:rPr>
          <w:rStyle w:val="a7"/>
          <w:rFonts w:eastAsiaTheme="majorEastAsia"/>
          <w:color w:val="000000" w:themeColor="text1"/>
          <w:szCs w:val="26"/>
        </w:rPr>
        <w:t xml:space="preserve"> А, </w:t>
      </w:r>
      <w:r w:rsidR="00F52FCA">
        <w:rPr>
          <w:rStyle w:val="a7"/>
          <w:rFonts w:eastAsiaTheme="majorEastAsia"/>
          <w:color w:val="000000" w:themeColor="text1"/>
          <w:szCs w:val="26"/>
        </w:rPr>
        <w:t>Уровень достоверности докзательств</w:t>
      </w:r>
      <w:r>
        <w:rPr>
          <w:rStyle w:val="a7"/>
          <w:rFonts w:eastAsiaTheme="majorEastAsia"/>
          <w:color w:val="000000" w:themeColor="text1"/>
          <w:szCs w:val="26"/>
        </w:rPr>
        <w:t> 1)</w:t>
      </w:r>
      <w:r w:rsidR="00BD2F09">
        <w:rPr>
          <w:rStyle w:val="a7"/>
          <w:rFonts w:eastAsiaTheme="majorEastAsia"/>
          <w:color w:val="000000" w:themeColor="text1"/>
          <w:szCs w:val="26"/>
        </w:rPr>
        <w:t>.</w:t>
      </w:r>
    </w:p>
    <w:p w14:paraId="7283C27C" w14:textId="77777777" w:rsidR="004C062E" w:rsidRDefault="002C7340" w:rsidP="00A419DB">
      <w:pPr>
        <w:numPr>
          <w:ilvl w:val="0"/>
          <w:numId w:val="34"/>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6"/>
        </w:rPr>
      </w:pPr>
      <w:r>
        <w:rPr>
          <w:rFonts w:ascii="Times New Roman" w:hAnsi="Times New Roman" w:cs="Times New Roman"/>
          <w:color w:val="000000" w:themeColor="text1"/>
          <w:sz w:val="24"/>
          <w:szCs w:val="26"/>
        </w:rPr>
        <w:t>При наличии у пациента с ИМпST дыхательной недостаточности, сопровождающейся выраженной гипоксемией, гиперкапнией и ацидозом, при неэффективности оксигенотерапии и неинвазивной ИВЛ рекомендуется интубация трахеи и проведение инвазивной ИВЛ </w:t>
      </w:r>
      <w:hyperlink r:id="rId208" w:history="1">
        <w:r>
          <w:rPr>
            <w:rStyle w:val="a6"/>
            <w:rFonts w:ascii="Times New Roman" w:hAnsi="Times New Roman" w:cs="Times New Roman"/>
            <w:color w:val="000000" w:themeColor="text1"/>
            <w:sz w:val="24"/>
            <w:szCs w:val="26"/>
          </w:rPr>
          <w:t>[385]</w:t>
        </w:r>
      </w:hyperlink>
      <w:r>
        <w:rPr>
          <w:rFonts w:ascii="Times New Roman" w:hAnsi="Times New Roman" w:cs="Times New Roman"/>
          <w:color w:val="000000" w:themeColor="text1"/>
          <w:sz w:val="24"/>
          <w:szCs w:val="26"/>
        </w:rPr>
        <w:t>.</w:t>
      </w:r>
    </w:p>
    <w:p w14:paraId="43C904D6" w14:textId="23E7FBFA"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7"/>
          <w:rFonts w:eastAsiaTheme="majorEastAsia"/>
          <w:color w:val="000000" w:themeColor="text1"/>
          <w:szCs w:val="26"/>
        </w:rPr>
        <w:t>ЕОК IC (</w:t>
      </w:r>
      <w:r w:rsidR="00F52FCA">
        <w:rPr>
          <w:rStyle w:val="a7"/>
          <w:rFonts w:eastAsiaTheme="majorEastAsia"/>
          <w:color w:val="000000" w:themeColor="text1"/>
          <w:szCs w:val="26"/>
        </w:rPr>
        <w:t>Уровень убедительности рекомендаций</w:t>
      </w:r>
      <w:r>
        <w:rPr>
          <w:rStyle w:val="a7"/>
          <w:rFonts w:eastAsiaTheme="majorEastAsia"/>
          <w:color w:val="000000" w:themeColor="text1"/>
          <w:szCs w:val="26"/>
        </w:rPr>
        <w:t xml:space="preserve"> С, </w:t>
      </w:r>
      <w:r w:rsidR="00F52FCA">
        <w:rPr>
          <w:rStyle w:val="a7"/>
          <w:rFonts w:eastAsiaTheme="majorEastAsia"/>
          <w:color w:val="000000" w:themeColor="text1"/>
          <w:szCs w:val="26"/>
        </w:rPr>
        <w:t>Уровень достоверности докзательств</w:t>
      </w:r>
      <w:r>
        <w:rPr>
          <w:rStyle w:val="a7"/>
          <w:rFonts w:eastAsiaTheme="majorEastAsia"/>
          <w:color w:val="000000" w:themeColor="text1"/>
          <w:szCs w:val="26"/>
        </w:rPr>
        <w:t> 5)</w:t>
      </w:r>
      <w:r w:rsidR="00BD2F09">
        <w:rPr>
          <w:rStyle w:val="a7"/>
          <w:rFonts w:eastAsiaTheme="majorEastAsia"/>
          <w:color w:val="000000" w:themeColor="text1"/>
          <w:szCs w:val="26"/>
        </w:rPr>
        <w:t>.</w:t>
      </w:r>
    </w:p>
    <w:p w14:paraId="11CB4DE7" w14:textId="77777777" w:rsidR="004C062E" w:rsidRDefault="002C7340" w:rsidP="00A419DB">
      <w:pPr>
        <w:numPr>
          <w:ilvl w:val="0"/>
          <w:numId w:val="35"/>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6"/>
        </w:rPr>
      </w:pPr>
      <w:r>
        <w:rPr>
          <w:rFonts w:ascii="Times New Roman" w:hAnsi="Times New Roman" w:cs="Times New Roman"/>
          <w:color w:val="000000" w:themeColor="text1"/>
          <w:sz w:val="24"/>
          <w:szCs w:val="26"/>
        </w:rPr>
        <w:t>У пациентов с ИМпST и ОСН с признаками задержки жидкости рекомендуется в/в введение "петлевых" диуретиков </w:t>
      </w:r>
      <w:hyperlink r:id="rId209" w:history="1">
        <w:r>
          <w:rPr>
            <w:rStyle w:val="a6"/>
            <w:rFonts w:ascii="Times New Roman" w:hAnsi="Times New Roman" w:cs="Times New Roman"/>
            <w:color w:val="000000" w:themeColor="text1"/>
            <w:sz w:val="24"/>
            <w:szCs w:val="26"/>
          </w:rPr>
          <w:t>[388]</w:t>
        </w:r>
      </w:hyperlink>
      <w:hyperlink r:id="rId210" w:history="1">
        <w:r>
          <w:rPr>
            <w:rStyle w:val="a6"/>
            <w:rFonts w:ascii="Times New Roman" w:hAnsi="Times New Roman" w:cs="Times New Roman"/>
            <w:color w:val="000000" w:themeColor="text1"/>
            <w:sz w:val="24"/>
            <w:szCs w:val="26"/>
          </w:rPr>
          <w:t>[389]</w:t>
        </w:r>
      </w:hyperlink>
      <w:r>
        <w:rPr>
          <w:rFonts w:ascii="Times New Roman" w:hAnsi="Times New Roman" w:cs="Times New Roman"/>
          <w:color w:val="000000" w:themeColor="text1"/>
          <w:sz w:val="24"/>
          <w:szCs w:val="26"/>
        </w:rPr>
        <w:t>.</w:t>
      </w:r>
    </w:p>
    <w:p w14:paraId="3F784752" w14:textId="15BA58C6"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color w:val="000000" w:themeColor="text1"/>
          <w:szCs w:val="26"/>
        </w:rPr>
        <w:t>Е</w:t>
      </w:r>
      <w:r>
        <w:rPr>
          <w:rStyle w:val="a7"/>
          <w:rFonts w:eastAsiaTheme="majorEastAsia"/>
          <w:color w:val="000000" w:themeColor="text1"/>
          <w:szCs w:val="26"/>
        </w:rPr>
        <w:t>ОК IC (</w:t>
      </w:r>
      <w:r w:rsidR="00F52FCA">
        <w:rPr>
          <w:rStyle w:val="a7"/>
          <w:rFonts w:eastAsiaTheme="majorEastAsia"/>
          <w:color w:val="000000" w:themeColor="text1"/>
          <w:szCs w:val="26"/>
        </w:rPr>
        <w:t>Уровень убедительности рекомендаций</w:t>
      </w:r>
      <w:r>
        <w:rPr>
          <w:rStyle w:val="a7"/>
          <w:rFonts w:eastAsiaTheme="majorEastAsia"/>
          <w:color w:val="000000" w:themeColor="text1"/>
          <w:szCs w:val="26"/>
        </w:rPr>
        <w:t xml:space="preserve"> С, </w:t>
      </w:r>
      <w:r w:rsidR="00F52FCA">
        <w:rPr>
          <w:rStyle w:val="a7"/>
          <w:rFonts w:eastAsiaTheme="majorEastAsia"/>
          <w:color w:val="000000" w:themeColor="text1"/>
          <w:szCs w:val="26"/>
        </w:rPr>
        <w:t>Уровень достоверности докзательств</w:t>
      </w:r>
      <w:r>
        <w:rPr>
          <w:rStyle w:val="a7"/>
          <w:rFonts w:eastAsiaTheme="majorEastAsia"/>
          <w:color w:val="000000" w:themeColor="text1"/>
          <w:szCs w:val="26"/>
        </w:rPr>
        <w:t> 5)</w:t>
      </w:r>
      <w:r w:rsidR="00BD2F09">
        <w:rPr>
          <w:rStyle w:val="a7"/>
          <w:rFonts w:eastAsiaTheme="majorEastAsia"/>
          <w:color w:val="000000" w:themeColor="text1"/>
          <w:szCs w:val="26"/>
        </w:rPr>
        <w:t>.</w:t>
      </w:r>
    </w:p>
    <w:p w14:paraId="0454FBAB"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7"/>
          <w:rFonts w:eastAsiaTheme="majorEastAsia"/>
          <w:color w:val="000000" w:themeColor="text1"/>
          <w:szCs w:val="26"/>
        </w:rPr>
        <w:t>Комментарии.</w:t>
      </w:r>
      <w:r>
        <w:rPr>
          <w:color w:val="000000" w:themeColor="text1"/>
          <w:szCs w:val="26"/>
        </w:rPr>
        <w:t> </w:t>
      </w:r>
      <w:r>
        <w:rPr>
          <w:rStyle w:val="a5"/>
          <w:rFonts w:eastAsiaTheme="majorEastAsia"/>
          <w:color w:val="000000" w:themeColor="text1"/>
          <w:szCs w:val="26"/>
        </w:rPr>
        <w:t>Используют в/в болюсное введение фуросемида.  Рекомендуемая первоначальная доза — 40 мг. При развернутой картине альвеолярного отека легких, признаках задержки жидкости в организме, тяжелом нарушении фильтрационной функции почек начальная доза фуросемида может быть увеличена до 60-80 мг. При недостаточной эффективности начальной дозы при повторном введении фуросемида доза может быть увеличена в 2 раза и более.</w:t>
      </w:r>
    </w:p>
    <w:p w14:paraId="4B4791A8" w14:textId="77777777" w:rsidR="004C062E" w:rsidRDefault="002C7340" w:rsidP="00A419DB">
      <w:pPr>
        <w:numPr>
          <w:ilvl w:val="0"/>
          <w:numId w:val="36"/>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6"/>
        </w:rPr>
      </w:pPr>
      <w:r>
        <w:rPr>
          <w:rFonts w:ascii="Times New Roman" w:hAnsi="Times New Roman" w:cs="Times New Roman"/>
          <w:color w:val="000000" w:themeColor="text1"/>
          <w:sz w:val="24"/>
          <w:szCs w:val="26"/>
        </w:rPr>
        <w:t>У пациента с ИМпST и ОСН с признаками задержки/застоя жидкости при отсутствии адекватного ответа на петлевые диуретики в нарастающих дозах с целью стабилизации состояния рекомендуется рассмотреть целесообразность назначения комбинации "петлевых" диуретиков с тиазидными диуретиками (тиазидами) </w:t>
      </w:r>
      <w:hyperlink r:id="rId211" w:history="1">
        <w:r>
          <w:rPr>
            <w:rStyle w:val="a6"/>
            <w:rFonts w:ascii="Times New Roman" w:hAnsi="Times New Roman" w:cs="Times New Roman"/>
            <w:color w:val="000000" w:themeColor="text1"/>
            <w:sz w:val="24"/>
            <w:szCs w:val="26"/>
          </w:rPr>
          <w:t>[389]</w:t>
        </w:r>
      </w:hyperlink>
      <w:r>
        <w:rPr>
          <w:rFonts w:ascii="Times New Roman" w:hAnsi="Times New Roman" w:cs="Times New Roman"/>
          <w:color w:val="000000" w:themeColor="text1"/>
          <w:sz w:val="24"/>
          <w:szCs w:val="26"/>
        </w:rPr>
        <w:t>.</w:t>
      </w:r>
    </w:p>
    <w:p w14:paraId="13ABBF43" w14:textId="28EC6B30"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7"/>
          <w:rFonts w:eastAsiaTheme="majorEastAsia"/>
          <w:color w:val="000000" w:themeColor="text1"/>
          <w:szCs w:val="26"/>
        </w:rPr>
        <w:t>ЕОК IIaB (</w:t>
      </w:r>
      <w:r w:rsidR="00F52FCA">
        <w:rPr>
          <w:rStyle w:val="a7"/>
          <w:rFonts w:eastAsiaTheme="majorEastAsia"/>
          <w:color w:val="000000" w:themeColor="text1"/>
          <w:szCs w:val="26"/>
        </w:rPr>
        <w:t>Уровень убедительности рекомендаций</w:t>
      </w:r>
      <w:r>
        <w:rPr>
          <w:rStyle w:val="a7"/>
          <w:rFonts w:eastAsiaTheme="majorEastAsia"/>
          <w:color w:val="000000" w:themeColor="text1"/>
          <w:szCs w:val="26"/>
        </w:rPr>
        <w:t xml:space="preserve"> С, </w:t>
      </w:r>
      <w:r w:rsidR="00F52FCA">
        <w:rPr>
          <w:rStyle w:val="a7"/>
          <w:rFonts w:eastAsiaTheme="majorEastAsia"/>
          <w:color w:val="000000" w:themeColor="text1"/>
          <w:szCs w:val="26"/>
        </w:rPr>
        <w:t>Уровень достоверности докзательств</w:t>
      </w:r>
      <w:r>
        <w:rPr>
          <w:rStyle w:val="a7"/>
          <w:rFonts w:eastAsiaTheme="majorEastAsia"/>
          <w:color w:val="000000" w:themeColor="text1"/>
          <w:szCs w:val="26"/>
        </w:rPr>
        <w:t> 5)</w:t>
      </w:r>
      <w:r w:rsidR="00BD2F09">
        <w:rPr>
          <w:rStyle w:val="a7"/>
          <w:rFonts w:eastAsiaTheme="majorEastAsia"/>
          <w:color w:val="000000" w:themeColor="text1"/>
          <w:szCs w:val="26"/>
        </w:rPr>
        <w:t>.</w:t>
      </w:r>
    </w:p>
    <w:p w14:paraId="3ED53007" w14:textId="77777777" w:rsidR="004C062E" w:rsidRDefault="002C7340" w:rsidP="00A419DB">
      <w:pPr>
        <w:numPr>
          <w:ilvl w:val="0"/>
          <w:numId w:val="37"/>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6"/>
        </w:rPr>
      </w:pPr>
      <w:r>
        <w:rPr>
          <w:rFonts w:ascii="Times New Roman" w:hAnsi="Times New Roman" w:cs="Times New Roman"/>
          <w:color w:val="000000" w:themeColor="text1"/>
          <w:sz w:val="24"/>
          <w:szCs w:val="26"/>
        </w:rPr>
        <w:lastRenderedPageBreak/>
        <w:t>У пациентов с ИМпST и ОСН с признаками застоя жидкости в малом круге кровообращения и систолическим АД ≥110 мм рт.ст., и, особенно, при высоких цифрах АД, для уменьшения выраженности симптомов ОСН рекомендуется рассмотреть возможнос</w:t>
      </w:r>
      <w:r w:rsidR="00524A54">
        <w:rPr>
          <w:rFonts w:ascii="Times New Roman" w:hAnsi="Times New Roman" w:cs="Times New Roman"/>
          <w:color w:val="000000" w:themeColor="text1"/>
          <w:sz w:val="24"/>
          <w:szCs w:val="26"/>
        </w:rPr>
        <w:t xml:space="preserve">ть в/в инфузии вазодилататоров </w:t>
      </w:r>
      <w:hyperlink r:id="rId212" w:history="1">
        <w:r>
          <w:rPr>
            <w:rStyle w:val="a6"/>
            <w:rFonts w:ascii="Times New Roman" w:hAnsi="Times New Roman" w:cs="Times New Roman"/>
            <w:color w:val="000000" w:themeColor="text1"/>
            <w:sz w:val="24"/>
            <w:szCs w:val="26"/>
          </w:rPr>
          <w:t>[390-394]</w:t>
        </w:r>
      </w:hyperlink>
      <w:r>
        <w:rPr>
          <w:rFonts w:ascii="Times New Roman" w:hAnsi="Times New Roman" w:cs="Times New Roman"/>
          <w:color w:val="000000" w:themeColor="text1"/>
          <w:sz w:val="24"/>
          <w:szCs w:val="26"/>
        </w:rPr>
        <w:t>.</w:t>
      </w:r>
    </w:p>
    <w:p w14:paraId="13A04959" w14:textId="10D8E050"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7"/>
          <w:rFonts w:eastAsiaTheme="majorEastAsia"/>
          <w:color w:val="000000" w:themeColor="text1"/>
          <w:szCs w:val="26"/>
        </w:rPr>
        <w:t>ЕОК IIbB (</w:t>
      </w:r>
      <w:r w:rsidR="00F52FCA">
        <w:rPr>
          <w:rStyle w:val="a7"/>
          <w:rFonts w:eastAsiaTheme="majorEastAsia"/>
          <w:color w:val="000000" w:themeColor="text1"/>
          <w:szCs w:val="26"/>
        </w:rPr>
        <w:t>Уровень убедительности рекомендаций</w:t>
      </w:r>
      <w:r>
        <w:rPr>
          <w:rStyle w:val="a7"/>
          <w:rFonts w:eastAsiaTheme="majorEastAsia"/>
          <w:color w:val="000000" w:themeColor="text1"/>
          <w:szCs w:val="26"/>
        </w:rPr>
        <w:t xml:space="preserve"> С, </w:t>
      </w:r>
      <w:r w:rsidR="00F52FCA">
        <w:rPr>
          <w:rStyle w:val="a7"/>
          <w:rFonts w:eastAsiaTheme="majorEastAsia"/>
          <w:color w:val="000000" w:themeColor="text1"/>
          <w:szCs w:val="26"/>
        </w:rPr>
        <w:t>Уровень достоверности докзательств</w:t>
      </w:r>
      <w:r>
        <w:rPr>
          <w:rStyle w:val="a7"/>
          <w:rFonts w:eastAsiaTheme="majorEastAsia"/>
          <w:color w:val="000000" w:themeColor="text1"/>
          <w:szCs w:val="26"/>
        </w:rPr>
        <w:t> 5)</w:t>
      </w:r>
      <w:r w:rsidR="00BD2F09">
        <w:rPr>
          <w:rStyle w:val="a7"/>
          <w:rFonts w:eastAsiaTheme="majorEastAsia"/>
          <w:color w:val="000000" w:themeColor="text1"/>
          <w:szCs w:val="26"/>
        </w:rPr>
        <w:t>.</w:t>
      </w:r>
    </w:p>
    <w:p w14:paraId="072A95C8"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7"/>
          <w:rFonts w:eastAsiaTheme="majorEastAsia"/>
          <w:color w:val="000000" w:themeColor="text1"/>
          <w:szCs w:val="26"/>
        </w:rPr>
        <w:t>Комментарии. </w:t>
      </w:r>
      <w:r>
        <w:rPr>
          <w:rStyle w:val="a5"/>
          <w:rFonts w:eastAsiaTheme="majorEastAsia"/>
          <w:color w:val="000000" w:themeColor="text1"/>
          <w:szCs w:val="26"/>
        </w:rPr>
        <w:t>У пациентов с отеком легких при повышенном АД нитроглицерин является препаратом первого ряда. При исходных значениях систолического АД &lt;90 мм рт.ст. или признаках гипоперфузии, а также поражении ПЖ, введение нитроглицерина противопоказано.</w:t>
      </w:r>
    </w:p>
    <w:p w14:paraId="07C0C0D9" w14:textId="77777777" w:rsidR="004C062E" w:rsidRDefault="002C7340" w:rsidP="00A419DB">
      <w:pPr>
        <w:numPr>
          <w:ilvl w:val="0"/>
          <w:numId w:val="38"/>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6"/>
        </w:rPr>
      </w:pPr>
      <w:r>
        <w:rPr>
          <w:rFonts w:ascii="Times New Roman" w:hAnsi="Times New Roman" w:cs="Times New Roman"/>
          <w:color w:val="000000" w:themeColor="text1"/>
          <w:sz w:val="24"/>
          <w:szCs w:val="26"/>
        </w:rPr>
        <w:t>Рутинное назначение опиоидных препаратов при развитии ОСН у пациента с ИМпST не рекомендуется за исключением пациентов с тяжелым болевым синдромом или возбуждением </w:t>
      </w:r>
      <w:hyperlink r:id="rId213" w:history="1">
        <w:r>
          <w:rPr>
            <w:rStyle w:val="a6"/>
            <w:rFonts w:ascii="Times New Roman" w:hAnsi="Times New Roman" w:cs="Times New Roman"/>
            <w:color w:val="000000" w:themeColor="text1"/>
            <w:sz w:val="24"/>
            <w:szCs w:val="26"/>
          </w:rPr>
          <w:t>[395-398]</w:t>
        </w:r>
      </w:hyperlink>
      <w:r>
        <w:rPr>
          <w:rFonts w:ascii="Times New Roman" w:hAnsi="Times New Roman" w:cs="Times New Roman"/>
          <w:color w:val="000000" w:themeColor="text1"/>
          <w:sz w:val="24"/>
          <w:szCs w:val="26"/>
        </w:rPr>
        <w:t>.</w:t>
      </w:r>
    </w:p>
    <w:p w14:paraId="08B2F83D" w14:textId="6B2228AA"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7"/>
          <w:rFonts w:eastAsiaTheme="majorEastAsia"/>
          <w:color w:val="000000" w:themeColor="text1"/>
          <w:szCs w:val="26"/>
        </w:rPr>
        <w:t>ЕОК IIIC (</w:t>
      </w:r>
      <w:r w:rsidR="00F52FCA">
        <w:rPr>
          <w:rStyle w:val="a7"/>
          <w:rFonts w:eastAsiaTheme="majorEastAsia"/>
          <w:color w:val="000000" w:themeColor="text1"/>
          <w:szCs w:val="26"/>
        </w:rPr>
        <w:t>Уровень убедительности рекомендаций</w:t>
      </w:r>
      <w:r>
        <w:rPr>
          <w:rStyle w:val="a7"/>
          <w:rFonts w:eastAsiaTheme="majorEastAsia"/>
          <w:color w:val="000000" w:themeColor="text1"/>
          <w:szCs w:val="26"/>
        </w:rPr>
        <w:t xml:space="preserve"> С, </w:t>
      </w:r>
      <w:r w:rsidR="00F52FCA">
        <w:rPr>
          <w:rStyle w:val="a7"/>
          <w:rFonts w:eastAsiaTheme="majorEastAsia"/>
          <w:color w:val="000000" w:themeColor="text1"/>
          <w:szCs w:val="26"/>
        </w:rPr>
        <w:t>Уровень достоверности докзательств</w:t>
      </w:r>
      <w:r>
        <w:rPr>
          <w:rStyle w:val="a7"/>
          <w:rFonts w:eastAsiaTheme="majorEastAsia"/>
          <w:color w:val="000000" w:themeColor="text1"/>
          <w:szCs w:val="26"/>
        </w:rPr>
        <w:t> 4)</w:t>
      </w:r>
      <w:r w:rsidR="00BD2F09">
        <w:rPr>
          <w:rStyle w:val="a7"/>
          <w:rFonts w:eastAsiaTheme="majorEastAsia"/>
          <w:color w:val="000000" w:themeColor="text1"/>
          <w:szCs w:val="26"/>
        </w:rPr>
        <w:t>.</w:t>
      </w:r>
    </w:p>
    <w:p w14:paraId="54E9E080" w14:textId="7DBED50C" w:rsidR="004C062E" w:rsidRDefault="002C7340" w:rsidP="00A419DB">
      <w:pPr>
        <w:pStyle w:val="20"/>
        <w:suppressAutoHyphens/>
        <w:spacing w:line="360" w:lineRule="auto"/>
        <w:jc w:val="both"/>
        <w:rPr>
          <w:rFonts w:ascii="Times New Roman" w:eastAsia="Calibri" w:hAnsi="Times New Roman" w:cs="Times New Roman"/>
          <w:bCs w:val="0"/>
          <w:iCs/>
          <w:color w:val="000000" w:themeColor="text1"/>
          <w:sz w:val="24"/>
          <w:szCs w:val="24"/>
        </w:rPr>
      </w:pPr>
      <w:bookmarkStart w:id="40" w:name="_Toc236138948"/>
      <w:r>
        <w:rPr>
          <w:rFonts w:ascii="Times New Roman" w:eastAsia="Calibri" w:hAnsi="Times New Roman" w:cs="Times New Roman"/>
          <w:bCs w:val="0"/>
          <w:iCs/>
          <w:color w:val="000000" w:themeColor="text1"/>
          <w:sz w:val="24"/>
          <w:szCs w:val="24"/>
        </w:rPr>
        <w:t>Кардиогенный шок.</w:t>
      </w:r>
      <w:bookmarkEnd w:id="40"/>
    </w:p>
    <w:p w14:paraId="2B566C03"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color w:val="000000" w:themeColor="text1"/>
        </w:rPr>
        <w:t>Кардиогенный шок — самая тяжелая форма ОСН у пациентов с ИМпST. Кардиогенный шок является жизнеугрожающим состоянием, вызванным резким снижением сердечного выброса и проявляющимся признаками выраженной гипоперфузии органов и тканей и тканевой гипоксией, что проявляется клинически: снижением температуры кожных покровов и их мраморностью, снижением темпа диуреза (</w:t>
      </w:r>
      <w:r>
        <w:rPr>
          <w:rStyle w:val="a5"/>
          <w:rFonts w:eastAsiaTheme="majorEastAsia"/>
          <w:color w:val="000000" w:themeColor="text1"/>
        </w:rPr>
        <w:t>&lt;</w:t>
      </w:r>
      <w:r>
        <w:rPr>
          <w:color w:val="000000" w:themeColor="text1"/>
        </w:rPr>
        <w:t>40 мл/ч), изменениями психического статуса и сознания.</w:t>
      </w:r>
    </w:p>
    <w:p w14:paraId="2D7A7CF1"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color w:val="000000" w:themeColor="text1"/>
        </w:rPr>
        <w:t xml:space="preserve"> Основным клиническим признаком кардиогенного шока является стойкая гипотензия (систолическое АД ≤90 мм рт.ст.), рефрактерная к инфузионной терапии и сопровождающаяся признаками острой полиорганной недостаточности в результате гипоперфузии. </w:t>
      </w:r>
    </w:p>
    <w:p w14:paraId="4F17F8D3"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color w:val="000000" w:themeColor="text1"/>
        </w:rPr>
        <w:t>Гемодинамические критерии истинного шока:</w:t>
      </w:r>
    </w:p>
    <w:p w14:paraId="65B1973C" w14:textId="77777777" w:rsidR="004C062E" w:rsidRDefault="002C7340" w:rsidP="00A419DB">
      <w:pPr>
        <w:pStyle w:val="af5"/>
        <w:shd w:val="clear" w:color="auto" w:fill="FFFFFF"/>
        <w:suppressAutoHyphens/>
        <w:spacing w:before="75" w:beforeAutospacing="0" w:after="225" w:afterAutospacing="0" w:line="360" w:lineRule="auto"/>
        <w:jc w:val="both"/>
        <w:rPr>
          <w:color w:val="FF0000"/>
        </w:rPr>
      </w:pPr>
      <w:r>
        <w:rPr>
          <w:color w:val="000000" w:themeColor="text1"/>
        </w:rPr>
        <w:t>Гипотензия — систолическое АД &lt;80-90 мм рт.ст. при среднем АД </w:t>
      </w:r>
      <w:r>
        <w:rPr>
          <w:rStyle w:val="a5"/>
          <w:color w:val="000000" w:themeColor="text1"/>
        </w:rPr>
        <w:t>&lt;</w:t>
      </w:r>
      <w:r>
        <w:rPr>
          <w:color w:val="000000" w:themeColor="text1"/>
        </w:rPr>
        <w:t xml:space="preserve">70 мм рт.ст. </w:t>
      </w:r>
    </w:p>
    <w:p w14:paraId="6903B7CE" w14:textId="77777777" w:rsidR="004C062E" w:rsidRDefault="002C7340" w:rsidP="00A419DB">
      <w:pPr>
        <w:numPr>
          <w:ilvl w:val="0"/>
          <w:numId w:val="39"/>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Пациентам с ИМпST и кардиогенным шоком показана установка центрального венозного катетера (катетеризация подключичной и других центральных вен) с целью введения лекарственных препаратов, прежде всего, вазоактивных препаратов, измерения смешанной венозной сатурации и ЦВД (Приложение А3. Параметры для мониторирования у пациента с кардиогенным шоком) </w:t>
      </w:r>
      <w:hyperlink r:id="rId214" w:history="1">
        <w:r>
          <w:rPr>
            <w:rStyle w:val="a6"/>
            <w:rFonts w:ascii="Times New Roman" w:hAnsi="Times New Roman" w:cs="Times New Roman"/>
            <w:color w:val="000000" w:themeColor="text1"/>
            <w:sz w:val="24"/>
            <w:szCs w:val="24"/>
          </w:rPr>
          <w:t>[9]</w:t>
        </w:r>
      </w:hyperlink>
      <w:hyperlink r:id="rId215" w:history="1">
        <w:r>
          <w:rPr>
            <w:rStyle w:val="a6"/>
            <w:rFonts w:ascii="Times New Roman" w:hAnsi="Times New Roman" w:cs="Times New Roman"/>
            <w:color w:val="000000" w:themeColor="text1"/>
            <w:sz w:val="24"/>
            <w:szCs w:val="24"/>
          </w:rPr>
          <w:t>[399-401]</w:t>
        </w:r>
      </w:hyperlink>
      <w:r>
        <w:rPr>
          <w:rFonts w:ascii="Times New Roman" w:hAnsi="Times New Roman" w:cs="Times New Roman"/>
          <w:color w:val="000000" w:themeColor="text1"/>
          <w:sz w:val="24"/>
          <w:szCs w:val="24"/>
        </w:rPr>
        <w:t>.</w:t>
      </w:r>
    </w:p>
    <w:p w14:paraId="4EAF3FF6" w14:textId="187EE62A"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РКО IIaC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С,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5)</w:t>
      </w:r>
      <w:r w:rsidR="00BD2F09">
        <w:rPr>
          <w:rStyle w:val="a7"/>
          <w:rFonts w:eastAsiaTheme="majorEastAsia"/>
          <w:color w:val="000000" w:themeColor="text1"/>
        </w:rPr>
        <w:t>.</w:t>
      </w:r>
    </w:p>
    <w:p w14:paraId="3435B050" w14:textId="77777777" w:rsidR="004C062E" w:rsidRDefault="002C7340" w:rsidP="00A419DB">
      <w:pPr>
        <w:numPr>
          <w:ilvl w:val="0"/>
          <w:numId w:val="40"/>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Пациентам с ИМпST и кардиогенным шоком рекомендуется клинический осмотр не реже 1 раза в час и мониторирование жизненно важных функций с целью определения клинической тяжести и реакции на лечение, с кратностью, рекомендованной в Приложении А3. Параметры для мониторирования у пациента с кардиогенным шоком </w:t>
      </w:r>
      <w:hyperlink r:id="rId216" w:history="1">
        <w:r>
          <w:rPr>
            <w:rStyle w:val="a6"/>
            <w:rFonts w:ascii="Times New Roman" w:hAnsi="Times New Roman" w:cs="Times New Roman"/>
            <w:color w:val="000000" w:themeColor="text1"/>
            <w:sz w:val="24"/>
            <w:szCs w:val="24"/>
          </w:rPr>
          <w:t>[9]</w:t>
        </w:r>
      </w:hyperlink>
      <w:hyperlink r:id="rId217" w:history="1">
        <w:r>
          <w:rPr>
            <w:rStyle w:val="a6"/>
            <w:rFonts w:ascii="Times New Roman" w:hAnsi="Times New Roman" w:cs="Times New Roman"/>
            <w:color w:val="000000" w:themeColor="text1"/>
            <w:sz w:val="24"/>
            <w:szCs w:val="24"/>
          </w:rPr>
          <w:t>[399-401]</w:t>
        </w:r>
      </w:hyperlink>
      <w:r>
        <w:rPr>
          <w:rFonts w:ascii="Times New Roman" w:hAnsi="Times New Roman" w:cs="Times New Roman"/>
          <w:color w:val="000000" w:themeColor="text1"/>
          <w:sz w:val="24"/>
          <w:szCs w:val="24"/>
        </w:rPr>
        <w:t>.</w:t>
      </w:r>
    </w:p>
    <w:p w14:paraId="0AB9AEC7"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Лечение истинного кардиогенного шока</w:t>
      </w:r>
    </w:p>
    <w:p w14:paraId="1072C73C" w14:textId="77777777" w:rsidR="004C062E" w:rsidRDefault="002C7340" w:rsidP="00A419DB">
      <w:pPr>
        <w:numPr>
          <w:ilvl w:val="0"/>
          <w:numId w:val="41"/>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 появлении признаков наличия острой левожелудочковой недостаточности/кардиогенного шока у пациентов с ИМпST рекомендуется срочная реваскуляризация миокарда, если она ранее не проводилась или была неполной </w:t>
      </w:r>
      <w:hyperlink r:id="rId218" w:history="1">
        <w:r>
          <w:rPr>
            <w:rStyle w:val="a6"/>
            <w:rFonts w:ascii="Times New Roman" w:hAnsi="Times New Roman" w:cs="Times New Roman"/>
            <w:color w:val="000000" w:themeColor="text1"/>
            <w:sz w:val="24"/>
            <w:szCs w:val="24"/>
          </w:rPr>
          <w:t>[173]</w:t>
        </w:r>
      </w:hyperlink>
      <w:hyperlink r:id="rId219" w:history="1">
        <w:r>
          <w:rPr>
            <w:rStyle w:val="a6"/>
            <w:rFonts w:ascii="Times New Roman" w:hAnsi="Times New Roman" w:cs="Times New Roman"/>
            <w:color w:val="000000" w:themeColor="text1"/>
            <w:sz w:val="24"/>
            <w:szCs w:val="24"/>
          </w:rPr>
          <w:t>[403]</w:t>
        </w:r>
      </w:hyperlink>
      <w:hyperlink r:id="rId220" w:history="1">
        <w:r>
          <w:rPr>
            <w:rStyle w:val="a6"/>
            <w:rFonts w:ascii="Times New Roman" w:hAnsi="Times New Roman" w:cs="Times New Roman"/>
            <w:color w:val="000000" w:themeColor="text1"/>
            <w:sz w:val="24"/>
            <w:szCs w:val="24"/>
          </w:rPr>
          <w:t>[404]</w:t>
        </w:r>
      </w:hyperlink>
      <w:r>
        <w:rPr>
          <w:rFonts w:ascii="Times New Roman" w:hAnsi="Times New Roman" w:cs="Times New Roman"/>
          <w:color w:val="000000" w:themeColor="text1"/>
          <w:sz w:val="24"/>
          <w:szCs w:val="24"/>
        </w:rPr>
        <w:t>.</w:t>
      </w:r>
    </w:p>
    <w:p w14:paraId="1E521274" w14:textId="57509C05"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IА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В,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2)</w:t>
      </w:r>
      <w:r w:rsidR="00BD2F09">
        <w:rPr>
          <w:rStyle w:val="a7"/>
          <w:rFonts w:eastAsiaTheme="majorEastAsia"/>
          <w:color w:val="000000" w:themeColor="text1"/>
        </w:rPr>
        <w:t>.</w:t>
      </w:r>
    </w:p>
    <w:p w14:paraId="4D9AB4D2"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Комментарии.</w:t>
      </w:r>
      <w:r>
        <w:rPr>
          <w:color w:val="000000" w:themeColor="text1"/>
        </w:rPr>
        <w:t> </w:t>
      </w:r>
      <w:r>
        <w:rPr>
          <w:rStyle w:val="a5"/>
          <w:rFonts w:eastAsiaTheme="majorEastAsia"/>
          <w:color w:val="000000" w:themeColor="text1"/>
        </w:rPr>
        <w:t>См. также Раздел 3.1.7. "Реперфузионное лечение у пациентов с кардиогенным шоком и внезапной остановкой кровообращения".</w:t>
      </w:r>
    </w:p>
    <w:p w14:paraId="4317BD79" w14:textId="77777777" w:rsidR="004C062E" w:rsidRDefault="002C7340" w:rsidP="00A419DB">
      <w:pPr>
        <w:numPr>
          <w:ilvl w:val="0"/>
          <w:numId w:val="42"/>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с ИМпST и кардиогенным шоком рекомендуется рассмотреть возможность проведения инвазивного мониторинга показателей центральной гемодинамики для контроля за эффективностью и безопасностью лечения, а также катетеризации легочной артерии — для уточнения причины кардиогенного шока, при наличии физических и технических возможностей </w:t>
      </w:r>
      <w:hyperlink r:id="rId221" w:history="1">
        <w:r>
          <w:rPr>
            <w:rStyle w:val="a6"/>
            <w:rFonts w:ascii="Times New Roman" w:hAnsi="Times New Roman" w:cs="Times New Roman"/>
            <w:color w:val="000000" w:themeColor="text1"/>
            <w:sz w:val="24"/>
            <w:szCs w:val="24"/>
          </w:rPr>
          <w:t>[153]</w:t>
        </w:r>
      </w:hyperlink>
      <w:r>
        <w:rPr>
          <w:rFonts w:ascii="Times New Roman" w:hAnsi="Times New Roman" w:cs="Times New Roman"/>
          <w:color w:val="000000" w:themeColor="text1"/>
          <w:sz w:val="24"/>
          <w:szCs w:val="24"/>
        </w:rPr>
        <w:t>.</w:t>
      </w:r>
    </w:p>
    <w:p w14:paraId="00CC94FE" w14:textId="4A7E3F96"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РКО IIaC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С,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5)</w:t>
      </w:r>
      <w:r w:rsidR="00BD2F09">
        <w:rPr>
          <w:rStyle w:val="a7"/>
          <w:rFonts w:eastAsiaTheme="majorEastAsia"/>
          <w:color w:val="000000" w:themeColor="text1"/>
        </w:rPr>
        <w:t>.</w:t>
      </w:r>
    </w:p>
    <w:p w14:paraId="437C7312" w14:textId="77777777" w:rsidR="004C062E" w:rsidRDefault="002C7340" w:rsidP="00A419DB">
      <w:pPr>
        <w:numPr>
          <w:ilvl w:val="0"/>
          <w:numId w:val="43"/>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У пациентов с ИМпST и ОСН с систолическим АД &lt;90 мм рт.ст. и признаками гипоперфузии для устранения гемодинамической нестабильности рекомендуется рассмотреть возможность назначения инотропных препаратов </w:t>
      </w:r>
      <w:hyperlink r:id="rId222" w:history="1">
        <w:r>
          <w:rPr>
            <w:rStyle w:val="a6"/>
            <w:rFonts w:ascii="Times New Roman" w:hAnsi="Times New Roman" w:cs="Times New Roman"/>
            <w:color w:val="000000" w:themeColor="text1"/>
            <w:sz w:val="24"/>
            <w:szCs w:val="24"/>
          </w:rPr>
          <w:t>[405]</w:t>
        </w:r>
      </w:hyperlink>
      <w:r>
        <w:rPr>
          <w:rFonts w:ascii="Times New Roman" w:hAnsi="Times New Roman" w:cs="Times New Roman"/>
          <w:color w:val="000000" w:themeColor="text1"/>
          <w:sz w:val="24"/>
          <w:szCs w:val="24"/>
        </w:rPr>
        <w:t>.</w:t>
      </w:r>
    </w:p>
    <w:p w14:paraId="1857461F" w14:textId="685A3A2D"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IIbC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C,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5)</w:t>
      </w:r>
      <w:r w:rsidR="00BD2F09">
        <w:rPr>
          <w:rStyle w:val="a7"/>
          <w:rFonts w:eastAsiaTheme="majorEastAsia"/>
          <w:color w:val="000000" w:themeColor="text1"/>
        </w:rPr>
        <w:t>.</w:t>
      </w:r>
    </w:p>
    <w:p w14:paraId="6729C443"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Комментарии.</w:t>
      </w:r>
      <w:r>
        <w:rPr>
          <w:color w:val="000000" w:themeColor="text1"/>
        </w:rPr>
        <w:t> </w:t>
      </w:r>
      <w:r>
        <w:rPr>
          <w:rStyle w:val="a5"/>
          <w:rFonts w:eastAsiaTheme="majorEastAsia"/>
          <w:color w:val="000000" w:themeColor="text1"/>
        </w:rPr>
        <w:t>Инфузия допамина  начинается со скоростью 5 мкг/кг/мин, далее</w:t>
      </w:r>
      <w:r>
        <w:rPr>
          <w:color w:val="000000" w:themeColor="text1"/>
        </w:rPr>
        <w:t> </w:t>
      </w:r>
      <w:r>
        <w:rPr>
          <w:rStyle w:val="a5"/>
          <w:rFonts w:eastAsiaTheme="majorEastAsia"/>
          <w:color w:val="000000" w:themeColor="text1"/>
        </w:rPr>
        <w:t>в зависимости от гемодинамического ответа может быть увеличена до 15-20 мкг/кг/мин. Добутамин  вводят с начальной скоростью 2-10 мкг/кг/мин; при необходимости скорость может быть увеличена до 20 мкг/кг/мин. Норэпинефрин  начинают вводить со скоростью 2 мкг/кг/мин, при необходимости скорость увеличивают. При недостаточном эффекте препараты можно комбинировать, прежде всего добутамин и норэпинефрин.</w:t>
      </w:r>
    </w:p>
    <w:p w14:paraId="485B3699" w14:textId="6876C4A2"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IIIC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С,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4)</w:t>
      </w:r>
      <w:r w:rsidR="00BD2F09">
        <w:rPr>
          <w:rStyle w:val="a7"/>
          <w:rFonts w:eastAsiaTheme="majorEastAsia"/>
          <w:color w:val="000000" w:themeColor="text1"/>
        </w:rPr>
        <w:t>.</w:t>
      </w:r>
    </w:p>
    <w:p w14:paraId="6E4A79E0" w14:textId="77777777" w:rsidR="004C062E" w:rsidRDefault="002C7340" w:rsidP="00A419DB">
      <w:pPr>
        <w:numPr>
          <w:ilvl w:val="0"/>
          <w:numId w:val="45"/>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с ИМпST и кардиогенным шоком для устранения гемодинамической нестабильности и поддержания кровоснабжения жизненно важных органов при артериальной гипотонии рекомендуется рассмотреть возможность назначения вазопрессоров, предпочтительного использования норэпинефрина (в/в инфузия) по сравнению с допамином в связи с меньшей частотой побочных действий эффектов норэпинефрина </w:t>
      </w:r>
      <w:hyperlink r:id="rId223" w:history="1">
        <w:r>
          <w:rPr>
            <w:rStyle w:val="a6"/>
            <w:rFonts w:ascii="Times New Roman" w:hAnsi="Times New Roman" w:cs="Times New Roman"/>
            <w:color w:val="000000" w:themeColor="text1"/>
            <w:sz w:val="24"/>
            <w:szCs w:val="24"/>
          </w:rPr>
          <w:t>[408-410]</w:t>
        </w:r>
      </w:hyperlink>
      <w:r>
        <w:rPr>
          <w:rFonts w:ascii="Times New Roman" w:hAnsi="Times New Roman" w:cs="Times New Roman"/>
          <w:color w:val="000000" w:themeColor="text1"/>
          <w:sz w:val="24"/>
          <w:szCs w:val="24"/>
        </w:rPr>
        <w:t>.</w:t>
      </w:r>
    </w:p>
    <w:p w14:paraId="3A326E9A" w14:textId="2F627775" w:rsidR="004C062E" w:rsidRPr="00F52FCA"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w:t>
      </w:r>
      <w:r>
        <w:rPr>
          <w:rStyle w:val="a7"/>
          <w:rFonts w:eastAsiaTheme="majorEastAsia"/>
          <w:color w:val="000000" w:themeColor="text1"/>
          <w:lang w:val="en-US"/>
        </w:rPr>
        <w:t> IIbB</w:t>
      </w:r>
      <w:r w:rsidRPr="00F52FCA">
        <w:rPr>
          <w:rStyle w:val="a7"/>
          <w:rFonts w:eastAsiaTheme="majorEastAsia"/>
          <w:color w:val="000000" w:themeColor="text1"/>
        </w:rPr>
        <w:t xml:space="preserve">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lang w:val="en-US"/>
        </w:rPr>
        <w:t> A</w:t>
      </w:r>
      <w:r w:rsidRPr="00F52FCA">
        <w:rPr>
          <w:rStyle w:val="a7"/>
          <w:rFonts w:eastAsiaTheme="majorEastAsia"/>
          <w:color w:val="000000" w:themeColor="text1"/>
        </w:rPr>
        <w:t xml:space="preserve">,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lang w:val="en-US"/>
        </w:rPr>
        <w:t> </w:t>
      </w:r>
      <w:r w:rsidRPr="00F52FCA">
        <w:rPr>
          <w:rStyle w:val="a7"/>
          <w:rFonts w:eastAsiaTheme="majorEastAsia"/>
          <w:color w:val="000000" w:themeColor="text1"/>
        </w:rPr>
        <w:t>2)</w:t>
      </w:r>
      <w:r w:rsidRPr="00F52FCA">
        <w:rPr>
          <w:rStyle w:val="a5"/>
          <w:rFonts w:eastAsiaTheme="majorEastAsia"/>
          <w:color w:val="000000" w:themeColor="text1"/>
        </w:rPr>
        <w:t>.</w:t>
      </w:r>
    </w:p>
    <w:p w14:paraId="3BC9D6E6"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Лечение гиповолемического кардиогенного шока</w:t>
      </w:r>
    </w:p>
    <w:p w14:paraId="4945FDEF" w14:textId="77777777" w:rsidR="004C062E" w:rsidRDefault="002C7340" w:rsidP="00A419DB">
      <w:pPr>
        <w:numPr>
          <w:ilvl w:val="0"/>
          <w:numId w:val="46"/>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Всем пациентам с ИМпST и подозрением на гиповолемический шок рекомендуется ЭхоКГ для выявления возможных причин гиповолемии (инфаркт ПЖ, тампонада сердца и т. д.) и оценки функционального состояния сердца </w:t>
      </w:r>
      <w:hyperlink r:id="rId224" w:history="1">
        <w:r>
          <w:rPr>
            <w:rStyle w:val="a6"/>
            <w:rFonts w:ascii="Times New Roman" w:hAnsi="Times New Roman" w:cs="Times New Roman"/>
            <w:color w:val="000000" w:themeColor="text1"/>
            <w:sz w:val="24"/>
            <w:szCs w:val="24"/>
          </w:rPr>
          <w:t>[9]</w:t>
        </w:r>
      </w:hyperlink>
      <w:hyperlink r:id="rId225" w:history="1">
        <w:r>
          <w:rPr>
            <w:rStyle w:val="a6"/>
            <w:rFonts w:ascii="Times New Roman" w:hAnsi="Times New Roman" w:cs="Times New Roman"/>
            <w:color w:val="000000" w:themeColor="text1"/>
            <w:sz w:val="24"/>
            <w:szCs w:val="24"/>
          </w:rPr>
          <w:t>[153]</w:t>
        </w:r>
      </w:hyperlink>
      <w:hyperlink r:id="rId226" w:history="1">
        <w:r>
          <w:rPr>
            <w:rStyle w:val="a6"/>
            <w:rFonts w:ascii="Times New Roman" w:hAnsi="Times New Roman" w:cs="Times New Roman"/>
            <w:color w:val="000000" w:themeColor="text1"/>
            <w:sz w:val="24"/>
            <w:szCs w:val="24"/>
          </w:rPr>
          <w:t>[260]</w:t>
        </w:r>
      </w:hyperlink>
      <w:r>
        <w:rPr>
          <w:rFonts w:ascii="Times New Roman" w:hAnsi="Times New Roman" w:cs="Times New Roman"/>
          <w:color w:val="000000" w:themeColor="text1"/>
          <w:sz w:val="24"/>
          <w:szCs w:val="24"/>
        </w:rPr>
        <w:t>.</w:t>
      </w:r>
    </w:p>
    <w:p w14:paraId="1D2BA580" w14:textId="6F8D9FF6"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IIbC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С,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5)</w:t>
      </w:r>
      <w:r w:rsidR="00BD2F09">
        <w:rPr>
          <w:rStyle w:val="a7"/>
          <w:rFonts w:eastAsiaTheme="majorEastAsia"/>
          <w:color w:val="000000" w:themeColor="text1"/>
        </w:rPr>
        <w:t>.</w:t>
      </w:r>
    </w:p>
    <w:p w14:paraId="2E78D3A7" w14:textId="77777777" w:rsidR="004C062E" w:rsidRDefault="002C7340" w:rsidP="00A419DB">
      <w:pPr>
        <w:numPr>
          <w:ilvl w:val="0"/>
          <w:numId w:val="47"/>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Пациентам с ИМпST и гиповолемическим шоком возмещение жидкости с целью нормализации АД рекомендуется начать с в/в введения 200-250 мл раствора натрия </w:t>
      </w:r>
      <w:r>
        <w:rPr>
          <w:rFonts w:ascii="Times New Roman" w:hAnsi="Times New Roman" w:cs="Times New Roman"/>
          <w:color w:val="000000" w:themeColor="text1"/>
          <w:sz w:val="24"/>
          <w:szCs w:val="24"/>
        </w:rPr>
        <w:lastRenderedPageBreak/>
        <w:t>хлорида 0,9%, который вводят за 5-10 мин. При сохранении артериальной гипотонии рекомендуется вводить раствора натрия хлорида 0,9% повторно </w:t>
      </w:r>
      <w:hyperlink r:id="rId227" w:history="1">
        <w:r>
          <w:rPr>
            <w:rStyle w:val="a6"/>
            <w:rFonts w:ascii="Times New Roman" w:hAnsi="Times New Roman" w:cs="Times New Roman"/>
            <w:color w:val="000000" w:themeColor="text1"/>
            <w:sz w:val="24"/>
            <w:szCs w:val="24"/>
          </w:rPr>
          <w:t>[153]</w:t>
        </w:r>
      </w:hyperlink>
      <w:hyperlink r:id="rId228" w:history="1">
        <w:r>
          <w:rPr>
            <w:rStyle w:val="a6"/>
            <w:rFonts w:ascii="Times New Roman" w:hAnsi="Times New Roman" w:cs="Times New Roman"/>
            <w:color w:val="000000" w:themeColor="text1"/>
            <w:sz w:val="24"/>
            <w:szCs w:val="24"/>
          </w:rPr>
          <w:t>[418]</w:t>
        </w:r>
      </w:hyperlink>
      <w:r>
        <w:rPr>
          <w:rFonts w:ascii="Times New Roman" w:hAnsi="Times New Roman" w:cs="Times New Roman"/>
          <w:color w:val="000000" w:themeColor="text1"/>
          <w:sz w:val="24"/>
          <w:szCs w:val="24"/>
        </w:rPr>
        <w:t>.</w:t>
      </w:r>
    </w:p>
    <w:p w14:paraId="6C5C7153" w14:textId="273EA61E"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IIbC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С,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5)</w:t>
      </w:r>
      <w:r w:rsidR="00BD2F09">
        <w:rPr>
          <w:rStyle w:val="a7"/>
          <w:rFonts w:eastAsiaTheme="majorEastAsia"/>
          <w:color w:val="000000" w:themeColor="text1"/>
        </w:rPr>
        <w:t>.</w:t>
      </w:r>
    </w:p>
    <w:p w14:paraId="5D197C75" w14:textId="15A4573A" w:rsidR="004C062E" w:rsidRPr="00B320F9"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Комментарии.</w:t>
      </w:r>
      <w:r>
        <w:rPr>
          <w:color w:val="000000" w:themeColor="text1"/>
        </w:rPr>
        <w:t> </w:t>
      </w:r>
      <w:r>
        <w:rPr>
          <w:rStyle w:val="a5"/>
          <w:rFonts w:eastAsiaTheme="majorEastAsia"/>
          <w:color w:val="000000" w:themeColor="text1"/>
        </w:rPr>
        <w:t>Объем переливаемой пациенту жидкости может доходить до нескольких литров. При стабилизации АД, появлении диуреза инфузию прекращают. Если введение жидкости не дает эффекта, параллельно проводят лечение адрено- и допаминостимуляторами — допамином или добутамином.</w:t>
      </w:r>
    </w:p>
    <w:p w14:paraId="35C874DD" w14:textId="1D002566" w:rsidR="004C062E" w:rsidRDefault="002C7340" w:rsidP="00A419DB">
      <w:pPr>
        <w:pStyle w:val="20"/>
        <w:suppressAutoHyphens/>
        <w:spacing w:line="360" w:lineRule="auto"/>
        <w:jc w:val="both"/>
        <w:rPr>
          <w:rFonts w:ascii="Times New Roman" w:eastAsia="Calibri" w:hAnsi="Times New Roman" w:cs="Times New Roman"/>
          <w:bCs w:val="0"/>
          <w:iCs/>
          <w:color w:val="000000" w:themeColor="text1"/>
          <w:sz w:val="24"/>
          <w:szCs w:val="24"/>
        </w:rPr>
      </w:pPr>
      <w:bookmarkStart w:id="41" w:name="_Toc236138949"/>
      <w:r>
        <w:rPr>
          <w:rFonts w:ascii="Times New Roman" w:eastAsia="Calibri" w:hAnsi="Times New Roman" w:cs="Times New Roman"/>
          <w:bCs w:val="0"/>
          <w:iCs/>
          <w:color w:val="000000" w:themeColor="text1"/>
          <w:sz w:val="24"/>
          <w:szCs w:val="24"/>
        </w:rPr>
        <w:t>Нарушения сердечного ритма и проводимости.</w:t>
      </w:r>
      <w:bookmarkEnd w:id="41"/>
    </w:p>
    <w:p w14:paraId="66380C63" w14:textId="29A76D3B" w:rsidR="004C062E" w:rsidRDefault="002C7340" w:rsidP="00A419DB">
      <w:pPr>
        <w:pStyle w:val="20"/>
        <w:suppressAutoHyphens/>
        <w:spacing w:line="360" w:lineRule="auto"/>
        <w:jc w:val="both"/>
        <w:rPr>
          <w:rFonts w:ascii="Times New Roman" w:eastAsia="Calibri" w:hAnsi="Times New Roman" w:cs="Times New Roman"/>
          <w:bCs w:val="0"/>
          <w:iCs/>
          <w:color w:val="000000" w:themeColor="text1"/>
          <w:sz w:val="24"/>
          <w:szCs w:val="24"/>
        </w:rPr>
      </w:pPr>
      <w:bookmarkStart w:id="42" w:name="_Toc236138950"/>
      <w:r>
        <w:rPr>
          <w:rFonts w:ascii="Times New Roman" w:eastAsia="Calibri" w:hAnsi="Times New Roman" w:cs="Times New Roman"/>
          <w:bCs w:val="0"/>
          <w:iCs/>
          <w:color w:val="000000" w:themeColor="text1"/>
          <w:sz w:val="24"/>
          <w:szCs w:val="24"/>
        </w:rPr>
        <w:t>ЖА</w:t>
      </w:r>
      <w:bookmarkEnd w:id="42"/>
    </w:p>
    <w:p w14:paraId="0F402475" w14:textId="77777777" w:rsidR="004C062E" w:rsidRDefault="002C7340" w:rsidP="00A419DB">
      <w:pPr>
        <w:numPr>
          <w:ilvl w:val="0"/>
          <w:numId w:val="48"/>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с ИМпST, осложненном гемодинамически значимой ЖТ или ФЖ, для восстановления кровообращения рекомендуется проведение немедленной наружной электрической кардиоверсии (дефибрилляции), соответственно </w:t>
      </w:r>
      <w:hyperlink r:id="rId229" w:history="1">
        <w:r>
          <w:rPr>
            <w:rStyle w:val="a6"/>
            <w:rFonts w:ascii="Times New Roman" w:hAnsi="Times New Roman" w:cs="Times New Roman"/>
            <w:color w:val="000000" w:themeColor="text1"/>
            <w:sz w:val="24"/>
            <w:szCs w:val="24"/>
          </w:rPr>
          <w:t>[9]</w:t>
        </w:r>
      </w:hyperlink>
      <w:hyperlink r:id="rId230" w:history="1">
        <w:r>
          <w:rPr>
            <w:rStyle w:val="a6"/>
            <w:rFonts w:ascii="Times New Roman" w:hAnsi="Times New Roman" w:cs="Times New Roman"/>
            <w:color w:val="000000" w:themeColor="text1"/>
            <w:sz w:val="24"/>
            <w:szCs w:val="24"/>
          </w:rPr>
          <w:t>[54]</w:t>
        </w:r>
      </w:hyperlink>
      <w:r>
        <w:rPr>
          <w:rFonts w:ascii="Times New Roman" w:hAnsi="Times New Roman" w:cs="Times New Roman"/>
          <w:color w:val="000000" w:themeColor="text1"/>
          <w:sz w:val="24"/>
          <w:szCs w:val="24"/>
        </w:rPr>
        <w:t>.</w:t>
      </w:r>
    </w:p>
    <w:p w14:paraId="2AC364F6" w14:textId="29778938"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РКО IC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С,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5)</w:t>
      </w:r>
      <w:r w:rsidR="00BD2F09">
        <w:rPr>
          <w:rStyle w:val="a7"/>
          <w:rFonts w:eastAsiaTheme="majorEastAsia"/>
          <w:color w:val="000000" w:themeColor="text1"/>
        </w:rPr>
        <w:t>.</w:t>
      </w:r>
    </w:p>
    <w:p w14:paraId="2504FDA5" w14:textId="77777777" w:rsidR="004C062E" w:rsidRDefault="002C7340" w:rsidP="00A419DB">
      <w:pPr>
        <w:numPr>
          <w:ilvl w:val="0"/>
          <w:numId w:val="49"/>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пациента с ИМпST и рецидивирующими ЖТ/ФЖ с целью устранения ишемии как возможной причины возникновения аритмий (в случае, если реваскуляризация ранее не проводилась или была неполной) рекомендуется выполнение экстренной и/или полной реваскуляризации (см. Раздел "Инвазивное лечение заболевания") </w:t>
      </w:r>
      <w:hyperlink r:id="rId231" w:history="1">
        <w:r>
          <w:rPr>
            <w:rStyle w:val="a6"/>
            <w:rFonts w:ascii="Times New Roman" w:hAnsi="Times New Roman" w:cs="Times New Roman"/>
            <w:color w:val="000000" w:themeColor="text1"/>
            <w:sz w:val="24"/>
            <w:szCs w:val="24"/>
          </w:rPr>
          <w:t>[9]</w:t>
        </w:r>
      </w:hyperlink>
      <w:hyperlink r:id="rId232" w:history="1">
        <w:r>
          <w:rPr>
            <w:rStyle w:val="a6"/>
            <w:rFonts w:ascii="Times New Roman" w:hAnsi="Times New Roman" w:cs="Times New Roman"/>
            <w:color w:val="000000" w:themeColor="text1"/>
            <w:sz w:val="24"/>
            <w:szCs w:val="24"/>
          </w:rPr>
          <w:t>[54]</w:t>
        </w:r>
      </w:hyperlink>
      <w:hyperlink r:id="rId233" w:history="1">
        <w:r>
          <w:rPr>
            <w:rStyle w:val="a6"/>
            <w:rFonts w:ascii="Times New Roman" w:hAnsi="Times New Roman" w:cs="Times New Roman"/>
            <w:color w:val="000000" w:themeColor="text1"/>
            <w:sz w:val="24"/>
            <w:szCs w:val="24"/>
          </w:rPr>
          <w:t>[418]</w:t>
        </w:r>
      </w:hyperlink>
      <w:hyperlink r:id="rId234" w:history="1">
        <w:r>
          <w:rPr>
            <w:rStyle w:val="a6"/>
            <w:rFonts w:ascii="Times New Roman" w:hAnsi="Times New Roman" w:cs="Times New Roman"/>
            <w:color w:val="000000" w:themeColor="text1"/>
            <w:sz w:val="24"/>
            <w:szCs w:val="24"/>
          </w:rPr>
          <w:t>[419]</w:t>
        </w:r>
      </w:hyperlink>
      <w:r>
        <w:rPr>
          <w:rFonts w:ascii="Times New Roman" w:hAnsi="Times New Roman" w:cs="Times New Roman"/>
          <w:color w:val="000000" w:themeColor="text1"/>
          <w:sz w:val="24"/>
          <w:szCs w:val="24"/>
        </w:rPr>
        <w:t>.</w:t>
      </w:r>
    </w:p>
    <w:p w14:paraId="4B837955" w14:textId="69D7E549"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IC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С,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5)</w:t>
      </w:r>
      <w:r w:rsidR="00BD2F09">
        <w:rPr>
          <w:rStyle w:val="a7"/>
          <w:rFonts w:eastAsiaTheme="majorEastAsia"/>
          <w:color w:val="000000" w:themeColor="text1"/>
        </w:rPr>
        <w:t>.</w:t>
      </w:r>
    </w:p>
    <w:p w14:paraId="0DD29C48" w14:textId="77777777" w:rsidR="004C062E" w:rsidRDefault="002C7340" w:rsidP="00A419DB">
      <w:pPr>
        <w:numPr>
          <w:ilvl w:val="0"/>
          <w:numId w:val="50"/>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с ИМпST с полиморфной ЖТ или ФЖ при отсутствии противопоказаний рекомендуется в/в использование бета-адреноблокатора и/или амиодарона </w:t>
      </w:r>
      <w:hyperlink r:id="rId235" w:history="1">
        <w:r>
          <w:rPr>
            <w:rStyle w:val="a6"/>
            <w:rFonts w:ascii="Times New Roman" w:hAnsi="Times New Roman" w:cs="Times New Roman"/>
            <w:color w:val="000000" w:themeColor="text1"/>
            <w:sz w:val="24"/>
            <w:szCs w:val="24"/>
          </w:rPr>
          <w:t>[420-423]</w:t>
        </w:r>
      </w:hyperlink>
      <w:r>
        <w:rPr>
          <w:rFonts w:ascii="Times New Roman" w:hAnsi="Times New Roman" w:cs="Times New Roman"/>
          <w:color w:val="000000" w:themeColor="text1"/>
          <w:sz w:val="24"/>
          <w:szCs w:val="24"/>
        </w:rPr>
        <w:t>.</w:t>
      </w:r>
    </w:p>
    <w:p w14:paraId="63C226EF" w14:textId="1A84075A"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IB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В,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3)</w:t>
      </w:r>
      <w:r w:rsidR="00BD2F09">
        <w:rPr>
          <w:rStyle w:val="a7"/>
          <w:rFonts w:eastAsiaTheme="majorEastAsia"/>
          <w:color w:val="000000" w:themeColor="text1"/>
        </w:rPr>
        <w:t>.</w:t>
      </w:r>
    </w:p>
    <w:p w14:paraId="2A5C822E"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Комментарии. </w:t>
      </w:r>
      <w:r>
        <w:rPr>
          <w:rStyle w:val="a5"/>
          <w:rFonts w:eastAsiaTheme="majorEastAsia"/>
          <w:color w:val="000000" w:themeColor="text1"/>
        </w:rPr>
        <w:t xml:space="preserve">Не рекомендуется раннее в/в введение бета-адреноблокаторов при гипотензии, кардиогенном шоке, брадиаритмии, при подозрении на вовлеченность </w:t>
      </w:r>
      <w:r>
        <w:rPr>
          <w:rStyle w:val="a5"/>
          <w:rFonts w:eastAsiaTheme="majorEastAsia"/>
          <w:color w:val="000000" w:themeColor="text1"/>
        </w:rPr>
        <w:lastRenderedPageBreak/>
        <w:t>в очаг ишемии ПЖ. Перед началом использования бета-адреноблокаторов следует оценить сократительную способность ЛЖ по ЭхоКГ; в случае сниженной сократительной способности ЛЖ целесообразно использование малых доз или отложить инициацию терапии. При выборе конкретного бета-адреноблокатора, пути его введения и при титрации дозы рекомендуется регулярно переоценивать состояние пациента, переносимость терапии, достигнутый эффект и наличие ограничивающих факторов: ЧСС &lt;50 в мин, АД &lt;90 мм рт.ст., величину ФВ ЛЖ по данным ЭхоКГ и др.</w:t>
      </w:r>
    </w:p>
    <w:p w14:paraId="39FAF302"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5"/>
          <w:rFonts w:eastAsiaTheme="majorEastAsia"/>
          <w:color w:val="000000" w:themeColor="text1"/>
        </w:rPr>
        <w:t>При увеличении продолжительности интервала QT &gt;500 мс введение амиодарона должно быть прекращено.</w:t>
      </w:r>
    </w:p>
    <w:p w14:paraId="6B495476" w14:textId="77777777" w:rsidR="004C062E" w:rsidRDefault="002C7340" w:rsidP="00A419DB">
      <w:pPr>
        <w:numPr>
          <w:ilvl w:val="0"/>
          <w:numId w:val="51"/>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с ИМпST с рецидивирующей ЖТ и отсутствием эффекта от терапии бета-адреноблокаторами и амиодароном или в случаях, когда эти препараты не могут быть назначены, рекомендуется рассмотреть в/в назначение лидокаина </w:t>
      </w:r>
      <w:hyperlink r:id="rId236" w:history="1">
        <w:r>
          <w:rPr>
            <w:rStyle w:val="a6"/>
            <w:rFonts w:ascii="Times New Roman" w:hAnsi="Times New Roman" w:cs="Times New Roman"/>
            <w:color w:val="000000" w:themeColor="text1"/>
            <w:sz w:val="24"/>
            <w:szCs w:val="24"/>
          </w:rPr>
          <w:t>[9]</w:t>
        </w:r>
      </w:hyperlink>
      <w:hyperlink r:id="rId237" w:history="1">
        <w:r>
          <w:rPr>
            <w:rStyle w:val="a6"/>
            <w:rFonts w:ascii="Times New Roman" w:hAnsi="Times New Roman" w:cs="Times New Roman"/>
            <w:color w:val="000000" w:themeColor="text1"/>
            <w:sz w:val="24"/>
            <w:szCs w:val="24"/>
          </w:rPr>
          <w:t>[420]</w:t>
        </w:r>
      </w:hyperlink>
      <w:r>
        <w:rPr>
          <w:rFonts w:ascii="Times New Roman" w:hAnsi="Times New Roman" w:cs="Times New Roman"/>
          <w:color w:val="000000" w:themeColor="text1"/>
          <w:sz w:val="24"/>
          <w:szCs w:val="24"/>
        </w:rPr>
        <w:t>.</w:t>
      </w:r>
    </w:p>
    <w:p w14:paraId="773A30AB" w14:textId="561AB56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IIbC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C,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5)</w:t>
      </w:r>
      <w:r w:rsidR="00BD2F09">
        <w:rPr>
          <w:rStyle w:val="a7"/>
          <w:rFonts w:eastAsiaTheme="majorEastAsia"/>
          <w:color w:val="000000" w:themeColor="text1"/>
        </w:rPr>
        <w:t>.</w:t>
      </w:r>
    </w:p>
    <w:p w14:paraId="0E6A0F6D" w14:textId="77777777" w:rsidR="004C062E" w:rsidRDefault="002C7340" w:rsidP="00A419DB">
      <w:pPr>
        <w:numPr>
          <w:ilvl w:val="0"/>
          <w:numId w:val="52"/>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с ИМпST и рецидивирующей жизнеугрожающей ЖТ при отсутствии эффекта от терапии бета-адреноблокаторами и амиодароном рекомендовано рассмотреть возможность седации или полной анестезии с целью снижения симпатического тонуса </w:t>
      </w:r>
      <w:hyperlink r:id="rId238" w:history="1">
        <w:r>
          <w:rPr>
            <w:rStyle w:val="a6"/>
            <w:rFonts w:ascii="Times New Roman" w:hAnsi="Times New Roman" w:cs="Times New Roman"/>
            <w:color w:val="000000" w:themeColor="text1"/>
            <w:sz w:val="24"/>
            <w:szCs w:val="24"/>
          </w:rPr>
          <w:t>[9]</w:t>
        </w:r>
      </w:hyperlink>
      <w:hyperlink r:id="rId239" w:history="1">
        <w:r>
          <w:rPr>
            <w:rStyle w:val="a6"/>
            <w:rFonts w:ascii="Times New Roman" w:hAnsi="Times New Roman" w:cs="Times New Roman"/>
            <w:color w:val="000000" w:themeColor="text1"/>
            <w:sz w:val="24"/>
            <w:szCs w:val="24"/>
          </w:rPr>
          <w:t>[54]</w:t>
        </w:r>
      </w:hyperlink>
      <w:r>
        <w:rPr>
          <w:rFonts w:ascii="Times New Roman" w:hAnsi="Times New Roman" w:cs="Times New Roman"/>
          <w:color w:val="000000" w:themeColor="text1"/>
          <w:sz w:val="24"/>
          <w:szCs w:val="24"/>
        </w:rPr>
        <w:t>.</w:t>
      </w:r>
    </w:p>
    <w:p w14:paraId="15DE9374" w14:textId="59AE029D"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IIbC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C,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5)</w:t>
      </w:r>
      <w:r w:rsidR="00BD2F09">
        <w:rPr>
          <w:rStyle w:val="a7"/>
          <w:rFonts w:eastAsiaTheme="majorEastAsia"/>
          <w:color w:val="000000" w:themeColor="text1"/>
        </w:rPr>
        <w:t>.</w:t>
      </w:r>
    </w:p>
    <w:p w14:paraId="16CB8E3A" w14:textId="77777777" w:rsidR="004C062E" w:rsidRDefault="002C7340" w:rsidP="00A419DB">
      <w:pPr>
        <w:numPr>
          <w:ilvl w:val="0"/>
          <w:numId w:val="53"/>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с ИМпST при развитии ЖТ и/или ФЖ рекомендуется мониторинг, выявление и коррекция электролитных нарушений (в первую очередь гипокалиемии и гипомагниемии) </w:t>
      </w:r>
      <w:hyperlink r:id="rId240" w:history="1">
        <w:r>
          <w:rPr>
            <w:rStyle w:val="a6"/>
            <w:rFonts w:ascii="Times New Roman" w:hAnsi="Times New Roman" w:cs="Times New Roman"/>
            <w:color w:val="000000" w:themeColor="text1"/>
            <w:sz w:val="24"/>
            <w:szCs w:val="24"/>
          </w:rPr>
          <w:t>[153]</w:t>
        </w:r>
      </w:hyperlink>
      <w:hyperlink r:id="rId241" w:history="1">
        <w:r>
          <w:rPr>
            <w:rStyle w:val="a6"/>
            <w:rFonts w:ascii="Times New Roman" w:hAnsi="Times New Roman" w:cs="Times New Roman"/>
            <w:color w:val="000000" w:themeColor="text1"/>
            <w:sz w:val="24"/>
            <w:szCs w:val="24"/>
          </w:rPr>
          <w:t>[424]</w:t>
        </w:r>
      </w:hyperlink>
      <w:r>
        <w:rPr>
          <w:rFonts w:ascii="Times New Roman" w:hAnsi="Times New Roman" w:cs="Times New Roman"/>
          <w:color w:val="000000" w:themeColor="text1"/>
          <w:sz w:val="24"/>
          <w:szCs w:val="24"/>
        </w:rPr>
        <w:t>.</w:t>
      </w:r>
    </w:p>
    <w:p w14:paraId="1A1C0CAE" w14:textId="03A724D8"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РКО IIaC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С,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5)</w:t>
      </w:r>
      <w:r w:rsidR="00BD2F09">
        <w:rPr>
          <w:rStyle w:val="a7"/>
          <w:rFonts w:eastAsiaTheme="majorEastAsia"/>
          <w:color w:val="000000" w:themeColor="text1"/>
        </w:rPr>
        <w:t>.</w:t>
      </w:r>
    </w:p>
    <w:p w14:paraId="411F3F3C"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Комментарии.</w:t>
      </w:r>
      <w:r>
        <w:rPr>
          <w:color w:val="000000" w:themeColor="text1"/>
        </w:rPr>
        <w:t> </w:t>
      </w:r>
      <w:r>
        <w:rPr>
          <w:rStyle w:val="a5"/>
          <w:rFonts w:eastAsiaTheme="majorEastAsia"/>
          <w:color w:val="000000" w:themeColor="text1"/>
        </w:rPr>
        <w:t xml:space="preserve"> Введение препаратов калия необходимо, если его уровень в крови &lt;4 ммоль/л. Если концентрация магния составит &lt;0,83 ммоль/л (2 мг/дл), следует провести коррекцию. Для коррекции гипокалиемии применяют в/в введение калия хлорида, для коррекции уровня магния используют в/в введение магния сульфата; дозу, схему </w:t>
      </w:r>
      <w:r>
        <w:rPr>
          <w:rStyle w:val="a5"/>
          <w:rFonts w:eastAsiaTheme="majorEastAsia"/>
          <w:color w:val="000000" w:themeColor="text1"/>
        </w:rPr>
        <w:lastRenderedPageBreak/>
        <w:t>и длительность определяют индивидуально, в зависимости от концентрации электролитов в крови, показателей кислотно-щелочного баланса и клинической ситуации.</w:t>
      </w:r>
    </w:p>
    <w:p w14:paraId="66C9BA56" w14:textId="77777777" w:rsidR="004C062E" w:rsidRDefault="002C7340" w:rsidP="00A419DB">
      <w:pPr>
        <w:numPr>
          <w:ilvl w:val="0"/>
          <w:numId w:val="54"/>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с ИМпST с рецидивирующей ЖТ/ФЖ и нестабильной гемодинамикой, несмотря на медикаментозную коррекцию, рекомендуется рассмотреть возможность проведения механической поддержки кровообращения — при наличии физических и технических возможностей </w:t>
      </w:r>
      <w:hyperlink r:id="rId242" w:history="1">
        <w:r>
          <w:rPr>
            <w:rStyle w:val="a6"/>
            <w:rFonts w:ascii="Times New Roman" w:hAnsi="Times New Roman" w:cs="Times New Roman"/>
            <w:color w:val="000000" w:themeColor="text1"/>
            <w:sz w:val="24"/>
            <w:szCs w:val="24"/>
          </w:rPr>
          <w:t>[420]</w:t>
        </w:r>
      </w:hyperlink>
      <w:r>
        <w:rPr>
          <w:rFonts w:ascii="Times New Roman" w:hAnsi="Times New Roman" w:cs="Times New Roman"/>
          <w:color w:val="000000" w:themeColor="text1"/>
          <w:sz w:val="24"/>
          <w:szCs w:val="24"/>
        </w:rPr>
        <w:t>.</w:t>
      </w:r>
    </w:p>
    <w:p w14:paraId="63FE5167" w14:textId="3E3D23D9"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IIbC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С,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5)</w:t>
      </w:r>
      <w:r w:rsidR="00BD2F09">
        <w:rPr>
          <w:rStyle w:val="a7"/>
          <w:rFonts w:eastAsiaTheme="majorEastAsia"/>
          <w:color w:val="000000" w:themeColor="text1"/>
        </w:rPr>
        <w:t>.</w:t>
      </w:r>
    </w:p>
    <w:p w14:paraId="2E85C64B" w14:textId="77777777" w:rsidR="004C062E" w:rsidRDefault="002C7340" w:rsidP="00A419DB">
      <w:pPr>
        <w:numPr>
          <w:ilvl w:val="0"/>
          <w:numId w:val="55"/>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с ИМпST не рекомендуется лечение асимптомных и гемодинамически незначимых желудочковых аритмий с помощью антиаритмических препаратов </w:t>
      </w:r>
      <w:hyperlink r:id="rId243" w:history="1">
        <w:r>
          <w:rPr>
            <w:rStyle w:val="a6"/>
            <w:rFonts w:ascii="Times New Roman" w:hAnsi="Times New Roman" w:cs="Times New Roman"/>
            <w:color w:val="000000" w:themeColor="text1"/>
            <w:sz w:val="24"/>
            <w:szCs w:val="24"/>
          </w:rPr>
          <w:t>[9]</w:t>
        </w:r>
      </w:hyperlink>
      <w:hyperlink r:id="rId244" w:history="1">
        <w:r>
          <w:rPr>
            <w:rStyle w:val="a6"/>
            <w:rFonts w:ascii="Times New Roman" w:hAnsi="Times New Roman" w:cs="Times New Roman"/>
            <w:color w:val="000000" w:themeColor="text1"/>
            <w:sz w:val="24"/>
            <w:szCs w:val="24"/>
          </w:rPr>
          <w:t>[420]</w:t>
        </w:r>
      </w:hyperlink>
      <w:r>
        <w:rPr>
          <w:rFonts w:ascii="Times New Roman" w:hAnsi="Times New Roman" w:cs="Times New Roman"/>
          <w:color w:val="000000" w:themeColor="text1"/>
          <w:sz w:val="24"/>
          <w:szCs w:val="24"/>
        </w:rPr>
        <w:t>.</w:t>
      </w:r>
    </w:p>
    <w:p w14:paraId="5D14F7F9" w14:textId="4A950A35"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IIIС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С,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5)</w:t>
      </w:r>
      <w:r w:rsidR="00BD2F09">
        <w:rPr>
          <w:rStyle w:val="a7"/>
          <w:rFonts w:eastAsiaTheme="majorEastAsia"/>
          <w:color w:val="000000" w:themeColor="text1"/>
        </w:rPr>
        <w:t>.</w:t>
      </w:r>
    </w:p>
    <w:p w14:paraId="0879E54D" w14:textId="77777777" w:rsidR="004C062E" w:rsidRDefault="002C7340" w:rsidP="00A419DB">
      <w:pPr>
        <w:numPr>
          <w:ilvl w:val="0"/>
          <w:numId w:val="56"/>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пациента с ИМпST не рекомендуется профилактическое назначение антиаритмических препаратов за исключением бета-адреноблокаторов </w:t>
      </w:r>
      <w:hyperlink r:id="rId245" w:history="1">
        <w:r>
          <w:rPr>
            <w:rStyle w:val="a6"/>
            <w:rFonts w:ascii="Times New Roman" w:hAnsi="Times New Roman" w:cs="Times New Roman"/>
            <w:color w:val="000000" w:themeColor="text1"/>
            <w:sz w:val="24"/>
            <w:szCs w:val="24"/>
          </w:rPr>
          <w:t>[420]</w:t>
        </w:r>
      </w:hyperlink>
      <w:r>
        <w:rPr>
          <w:rFonts w:ascii="Times New Roman" w:hAnsi="Times New Roman" w:cs="Times New Roman"/>
          <w:color w:val="000000" w:themeColor="text1"/>
          <w:sz w:val="24"/>
          <w:szCs w:val="24"/>
        </w:rPr>
        <w:t>.</w:t>
      </w:r>
    </w:p>
    <w:p w14:paraId="475E6648" w14:textId="52B56CF1"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IIIB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C,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5)</w:t>
      </w:r>
      <w:r w:rsidR="00BD2F09">
        <w:rPr>
          <w:rStyle w:val="a7"/>
          <w:rFonts w:eastAsiaTheme="majorEastAsia"/>
          <w:color w:val="000000" w:themeColor="text1"/>
        </w:rPr>
        <w:t>.</w:t>
      </w:r>
    </w:p>
    <w:p w14:paraId="49561616" w14:textId="17164C99" w:rsidR="004C062E" w:rsidRDefault="002C7340" w:rsidP="00A419DB">
      <w:pPr>
        <w:pStyle w:val="20"/>
        <w:suppressAutoHyphens/>
        <w:spacing w:line="360" w:lineRule="auto"/>
        <w:jc w:val="both"/>
        <w:rPr>
          <w:rFonts w:ascii="Times New Roman" w:eastAsia="Calibri" w:hAnsi="Times New Roman" w:cs="Times New Roman"/>
          <w:bCs w:val="0"/>
          <w:iCs/>
          <w:color w:val="000000" w:themeColor="text1"/>
          <w:sz w:val="24"/>
          <w:szCs w:val="24"/>
        </w:rPr>
      </w:pPr>
      <w:bookmarkStart w:id="43" w:name="_Toc236138951"/>
      <w:r>
        <w:rPr>
          <w:rFonts w:ascii="Times New Roman" w:eastAsia="Calibri" w:hAnsi="Times New Roman" w:cs="Times New Roman"/>
          <w:bCs w:val="0"/>
          <w:iCs/>
          <w:color w:val="000000" w:themeColor="text1"/>
          <w:sz w:val="24"/>
          <w:szCs w:val="24"/>
        </w:rPr>
        <w:t>ФП</w:t>
      </w:r>
      <w:bookmarkEnd w:id="43"/>
    </w:p>
    <w:p w14:paraId="069A15C0" w14:textId="77777777" w:rsidR="004C062E" w:rsidRDefault="002C7340" w:rsidP="00A419DB">
      <w:pPr>
        <w:numPr>
          <w:ilvl w:val="0"/>
          <w:numId w:val="57"/>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6"/>
        </w:rPr>
      </w:pPr>
      <w:r>
        <w:rPr>
          <w:rFonts w:ascii="Times New Roman" w:hAnsi="Times New Roman" w:cs="Times New Roman"/>
          <w:color w:val="000000" w:themeColor="text1"/>
          <w:sz w:val="24"/>
          <w:szCs w:val="26"/>
        </w:rPr>
        <w:t>У пациентов с ИМпST и недавно возникшей ФП при гемодинамической нестабильности рекомендуется немедленное проведение наружной электрической кардиоверсии </w:t>
      </w:r>
      <w:hyperlink r:id="rId246" w:history="1">
        <w:r>
          <w:rPr>
            <w:rStyle w:val="a6"/>
            <w:rFonts w:ascii="Times New Roman" w:hAnsi="Times New Roman" w:cs="Times New Roman"/>
            <w:color w:val="000000" w:themeColor="text1"/>
            <w:sz w:val="24"/>
            <w:szCs w:val="26"/>
          </w:rPr>
          <w:t>[9]</w:t>
        </w:r>
      </w:hyperlink>
      <w:r>
        <w:rPr>
          <w:rFonts w:ascii="Times New Roman" w:hAnsi="Times New Roman" w:cs="Times New Roman"/>
          <w:color w:val="000000" w:themeColor="text1"/>
          <w:sz w:val="24"/>
          <w:szCs w:val="26"/>
        </w:rPr>
        <w:t>.</w:t>
      </w:r>
    </w:p>
    <w:p w14:paraId="60410C5D" w14:textId="152143A7"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7"/>
          <w:rFonts w:eastAsiaTheme="majorEastAsia"/>
          <w:color w:val="000000" w:themeColor="text1"/>
          <w:szCs w:val="26"/>
        </w:rPr>
        <w:t>ЕОК IС (</w:t>
      </w:r>
      <w:r w:rsidR="00F52FCA">
        <w:rPr>
          <w:rStyle w:val="a7"/>
          <w:rFonts w:eastAsiaTheme="majorEastAsia"/>
          <w:color w:val="000000" w:themeColor="text1"/>
          <w:szCs w:val="26"/>
        </w:rPr>
        <w:t>Уровень убедительности рекомендаций</w:t>
      </w:r>
      <w:r>
        <w:rPr>
          <w:rStyle w:val="a7"/>
          <w:rFonts w:eastAsiaTheme="majorEastAsia"/>
          <w:color w:val="000000" w:themeColor="text1"/>
          <w:szCs w:val="26"/>
        </w:rPr>
        <w:t xml:space="preserve"> С, </w:t>
      </w:r>
      <w:r w:rsidR="00F52FCA">
        <w:rPr>
          <w:rStyle w:val="a7"/>
          <w:rFonts w:eastAsiaTheme="majorEastAsia"/>
          <w:color w:val="000000" w:themeColor="text1"/>
          <w:szCs w:val="26"/>
        </w:rPr>
        <w:t>Уровень достоверности докзательств</w:t>
      </w:r>
      <w:r>
        <w:rPr>
          <w:rStyle w:val="a7"/>
          <w:rFonts w:eastAsiaTheme="majorEastAsia"/>
          <w:color w:val="000000" w:themeColor="text1"/>
          <w:szCs w:val="26"/>
        </w:rPr>
        <w:t> 5)</w:t>
      </w:r>
      <w:r w:rsidR="00BD2F09">
        <w:rPr>
          <w:rStyle w:val="a7"/>
          <w:rFonts w:eastAsiaTheme="majorEastAsia"/>
          <w:color w:val="000000" w:themeColor="text1"/>
          <w:szCs w:val="26"/>
        </w:rPr>
        <w:t>.</w:t>
      </w:r>
    </w:p>
    <w:p w14:paraId="3A842CAB" w14:textId="77777777" w:rsidR="004C062E" w:rsidRDefault="002C7340" w:rsidP="00A419DB">
      <w:pPr>
        <w:numPr>
          <w:ilvl w:val="0"/>
          <w:numId w:val="58"/>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6"/>
        </w:rPr>
      </w:pPr>
      <w:r>
        <w:rPr>
          <w:rFonts w:ascii="Times New Roman" w:hAnsi="Times New Roman" w:cs="Times New Roman"/>
          <w:color w:val="000000" w:themeColor="text1"/>
          <w:sz w:val="24"/>
          <w:szCs w:val="26"/>
        </w:rPr>
        <w:t>У гемодинамически нестабильных пациентов с ИМпST и недавно возникшей ФП для поддержки наружной электрической кардиоверсии и снижения риска рецидива ФП рекомендуется использование амиодарона в/в </w:t>
      </w:r>
      <w:hyperlink r:id="rId247" w:history="1">
        <w:r>
          <w:rPr>
            <w:rStyle w:val="a6"/>
            <w:rFonts w:ascii="Times New Roman" w:hAnsi="Times New Roman" w:cs="Times New Roman"/>
            <w:color w:val="000000" w:themeColor="text1"/>
            <w:sz w:val="24"/>
            <w:szCs w:val="26"/>
          </w:rPr>
          <w:t>[9]</w:t>
        </w:r>
      </w:hyperlink>
      <w:hyperlink r:id="rId248" w:history="1">
        <w:r>
          <w:rPr>
            <w:rStyle w:val="a6"/>
            <w:rFonts w:ascii="Times New Roman" w:hAnsi="Times New Roman" w:cs="Times New Roman"/>
            <w:color w:val="000000" w:themeColor="text1"/>
            <w:sz w:val="24"/>
            <w:szCs w:val="26"/>
          </w:rPr>
          <w:t>[428]</w:t>
        </w:r>
      </w:hyperlink>
      <w:hyperlink r:id="rId249" w:history="1">
        <w:r>
          <w:rPr>
            <w:rStyle w:val="a6"/>
            <w:rFonts w:ascii="Times New Roman" w:hAnsi="Times New Roman" w:cs="Times New Roman"/>
            <w:color w:val="000000" w:themeColor="text1"/>
            <w:sz w:val="24"/>
            <w:szCs w:val="26"/>
          </w:rPr>
          <w:t>[429]</w:t>
        </w:r>
      </w:hyperlink>
      <w:r>
        <w:rPr>
          <w:rFonts w:ascii="Times New Roman" w:hAnsi="Times New Roman" w:cs="Times New Roman"/>
          <w:color w:val="000000" w:themeColor="text1"/>
          <w:sz w:val="24"/>
          <w:szCs w:val="26"/>
        </w:rPr>
        <w:t>.</w:t>
      </w:r>
    </w:p>
    <w:p w14:paraId="7BB270A3" w14:textId="382D18F0"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7"/>
          <w:rFonts w:eastAsiaTheme="majorEastAsia"/>
          <w:color w:val="000000" w:themeColor="text1"/>
          <w:szCs w:val="26"/>
        </w:rPr>
        <w:t>EOK IC (</w:t>
      </w:r>
      <w:r w:rsidR="00F52FCA">
        <w:rPr>
          <w:rStyle w:val="a7"/>
          <w:rFonts w:eastAsiaTheme="majorEastAsia"/>
          <w:color w:val="000000" w:themeColor="text1"/>
          <w:szCs w:val="26"/>
        </w:rPr>
        <w:t>Уровень убедительности рекомендаций</w:t>
      </w:r>
      <w:r>
        <w:rPr>
          <w:rStyle w:val="a7"/>
          <w:rFonts w:eastAsiaTheme="majorEastAsia"/>
          <w:color w:val="000000" w:themeColor="text1"/>
          <w:szCs w:val="26"/>
        </w:rPr>
        <w:t xml:space="preserve"> C, </w:t>
      </w:r>
      <w:r w:rsidR="00F52FCA">
        <w:rPr>
          <w:rStyle w:val="a7"/>
          <w:rFonts w:eastAsiaTheme="majorEastAsia"/>
          <w:color w:val="000000" w:themeColor="text1"/>
          <w:szCs w:val="26"/>
        </w:rPr>
        <w:t>Уровень достоверности докзательств</w:t>
      </w:r>
      <w:r>
        <w:rPr>
          <w:rStyle w:val="a7"/>
          <w:rFonts w:eastAsiaTheme="majorEastAsia"/>
          <w:color w:val="000000" w:themeColor="text1"/>
          <w:szCs w:val="26"/>
        </w:rPr>
        <w:t> 5)</w:t>
      </w:r>
      <w:r w:rsidR="00BD2F09">
        <w:rPr>
          <w:rStyle w:val="a7"/>
          <w:rFonts w:eastAsiaTheme="majorEastAsia"/>
          <w:color w:val="000000" w:themeColor="text1"/>
          <w:szCs w:val="26"/>
        </w:rPr>
        <w:t>.</w:t>
      </w:r>
    </w:p>
    <w:p w14:paraId="0798193A"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7"/>
          <w:rFonts w:eastAsiaTheme="majorEastAsia"/>
          <w:color w:val="000000" w:themeColor="text1"/>
          <w:szCs w:val="26"/>
        </w:rPr>
        <w:lastRenderedPageBreak/>
        <w:t>Комментарии.</w:t>
      </w:r>
      <w:r>
        <w:rPr>
          <w:color w:val="000000" w:themeColor="text1"/>
          <w:szCs w:val="26"/>
        </w:rPr>
        <w:t> </w:t>
      </w:r>
      <w:r>
        <w:rPr>
          <w:rStyle w:val="a5"/>
          <w:rFonts w:eastAsiaTheme="majorEastAsia"/>
          <w:color w:val="000000" w:themeColor="text1"/>
          <w:szCs w:val="26"/>
        </w:rPr>
        <w:t>При увеличении продолжительности интервала QT &gt;500 мс введение амиодарона должно быть прекращено. Введение амиодарона у нестабильных пациентов должно проводиться под мониторным контролем параметров гемодинамики.</w:t>
      </w:r>
    </w:p>
    <w:p w14:paraId="710C6ADC" w14:textId="77777777" w:rsidR="004C062E" w:rsidRDefault="002C7340" w:rsidP="00A419DB">
      <w:pPr>
        <w:numPr>
          <w:ilvl w:val="0"/>
          <w:numId w:val="59"/>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6"/>
        </w:rPr>
      </w:pPr>
      <w:r>
        <w:rPr>
          <w:rFonts w:ascii="Times New Roman" w:hAnsi="Times New Roman" w:cs="Times New Roman"/>
          <w:color w:val="000000" w:themeColor="text1"/>
          <w:sz w:val="24"/>
          <w:szCs w:val="26"/>
        </w:rPr>
        <w:t>У пациентов с ИМпST и тахисистолической формой ФП при наличии ОСН, но отсутствии тяжелой гипотонии рекомендуется в/в введение амиодарона с целью контроля ЧСС </w:t>
      </w:r>
      <w:hyperlink r:id="rId250" w:history="1">
        <w:r>
          <w:rPr>
            <w:rStyle w:val="a6"/>
            <w:rFonts w:ascii="Times New Roman" w:hAnsi="Times New Roman" w:cs="Times New Roman"/>
            <w:color w:val="000000" w:themeColor="text1"/>
            <w:sz w:val="24"/>
            <w:szCs w:val="26"/>
          </w:rPr>
          <w:t>[9]</w:t>
        </w:r>
      </w:hyperlink>
      <w:hyperlink r:id="rId251" w:history="1">
        <w:r>
          <w:rPr>
            <w:rStyle w:val="a6"/>
            <w:rFonts w:ascii="Times New Roman" w:hAnsi="Times New Roman" w:cs="Times New Roman"/>
            <w:color w:val="000000" w:themeColor="text1"/>
            <w:sz w:val="24"/>
            <w:szCs w:val="26"/>
          </w:rPr>
          <w:t>[430]</w:t>
        </w:r>
      </w:hyperlink>
      <w:hyperlink r:id="rId252" w:history="1">
        <w:r>
          <w:rPr>
            <w:rStyle w:val="a6"/>
            <w:rFonts w:ascii="Times New Roman" w:hAnsi="Times New Roman" w:cs="Times New Roman"/>
            <w:color w:val="000000" w:themeColor="text1"/>
            <w:sz w:val="24"/>
            <w:szCs w:val="26"/>
          </w:rPr>
          <w:t>[431]</w:t>
        </w:r>
      </w:hyperlink>
      <w:r>
        <w:rPr>
          <w:rFonts w:ascii="Times New Roman" w:hAnsi="Times New Roman" w:cs="Times New Roman"/>
          <w:color w:val="000000" w:themeColor="text1"/>
          <w:sz w:val="24"/>
          <w:szCs w:val="26"/>
        </w:rPr>
        <w:t>.</w:t>
      </w:r>
    </w:p>
    <w:p w14:paraId="046C5AE2" w14:textId="35227CAA"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7"/>
          <w:rFonts w:eastAsiaTheme="majorEastAsia"/>
          <w:color w:val="000000" w:themeColor="text1"/>
          <w:szCs w:val="26"/>
        </w:rPr>
        <w:t>ЕОК IС (</w:t>
      </w:r>
      <w:r w:rsidR="00F52FCA">
        <w:rPr>
          <w:rStyle w:val="a7"/>
          <w:rFonts w:eastAsiaTheme="majorEastAsia"/>
          <w:color w:val="000000" w:themeColor="text1"/>
          <w:szCs w:val="26"/>
        </w:rPr>
        <w:t>Уровень убедительности рекомендаций</w:t>
      </w:r>
      <w:r>
        <w:rPr>
          <w:rStyle w:val="a7"/>
          <w:rFonts w:eastAsiaTheme="majorEastAsia"/>
          <w:color w:val="000000" w:themeColor="text1"/>
          <w:szCs w:val="26"/>
        </w:rPr>
        <w:t xml:space="preserve"> С, </w:t>
      </w:r>
      <w:r w:rsidR="00F52FCA">
        <w:rPr>
          <w:rStyle w:val="a7"/>
          <w:rFonts w:eastAsiaTheme="majorEastAsia"/>
          <w:color w:val="000000" w:themeColor="text1"/>
          <w:szCs w:val="26"/>
        </w:rPr>
        <w:t>Уровень достоверности докзательств</w:t>
      </w:r>
      <w:r>
        <w:rPr>
          <w:rStyle w:val="a7"/>
          <w:rFonts w:eastAsiaTheme="majorEastAsia"/>
          <w:color w:val="000000" w:themeColor="text1"/>
          <w:szCs w:val="26"/>
        </w:rPr>
        <w:t> 5)</w:t>
      </w:r>
      <w:r w:rsidR="00BD2F09">
        <w:rPr>
          <w:rStyle w:val="a7"/>
          <w:rFonts w:eastAsiaTheme="majorEastAsia"/>
          <w:color w:val="000000" w:themeColor="text1"/>
          <w:szCs w:val="26"/>
        </w:rPr>
        <w:t>.</w:t>
      </w:r>
    </w:p>
    <w:p w14:paraId="4BE74560" w14:textId="77777777" w:rsidR="004C062E" w:rsidRDefault="002C7340" w:rsidP="00A419DB">
      <w:pPr>
        <w:numPr>
          <w:ilvl w:val="0"/>
          <w:numId w:val="60"/>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6"/>
        </w:rPr>
      </w:pPr>
      <w:r>
        <w:rPr>
          <w:rFonts w:ascii="Times New Roman" w:hAnsi="Times New Roman" w:cs="Times New Roman"/>
          <w:color w:val="000000" w:themeColor="text1"/>
          <w:sz w:val="24"/>
          <w:szCs w:val="26"/>
        </w:rPr>
        <w:t>У пациентов с ИМпST и ФП при отсутствии ОСН и гемодинамической нестабильности (тяжелой гипотонии) рекомендуется использовать бета-адреноблокаторы в/в, если это необходимо для контроля ЧСС </w:t>
      </w:r>
      <w:hyperlink r:id="rId253" w:history="1">
        <w:r>
          <w:rPr>
            <w:rStyle w:val="a6"/>
            <w:rFonts w:ascii="Times New Roman" w:hAnsi="Times New Roman" w:cs="Times New Roman"/>
            <w:color w:val="000000" w:themeColor="text1"/>
            <w:sz w:val="24"/>
            <w:szCs w:val="26"/>
          </w:rPr>
          <w:t>[9]</w:t>
        </w:r>
      </w:hyperlink>
      <w:hyperlink r:id="rId254" w:history="1">
        <w:r>
          <w:rPr>
            <w:rStyle w:val="a6"/>
            <w:rFonts w:ascii="Times New Roman" w:hAnsi="Times New Roman" w:cs="Times New Roman"/>
            <w:color w:val="000000" w:themeColor="text1"/>
            <w:sz w:val="24"/>
            <w:szCs w:val="26"/>
          </w:rPr>
          <w:t>[432]</w:t>
        </w:r>
      </w:hyperlink>
      <w:r>
        <w:rPr>
          <w:rFonts w:ascii="Times New Roman" w:hAnsi="Times New Roman" w:cs="Times New Roman"/>
          <w:color w:val="000000" w:themeColor="text1"/>
          <w:sz w:val="24"/>
          <w:szCs w:val="26"/>
        </w:rPr>
        <w:t>.</w:t>
      </w:r>
    </w:p>
    <w:p w14:paraId="025D5356" w14:textId="0715588F"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7"/>
          <w:rFonts w:eastAsiaTheme="majorEastAsia"/>
          <w:color w:val="000000" w:themeColor="text1"/>
          <w:szCs w:val="26"/>
        </w:rPr>
        <w:t>ЕОК IC (</w:t>
      </w:r>
      <w:r w:rsidR="00F52FCA">
        <w:rPr>
          <w:rStyle w:val="a7"/>
          <w:rFonts w:eastAsiaTheme="majorEastAsia"/>
          <w:color w:val="000000" w:themeColor="text1"/>
          <w:szCs w:val="26"/>
        </w:rPr>
        <w:t>Уровень убедительности рекомендаций</w:t>
      </w:r>
      <w:r>
        <w:rPr>
          <w:rStyle w:val="a7"/>
          <w:rFonts w:eastAsiaTheme="majorEastAsia"/>
          <w:color w:val="000000" w:themeColor="text1"/>
          <w:szCs w:val="26"/>
        </w:rPr>
        <w:t xml:space="preserve"> С, </w:t>
      </w:r>
      <w:r w:rsidR="00F52FCA">
        <w:rPr>
          <w:rStyle w:val="a7"/>
          <w:rFonts w:eastAsiaTheme="majorEastAsia"/>
          <w:color w:val="000000" w:themeColor="text1"/>
          <w:szCs w:val="26"/>
        </w:rPr>
        <w:t>Уровень достоверности докзательств</w:t>
      </w:r>
      <w:r>
        <w:rPr>
          <w:rStyle w:val="a7"/>
          <w:rFonts w:eastAsiaTheme="majorEastAsia"/>
          <w:color w:val="000000" w:themeColor="text1"/>
          <w:szCs w:val="26"/>
        </w:rPr>
        <w:t> 5)</w:t>
      </w:r>
      <w:r w:rsidR="00BD2F09">
        <w:rPr>
          <w:rStyle w:val="a7"/>
          <w:rFonts w:eastAsiaTheme="majorEastAsia"/>
          <w:color w:val="000000" w:themeColor="text1"/>
          <w:szCs w:val="26"/>
        </w:rPr>
        <w:t>.</w:t>
      </w:r>
    </w:p>
    <w:p w14:paraId="5152CD74" w14:textId="77777777" w:rsidR="004C062E" w:rsidRDefault="002C7340" w:rsidP="00A419DB">
      <w:pPr>
        <w:numPr>
          <w:ilvl w:val="0"/>
          <w:numId w:val="61"/>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6"/>
        </w:rPr>
      </w:pPr>
      <w:r>
        <w:rPr>
          <w:rFonts w:ascii="Times New Roman" w:hAnsi="Times New Roman" w:cs="Times New Roman"/>
          <w:color w:val="000000" w:themeColor="text1"/>
          <w:sz w:val="24"/>
          <w:szCs w:val="26"/>
        </w:rPr>
        <w:t>У пациентов с ИМпST и впервые возникшей в острой фазе заболевания ФП рекомендуется рассмотреть вопрос о назначении оральных антикоагулянтов на неопределенно долгий срок, с переоценкой всей антитромботической терапии — в зависимости от риска развития тромбоэмболических осложнений по шкале CHA</w:t>
      </w:r>
      <w:r>
        <w:rPr>
          <w:rFonts w:ascii="Times New Roman" w:hAnsi="Times New Roman" w:cs="Times New Roman"/>
          <w:color w:val="000000" w:themeColor="text1"/>
          <w:sz w:val="24"/>
          <w:szCs w:val="26"/>
          <w:vertAlign w:val="subscript"/>
        </w:rPr>
        <w:t>2</w:t>
      </w:r>
      <w:r>
        <w:rPr>
          <w:rFonts w:ascii="Times New Roman" w:hAnsi="Times New Roman" w:cs="Times New Roman"/>
          <w:color w:val="000000" w:themeColor="text1"/>
          <w:sz w:val="24"/>
          <w:szCs w:val="26"/>
        </w:rPr>
        <w:t>DS</w:t>
      </w:r>
      <w:r>
        <w:rPr>
          <w:rFonts w:ascii="Times New Roman" w:hAnsi="Times New Roman" w:cs="Times New Roman"/>
          <w:color w:val="000000" w:themeColor="text1"/>
          <w:sz w:val="24"/>
          <w:szCs w:val="26"/>
          <w:vertAlign w:val="subscript"/>
        </w:rPr>
        <w:t>2</w:t>
      </w:r>
      <w:r>
        <w:rPr>
          <w:rFonts w:ascii="Times New Roman" w:hAnsi="Times New Roman" w:cs="Times New Roman"/>
          <w:color w:val="000000" w:themeColor="text1"/>
          <w:sz w:val="24"/>
          <w:szCs w:val="26"/>
        </w:rPr>
        <w:t>-VASc и риска кровотечений по шкале HAS-BLED </w:t>
      </w:r>
      <w:hyperlink r:id="rId255" w:history="1">
        <w:r>
          <w:rPr>
            <w:rStyle w:val="a6"/>
            <w:rFonts w:ascii="Times New Roman" w:hAnsi="Times New Roman" w:cs="Times New Roman"/>
            <w:color w:val="000000" w:themeColor="text1"/>
            <w:sz w:val="24"/>
            <w:szCs w:val="26"/>
          </w:rPr>
          <w:t>[9]</w:t>
        </w:r>
      </w:hyperlink>
      <w:hyperlink r:id="rId256" w:history="1">
        <w:r>
          <w:rPr>
            <w:rStyle w:val="a6"/>
            <w:rFonts w:ascii="Times New Roman" w:hAnsi="Times New Roman" w:cs="Times New Roman"/>
            <w:color w:val="000000" w:themeColor="text1"/>
            <w:sz w:val="24"/>
            <w:szCs w:val="26"/>
          </w:rPr>
          <w:t>[433-435]</w:t>
        </w:r>
      </w:hyperlink>
      <w:r>
        <w:rPr>
          <w:rFonts w:ascii="Times New Roman" w:hAnsi="Times New Roman" w:cs="Times New Roman"/>
          <w:color w:val="000000" w:themeColor="text1"/>
          <w:sz w:val="24"/>
          <w:szCs w:val="26"/>
        </w:rPr>
        <w:t>.</w:t>
      </w:r>
    </w:p>
    <w:p w14:paraId="70A0B25B" w14:textId="58F30E69"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7"/>
          <w:rFonts w:eastAsiaTheme="majorEastAsia"/>
          <w:color w:val="000000" w:themeColor="text1"/>
          <w:szCs w:val="26"/>
        </w:rPr>
        <w:t>ЕОК IIaC (</w:t>
      </w:r>
      <w:r w:rsidR="00F52FCA">
        <w:rPr>
          <w:rStyle w:val="a7"/>
          <w:rFonts w:eastAsiaTheme="majorEastAsia"/>
          <w:color w:val="000000" w:themeColor="text1"/>
          <w:szCs w:val="26"/>
        </w:rPr>
        <w:t>Уровень убедительности рекомендаций</w:t>
      </w:r>
      <w:r>
        <w:rPr>
          <w:rStyle w:val="a7"/>
          <w:rFonts w:eastAsiaTheme="majorEastAsia"/>
          <w:color w:val="000000" w:themeColor="text1"/>
          <w:szCs w:val="26"/>
        </w:rPr>
        <w:t xml:space="preserve"> C, </w:t>
      </w:r>
      <w:r w:rsidR="00F52FCA">
        <w:rPr>
          <w:rStyle w:val="a7"/>
          <w:rFonts w:eastAsiaTheme="majorEastAsia"/>
          <w:color w:val="000000" w:themeColor="text1"/>
          <w:szCs w:val="26"/>
        </w:rPr>
        <w:t>Уровень достоверности докзательств</w:t>
      </w:r>
      <w:r>
        <w:rPr>
          <w:rStyle w:val="a7"/>
          <w:rFonts w:eastAsiaTheme="majorEastAsia"/>
          <w:color w:val="000000" w:themeColor="text1"/>
          <w:szCs w:val="26"/>
        </w:rPr>
        <w:t> 5)</w:t>
      </w:r>
      <w:r w:rsidR="00BD2F09">
        <w:rPr>
          <w:rStyle w:val="a7"/>
          <w:rFonts w:eastAsiaTheme="majorEastAsia"/>
          <w:color w:val="000000" w:themeColor="text1"/>
          <w:szCs w:val="26"/>
        </w:rPr>
        <w:t>.</w:t>
      </w:r>
    </w:p>
    <w:p w14:paraId="5FE74E62" w14:textId="77777777" w:rsidR="004C062E" w:rsidRDefault="002C7340" w:rsidP="00A419DB">
      <w:pPr>
        <w:pStyle w:val="20"/>
        <w:suppressAutoHyphens/>
        <w:spacing w:line="360" w:lineRule="auto"/>
        <w:jc w:val="both"/>
        <w:rPr>
          <w:rFonts w:ascii="Times New Roman" w:eastAsia="Calibri" w:hAnsi="Times New Roman" w:cs="Times New Roman"/>
          <w:bCs w:val="0"/>
          <w:iCs/>
          <w:color w:val="000000" w:themeColor="text1"/>
          <w:sz w:val="24"/>
          <w:szCs w:val="24"/>
        </w:rPr>
      </w:pPr>
      <w:bookmarkStart w:id="44" w:name="_Toc236138952"/>
      <w:r>
        <w:rPr>
          <w:rFonts w:ascii="Times New Roman" w:eastAsia="Calibri" w:hAnsi="Times New Roman" w:cs="Times New Roman"/>
          <w:bCs w:val="0"/>
          <w:iCs/>
          <w:color w:val="000000" w:themeColor="text1"/>
          <w:sz w:val="24"/>
          <w:szCs w:val="24"/>
        </w:rPr>
        <w:t>3.4.2.3 Синусовая брадикардия, АВ- блокада</w:t>
      </w:r>
      <w:bookmarkEnd w:id="44"/>
    </w:p>
    <w:p w14:paraId="47B6F339" w14:textId="77777777" w:rsidR="004C062E" w:rsidRDefault="002C7340" w:rsidP="00A419DB">
      <w:pPr>
        <w:numPr>
          <w:ilvl w:val="0"/>
          <w:numId w:val="62"/>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с ИМпST при развитии гемодинамически значимой синусовой брадикардии или гемодинамически значимой АВ-блокады (с неадекватным замещающим ритмом) для стабилизации гемодинамики рекомендуется в/в введение препаратов, оказывающих положительное хронотропное действие (эпинефрина, атропина) </w:t>
      </w:r>
      <w:hyperlink r:id="rId257" w:history="1">
        <w:r>
          <w:rPr>
            <w:rStyle w:val="a6"/>
            <w:rFonts w:ascii="Times New Roman" w:hAnsi="Times New Roman" w:cs="Times New Roman"/>
            <w:color w:val="000000" w:themeColor="text1"/>
            <w:sz w:val="24"/>
            <w:szCs w:val="24"/>
          </w:rPr>
          <w:t>[9]</w:t>
        </w:r>
      </w:hyperlink>
      <w:hyperlink r:id="rId258" w:history="1">
        <w:r>
          <w:rPr>
            <w:rStyle w:val="a6"/>
            <w:rFonts w:ascii="Times New Roman" w:hAnsi="Times New Roman" w:cs="Times New Roman"/>
            <w:color w:val="000000" w:themeColor="text1"/>
            <w:sz w:val="24"/>
            <w:szCs w:val="24"/>
          </w:rPr>
          <w:t>[153]</w:t>
        </w:r>
      </w:hyperlink>
      <w:hyperlink r:id="rId259" w:history="1">
        <w:r>
          <w:rPr>
            <w:rStyle w:val="a6"/>
            <w:rFonts w:ascii="Times New Roman" w:hAnsi="Times New Roman" w:cs="Times New Roman"/>
            <w:color w:val="000000" w:themeColor="text1"/>
            <w:sz w:val="24"/>
            <w:szCs w:val="24"/>
          </w:rPr>
          <w:t>[436]</w:t>
        </w:r>
      </w:hyperlink>
      <w:hyperlink r:id="rId260" w:history="1">
        <w:r>
          <w:rPr>
            <w:rStyle w:val="a6"/>
            <w:rFonts w:ascii="Times New Roman" w:hAnsi="Times New Roman" w:cs="Times New Roman"/>
            <w:color w:val="000000" w:themeColor="text1"/>
            <w:sz w:val="24"/>
            <w:szCs w:val="24"/>
          </w:rPr>
          <w:t>[437]</w:t>
        </w:r>
      </w:hyperlink>
      <w:r>
        <w:rPr>
          <w:rFonts w:ascii="Times New Roman" w:hAnsi="Times New Roman" w:cs="Times New Roman"/>
          <w:color w:val="000000" w:themeColor="text1"/>
          <w:sz w:val="24"/>
          <w:szCs w:val="24"/>
        </w:rPr>
        <w:t>.</w:t>
      </w:r>
    </w:p>
    <w:p w14:paraId="509DA194" w14:textId="7F7CAF4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IC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С,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5)</w:t>
      </w:r>
      <w:r w:rsidR="00BD2F09">
        <w:rPr>
          <w:rStyle w:val="a7"/>
          <w:rFonts w:eastAsiaTheme="majorEastAsia"/>
          <w:color w:val="000000" w:themeColor="text1"/>
        </w:rPr>
        <w:t>.</w:t>
      </w:r>
    </w:p>
    <w:p w14:paraId="4A4C9CBB"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lastRenderedPageBreak/>
        <w:t>Комментарии.</w:t>
      </w:r>
      <w:r>
        <w:rPr>
          <w:color w:val="000000" w:themeColor="text1"/>
        </w:rPr>
        <w:t> </w:t>
      </w:r>
      <w:r>
        <w:rPr>
          <w:rStyle w:val="a5"/>
          <w:rFonts w:eastAsiaTheme="majorEastAsia"/>
          <w:color w:val="000000" w:themeColor="text1"/>
        </w:rPr>
        <w:t>При ЧСС 40 уд./мин и/или паузах &gt;300 мс вводят атропин 0,6-1,0 мг. При сохранении выраженной брадикардии устанавливают электрокардиостимулятор (ЭКС).</w:t>
      </w:r>
    </w:p>
    <w:p w14:paraId="78259656" w14:textId="77777777" w:rsidR="004C062E" w:rsidRDefault="002C7340" w:rsidP="00A419DB">
      <w:pPr>
        <w:numPr>
          <w:ilvl w:val="0"/>
          <w:numId w:val="63"/>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с ИМпST с гемодинамически значимой синусовой брадикардией или c гемодинамически значимой АВ-блокадой (с неадекватным замещающим ритмом) при неэффективности атропина для стабилизации состояния пациента рекомендуется временная эндокардиальная кардиостимуляция — при наличии физических и технических возможностей </w:t>
      </w:r>
      <w:hyperlink r:id="rId261" w:history="1">
        <w:r>
          <w:rPr>
            <w:rStyle w:val="a6"/>
            <w:rFonts w:ascii="Times New Roman" w:hAnsi="Times New Roman" w:cs="Times New Roman"/>
            <w:color w:val="000000" w:themeColor="text1"/>
            <w:sz w:val="24"/>
            <w:szCs w:val="24"/>
          </w:rPr>
          <w:t>[9]</w:t>
        </w:r>
      </w:hyperlink>
      <w:r>
        <w:rPr>
          <w:rFonts w:ascii="Times New Roman" w:hAnsi="Times New Roman" w:cs="Times New Roman"/>
          <w:color w:val="000000" w:themeColor="text1"/>
          <w:sz w:val="24"/>
          <w:szCs w:val="24"/>
        </w:rPr>
        <w:t>.</w:t>
      </w:r>
    </w:p>
    <w:p w14:paraId="55054A5E" w14:textId="6D5D2E8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IC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С,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5)</w:t>
      </w:r>
      <w:r w:rsidR="00BD2F09">
        <w:rPr>
          <w:rStyle w:val="a7"/>
          <w:rFonts w:eastAsiaTheme="majorEastAsia"/>
          <w:color w:val="000000" w:themeColor="text1"/>
        </w:rPr>
        <w:t>.</w:t>
      </w:r>
    </w:p>
    <w:p w14:paraId="4702CBFE" w14:textId="77777777" w:rsidR="004C062E" w:rsidRDefault="002C7340" w:rsidP="00A419DB">
      <w:pPr>
        <w:numPr>
          <w:ilvl w:val="0"/>
          <w:numId w:val="64"/>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с ИМпST при развитии гемодинамически значимой синусовой брадикардии или гемодинамически значимой АВ-блокады (с неадекватным замещающим ритмом), если ранее реваскуляризация не была проведена или она была неполной, рекомендуется неотложная КГ с намерением выполнения ЧКВ, в т. ч. в объеме полной реваскуляризации </w:t>
      </w:r>
      <w:hyperlink r:id="rId262" w:history="1">
        <w:r>
          <w:rPr>
            <w:rStyle w:val="a6"/>
            <w:rFonts w:ascii="Times New Roman" w:hAnsi="Times New Roman" w:cs="Times New Roman"/>
            <w:color w:val="000000" w:themeColor="text1"/>
            <w:sz w:val="24"/>
            <w:szCs w:val="24"/>
          </w:rPr>
          <w:t>[9]</w:t>
        </w:r>
      </w:hyperlink>
      <w:r>
        <w:rPr>
          <w:rFonts w:ascii="Times New Roman" w:hAnsi="Times New Roman" w:cs="Times New Roman"/>
          <w:color w:val="000000" w:themeColor="text1"/>
          <w:sz w:val="24"/>
          <w:szCs w:val="24"/>
        </w:rPr>
        <w:t>.</w:t>
      </w:r>
    </w:p>
    <w:p w14:paraId="5158B2ED" w14:textId="2ACED513"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IC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С,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5)</w:t>
      </w:r>
      <w:r w:rsidR="00BD2F09">
        <w:rPr>
          <w:rStyle w:val="a7"/>
          <w:rFonts w:eastAsiaTheme="majorEastAsia"/>
          <w:color w:val="000000" w:themeColor="text1"/>
        </w:rPr>
        <w:t>.</w:t>
      </w:r>
    </w:p>
    <w:p w14:paraId="52D51E44" w14:textId="77777777" w:rsidR="004C062E" w:rsidRDefault="002C7340" w:rsidP="00A419DB">
      <w:pPr>
        <w:numPr>
          <w:ilvl w:val="0"/>
          <w:numId w:val="65"/>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Не рекомендуется проведение кардиостимуляции пациентам с ИМпST и АВ-блокадой высокой степени в случаях, когда АВ-блокада купировалась после реваскуляризации или спонтанно </w:t>
      </w:r>
      <w:hyperlink r:id="rId263" w:history="1">
        <w:r>
          <w:rPr>
            <w:rStyle w:val="a6"/>
            <w:rFonts w:ascii="Times New Roman" w:hAnsi="Times New Roman" w:cs="Times New Roman"/>
            <w:color w:val="000000" w:themeColor="text1"/>
            <w:sz w:val="24"/>
            <w:szCs w:val="24"/>
          </w:rPr>
          <w:t>[438-440]</w:t>
        </w:r>
      </w:hyperlink>
      <w:r>
        <w:rPr>
          <w:rFonts w:ascii="Times New Roman" w:hAnsi="Times New Roman" w:cs="Times New Roman"/>
          <w:color w:val="000000" w:themeColor="text1"/>
          <w:sz w:val="24"/>
          <w:szCs w:val="24"/>
        </w:rPr>
        <w:t>.</w:t>
      </w:r>
    </w:p>
    <w:p w14:paraId="1FFB3BBB" w14:textId="5BD10042" w:rsidR="004C062E" w:rsidRPr="00050CC9"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IIIB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С,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5)</w:t>
      </w:r>
      <w:r w:rsidR="00BD2F09">
        <w:rPr>
          <w:rStyle w:val="a7"/>
          <w:rFonts w:eastAsiaTheme="majorEastAsia"/>
          <w:color w:val="000000" w:themeColor="text1"/>
        </w:rPr>
        <w:t>.</w:t>
      </w:r>
    </w:p>
    <w:p w14:paraId="042F3FB7" w14:textId="0DEB5E73" w:rsidR="004C062E" w:rsidRDefault="002C7340" w:rsidP="00A419DB">
      <w:pPr>
        <w:pStyle w:val="20"/>
        <w:suppressAutoHyphens/>
        <w:spacing w:line="360" w:lineRule="auto"/>
        <w:jc w:val="both"/>
        <w:rPr>
          <w:rFonts w:ascii="Times New Roman" w:eastAsia="Calibri" w:hAnsi="Times New Roman" w:cs="Times New Roman"/>
          <w:bCs w:val="0"/>
          <w:iCs/>
          <w:color w:val="000000" w:themeColor="text1"/>
          <w:sz w:val="24"/>
          <w:szCs w:val="24"/>
        </w:rPr>
      </w:pPr>
      <w:bookmarkStart w:id="45" w:name="_Toc236138953"/>
      <w:r>
        <w:rPr>
          <w:rFonts w:ascii="Times New Roman" w:eastAsia="Calibri" w:hAnsi="Times New Roman" w:cs="Times New Roman"/>
          <w:bCs w:val="0"/>
          <w:iCs/>
          <w:color w:val="000000" w:themeColor="text1"/>
          <w:sz w:val="24"/>
          <w:szCs w:val="24"/>
        </w:rPr>
        <w:t>Механические осложнения.</w:t>
      </w:r>
      <w:bookmarkEnd w:id="45"/>
    </w:p>
    <w:p w14:paraId="23AC0D99"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color w:val="000000" w:themeColor="text1"/>
        </w:rPr>
        <w:t>Механические осложнения ИМ: разрыв свободной стенки ЛЖ, разрыв МЖП, острая митральная регургитация вследствие ишемического повреждения структур клапанного аппарата, — являются жизнеугрожающими состояниями, которые в реперфузионную эру встречаются с частотой &lt;1% случаев, чаще у пациентов с ИМпST.</w:t>
      </w:r>
    </w:p>
    <w:p w14:paraId="1A927050" w14:textId="19931541" w:rsidR="004C062E" w:rsidRDefault="002C7340" w:rsidP="00A419DB">
      <w:pPr>
        <w:pStyle w:val="20"/>
        <w:suppressAutoHyphens/>
        <w:spacing w:line="360" w:lineRule="auto"/>
        <w:jc w:val="both"/>
        <w:rPr>
          <w:rFonts w:ascii="Times New Roman" w:eastAsia="Calibri" w:hAnsi="Times New Roman" w:cs="Times New Roman"/>
          <w:bCs w:val="0"/>
          <w:iCs/>
          <w:color w:val="000000" w:themeColor="text1"/>
          <w:sz w:val="24"/>
          <w:szCs w:val="24"/>
        </w:rPr>
      </w:pPr>
      <w:bookmarkStart w:id="46" w:name="_Toc236138954"/>
      <w:r>
        <w:rPr>
          <w:rFonts w:ascii="Times New Roman" w:eastAsia="Calibri" w:hAnsi="Times New Roman" w:cs="Times New Roman"/>
          <w:bCs w:val="0"/>
          <w:iCs/>
          <w:color w:val="000000" w:themeColor="text1"/>
          <w:sz w:val="24"/>
          <w:szCs w:val="24"/>
        </w:rPr>
        <w:lastRenderedPageBreak/>
        <w:t>Перикардит</w:t>
      </w:r>
      <w:bookmarkEnd w:id="46"/>
    </w:p>
    <w:p w14:paraId="7EEB7CB5"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color w:val="000000" w:themeColor="text1"/>
        </w:rPr>
        <w:t>Перикардит может осложнять ранний период ИМпST (от нескольких часов до 4-х сут.) и обычно быстро проходит самостоятельно (ранний постинфарктный перикардит, син.: эпистенокардитический перикардит) или развиваться в более поздний период (через 1-2 нед., иногда симптомы могут длиться несколько недель) — поздний постинфарктный перикардит, син.: синдром Дресслера. Клинически перикардит проявляется распространенной, без четкой локализации болью в прекардиальной области, аускультативно — шумом трения перикарда (выслушивается лишь у каждого третьего пациента, нередко в течение короткого времени; при накоплении экссудата в полости перикарда исчезает). На ЭКГ появляются конкордантные подъемы сегмента ST, иногда в сочетании с депрессией сегмента PQ. Перикардит может сопровождаться снижением амплитуды зубцов QRS во всех отведениях ЭКГ. Выяв</w:t>
      </w:r>
      <w:r w:rsidR="00455745">
        <w:rPr>
          <w:color w:val="000000" w:themeColor="text1"/>
        </w:rPr>
        <w:t>ление жидкости в перикарде, так</w:t>
      </w:r>
      <w:r>
        <w:rPr>
          <w:color w:val="000000" w:themeColor="text1"/>
        </w:rPr>
        <w:t>же как и контроль за изменением ее количества, осуществляется с помощью ЭхоКГ.</w:t>
      </w:r>
    </w:p>
    <w:p w14:paraId="2B1C2F2E" w14:textId="77777777" w:rsidR="004C062E" w:rsidRDefault="002C7340" w:rsidP="00A419DB">
      <w:pPr>
        <w:numPr>
          <w:ilvl w:val="0"/>
          <w:numId w:val="66"/>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с ИМпST и ранним постинфарктным перикардитом с выраженными клиническими проявлениями в качестве противовоспалительной терапии рекомендуется применение АСК в дозе 500 мг каждые 8-12 ч </w:t>
      </w:r>
      <w:hyperlink r:id="rId264" w:history="1">
        <w:r>
          <w:rPr>
            <w:rStyle w:val="a6"/>
            <w:rFonts w:ascii="Times New Roman" w:hAnsi="Times New Roman" w:cs="Times New Roman"/>
            <w:color w:val="000000" w:themeColor="text1"/>
            <w:sz w:val="24"/>
            <w:szCs w:val="24"/>
          </w:rPr>
          <w:t>[9]</w:t>
        </w:r>
      </w:hyperlink>
      <w:hyperlink r:id="rId265" w:history="1">
        <w:r>
          <w:rPr>
            <w:rStyle w:val="a6"/>
            <w:rFonts w:ascii="Times New Roman" w:hAnsi="Times New Roman" w:cs="Times New Roman"/>
            <w:color w:val="000000" w:themeColor="text1"/>
            <w:sz w:val="24"/>
            <w:szCs w:val="24"/>
          </w:rPr>
          <w:t>[451-453]</w:t>
        </w:r>
      </w:hyperlink>
      <w:r>
        <w:rPr>
          <w:rFonts w:ascii="Times New Roman" w:hAnsi="Times New Roman" w:cs="Times New Roman"/>
          <w:color w:val="000000" w:themeColor="text1"/>
          <w:sz w:val="24"/>
          <w:szCs w:val="24"/>
        </w:rPr>
        <w:t>.</w:t>
      </w:r>
    </w:p>
    <w:p w14:paraId="734AC243" w14:textId="7C03D351"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РКО IIaC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С,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5)</w:t>
      </w:r>
      <w:r w:rsidR="00BD2F09">
        <w:rPr>
          <w:rStyle w:val="a7"/>
          <w:rFonts w:eastAsiaTheme="majorEastAsia"/>
          <w:color w:val="000000" w:themeColor="text1"/>
        </w:rPr>
        <w:t>.</w:t>
      </w:r>
    </w:p>
    <w:p w14:paraId="160B7A48" w14:textId="77777777" w:rsidR="004C062E" w:rsidRDefault="002C7340" w:rsidP="00A419DB">
      <w:pPr>
        <w:pStyle w:val="af5"/>
        <w:shd w:val="clear" w:color="auto" w:fill="FFFFFF"/>
        <w:suppressAutoHyphens/>
        <w:spacing w:before="75" w:beforeAutospacing="0" w:after="225" w:afterAutospacing="0" w:line="360" w:lineRule="auto"/>
        <w:jc w:val="both"/>
        <w:rPr>
          <w:rStyle w:val="a5"/>
          <w:rFonts w:eastAsiaTheme="majorEastAsia"/>
          <w:color w:val="000000" w:themeColor="text1"/>
        </w:rPr>
      </w:pPr>
      <w:r>
        <w:rPr>
          <w:rStyle w:val="a7"/>
          <w:rFonts w:eastAsiaTheme="majorEastAsia"/>
          <w:color w:val="000000" w:themeColor="text1"/>
        </w:rPr>
        <w:t>Комментарии.</w:t>
      </w:r>
      <w:r>
        <w:rPr>
          <w:color w:val="000000" w:themeColor="text1"/>
        </w:rPr>
        <w:t> </w:t>
      </w:r>
      <w:r>
        <w:rPr>
          <w:rStyle w:val="a5"/>
          <w:rFonts w:eastAsiaTheme="majorEastAsia"/>
          <w:color w:val="000000" w:themeColor="text1"/>
        </w:rPr>
        <w:t xml:space="preserve">Длительность лечения обычно не превышает 5-7 дней. </w:t>
      </w:r>
    </w:p>
    <w:p w14:paraId="515ECC09"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color w:val="000000" w:themeColor="text1"/>
        </w:rPr>
        <w:t>У пациентов с ИМпST и поздним постинфарктным перикардитом с выраженными клиническими проявлениями в качестве противовоспалительной терапии рекомендуется применение АСК в дозе 500-1000 мг каждые 6-8 ч (максимальная суточная доза — 3000 мг) с последующим постепенным снижением дозы на 250-500 мг каждые 2 нед. </w:t>
      </w:r>
      <w:hyperlink r:id="rId266" w:history="1">
        <w:r>
          <w:rPr>
            <w:rStyle w:val="a6"/>
            <w:color w:val="000000" w:themeColor="text1"/>
          </w:rPr>
          <w:t>[9]</w:t>
        </w:r>
      </w:hyperlink>
      <w:hyperlink r:id="rId267" w:history="1">
        <w:r>
          <w:rPr>
            <w:rStyle w:val="a6"/>
            <w:color w:val="000000" w:themeColor="text1"/>
          </w:rPr>
          <w:t>[451]</w:t>
        </w:r>
      </w:hyperlink>
      <w:r>
        <w:rPr>
          <w:color w:val="000000" w:themeColor="text1"/>
        </w:rPr>
        <w:t>.</w:t>
      </w:r>
    </w:p>
    <w:p w14:paraId="3CC651BB" w14:textId="39CEC77B"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РКО IIaC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С,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5)</w:t>
      </w:r>
      <w:r w:rsidR="00BD2F09">
        <w:rPr>
          <w:rStyle w:val="a7"/>
          <w:rFonts w:eastAsiaTheme="majorEastAsia"/>
          <w:color w:val="000000" w:themeColor="text1"/>
        </w:rPr>
        <w:t>.</w:t>
      </w:r>
    </w:p>
    <w:p w14:paraId="1F3A5252" w14:textId="77777777" w:rsidR="004C062E" w:rsidRDefault="002C7340" w:rsidP="00A419DB">
      <w:pPr>
        <w:numPr>
          <w:ilvl w:val="0"/>
          <w:numId w:val="67"/>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качестве дополнительного средства лечения постинфарктного перикардита возможно использование безвременника осеннего семян экстракта (колхицина) в течение 3 мес. в дозе 0,5 мг 2 раза/сут. (у пациентов с массой тела ≥70 кг) или 0,5 мг 1 раз/сут. (у пациентов с массой тела &lt;70 кг) </w:t>
      </w:r>
      <w:hyperlink r:id="rId268" w:history="1">
        <w:r>
          <w:rPr>
            <w:rStyle w:val="a6"/>
            <w:rFonts w:ascii="Times New Roman" w:hAnsi="Times New Roman" w:cs="Times New Roman"/>
            <w:color w:val="000000" w:themeColor="text1"/>
            <w:sz w:val="24"/>
            <w:szCs w:val="24"/>
          </w:rPr>
          <w:t>[451]</w:t>
        </w:r>
      </w:hyperlink>
      <w:r>
        <w:rPr>
          <w:rFonts w:ascii="Times New Roman" w:hAnsi="Times New Roman" w:cs="Times New Roman"/>
          <w:color w:val="000000" w:themeColor="text1"/>
          <w:sz w:val="24"/>
          <w:szCs w:val="24"/>
        </w:rPr>
        <w:t>.</w:t>
      </w:r>
    </w:p>
    <w:p w14:paraId="6B5D9E3E" w14:textId="4CC799AB" w:rsidR="004C062E" w:rsidRPr="00377D6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lastRenderedPageBreak/>
        <w:t>РКО IIaC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С,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5)</w:t>
      </w:r>
      <w:r w:rsidR="00BD2F09">
        <w:rPr>
          <w:rStyle w:val="a7"/>
          <w:rFonts w:eastAsiaTheme="majorEastAsia"/>
          <w:color w:val="000000" w:themeColor="text1"/>
        </w:rPr>
        <w:t>.</w:t>
      </w:r>
    </w:p>
    <w:p w14:paraId="018C9A7A" w14:textId="3AA33049" w:rsidR="004C062E" w:rsidRDefault="002C7340" w:rsidP="00A419DB">
      <w:pPr>
        <w:pStyle w:val="20"/>
        <w:suppressAutoHyphens/>
        <w:spacing w:line="360" w:lineRule="auto"/>
        <w:jc w:val="both"/>
        <w:rPr>
          <w:rFonts w:ascii="Times New Roman" w:eastAsia="Calibri" w:hAnsi="Times New Roman" w:cs="Times New Roman"/>
          <w:bCs w:val="0"/>
          <w:iCs/>
          <w:color w:val="000000" w:themeColor="text1"/>
          <w:sz w:val="24"/>
          <w:szCs w:val="24"/>
        </w:rPr>
      </w:pPr>
      <w:bookmarkStart w:id="47" w:name="_Toc236138955"/>
      <w:r>
        <w:rPr>
          <w:rFonts w:ascii="Times New Roman" w:eastAsia="Calibri" w:hAnsi="Times New Roman" w:cs="Times New Roman"/>
          <w:bCs w:val="0"/>
          <w:iCs/>
          <w:color w:val="000000" w:themeColor="text1"/>
          <w:sz w:val="24"/>
          <w:szCs w:val="24"/>
        </w:rPr>
        <w:t>Острая аневризма ЛЖ и тромбоз ЛЖ</w:t>
      </w:r>
      <w:bookmarkEnd w:id="47"/>
    </w:p>
    <w:p w14:paraId="0A0EE7CE"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color w:val="000000" w:themeColor="text1"/>
        </w:rPr>
        <w:t>Острая аневризма ЛЖ обычно развивается при обширном ИМпST передней стенки ЛЖ, особенно в отсутствие адекватной реперфузионной терапии. При острой аневризме ЛЖ увеличивается вероятность разрыва сердца, а также таких осложнений, как СН, нарушения ритма сердца, перикардит, тромбоз полости ЛЖ, периферические тромбоэмболии.</w:t>
      </w:r>
    </w:p>
    <w:p w14:paraId="78DF8720"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color w:val="000000" w:themeColor="text1"/>
        </w:rPr>
        <w:t>Практически всегда при аневризме сердца не менее чем в половине случаев обширных передних ИМпST обнаруживают пристеночный тромбоз в полости ЛЖ.</w:t>
      </w:r>
    </w:p>
    <w:p w14:paraId="324FD24C" w14:textId="77777777" w:rsidR="004C062E" w:rsidRDefault="002C7340" w:rsidP="00A419DB">
      <w:pPr>
        <w:numPr>
          <w:ilvl w:val="0"/>
          <w:numId w:val="68"/>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Пациентам с ИМпST при высокой клинической вероятности тромба в полости ЛЖ, но сомнительных результатах ЭхоКГ для подтверждения/исключения тромба в полости ЛЖ рекомендуется МРТ сердца (МРТ сердца с контрастированием) — при наличии физических и технических возможностей </w:t>
      </w:r>
      <w:hyperlink r:id="rId269" w:history="1">
        <w:r>
          <w:rPr>
            <w:rStyle w:val="a6"/>
            <w:rFonts w:ascii="Times New Roman" w:hAnsi="Times New Roman" w:cs="Times New Roman"/>
            <w:color w:val="000000" w:themeColor="text1"/>
            <w:sz w:val="24"/>
            <w:szCs w:val="24"/>
          </w:rPr>
          <w:t>[68]</w:t>
        </w:r>
      </w:hyperlink>
      <w:hyperlink r:id="rId270" w:history="1">
        <w:r>
          <w:rPr>
            <w:rStyle w:val="a6"/>
            <w:rFonts w:ascii="Times New Roman" w:hAnsi="Times New Roman" w:cs="Times New Roman"/>
            <w:color w:val="000000" w:themeColor="text1"/>
            <w:sz w:val="24"/>
            <w:szCs w:val="24"/>
          </w:rPr>
          <w:t>[69]</w:t>
        </w:r>
      </w:hyperlink>
      <w:r>
        <w:rPr>
          <w:rFonts w:ascii="Times New Roman" w:hAnsi="Times New Roman" w:cs="Times New Roman"/>
          <w:color w:val="000000" w:themeColor="text1"/>
          <w:sz w:val="24"/>
          <w:szCs w:val="24"/>
        </w:rPr>
        <w:t>.</w:t>
      </w:r>
    </w:p>
    <w:p w14:paraId="3B436CA0" w14:textId="205F02C0"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IIaC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B,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2)</w:t>
      </w:r>
      <w:r w:rsidR="00BD2F09">
        <w:rPr>
          <w:rStyle w:val="a7"/>
          <w:rFonts w:eastAsiaTheme="majorEastAsia"/>
          <w:color w:val="000000" w:themeColor="text1"/>
        </w:rPr>
        <w:t>.</w:t>
      </w:r>
    </w:p>
    <w:p w14:paraId="24AB06C0" w14:textId="77777777" w:rsidR="004C062E" w:rsidRDefault="002C7340" w:rsidP="00A419DB">
      <w:pPr>
        <w:numPr>
          <w:ilvl w:val="0"/>
          <w:numId w:val="69"/>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При наличии тромба в полости ЛЖ у пациентов с ИМпST рекомендуется назначение оральных антикоагулянтов (антагонистов витамина К или прямых оральных антикоагулянтов (апиксабана, дабигатрана этексилата, ривароксабана, эдоксабана)) </w:t>
      </w:r>
      <w:r w:rsidR="00FE7E3F">
        <w:rPr>
          <w:rFonts w:ascii="Times New Roman" w:hAnsi="Times New Roman" w:cs="Times New Roman"/>
          <w:color w:val="000000" w:themeColor="text1"/>
          <w:sz w:val="24"/>
          <w:szCs w:val="24"/>
        </w:rPr>
        <w:t>минимум на</w:t>
      </w:r>
      <w:r>
        <w:rPr>
          <w:rFonts w:ascii="Times New Roman" w:hAnsi="Times New Roman" w:cs="Times New Roman"/>
          <w:color w:val="000000" w:themeColor="text1"/>
          <w:sz w:val="24"/>
          <w:szCs w:val="24"/>
        </w:rPr>
        <w:t> 3-6 мес.</w:t>
      </w:r>
      <w:r w:rsidR="00FE7E3F">
        <w:rPr>
          <w:rFonts w:ascii="Times New Roman" w:hAnsi="Times New Roman" w:cs="Times New Roman"/>
          <w:color w:val="000000" w:themeColor="text1"/>
          <w:sz w:val="24"/>
          <w:szCs w:val="24"/>
        </w:rPr>
        <w:t>, с последующим решением вопроса о продлении терапии</w:t>
      </w:r>
      <w:r>
        <w:rPr>
          <w:rFonts w:ascii="Times New Roman" w:hAnsi="Times New Roman" w:cs="Times New Roman"/>
          <w:color w:val="000000" w:themeColor="text1"/>
          <w:sz w:val="24"/>
          <w:szCs w:val="24"/>
        </w:rPr>
        <w:t> </w:t>
      </w:r>
      <w:hyperlink r:id="rId271" w:history="1">
        <w:r>
          <w:rPr>
            <w:rStyle w:val="a6"/>
            <w:rFonts w:ascii="Times New Roman" w:hAnsi="Times New Roman" w:cs="Times New Roman"/>
            <w:color w:val="000000" w:themeColor="text1"/>
            <w:sz w:val="24"/>
            <w:szCs w:val="24"/>
          </w:rPr>
          <w:t>[454]</w:t>
        </w:r>
      </w:hyperlink>
      <w:r>
        <w:rPr>
          <w:rFonts w:ascii="Times New Roman" w:hAnsi="Times New Roman" w:cs="Times New Roman"/>
          <w:color w:val="000000" w:themeColor="text1"/>
          <w:sz w:val="24"/>
          <w:szCs w:val="24"/>
        </w:rPr>
        <w:t>.</w:t>
      </w:r>
    </w:p>
    <w:p w14:paraId="502EB84F" w14:textId="77F93A1E"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IIaC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С,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5)</w:t>
      </w:r>
      <w:r w:rsidR="00BD2F09">
        <w:rPr>
          <w:rStyle w:val="a7"/>
          <w:rFonts w:eastAsiaTheme="majorEastAsia"/>
          <w:color w:val="000000" w:themeColor="text1"/>
        </w:rPr>
        <w:t>.</w:t>
      </w:r>
    </w:p>
    <w:p w14:paraId="2B619042"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Комментарии.</w:t>
      </w:r>
      <w:r>
        <w:rPr>
          <w:color w:val="000000" w:themeColor="text1"/>
        </w:rPr>
        <w:t> </w:t>
      </w:r>
      <w:r>
        <w:rPr>
          <w:rStyle w:val="a5"/>
          <w:rFonts w:eastAsiaTheme="majorEastAsia"/>
          <w:color w:val="000000" w:themeColor="text1"/>
        </w:rPr>
        <w:t>Абсолютным показанием для назначения антикоагулянтов являются следующие особенности тромба: мобильный (флотирующий) свободный участок, большие размеры (более 2-3 см) и выраженная протрузия (выпячивание) тромба в полость ЛЖ, неоднородность структуры, фрагментация тромба.</w:t>
      </w:r>
    </w:p>
    <w:p w14:paraId="56813DF6" w14:textId="2FF9BB33" w:rsidR="004C062E" w:rsidRPr="00377D6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5"/>
          <w:rFonts w:eastAsiaTheme="majorEastAsia"/>
          <w:color w:val="000000" w:themeColor="text1"/>
        </w:rPr>
        <w:t xml:space="preserve">Традиционной терапией внутриполостного тромба ЛЖ является терапия антагонистом витамина К под контролем МНО (целевые значения — 2,0-3,0), в период подбора дозы антагониста витамина К следует продолжать введение лечебной дозы парентерального </w:t>
      </w:r>
      <w:r>
        <w:rPr>
          <w:rStyle w:val="a5"/>
          <w:rFonts w:eastAsiaTheme="majorEastAsia"/>
          <w:color w:val="000000" w:themeColor="text1"/>
        </w:rPr>
        <w:lastRenderedPageBreak/>
        <w:t>антикоагулянта. Использование прямых оральных антикоагулянтов не исключено, но пока мало изучено.</w:t>
      </w:r>
    </w:p>
    <w:p w14:paraId="3732FB2E" w14:textId="218039E9" w:rsidR="004C062E" w:rsidRDefault="002C7340" w:rsidP="00A419DB">
      <w:pPr>
        <w:pStyle w:val="20"/>
        <w:suppressAutoHyphens/>
        <w:spacing w:line="360" w:lineRule="auto"/>
        <w:jc w:val="both"/>
        <w:rPr>
          <w:rFonts w:ascii="Times New Roman" w:eastAsia="Calibri" w:hAnsi="Times New Roman" w:cs="Times New Roman"/>
          <w:bCs w:val="0"/>
          <w:iCs/>
          <w:color w:val="000000" w:themeColor="text1"/>
          <w:sz w:val="24"/>
          <w:szCs w:val="24"/>
        </w:rPr>
      </w:pPr>
      <w:bookmarkStart w:id="48" w:name="_Toc236138956"/>
      <w:r>
        <w:rPr>
          <w:rFonts w:ascii="Times New Roman" w:eastAsia="Calibri" w:hAnsi="Times New Roman" w:cs="Times New Roman"/>
          <w:bCs w:val="0"/>
          <w:iCs/>
          <w:color w:val="000000" w:themeColor="text1"/>
          <w:sz w:val="24"/>
          <w:szCs w:val="24"/>
        </w:rPr>
        <w:t>Ранняя постинфарктная стенокардия.</w:t>
      </w:r>
      <w:bookmarkEnd w:id="48"/>
    </w:p>
    <w:p w14:paraId="39DAF45E"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color w:val="000000" w:themeColor="text1"/>
          <w:szCs w:val="26"/>
        </w:rPr>
        <w:t>Ранняя постинфарктная стенокардия является вариантом НС и требует неотложных лечебных мероприятий. В основе ранней постинфарктной стенокардии может лежать как ретромбоз (частичный или полный) ИСА, так и стенозирующее поражение других КА. После выполнения ЧКВ причиной возобновления ангинозных приступов может быть тромбоз стента или диссекция КА. В ранние сроки после ИМ может отмечаться появление стенокардитических болей, обусловленных ишемией жизнеспособного миокарда в периинфарктной зоне (особенно если не проводилась реперфузионная терапия) или, реже, в других сосудистых бассейнах. Ишемия может быть связана с еще одной АСБ, иногда расположенной в другой КА.</w:t>
      </w:r>
    </w:p>
    <w:p w14:paraId="1FDDA021"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color w:val="000000" w:themeColor="text1"/>
          <w:szCs w:val="26"/>
        </w:rPr>
        <w:t>Следует дифференцировать раннюю постинфарктную стенокардию от болей, связанных с перикардитом.</w:t>
      </w:r>
    </w:p>
    <w:p w14:paraId="1454CDA2"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color w:val="000000" w:themeColor="text1"/>
          <w:szCs w:val="26"/>
        </w:rPr>
        <w:t>В раннем периоде (до 28 дней включительно) ИМпST может развиться рецидив ИМ, приводящий к расширению зоны поражения. Рецидив ИМ следует исключать при повторном ангинозном приступе длительностью &gt;20 мин, сопровождающемся повышением уровня кардиомаркеров, изменениями ЭКГ и появлением новых зон нарушенной локальной сократимости.</w:t>
      </w:r>
    </w:p>
    <w:p w14:paraId="146189CF" w14:textId="77777777" w:rsidR="004C062E" w:rsidRDefault="002C7340" w:rsidP="00A419DB">
      <w:pPr>
        <w:numPr>
          <w:ilvl w:val="0"/>
          <w:numId w:val="70"/>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6"/>
        </w:rPr>
      </w:pPr>
      <w:r>
        <w:rPr>
          <w:rFonts w:ascii="Times New Roman" w:hAnsi="Times New Roman" w:cs="Times New Roman"/>
          <w:color w:val="000000" w:themeColor="text1"/>
          <w:sz w:val="24"/>
          <w:szCs w:val="26"/>
        </w:rPr>
        <w:t>У пациентов с ИМпST при возникновении ангинозного болевого приступа длительностью &gt;20 мин для диагностики рецидива ИМ, рекомендуется исследование уровня сердечного тропонина I или Т с повторной оценкой через 6 ч. Повышение уровня сердечного тропонина на ≥20% от предшествующего уровня в сочетании с критериями ишемии миокарда свидетельствует о рецидиве ИМ </w:t>
      </w:r>
      <w:hyperlink r:id="rId272" w:history="1">
        <w:r>
          <w:rPr>
            <w:rStyle w:val="a6"/>
            <w:rFonts w:ascii="Times New Roman" w:hAnsi="Times New Roman" w:cs="Times New Roman"/>
            <w:color w:val="000000" w:themeColor="text1"/>
            <w:sz w:val="24"/>
            <w:szCs w:val="26"/>
          </w:rPr>
          <w:t>[2]</w:t>
        </w:r>
      </w:hyperlink>
      <w:hyperlink r:id="rId273" w:history="1">
        <w:r>
          <w:rPr>
            <w:rStyle w:val="a6"/>
            <w:rFonts w:ascii="Times New Roman" w:hAnsi="Times New Roman" w:cs="Times New Roman"/>
            <w:color w:val="000000" w:themeColor="text1"/>
            <w:sz w:val="24"/>
            <w:szCs w:val="26"/>
          </w:rPr>
          <w:t>[9]</w:t>
        </w:r>
      </w:hyperlink>
      <w:r>
        <w:rPr>
          <w:rFonts w:ascii="Times New Roman" w:hAnsi="Times New Roman" w:cs="Times New Roman"/>
          <w:color w:val="000000" w:themeColor="text1"/>
          <w:sz w:val="24"/>
          <w:szCs w:val="26"/>
        </w:rPr>
        <w:t>.</w:t>
      </w:r>
    </w:p>
    <w:p w14:paraId="7CF08863" w14:textId="2F377DD8"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7"/>
          <w:rFonts w:eastAsiaTheme="majorEastAsia"/>
          <w:color w:val="000000" w:themeColor="text1"/>
          <w:szCs w:val="26"/>
        </w:rPr>
        <w:t>ЕОК IIaC (</w:t>
      </w:r>
      <w:r w:rsidR="00F52FCA">
        <w:rPr>
          <w:rStyle w:val="a7"/>
          <w:rFonts w:eastAsiaTheme="majorEastAsia"/>
          <w:color w:val="000000" w:themeColor="text1"/>
          <w:szCs w:val="26"/>
        </w:rPr>
        <w:t>Уровень убедительности рекомендаций</w:t>
      </w:r>
      <w:r>
        <w:rPr>
          <w:rStyle w:val="a7"/>
          <w:rFonts w:eastAsiaTheme="majorEastAsia"/>
          <w:color w:val="000000" w:themeColor="text1"/>
          <w:szCs w:val="26"/>
        </w:rPr>
        <w:t xml:space="preserve"> С, </w:t>
      </w:r>
      <w:r w:rsidR="00F52FCA">
        <w:rPr>
          <w:rStyle w:val="a7"/>
          <w:rFonts w:eastAsiaTheme="majorEastAsia"/>
          <w:color w:val="000000" w:themeColor="text1"/>
          <w:szCs w:val="26"/>
        </w:rPr>
        <w:t>Уровень достоверности докзательств</w:t>
      </w:r>
      <w:r>
        <w:rPr>
          <w:rStyle w:val="a7"/>
          <w:rFonts w:eastAsiaTheme="majorEastAsia"/>
          <w:color w:val="000000" w:themeColor="text1"/>
          <w:szCs w:val="26"/>
        </w:rPr>
        <w:t> 5)</w:t>
      </w:r>
      <w:r w:rsidR="00BD2F09">
        <w:rPr>
          <w:rStyle w:val="a7"/>
          <w:rFonts w:eastAsiaTheme="majorEastAsia"/>
          <w:color w:val="000000" w:themeColor="text1"/>
          <w:szCs w:val="26"/>
        </w:rPr>
        <w:t>.</w:t>
      </w:r>
    </w:p>
    <w:p w14:paraId="32AD3507" w14:textId="77777777" w:rsidR="004C062E" w:rsidRDefault="002C7340" w:rsidP="00A419DB">
      <w:pPr>
        <w:numPr>
          <w:ilvl w:val="0"/>
          <w:numId w:val="71"/>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6"/>
        </w:rPr>
      </w:pPr>
      <w:r>
        <w:rPr>
          <w:rFonts w:ascii="Times New Roman" w:hAnsi="Times New Roman" w:cs="Times New Roman"/>
          <w:color w:val="000000" w:themeColor="text1"/>
          <w:sz w:val="24"/>
          <w:szCs w:val="26"/>
        </w:rPr>
        <w:t>Для предотвращения распространения зоны ИМ у пациентов с ИМпST и ранней постинфарктной стенокардией и/или рецидивом ИМ рекомендуется проведение КГ и, при необходимости, выполнение реваскуляризации </w:t>
      </w:r>
      <w:hyperlink r:id="rId274" w:history="1">
        <w:r>
          <w:rPr>
            <w:rStyle w:val="a6"/>
            <w:rFonts w:ascii="Times New Roman" w:hAnsi="Times New Roman" w:cs="Times New Roman"/>
            <w:color w:val="000000" w:themeColor="text1"/>
            <w:sz w:val="24"/>
            <w:szCs w:val="26"/>
          </w:rPr>
          <w:t>[9]</w:t>
        </w:r>
      </w:hyperlink>
      <w:r>
        <w:rPr>
          <w:rFonts w:ascii="Times New Roman" w:hAnsi="Times New Roman" w:cs="Times New Roman"/>
          <w:color w:val="000000" w:themeColor="text1"/>
          <w:sz w:val="24"/>
          <w:szCs w:val="26"/>
        </w:rPr>
        <w:t>.</w:t>
      </w:r>
    </w:p>
    <w:p w14:paraId="324984D9" w14:textId="7EE3A580" w:rsidR="004C062E" w:rsidRPr="00377D6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rStyle w:val="a7"/>
          <w:rFonts w:eastAsiaTheme="majorEastAsia"/>
          <w:color w:val="000000" w:themeColor="text1"/>
          <w:szCs w:val="26"/>
        </w:rPr>
        <w:lastRenderedPageBreak/>
        <w:t>ЕОК IIaC (</w:t>
      </w:r>
      <w:r w:rsidR="00F52FCA">
        <w:rPr>
          <w:rStyle w:val="a7"/>
          <w:rFonts w:eastAsiaTheme="majorEastAsia"/>
          <w:color w:val="000000" w:themeColor="text1"/>
          <w:szCs w:val="26"/>
        </w:rPr>
        <w:t>Уровень убедительности рекомендаций</w:t>
      </w:r>
      <w:r>
        <w:rPr>
          <w:rStyle w:val="a7"/>
          <w:rFonts w:eastAsiaTheme="majorEastAsia"/>
          <w:color w:val="000000" w:themeColor="text1"/>
          <w:szCs w:val="26"/>
        </w:rPr>
        <w:t xml:space="preserve"> С, </w:t>
      </w:r>
      <w:r w:rsidR="00F52FCA">
        <w:rPr>
          <w:rStyle w:val="a7"/>
          <w:rFonts w:eastAsiaTheme="majorEastAsia"/>
          <w:color w:val="000000" w:themeColor="text1"/>
          <w:szCs w:val="26"/>
        </w:rPr>
        <w:t>Уровень достоверности докзательств</w:t>
      </w:r>
      <w:r>
        <w:rPr>
          <w:rStyle w:val="a7"/>
          <w:rFonts w:eastAsiaTheme="majorEastAsia"/>
          <w:color w:val="000000" w:themeColor="text1"/>
          <w:szCs w:val="26"/>
        </w:rPr>
        <w:t> 5)</w:t>
      </w:r>
      <w:r w:rsidR="00BD2F09">
        <w:rPr>
          <w:rStyle w:val="a7"/>
          <w:rFonts w:eastAsiaTheme="majorEastAsia"/>
          <w:color w:val="000000" w:themeColor="text1"/>
          <w:szCs w:val="26"/>
        </w:rPr>
        <w:t>.</w:t>
      </w:r>
    </w:p>
    <w:p w14:paraId="497A3B98" w14:textId="4F3A6DDE" w:rsidR="004C062E" w:rsidRDefault="002C7340" w:rsidP="00A419DB">
      <w:pPr>
        <w:pStyle w:val="20"/>
        <w:suppressAutoHyphens/>
        <w:spacing w:line="360" w:lineRule="auto"/>
        <w:jc w:val="both"/>
        <w:rPr>
          <w:rFonts w:ascii="Times New Roman" w:eastAsia="Calibri" w:hAnsi="Times New Roman" w:cs="Times New Roman"/>
          <w:bCs w:val="0"/>
          <w:iCs/>
          <w:color w:val="000000" w:themeColor="text1"/>
          <w:sz w:val="24"/>
          <w:szCs w:val="24"/>
        </w:rPr>
      </w:pPr>
      <w:bookmarkStart w:id="49" w:name="_Toc236138957"/>
      <w:r>
        <w:rPr>
          <w:rFonts w:ascii="Times New Roman" w:eastAsia="Calibri" w:hAnsi="Times New Roman" w:cs="Times New Roman"/>
          <w:bCs w:val="0"/>
          <w:iCs/>
          <w:color w:val="000000" w:themeColor="text1"/>
          <w:sz w:val="24"/>
          <w:szCs w:val="24"/>
        </w:rPr>
        <w:t xml:space="preserve">Инфаркт миокарда со стойнким подъёмом сегмента </w:t>
      </w:r>
      <w:r>
        <w:rPr>
          <w:rFonts w:ascii="Times New Roman" w:eastAsia="Calibri" w:hAnsi="Times New Roman" w:cs="Times New Roman"/>
          <w:bCs w:val="0"/>
          <w:iCs/>
          <w:color w:val="000000" w:themeColor="text1"/>
          <w:sz w:val="24"/>
          <w:szCs w:val="24"/>
          <w:lang w:val="en-US"/>
        </w:rPr>
        <w:t>ST</w:t>
      </w:r>
      <w:r>
        <w:rPr>
          <w:rFonts w:ascii="Times New Roman" w:eastAsia="Calibri" w:hAnsi="Times New Roman" w:cs="Times New Roman"/>
          <w:bCs w:val="0"/>
          <w:iCs/>
          <w:color w:val="000000" w:themeColor="text1"/>
          <w:sz w:val="24"/>
          <w:szCs w:val="24"/>
        </w:rPr>
        <w:t xml:space="preserve"> правого желудочка.</w:t>
      </w:r>
      <w:bookmarkEnd w:id="49"/>
    </w:p>
    <w:p w14:paraId="714D09FC"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color w:val="000000" w:themeColor="text1"/>
        </w:rPr>
        <w:t>Изолированный ИМ ПЖ встречается редко, но его содружественное поражение при ИМпST нижней стенки ЛЖ наблюдается не менее чем у 25% пациентов. Клинически для ИМ ПЖ характерны артериальная гипотензия, набухание вен шеи при отсутствии признаков застоя в малом круге. Гипотония при ИМ ПЖ связана с относительной гиповолемией.</w:t>
      </w:r>
    </w:p>
    <w:p w14:paraId="33850B99" w14:textId="77777777" w:rsidR="004C062E" w:rsidRDefault="002C7340" w:rsidP="00A419DB">
      <w:pPr>
        <w:numPr>
          <w:ilvl w:val="0"/>
          <w:numId w:val="72"/>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с ИМпST нижней локализации для исключения/выявления вовлечения в зону некроза миокарда ПЖ рекомендуется регистрировать ЭКГ в правых прекордиальных отведениях (элевация сегмента ST ≥1 мм в отведениях V</w:t>
      </w:r>
      <w:r>
        <w:rPr>
          <w:rFonts w:ascii="Times New Roman" w:hAnsi="Times New Roman" w:cs="Times New Roman"/>
          <w:color w:val="000000" w:themeColor="text1"/>
          <w:sz w:val="24"/>
          <w:szCs w:val="24"/>
          <w:vertAlign w:val="subscript"/>
        </w:rPr>
        <w:t>3</w:t>
      </w:r>
      <w:r>
        <w:rPr>
          <w:rFonts w:ascii="Times New Roman" w:hAnsi="Times New Roman" w:cs="Times New Roman"/>
          <w:color w:val="000000" w:themeColor="text1"/>
          <w:sz w:val="24"/>
          <w:szCs w:val="24"/>
        </w:rPr>
        <w:t>R и V</w:t>
      </w:r>
      <w:r>
        <w:rPr>
          <w:rFonts w:ascii="Times New Roman" w:hAnsi="Times New Roman" w:cs="Times New Roman"/>
          <w:color w:val="000000" w:themeColor="text1"/>
          <w:sz w:val="24"/>
          <w:szCs w:val="24"/>
          <w:vertAlign w:val="subscript"/>
        </w:rPr>
        <w:t>4</w:t>
      </w:r>
      <w:r>
        <w:rPr>
          <w:rFonts w:ascii="Times New Roman" w:hAnsi="Times New Roman" w:cs="Times New Roman"/>
          <w:color w:val="000000" w:themeColor="text1"/>
          <w:sz w:val="24"/>
          <w:szCs w:val="24"/>
        </w:rPr>
        <w:t>R является признаком ИМ ПЖ) и выполнить ЭхоКГ с целью выявления нарушения локальной сократимости ПЖ, расширение полости ПЖ </w:t>
      </w:r>
      <w:hyperlink r:id="rId275" w:history="1">
        <w:r>
          <w:rPr>
            <w:rStyle w:val="a6"/>
            <w:rFonts w:ascii="Times New Roman" w:hAnsi="Times New Roman" w:cs="Times New Roman"/>
            <w:color w:val="000000" w:themeColor="text1"/>
            <w:sz w:val="24"/>
            <w:szCs w:val="24"/>
          </w:rPr>
          <w:t>[9]</w:t>
        </w:r>
      </w:hyperlink>
      <w:hyperlink r:id="rId276" w:history="1">
        <w:r>
          <w:rPr>
            <w:rStyle w:val="a6"/>
            <w:rFonts w:ascii="Times New Roman" w:hAnsi="Times New Roman" w:cs="Times New Roman"/>
            <w:color w:val="000000" w:themeColor="text1"/>
            <w:sz w:val="24"/>
            <w:szCs w:val="24"/>
          </w:rPr>
          <w:t>[48]</w:t>
        </w:r>
      </w:hyperlink>
      <w:hyperlink r:id="rId277" w:history="1">
        <w:r>
          <w:rPr>
            <w:rStyle w:val="a6"/>
            <w:rFonts w:ascii="Times New Roman" w:hAnsi="Times New Roman" w:cs="Times New Roman"/>
            <w:color w:val="000000" w:themeColor="text1"/>
            <w:sz w:val="24"/>
            <w:szCs w:val="24"/>
          </w:rPr>
          <w:t>[455]</w:t>
        </w:r>
      </w:hyperlink>
      <w:hyperlink r:id="rId278" w:history="1">
        <w:r>
          <w:rPr>
            <w:rStyle w:val="a6"/>
            <w:rFonts w:ascii="Times New Roman" w:hAnsi="Times New Roman" w:cs="Times New Roman"/>
            <w:color w:val="000000" w:themeColor="text1"/>
            <w:sz w:val="24"/>
            <w:szCs w:val="24"/>
          </w:rPr>
          <w:t>[456]</w:t>
        </w:r>
      </w:hyperlink>
      <w:r>
        <w:rPr>
          <w:rFonts w:ascii="Times New Roman" w:hAnsi="Times New Roman" w:cs="Times New Roman"/>
          <w:color w:val="000000" w:themeColor="text1"/>
          <w:sz w:val="24"/>
          <w:szCs w:val="24"/>
        </w:rPr>
        <w:t>.</w:t>
      </w:r>
    </w:p>
    <w:p w14:paraId="121ABA96" w14:textId="7E511E20"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IIaC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С,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3)</w:t>
      </w:r>
      <w:r w:rsidR="00BD2F09">
        <w:rPr>
          <w:rStyle w:val="a7"/>
          <w:rFonts w:eastAsiaTheme="majorEastAsia"/>
          <w:color w:val="000000" w:themeColor="text1"/>
        </w:rPr>
        <w:t>.</w:t>
      </w:r>
    </w:p>
    <w:p w14:paraId="2674C357"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Комментарии.</w:t>
      </w:r>
      <w:r>
        <w:rPr>
          <w:color w:val="000000" w:themeColor="text1"/>
        </w:rPr>
        <w:t> </w:t>
      </w:r>
      <w:r>
        <w:rPr>
          <w:rStyle w:val="a5"/>
          <w:rFonts w:eastAsiaTheme="majorEastAsia"/>
          <w:color w:val="000000" w:themeColor="text1"/>
        </w:rPr>
        <w:t>ЭхоКГ позволяет выявить нарушения локальной сократимости ПЖ, расширение его полости.</w:t>
      </w:r>
    </w:p>
    <w:p w14:paraId="6876B8F2" w14:textId="08FDB0EF"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IIaC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С,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5)</w:t>
      </w:r>
      <w:r w:rsidR="00BD2F09">
        <w:rPr>
          <w:rStyle w:val="a7"/>
          <w:rFonts w:eastAsiaTheme="majorEastAsia"/>
          <w:color w:val="000000" w:themeColor="text1"/>
        </w:rPr>
        <w:t>.</w:t>
      </w:r>
    </w:p>
    <w:p w14:paraId="2DA1FBAD" w14:textId="77777777" w:rsidR="004C062E" w:rsidRDefault="002C7340" w:rsidP="00A419DB">
      <w:pPr>
        <w:numPr>
          <w:ilvl w:val="0"/>
          <w:numId w:val="73"/>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 ИМпST c вовлечением ПЖ из-за угрозы усугубления относительной гиповолемии рекомендуется избегать назначения диуретиков и особенно периферических вазодилататоров </w:t>
      </w:r>
      <w:hyperlink r:id="rId279" w:history="1">
        <w:r>
          <w:rPr>
            <w:rStyle w:val="a6"/>
            <w:rFonts w:ascii="Times New Roman" w:hAnsi="Times New Roman" w:cs="Times New Roman"/>
            <w:color w:val="000000" w:themeColor="text1"/>
            <w:sz w:val="24"/>
            <w:szCs w:val="24"/>
          </w:rPr>
          <w:t>[9]</w:t>
        </w:r>
      </w:hyperlink>
      <w:r>
        <w:rPr>
          <w:rFonts w:ascii="Times New Roman" w:hAnsi="Times New Roman" w:cs="Times New Roman"/>
          <w:color w:val="000000" w:themeColor="text1"/>
          <w:sz w:val="24"/>
          <w:szCs w:val="24"/>
        </w:rPr>
        <w:t>.</w:t>
      </w:r>
    </w:p>
    <w:p w14:paraId="60F59063" w14:textId="07796551" w:rsidR="00FE7E3F"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IIIC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С,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5)</w:t>
      </w:r>
      <w:r w:rsidR="00BD2F09">
        <w:rPr>
          <w:rStyle w:val="a7"/>
          <w:rFonts w:eastAsiaTheme="majorEastAsia"/>
          <w:color w:val="000000" w:themeColor="text1"/>
        </w:rPr>
        <w:t>.</w:t>
      </w:r>
    </w:p>
    <w:p w14:paraId="47B10E6A" w14:textId="056DB42F" w:rsidR="004C062E" w:rsidRDefault="000C2EC4" w:rsidP="00A419DB">
      <w:pPr>
        <w:pStyle w:val="10"/>
        <w:numPr>
          <w:ilvl w:val="0"/>
          <w:numId w:val="3"/>
        </w:numPr>
        <w:suppressAutoHyphens/>
        <w:spacing w:before="0" w:line="360" w:lineRule="auto"/>
        <w:contextualSpacing/>
        <w:jc w:val="both"/>
        <w:rPr>
          <w:rFonts w:ascii="Times New Roman" w:hAnsi="Times New Roman" w:cs="Times New Roman"/>
          <w:color w:val="000000" w:themeColor="text1"/>
          <w:sz w:val="24"/>
          <w:szCs w:val="24"/>
        </w:rPr>
      </w:pPr>
      <w:bookmarkStart w:id="50" w:name="_Toc236138958"/>
      <w:r>
        <w:rPr>
          <w:rFonts w:ascii="Times New Roman" w:hAnsi="Times New Roman" w:cs="Times New Roman"/>
          <w:color w:val="000000" w:themeColor="text1"/>
          <w:sz w:val="24"/>
          <w:szCs w:val="24"/>
        </w:rPr>
        <w:t>Р</w:t>
      </w:r>
      <w:r w:rsidR="002C7340">
        <w:rPr>
          <w:rFonts w:ascii="Times New Roman" w:hAnsi="Times New Roman" w:cs="Times New Roman"/>
          <w:color w:val="000000" w:themeColor="text1"/>
          <w:sz w:val="24"/>
          <w:szCs w:val="24"/>
        </w:rPr>
        <w:t>еабилитация.</w:t>
      </w:r>
      <w:bookmarkEnd w:id="50"/>
    </w:p>
    <w:p w14:paraId="6E82DA49" w14:textId="77777777" w:rsidR="004C062E" w:rsidRDefault="002C7340" w:rsidP="00A419DB">
      <w:pPr>
        <w:numPr>
          <w:ilvl w:val="0"/>
          <w:numId w:val="75"/>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Всем пациентам, перенесшим ИМпST, рекомендуется проведение кардиологической реабилитации (КР) для снижения риска смерти и частоты госпитализаций, улучшения прогноза, качества жизни и психосоциального статуса, повышения физической работоспособности, восстановления функций сердечно-сосудистой системы, </w:t>
      </w:r>
      <w:r>
        <w:rPr>
          <w:rFonts w:ascii="Times New Roman" w:hAnsi="Times New Roman" w:cs="Times New Roman"/>
          <w:color w:val="000000" w:themeColor="text1"/>
          <w:sz w:val="24"/>
          <w:szCs w:val="24"/>
        </w:rPr>
        <w:lastRenderedPageBreak/>
        <w:t>оздоровления образа жизни, коррекции сердечно-сосудистых факторов риска и повышения приверженности лечению </w:t>
      </w:r>
      <w:hyperlink r:id="rId280" w:history="1">
        <w:r>
          <w:rPr>
            <w:rStyle w:val="a6"/>
            <w:rFonts w:ascii="Times New Roman" w:hAnsi="Times New Roman" w:cs="Times New Roman"/>
            <w:color w:val="000000" w:themeColor="text1"/>
            <w:sz w:val="24"/>
            <w:szCs w:val="24"/>
          </w:rPr>
          <w:t>[400]</w:t>
        </w:r>
      </w:hyperlink>
      <w:hyperlink r:id="rId281" w:history="1">
        <w:r>
          <w:rPr>
            <w:rStyle w:val="a6"/>
            <w:rFonts w:ascii="Times New Roman" w:hAnsi="Times New Roman" w:cs="Times New Roman"/>
            <w:color w:val="000000" w:themeColor="text1"/>
            <w:sz w:val="24"/>
            <w:szCs w:val="24"/>
          </w:rPr>
          <w:t>[467-470]</w:t>
        </w:r>
      </w:hyperlink>
      <w:r>
        <w:rPr>
          <w:rFonts w:ascii="Times New Roman" w:hAnsi="Times New Roman" w:cs="Times New Roman"/>
          <w:color w:val="000000" w:themeColor="text1"/>
          <w:sz w:val="24"/>
          <w:szCs w:val="24"/>
        </w:rPr>
        <w:t xml:space="preserve">.                                                                                 </w:t>
      </w:r>
    </w:p>
    <w:p w14:paraId="2CFD244C" w14:textId="77777777" w:rsidR="004C062E" w:rsidRDefault="002C7340" w:rsidP="00A419DB">
      <w:pPr>
        <w:numPr>
          <w:ilvl w:val="0"/>
          <w:numId w:val="76"/>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Всем пациентам, перенесшим ИМпST, рекомендуются </w:t>
      </w:r>
      <w:r w:rsidR="00455745">
        <w:rPr>
          <w:rFonts w:ascii="Times New Roman" w:hAnsi="Times New Roman" w:cs="Times New Roman"/>
          <w:color w:val="000000" w:themeColor="text1"/>
          <w:sz w:val="24"/>
          <w:szCs w:val="24"/>
        </w:rPr>
        <w:t xml:space="preserve">аэробные физические тренировки </w:t>
      </w:r>
      <w:r>
        <w:rPr>
          <w:rFonts w:ascii="Times New Roman" w:hAnsi="Times New Roman" w:cs="Times New Roman"/>
          <w:color w:val="000000" w:themeColor="text1"/>
          <w:sz w:val="24"/>
          <w:szCs w:val="24"/>
        </w:rPr>
        <w:t>умеренной интенсивности.  </w:t>
      </w:r>
      <w:hyperlink r:id="rId282" w:history="1">
        <w:r>
          <w:rPr>
            <w:rStyle w:val="a6"/>
            <w:rFonts w:ascii="Times New Roman" w:hAnsi="Times New Roman" w:cs="Times New Roman"/>
            <w:color w:val="000000" w:themeColor="text1"/>
            <w:sz w:val="24"/>
            <w:szCs w:val="24"/>
          </w:rPr>
          <w:t>[467]</w:t>
        </w:r>
      </w:hyperlink>
      <w:hyperlink r:id="rId283" w:history="1">
        <w:r>
          <w:rPr>
            <w:rStyle w:val="a6"/>
            <w:rFonts w:ascii="Times New Roman" w:hAnsi="Times New Roman" w:cs="Times New Roman"/>
            <w:color w:val="000000" w:themeColor="text1"/>
            <w:sz w:val="24"/>
            <w:szCs w:val="24"/>
          </w:rPr>
          <w:t>[470]</w:t>
        </w:r>
      </w:hyperlink>
      <w:hyperlink r:id="rId284" w:history="1">
        <w:r>
          <w:rPr>
            <w:rStyle w:val="a6"/>
            <w:rFonts w:ascii="Times New Roman" w:hAnsi="Times New Roman" w:cs="Times New Roman"/>
            <w:color w:val="000000" w:themeColor="text1"/>
            <w:sz w:val="24"/>
            <w:szCs w:val="24"/>
          </w:rPr>
          <w:t>[475]</w:t>
        </w:r>
      </w:hyperlink>
      <w:hyperlink r:id="rId285" w:history="1">
        <w:r>
          <w:rPr>
            <w:rStyle w:val="a6"/>
            <w:rFonts w:ascii="Times New Roman" w:hAnsi="Times New Roman" w:cs="Times New Roman"/>
            <w:color w:val="000000" w:themeColor="text1"/>
            <w:sz w:val="24"/>
            <w:szCs w:val="24"/>
          </w:rPr>
          <w:t>[480-482]</w:t>
        </w:r>
      </w:hyperlink>
      <w:r>
        <w:rPr>
          <w:rFonts w:ascii="Times New Roman" w:hAnsi="Times New Roman" w:cs="Times New Roman"/>
          <w:color w:val="000000" w:themeColor="text1"/>
          <w:sz w:val="24"/>
          <w:szCs w:val="24"/>
        </w:rPr>
        <w:t>.</w:t>
      </w:r>
    </w:p>
    <w:p w14:paraId="1C0514D6" w14:textId="57309982" w:rsidR="004C062E" w:rsidRPr="00377D6E" w:rsidRDefault="002C7340" w:rsidP="00A419DB">
      <w:pPr>
        <w:pStyle w:val="af5"/>
        <w:shd w:val="clear" w:color="auto" w:fill="FFFFFF"/>
        <w:suppressAutoHyphens/>
        <w:spacing w:before="75" w:beforeAutospacing="0" w:after="225" w:afterAutospacing="0" w:line="360" w:lineRule="auto"/>
        <w:jc w:val="both"/>
        <w:rPr>
          <w:rStyle w:val="a7"/>
          <w:b w:val="0"/>
          <w:bCs w:val="0"/>
          <w:color w:val="000000" w:themeColor="text1"/>
        </w:rPr>
      </w:pPr>
      <w:r>
        <w:rPr>
          <w:rStyle w:val="a7"/>
          <w:rFonts w:eastAsiaTheme="majorEastAsia"/>
          <w:color w:val="000000" w:themeColor="text1"/>
        </w:rPr>
        <w:t>ЕОК IА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А,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1)</w:t>
      </w:r>
      <w:r w:rsidR="00BD2F09">
        <w:rPr>
          <w:rStyle w:val="a7"/>
          <w:rFonts w:eastAsiaTheme="majorEastAsia"/>
          <w:color w:val="000000" w:themeColor="text1"/>
        </w:rPr>
        <w:t>.</w:t>
      </w:r>
    </w:p>
    <w:p w14:paraId="09FD057A"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Комментарии.</w:t>
      </w:r>
      <w:r>
        <w:rPr>
          <w:color w:val="000000" w:themeColor="text1"/>
        </w:rPr>
        <w:t> </w:t>
      </w:r>
    </w:p>
    <w:p w14:paraId="4AC7C17B"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5"/>
          <w:rFonts w:eastAsiaTheme="majorEastAsia"/>
          <w:color w:val="000000" w:themeColor="text1"/>
        </w:rPr>
        <w:t>Пациентам, перенесшим ИМпST, после окончания программ КР рекомендуется поддерживать физическую активность на уровне умеренной интенсивности 150</w:t>
      </w:r>
      <w:r w:rsidR="00FE7E3F">
        <w:rPr>
          <w:rStyle w:val="a5"/>
          <w:rFonts w:eastAsiaTheme="majorEastAsia"/>
          <w:color w:val="000000" w:themeColor="text1"/>
        </w:rPr>
        <w:t>-450 мин в нед</w:t>
      </w:r>
      <w:r>
        <w:rPr>
          <w:rStyle w:val="a5"/>
          <w:rFonts w:eastAsiaTheme="majorEastAsia"/>
          <w:color w:val="000000" w:themeColor="text1"/>
        </w:rPr>
        <w:t xml:space="preserve">. </w:t>
      </w:r>
    </w:p>
    <w:p w14:paraId="6C56734F" w14:textId="77777777" w:rsidR="004C062E" w:rsidRDefault="002C7340" w:rsidP="00A419DB">
      <w:pPr>
        <w:numPr>
          <w:ilvl w:val="0"/>
          <w:numId w:val="77"/>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Пациентам, перенесшим ИМпST, рекомендуется проводить оценку психосоциального статуса посредством стандартизованных опросников или клинического интервью. </w:t>
      </w:r>
      <w:hyperlink r:id="rId286" w:history="1">
        <w:r>
          <w:rPr>
            <w:rStyle w:val="a6"/>
            <w:rFonts w:ascii="Times New Roman" w:hAnsi="Times New Roman" w:cs="Times New Roman"/>
            <w:color w:val="000000" w:themeColor="text1"/>
            <w:sz w:val="24"/>
            <w:szCs w:val="24"/>
          </w:rPr>
          <w:t>[490-492]</w:t>
        </w:r>
      </w:hyperlink>
      <w:r>
        <w:rPr>
          <w:rFonts w:ascii="Times New Roman" w:hAnsi="Times New Roman" w:cs="Times New Roman"/>
          <w:color w:val="000000" w:themeColor="text1"/>
          <w:sz w:val="24"/>
          <w:szCs w:val="24"/>
        </w:rPr>
        <w:t>.</w:t>
      </w:r>
    </w:p>
    <w:p w14:paraId="4B927F8E" w14:textId="52BEFAC3"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IВ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C,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5)</w:t>
      </w:r>
      <w:r w:rsidR="00BD2F09">
        <w:rPr>
          <w:rStyle w:val="a7"/>
          <w:rFonts w:eastAsiaTheme="majorEastAsia"/>
          <w:color w:val="000000" w:themeColor="text1"/>
        </w:rPr>
        <w:t>.</w:t>
      </w:r>
    </w:p>
    <w:p w14:paraId="4E344D1E" w14:textId="77777777" w:rsidR="004C062E" w:rsidRDefault="002C7340" w:rsidP="00A419DB">
      <w:pPr>
        <w:numPr>
          <w:ilvl w:val="0"/>
          <w:numId w:val="78"/>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Всем пациентам, перенесшим ИМпST, рекомендуется проведение образовательной программы в любом доступном формате (индивидуально и/или в группах — "Школе для пациентов, перенесших ОКС" ) </w:t>
      </w:r>
      <w:hyperlink r:id="rId287" w:history="1">
        <w:r>
          <w:rPr>
            <w:rStyle w:val="a6"/>
            <w:rFonts w:ascii="Times New Roman" w:hAnsi="Times New Roman" w:cs="Times New Roman"/>
            <w:color w:val="000000" w:themeColor="text1"/>
            <w:sz w:val="24"/>
            <w:szCs w:val="24"/>
          </w:rPr>
          <w:t>[495, 496]</w:t>
        </w:r>
      </w:hyperlink>
      <w:r>
        <w:rPr>
          <w:rFonts w:ascii="Times New Roman" w:hAnsi="Times New Roman" w:cs="Times New Roman"/>
          <w:color w:val="000000" w:themeColor="text1"/>
          <w:sz w:val="24"/>
          <w:szCs w:val="24"/>
        </w:rPr>
        <w:t>.</w:t>
      </w:r>
    </w:p>
    <w:p w14:paraId="799DBAC5" w14:textId="03A6E701" w:rsidR="00FE7E3F" w:rsidRPr="00377D6E" w:rsidRDefault="002C7340" w:rsidP="00A419DB">
      <w:pPr>
        <w:pStyle w:val="af5"/>
        <w:shd w:val="clear" w:color="auto" w:fill="FFFFFF"/>
        <w:suppressAutoHyphens/>
        <w:spacing w:before="75" w:beforeAutospacing="0" w:after="225" w:afterAutospacing="0" w:line="360" w:lineRule="auto"/>
        <w:jc w:val="both"/>
        <w:rPr>
          <w:rFonts w:eastAsiaTheme="majorEastAsia"/>
          <w:b/>
          <w:bCs/>
          <w:color w:val="000000" w:themeColor="text1"/>
        </w:rPr>
      </w:pPr>
      <w:r>
        <w:rPr>
          <w:rStyle w:val="a7"/>
          <w:rFonts w:eastAsiaTheme="majorEastAsia"/>
          <w:color w:val="000000" w:themeColor="text1"/>
        </w:rPr>
        <w:t>ЕОК IA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C,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5)</w:t>
      </w:r>
      <w:r w:rsidR="00BD2F09">
        <w:rPr>
          <w:rStyle w:val="a7"/>
          <w:rFonts w:eastAsiaTheme="majorEastAsia"/>
          <w:color w:val="000000" w:themeColor="text1"/>
        </w:rPr>
        <w:t>.</w:t>
      </w:r>
    </w:p>
    <w:p w14:paraId="7D899D7C" w14:textId="5C5AB5CE" w:rsidR="004C062E" w:rsidRDefault="002C7340" w:rsidP="00A419DB">
      <w:pPr>
        <w:pStyle w:val="20"/>
        <w:suppressAutoHyphens/>
        <w:spacing w:line="360" w:lineRule="auto"/>
        <w:jc w:val="both"/>
        <w:rPr>
          <w:rFonts w:ascii="Times New Roman" w:eastAsia="Calibri" w:hAnsi="Times New Roman" w:cs="Times New Roman"/>
          <w:bCs w:val="0"/>
          <w:iCs/>
          <w:color w:val="000000" w:themeColor="text1"/>
          <w:sz w:val="24"/>
          <w:szCs w:val="24"/>
        </w:rPr>
      </w:pPr>
      <w:bookmarkStart w:id="51" w:name="_Toc236138959"/>
      <w:r>
        <w:rPr>
          <w:rFonts w:ascii="Times New Roman" w:eastAsia="Calibri" w:hAnsi="Times New Roman" w:cs="Times New Roman"/>
          <w:bCs w:val="0"/>
          <w:iCs/>
          <w:color w:val="000000" w:themeColor="text1"/>
          <w:sz w:val="24"/>
          <w:szCs w:val="24"/>
        </w:rPr>
        <w:t>5. Профилактика</w:t>
      </w:r>
      <w:r w:rsidR="000C2EC4">
        <w:rPr>
          <w:rFonts w:ascii="Times New Roman" w:eastAsia="Calibri" w:hAnsi="Times New Roman" w:cs="Times New Roman"/>
          <w:bCs w:val="0"/>
          <w:iCs/>
          <w:color w:val="000000" w:themeColor="text1"/>
          <w:sz w:val="24"/>
          <w:szCs w:val="24"/>
        </w:rPr>
        <w:t xml:space="preserve"> и диспансерное наблюдение.</w:t>
      </w:r>
      <w:bookmarkEnd w:id="51"/>
    </w:p>
    <w:p w14:paraId="236BAB10"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color w:val="000000" w:themeColor="text1"/>
        </w:rPr>
        <w:t>Помимо продолжения медикаментозной терапии, начатой в ранние сроки лечения ИМпST (Раздел 3.2), рекомендуются вмешательства по контролю сердечно-сосудистых факторов риска и по предупреждению внезапной сердечной смерти (Раздел 3.3.2).</w:t>
      </w:r>
    </w:p>
    <w:p w14:paraId="748E58F4" w14:textId="77777777" w:rsidR="004C062E" w:rsidRDefault="002C7340" w:rsidP="00A419DB">
      <w:pPr>
        <w:numPr>
          <w:ilvl w:val="0"/>
          <w:numId w:val="79"/>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Для снижения риска сердечно-сосудистых событий среди пациентов, перенесших ИМпST, рекомендуются выявление курильщиков и регулярные вмешательства, направленные на полный отказ от курения, включая отказ от пассивного курения </w:t>
      </w:r>
      <w:hyperlink r:id="rId288" w:history="1">
        <w:r>
          <w:rPr>
            <w:rStyle w:val="a6"/>
            <w:rFonts w:ascii="Times New Roman" w:hAnsi="Times New Roman" w:cs="Times New Roman"/>
            <w:color w:val="000000" w:themeColor="text1"/>
            <w:sz w:val="24"/>
            <w:szCs w:val="24"/>
          </w:rPr>
          <w:t>[497-499]</w:t>
        </w:r>
      </w:hyperlink>
      <w:r>
        <w:rPr>
          <w:rFonts w:ascii="Times New Roman" w:hAnsi="Times New Roman" w:cs="Times New Roman"/>
          <w:color w:val="000000" w:themeColor="text1"/>
          <w:sz w:val="24"/>
          <w:szCs w:val="24"/>
        </w:rPr>
        <w:t>.</w:t>
      </w:r>
    </w:p>
    <w:p w14:paraId="13F7882C" w14:textId="34F8D4E0"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lastRenderedPageBreak/>
        <w:t>ЕОК IIaA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А,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1)</w:t>
      </w:r>
      <w:r w:rsidR="00BD2F09">
        <w:rPr>
          <w:rStyle w:val="a7"/>
          <w:rFonts w:eastAsiaTheme="majorEastAsia"/>
          <w:color w:val="000000" w:themeColor="text1"/>
        </w:rPr>
        <w:t>.</w:t>
      </w:r>
    </w:p>
    <w:p w14:paraId="1A2FB975"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Комментарии.</w:t>
      </w:r>
      <w:r>
        <w:rPr>
          <w:color w:val="000000" w:themeColor="text1"/>
        </w:rPr>
        <w:t> </w:t>
      </w:r>
      <w:r>
        <w:rPr>
          <w:rStyle w:val="a5"/>
          <w:rFonts w:eastAsiaTheme="majorEastAsia"/>
          <w:color w:val="000000" w:themeColor="text1"/>
        </w:rPr>
        <w:t>Мероприятия по отказу от курения рекомендуется начинать на госпитальном этапе и продолжить после выписки. Рекомендуются поведенческие и фармакологические вмешательства (никотинзаместительная терапия, варениклин или бупропион).</w:t>
      </w:r>
    </w:p>
    <w:p w14:paraId="33EA7D32" w14:textId="77777777" w:rsidR="004C062E" w:rsidRDefault="002C7340" w:rsidP="00A419DB">
      <w:pPr>
        <w:numPr>
          <w:ilvl w:val="0"/>
          <w:numId w:val="80"/>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Для снижения риска неблагоприятных исходов пациентам, перенесшим ИМпST, рекомендуется придерживаться принципов здорового питания, поддерживать нормальную массу тела, выполнять регулярные физические упражнения и ограничить прием алкоголя </w:t>
      </w:r>
      <w:hyperlink r:id="rId289" w:history="1">
        <w:r>
          <w:rPr>
            <w:rStyle w:val="a6"/>
            <w:rFonts w:ascii="Times New Roman" w:hAnsi="Times New Roman" w:cs="Times New Roman"/>
            <w:color w:val="000000" w:themeColor="text1"/>
            <w:sz w:val="24"/>
            <w:szCs w:val="24"/>
          </w:rPr>
          <w:t>[500-504]</w:t>
        </w:r>
      </w:hyperlink>
      <w:r>
        <w:rPr>
          <w:rFonts w:ascii="Times New Roman" w:hAnsi="Times New Roman" w:cs="Times New Roman"/>
          <w:color w:val="000000" w:themeColor="text1"/>
          <w:sz w:val="24"/>
          <w:szCs w:val="24"/>
        </w:rPr>
        <w:t>.</w:t>
      </w:r>
    </w:p>
    <w:p w14:paraId="45D1A9C6" w14:textId="490B621A"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IВ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B,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2)</w:t>
      </w:r>
      <w:r w:rsidR="00BD2F09">
        <w:rPr>
          <w:rStyle w:val="a7"/>
          <w:rFonts w:eastAsiaTheme="majorEastAsia"/>
          <w:color w:val="000000" w:themeColor="text1"/>
        </w:rPr>
        <w:t>.</w:t>
      </w:r>
    </w:p>
    <w:p w14:paraId="176AFD21"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5"/>
          <w:rFonts w:eastAsiaTheme="majorEastAsia"/>
          <w:color w:val="000000" w:themeColor="text1"/>
        </w:rPr>
        <w:t>Ключевые характеристики здорового питания: ограничение потребления насыщенных жиров и транс-изомеров жирных кислот до &lt;10% и &lt;1% от общей калорийности суточного рациона, соответственно; поваренной соли до 5 г в сут.; легкоусваиваемых углеводов; потребление большого количества фруктов (≥250 г в сут.), овощей (≥250 г в сут.) и цельнозерновых продуктов. Рекомендуется потребление рыбы 1-2 раза в нед. (хотя бы 1 раз в нед. — жирной рыбы), а также молочных продуктов с низкой жирностью, постного мяса и птицы, бобовых и несоленых орехов в количестве 30 г в день.</w:t>
      </w:r>
    </w:p>
    <w:p w14:paraId="7E7D998D"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5"/>
          <w:rFonts w:eastAsiaTheme="majorEastAsia"/>
          <w:color w:val="000000" w:themeColor="text1"/>
        </w:rPr>
        <w:t>Суточное потребление алкоголя не должно превышать 1 стандартную дозу у женщин и 1-2 стандартных дозы у мужчин (1 стандартная доза — 40 мл крепких спиртных напитков или 120 мл сухого вина или 330 мл пива).</w:t>
      </w:r>
    </w:p>
    <w:p w14:paraId="3378A9C3"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5"/>
          <w:rFonts w:eastAsiaTheme="majorEastAsia"/>
          <w:color w:val="000000" w:themeColor="text1"/>
        </w:rPr>
        <w:t>Целевые значения индекса массы тела составляют 20-25 кг/м², окружности талии — &lt;80 см для женщин и &lt;94 см для мужчин.</w:t>
      </w:r>
    </w:p>
    <w:p w14:paraId="37157B47" w14:textId="77777777" w:rsidR="004C062E" w:rsidRDefault="002C7340" w:rsidP="00A419DB">
      <w:pPr>
        <w:numPr>
          <w:ilvl w:val="0"/>
          <w:numId w:val="81"/>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перенесших ИМпST, для снижения риска ишемических событий и смерти рекомендуется контроль АД и поддержание его на целевом уровне </w:t>
      </w:r>
      <w:hyperlink r:id="rId290" w:history="1">
        <w:r>
          <w:rPr>
            <w:rStyle w:val="a6"/>
            <w:rFonts w:ascii="Times New Roman" w:hAnsi="Times New Roman" w:cs="Times New Roman"/>
            <w:color w:val="000000" w:themeColor="text1"/>
            <w:sz w:val="24"/>
            <w:szCs w:val="24"/>
          </w:rPr>
          <w:t>[311]</w:t>
        </w:r>
      </w:hyperlink>
      <w:hyperlink r:id="rId291" w:history="1">
        <w:r>
          <w:rPr>
            <w:rStyle w:val="a6"/>
            <w:rFonts w:ascii="Times New Roman" w:hAnsi="Times New Roman" w:cs="Times New Roman"/>
            <w:color w:val="000000" w:themeColor="text1"/>
            <w:sz w:val="24"/>
            <w:szCs w:val="24"/>
          </w:rPr>
          <w:t>[505-509]</w:t>
        </w:r>
      </w:hyperlink>
      <w:r>
        <w:rPr>
          <w:rFonts w:ascii="Times New Roman" w:hAnsi="Times New Roman" w:cs="Times New Roman"/>
          <w:color w:val="000000" w:themeColor="text1"/>
          <w:sz w:val="24"/>
          <w:szCs w:val="24"/>
        </w:rPr>
        <w:t>.</w:t>
      </w:r>
    </w:p>
    <w:p w14:paraId="4E2719AD" w14:textId="54BF5949"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IA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А,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1)</w:t>
      </w:r>
      <w:r w:rsidR="00BD2F09">
        <w:rPr>
          <w:rStyle w:val="a7"/>
          <w:rFonts w:eastAsiaTheme="majorEastAsia"/>
          <w:color w:val="000000" w:themeColor="text1"/>
        </w:rPr>
        <w:t>.</w:t>
      </w:r>
    </w:p>
    <w:p w14:paraId="4D10D53E"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lastRenderedPageBreak/>
        <w:t>Комментарии.</w:t>
      </w:r>
      <w:r>
        <w:rPr>
          <w:color w:val="000000" w:themeColor="text1"/>
        </w:rPr>
        <w:t> </w:t>
      </w:r>
      <w:r>
        <w:rPr>
          <w:rStyle w:val="a5"/>
          <w:rFonts w:eastAsiaTheme="majorEastAsia"/>
          <w:color w:val="000000" w:themeColor="text1"/>
        </w:rPr>
        <w:t>Целевой уровень АД у пациентов после ИМпST — &lt;140/90 мм рт.ст. При хорошей переносимости следует рассмотреть снижение АД до 130/80 мм рт.ст. и ниже. Для контроля АД у пациентов после ИМпST предпочтительны бета-адреноблокаторы и иАПФ.</w:t>
      </w:r>
    </w:p>
    <w:p w14:paraId="19D18BBC" w14:textId="77777777" w:rsidR="004C062E" w:rsidRDefault="002C7340" w:rsidP="00A419DB">
      <w:pPr>
        <w:numPr>
          <w:ilvl w:val="0"/>
          <w:numId w:val="82"/>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с СД, перенесших ИМпST, рекомендуется проводить лечение, направленное на поддержание выбранного совместно с врачом-эндокринологом индивидуального целевого уровня гликированного гемоглобина (у большинства пациентов — &lt;7,0%) для снижения риска микро- и макрососудистых осложнений СД </w:t>
      </w:r>
      <w:hyperlink r:id="rId292" w:history="1">
        <w:r>
          <w:rPr>
            <w:rStyle w:val="a6"/>
            <w:rFonts w:ascii="Times New Roman" w:hAnsi="Times New Roman" w:cs="Times New Roman"/>
            <w:color w:val="000000" w:themeColor="text1"/>
            <w:sz w:val="24"/>
            <w:szCs w:val="24"/>
          </w:rPr>
          <w:t>[510]</w:t>
        </w:r>
      </w:hyperlink>
      <w:hyperlink r:id="rId293" w:history="1">
        <w:r>
          <w:rPr>
            <w:rStyle w:val="a6"/>
            <w:rFonts w:ascii="Times New Roman" w:hAnsi="Times New Roman" w:cs="Times New Roman"/>
            <w:color w:val="000000" w:themeColor="text1"/>
            <w:sz w:val="24"/>
            <w:szCs w:val="24"/>
          </w:rPr>
          <w:t>[511]</w:t>
        </w:r>
      </w:hyperlink>
      <w:r>
        <w:rPr>
          <w:rFonts w:ascii="Times New Roman" w:hAnsi="Times New Roman" w:cs="Times New Roman"/>
          <w:color w:val="000000" w:themeColor="text1"/>
          <w:sz w:val="24"/>
          <w:szCs w:val="24"/>
        </w:rPr>
        <w:t>.</w:t>
      </w:r>
    </w:p>
    <w:p w14:paraId="16EA6778" w14:textId="4BD11731"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IIaB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B,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2)</w:t>
      </w:r>
      <w:r w:rsidR="00BD2F09">
        <w:rPr>
          <w:rStyle w:val="a7"/>
          <w:rFonts w:eastAsiaTheme="majorEastAsia"/>
          <w:color w:val="000000" w:themeColor="text1"/>
        </w:rPr>
        <w:t>.</w:t>
      </w:r>
    </w:p>
    <w:p w14:paraId="3990149A"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Комментарии.</w:t>
      </w:r>
      <w:r>
        <w:rPr>
          <w:color w:val="000000" w:themeColor="text1"/>
        </w:rPr>
        <w:t> </w:t>
      </w:r>
      <w:r>
        <w:rPr>
          <w:rStyle w:val="a5"/>
          <w:rFonts w:eastAsiaTheme="majorEastAsia"/>
          <w:color w:val="000000" w:themeColor="text1"/>
        </w:rPr>
        <w:t>У пациентов c СД 2 типа перспективно использование аналогов глюкагоноподобного пептида-1 (GLP-1) и ингибиторов натрийзависимого переносчика глюкозы 2 типа, способствующих снижению частоты сердечно-сосудистых осложнений у пациентов с атеросклеротическими сердечно-сосудистыми заболеваниями.</w:t>
      </w:r>
    </w:p>
    <w:p w14:paraId="67731FA6" w14:textId="77777777" w:rsidR="004C062E" w:rsidRDefault="002C7340" w:rsidP="00A419DB">
      <w:pPr>
        <w:numPr>
          <w:ilvl w:val="0"/>
          <w:numId w:val="83"/>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Пациентам, перенесшим ИМпST, для снижения риска сердечно-сосудистых осложнений и смерти рекомендуется ежегодная вакцинация против гриппа </w:t>
      </w:r>
      <w:hyperlink r:id="rId294" w:history="1">
        <w:r>
          <w:rPr>
            <w:rStyle w:val="a6"/>
            <w:rFonts w:ascii="Times New Roman" w:hAnsi="Times New Roman" w:cs="Times New Roman"/>
            <w:color w:val="000000" w:themeColor="text1"/>
            <w:sz w:val="24"/>
            <w:szCs w:val="24"/>
          </w:rPr>
          <w:t>[512-514]</w:t>
        </w:r>
      </w:hyperlink>
      <w:r>
        <w:rPr>
          <w:rFonts w:ascii="Times New Roman" w:hAnsi="Times New Roman" w:cs="Times New Roman"/>
          <w:color w:val="000000" w:themeColor="text1"/>
          <w:sz w:val="24"/>
          <w:szCs w:val="24"/>
        </w:rPr>
        <w:t>.</w:t>
      </w:r>
    </w:p>
    <w:p w14:paraId="6E6EEF26" w14:textId="2F738C31" w:rsidR="004C062E" w:rsidRPr="000C2EC4"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IА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А,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2)</w:t>
      </w:r>
      <w:r w:rsidR="00BD2F09">
        <w:rPr>
          <w:rStyle w:val="a7"/>
          <w:rFonts w:eastAsiaTheme="majorEastAsia"/>
          <w:color w:val="000000" w:themeColor="text1"/>
        </w:rPr>
        <w:t>.</w:t>
      </w:r>
    </w:p>
    <w:p w14:paraId="30D96B75" w14:textId="77777777" w:rsidR="004C062E" w:rsidRDefault="002C7340" w:rsidP="00A419DB">
      <w:pPr>
        <w:numPr>
          <w:ilvl w:val="0"/>
          <w:numId w:val="84"/>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перенесших ИМпST, рекомендуется использовать фиксированные комбинации препаратов для увеличения приверженности к лечению и уменьшения риска неблагоприятных исходов </w:t>
      </w:r>
      <w:hyperlink r:id="rId295" w:history="1">
        <w:r>
          <w:rPr>
            <w:rStyle w:val="a6"/>
            <w:rFonts w:ascii="Times New Roman" w:hAnsi="Times New Roman" w:cs="Times New Roman"/>
            <w:color w:val="000000" w:themeColor="text1"/>
            <w:sz w:val="24"/>
            <w:szCs w:val="24"/>
          </w:rPr>
          <w:t>[517]</w:t>
        </w:r>
      </w:hyperlink>
      <w:hyperlink r:id="rId296" w:history="1">
        <w:r>
          <w:rPr>
            <w:rStyle w:val="a6"/>
            <w:rFonts w:ascii="Times New Roman" w:hAnsi="Times New Roman" w:cs="Times New Roman"/>
            <w:color w:val="000000" w:themeColor="text1"/>
            <w:sz w:val="24"/>
            <w:szCs w:val="24"/>
          </w:rPr>
          <w:t>[518]</w:t>
        </w:r>
      </w:hyperlink>
      <w:r>
        <w:rPr>
          <w:rFonts w:ascii="Times New Roman" w:hAnsi="Times New Roman" w:cs="Times New Roman"/>
          <w:color w:val="000000" w:themeColor="text1"/>
          <w:sz w:val="24"/>
          <w:szCs w:val="24"/>
        </w:rPr>
        <w:t>.</w:t>
      </w:r>
    </w:p>
    <w:p w14:paraId="2A892879" w14:textId="7ED60206"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IIaB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B,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2)</w:t>
      </w:r>
      <w:r w:rsidR="00BD2F09">
        <w:rPr>
          <w:rStyle w:val="a7"/>
          <w:rFonts w:eastAsiaTheme="majorEastAsia"/>
          <w:color w:val="000000" w:themeColor="text1"/>
        </w:rPr>
        <w:t>.</w:t>
      </w:r>
    </w:p>
    <w:p w14:paraId="6AE26346" w14:textId="58E33192" w:rsidR="004C062E" w:rsidRDefault="002C7340" w:rsidP="00A419DB">
      <w:pPr>
        <w:pStyle w:val="20"/>
        <w:suppressAutoHyphens/>
        <w:spacing w:line="360" w:lineRule="auto"/>
        <w:jc w:val="both"/>
        <w:rPr>
          <w:rFonts w:ascii="Times New Roman" w:eastAsia="Calibri" w:hAnsi="Times New Roman" w:cs="Times New Roman"/>
          <w:bCs w:val="0"/>
          <w:iCs/>
          <w:color w:val="000000" w:themeColor="text1"/>
          <w:sz w:val="24"/>
          <w:szCs w:val="24"/>
        </w:rPr>
      </w:pPr>
      <w:bookmarkStart w:id="52" w:name="_Toc236138960"/>
      <w:r>
        <w:rPr>
          <w:rFonts w:ascii="Times New Roman" w:eastAsia="Calibri" w:hAnsi="Times New Roman" w:cs="Times New Roman"/>
          <w:bCs w:val="0"/>
          <w:iCs/>
          <w:color w:val="000000" w:themeColor="text1"/>
          <w:sz w:val="24"/>
          <w:szCs w:val="24"/>
        </w:rPr>
        <w:t>Диспансерное наблюдение.</w:t>
      </w:r>
      <w:bookmarkEnd w:id="52"/>
    </w:p>
    <w:p w14:paraId="0A0772EA"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color w:val="000000" w:themeColor="text1"/>
        </w:rPr>
        <w:t>При выписке из стационара пациента, перенесшего ИМпST, ему необходимо дать информацию о его состоянии в устной и письменной форме </w:t>
      </w:r>
      <w:hyperlink r:id="rId297" w:history="1">
        <w:r>
          <w:rPr>
            <w:rStyle w:val="a6"/>
            <w:rFonts w:eastAsiaTheme="majorEastAsia"/>
            <w:color w:val="000000" w:themeColor="text1"/>
          </w:rPr>
          <w:t>[519]</w:t>
        </w:r>
      </w:hyperlink>
      <w:hyperlink r:id="rId298" w:history="1">
        <w:r>
          <w:rPr>
            <w:rStyle w:val="a6"/>
            <w:rFonts w:eastAsiaTheme="majorEastAsia"/>
            <w:color w:val="000000" w:themeColor="text1"/>
          </w:rPr>
          <w:t>[520]</w:t>
        </w:r>
      </w:hyperlink>
      <w:r>
        <w:rPr>
          <w:color w:val="000000" w:themeColor="text1"/>
        </w:rPr>
        <w:t>.</w:t>
      </w:r>
    </w:p>
    <w:p w14:paraId="5AD01F7F" w14:textId="7318924B"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IIaB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В,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3)</w:t>
      </w:r>
      <w:r w:rsidR="00BD2F09">
        <w:rPr>
          <w:rStyle w:val="a7"/>
          <w:rFonts w:eastAsiaTheme="majorEastAsia"/>
          <w:color w:val="000000" w:themeColor="text1"/>
        </w:rPr>
        <w:t>.</w:t>
      </w:r>
    </w:p>
    <w:p w14:paraId="7D553695" w14:textId="77777777" w:rsidR="004C062E" w:rsidRDefault="002C7340" w:rsidP="00A419DB">
      <w:pPr>
        <w:numPr>
          <w:ilvl w:val="0"/>
          <w:numId w:val="85"/>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Рекомендуется диспансерное наблюдение за всеми пациентами, перенесшими ИМпST, после их выписки из стационара для реализации комплекса мер по профилактике и лечению сердечно-сосудистых осложнений, своевременной коррекции терапии и повышения приверженности к лечению </w:t>
      </w:r>
      <w:hyperlink r:id="rId299" w:history="1">
        <w:r>
          <w:rPr>
            <w:rStyle w:val="a6"/>
            <w:rFonts w:ascii="Times New Roman" w:hAnsi="Times New Roman" w:cs="Times New Roman"/>
            <w:color w:val="000000" w:themeColor="text1"/>
            <w:sz w:val="24"/>
            <w:szCs w:val="24"/>
          </w:rPr>
          <w:t>[9]</w:t>
        </w:r>
      </w:hyperlink>
      <w:hyperlink r:id="rId300" w:history="1">
        <w:r>
          <w:rPr>
            <w:rStyle w:val="a6"/>
            <w:rFonts w:ascii="Times New Roman" w:hAnsi="Times New Roman" w:cs="Times New Roman"/>
            <w:color w:val="000000" w:themeColor="text1"/>
            <w:sz w:val="24"/>
            <w:szCs w:val="24"/>
            <w:vertAlign w:val="superscript"/>
          </w:rPr>
          <w:t>10</w:t>
        </w:r>
      </w:hyperlink>
      <w:r>
        <w:rPr>
          <w:rFonts w:ascii="Times New Roman" w:hAnsi="Times New Roman" w:cs="Times New Roman"/>
          <w:color w:val="000000" w:themeColor="text1"/>
          <w:sz w:val="24"/>
          <w:szCs w:val="24"/>
          <w:vertAlign w:val="superscript"/>
        </w:rPr>
        <w:t>,</w:t>
      </w:r>
      <w:hyperlink r:id="rId301" w:history="1">
        <w:r>
          <w:rPr>
            <w:rStyle w:val="a6"/>
            <w:rFonts w:ascii="Times New Roman" w:hAnsi="Times New Roman" w:cs="Times New Roman"/>
            <w:color w:val="000000" w:themeColor="text1"/>
            <w:sz w:val="24"/>
            <w:szCs w:val="24"/>
            <w:vertAlign w:val="superscript"/>
          </w:rPr>
          <w:t>11</w:t>
        </w:r>
      </w:hyperlink>
      <w:r>
        <w:rPr>
          <w:rFonts w:ascii="Times New Roman" w:hAnsi="Times New Roman" w:cs="Times New Roman"/>
          <w:color w:val="000000" w:themeColor="text1"/>
          <w:sz w:val="24"/>
          <w:szCs w:val="24"/>
        </w:rPr>
        <w:t>.</w:t>
      </w:r>
    </w:p>
    <w:p w14:paraId="491BDE1A" w14:textId="10B139AA"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IC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C,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5)</w:t>
      </w:r>
      <w:r w:rsidR="00BD2F09">
        <w:rPr>
          <w:rStyle w:val="a7"/>
          <w:rFonts w:eastAsiaTheme="majorEastAsia"/>
          <w:color w:val="000000" w:themeColor="text1"/>
        </w:rPr>
        <w:t>.</w:t>
      </w:r>
    </w:p>
    <w:p w14:paraId="4D245B8B" w14:textId="77777777" w:rsidR="00FE7E3F" w:rsidRPr="00FE7E3F" w:rsidRDefault="002C7340" w:rsidP="00A419DB">
      <w:pPr>
        <w:numPr>
          <w:ilvl w:val="0"/>
          <w:numId w:val="86"/>
        </w:numPr>
        <w:shd w:val="clear" w:color="auto" w:fill="FFFFFF"/>
        <w:suppressAutoHyphens/>
        <w:spacing w:before="75" w:after="225" w:line="360" w:lineRule="auto"/>
        <w:ind w:left="0"/>
        <w:jc w:val="both"/>
        <w:rPr>
          <w:color w:val="000000" w:themeColor="text1"/>
        </w:rPr>
      </w:pPr>
      <w:r>
        <w:rPr>
          <w:rFonts w:ascii="Times New Roman" w:hAnsi="Times New Roman" w:cs="Times New Roman"/>
          <w:color w:val="000000" w:themeColor="text1"/>
          <w:sz w:val="24"/>
          <w:szCs w:val="24"/>
        </w:rPr>
        <w:t>Рекомендуется, чтобы диспансерное наблюдение за всеми пациентами в первые 12 мес. после ИМпST ос</w:t>
      </w:r>
      <w:r w:rsidR="00FE7E3F">
        <w:rPr>
          <w:rFonts w:ascii="Times New Roman" w:hAnsi="Times New Roman" w:cs="Times New Roman"/>
          <w:color w:val="000000" w:themeColor="text1"/>
          <w:sz w:val="24"/>
          <w:szCs w:val="24"/>
        </w:rPr>
        <w:t>уществлялось врачом-кардиологом.</w:t>
      </w:r>
    </w:p>
    <w:p w14:paraId="06D8C402" w14:textId="6E42670D" w:rsidR="004C062E" w:rsidRDefault="002C7340" w:rsidP="00A419DB">
      <w:pPr>
        <w:shd w:val="clear" w:color="auto" w:fill="FFFFFF"/>
        <w:tabs>
          <w:tab w:val="left" w:pos="720"/>
        </w:tabs>
        <w:suppressAutoHyphens/>
        <w:spacing w:before="75" w:after="225" w:line="360" w:lineRule="auto"/>
        <w:jc w:val="both"/>
        <w:rPr>
          <w:color w:val="000000" w:themeColor="text1"/>
        </w:rPr>
      </w:pPr>
      <w:r>
        <w:rPr>
          <w:rStyle w:val="a7"/>
          <w:rFonts w:eastAsiaTheme="majorEastAsia"/>
          <w:color w:val="000000" w:themeColor="text1"/>
        </w:rPr>
        <w:t>ЕОК IC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C,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5)</w:t>
      </w:r>
    </w:p>
    <w:p w14:paraId="44E43267"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 xml:space="preserve">Комментарии. </w:t>
      </w:r>
      <w:r>
        <w:rPr>
          <w:rStyle w:val="a5"/>
          <w:rFonts w:eastAsiaTheme="majorEastAsia"/>
          <w:color w:val="000000" w:themeColor="text1"/>
        </w:rPr>
        <w:t>На визитах рекомендуется измерять АД, ЧСС, определять массу тела (с расчетом индекса массы тела), измерять окружность талии, оценивать статус курения</w:t>
      </w:r>
      <w:hyperlink r:id="rId302" w:history="1">
        <w:r>
          <w:rPr>
            <w:rStyle w:val="a6"/>
            <w:rFonts w:eastAsiaTheme="majorEastAsia"/>
            <w:i/>
            <w:iCs/>
            <w:color w:val="000000" w:themeColor="text1"/>
            <w:vertAlign w:val="superscript"/>
          </w:rPr>
          <w:t>11</w:t>
        </w:r>
      </w:hyperlink>
      <w:r>
        <w:rPr>
          <w:rStyle w:val="a5"/>
          <w:rFonts w:eastAsiaTheme="majorEastAsia"/>
          <w:color w:val="000000" w:themeColor="text1"/>
        </w:rPr>
        <w:t>.</w:t>
      </w:r>
    </w:p>
    <w:p w14:paraId="016E83AC" w14:textId="77777777" w:rsidR="004C062E" w:rsidRDefault="002C7340" w:rsidP="00A419DB">
      <w:pPr>
        <w:numPr>
          <w:ilvl w:val="0"/>
          <w:numId w:val="87"/>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перенесших ИМпST, и для оценки нарушений липидного обмена и контроля эффективности гиполипидемической терапии рекомендуется выполнять анализ крови для оценки нарушений липидного обмена биохимический (как минимум исследование уровня ХС ЛНП) с периодичностью не реже 2 раз в год</w:t>
      </w:r>
    </w:p>
    <w:p w14:paraId="07BE0054" w14:textId="79FDF051"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IC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C,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5)</w:t>
      </w:r>
      <w:r w:rsidR="00BD2F09">
        <w:rPr>
          <w:rStyle w:val="a7"/>
          <w:rFonts w:eastAsiaTheme="majorEastAsia"/>
          <w:color w:val="000000" w:themeColor="text1"/>
        </w:rPr>
        <w:t>.</w:t>
      </w:r>
    </w:p>
    <w:p w14:paraId="1F1F5BC1"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Комментарии.</w:t>
      </w:r>
      <w:r>
        <w:rPr>
          <w:color w:val="000000" w:themeColor="text1"/>
        </w:rPr>
        <w:t> </w:t>
      </w:r>
      <w:r>
        <w:rPr>
          <w:rStyle w:val="a5"/>
          <w:rFonts w:eastAsiaTheme="majorEastAsia"/>
          <w:color w:val="000000" w:themeColor="text1"/>
        </w:rPr>
        <w:t>При подборе гиполипидемической терапии уровень ХС ЛНП рекомендуется оценивать каждые 4-6 нед., пока не будут достигнуты целевые значения показателя (&lt;1,4 ммоль/л со снижения как минимум на 50% от исходных значений).</w:t>
      </w:r>
    </w:p>
    <w:p w14:paraId="110FB3CD" w14:textId="77777777" w:rsidR="004C062E" w:rsidRDefault="002C7340" w:rsidP="00A419DB">
      <w:pPr>
        <w:numPr>
          <w:ilvl w:val="0"/>
          <w:numId w:val="88"/>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перенесших ИМпST, рекомендуются выполнять общий (клинический) анализ крови и биохимический общетерапевтический анализы крови (с расчетом рСКФ) с периодичностью не реже 1 раза в год для контроля безопасности лечения и своевременной коррекции терапии.</w:t>
      </w:r>
    </w:p>
    <w:p w14:paraId="22716F8B" w14:textId="1DF95128"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IC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C,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5)</w:t>
      </w:r>
      <w:r w:rsidR="00BD2F09">
        <w:rPr>
          <w:rStyle w:val="a7"/>
          <w:rFonts w:eastAsiaTheme="majorEastAsia"/>
          <w:color w:val="000000" w:themeColor="text1"/>
        </w:rPr>
        <w:t>.</w:t>
      </w:r>
    </w:p>
    <w:p w14:paraId="74D0DBD5"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lastRenderedPageBreak/>
        <w:t>Комментарии.</w:t>
      </w:r>
      <w:r>
        <w:rPr>
          <w:color w:val="000000" w:themeColor="text1"/>
        </w:rPr>
        <w:t> </w:t>
      </w:r>
      <w:r>
        <w:rPr>
          <w:rStyle w:val="a5"/>
          <w:rFonts w:eastAsiaTheme="majorEastAsia"/>
          <w:color w:val="000000" w:themeColor="text1"/>
        </w:rPr>
        <w:t xml:space="preserve"> При применении прямых оральных антикоагулянтов рекомендуется определение КлКр.</w:t>
      </w:r>
    </w:p>
    <w:p w14:paraId="0B8E62A5" w14:textId="77777777" w:rsidR="004C062E" w:rsidRDefault="002C7340" w:rsidP="00A419DB">
      <w:pPr>
        <w:numPr>
          <w:ilvl w:val="0"/>
          <w:numId w:val="89"/>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перенесших ИМпST, принимающих антагонисты витамина К, рекомендуются определение МНО с периодичностью не реже 2 раз в год, для контроля эффективности и безопасности лечения, а также подбора доза препарата</w:t>
      </w:r>
    </w:p>
    <w:p w14:paraId="706B1128" w14:textId="00AB3D95"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IC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C,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5)</w:t>
      </w:r>
      <w:r w:rsidR="00BD2F09">
        <w:rPr>
          <w:rStyle w:val="a7"/>
          <w:rFonts w:eastAsiaTheme="majorEastAsia"/>
          <w:color w:val="000000" w:themeColor="text1"/>
        </w:rPr>
        <w:t>.</w:t>
      </w:r>
    </w:p>
    <w:p w14:paraId="567E14BB"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Комментарии.</w:t>
      </w:r>
      <w:r>
        <w:rPr>
          <w:color w:val="000000" w:themeColor="text1"/>
        </w:rPr>
        <w:t> </w:t>
      </w:r>
      <w:r>
        <w:rPr>
          <w:rStyle w:val="a5"/>
          <w:rFonts w:eastAsiaTheme="majorEastAsia"/>
          <w:color w:val="000000" w:themeColor="text1"/>
        </w:rPr>
        <w:t>У большинства пациентов, принимающих антагонисты витамина К, рекомендуется определение МНО 1 раз в мес.; в период подбора дозы антагонистов витамина К или при меняющихся значениях МНО возможны более частые определения МНО.</w:t>
      </w:r>
    </w:p>
    <w:p w14:paraId="3DEE24AC" w14:textId="77777777" w:rsidR="004C062E" w:rsidRDefault="002C7340" w:rsidP="00A419DB">
      <w:pPr>
        <w:numPr>
          <w:ilvl w:val="0"/>
          <w:numId w:val="90"/>
        </w:numPr>
        <w:shd w:val="clear" w:color="auto" w:fill="FFFFFF"/>
        <w:suppressAutoHyphens/>
        <w:spacing w:before="75" w:after="225" w:line="360" w:lineRule="auto"/>
        <w:ind w:left="0"/>
        <w:jc w:val="both"/>
        <w:rPr>
          <w:color w:val="000000" w:themeColor="text1"/>
        </w:rPr>
      </w:pPr>
      <w:r>
        <w:rPr>
          <w:rFonts w:ascii="Times New Roman" w:hAnsi="Times New Roman" w:cs="Times New Roman"/>
          <w:color w:val="000000" w:themeColor="text1"/>
          <w:sz w:val="24"/>
          <w:szCs w:val="24"/>
        </w:rPr>
        <w:t>У пациентов, перенесших ИМпST, рекомендуются регистрация ЭКГ с периодичностью не реже 1 раза в год для выявления признаков прогрессирования заболевания, нарушений сердечного ритма и проводимости, а также своевременной коррекции терапии</w:t>
      </w:r>
      <w:r w:rsidR="00FE7E3F">
        <w:rPr>
          <w:rFonts w:ascii="Times New Roman" w:hAnsi="Times New Roman" w:cs="Times New Roman"/>
          <w:color w:val="000000" w:themeColor="text1"/>
          <w:sz w:val="24"/>
          <w:szCs w:val="24"/>
        </w:rPr>
        <w:t>.</w:t>
      </w:r>
    </w:p>
    <w:p w14:paraId="7401B30C" w14:textId="44662CA2" w:rsidR="004C062E" w:rsidRPr="000C2EC4" w:rsidRDefault="002C7340" w:rsidP="00A419DB">
      <w:pPr>
        <w:numPr>
          <w:ilvl w:val="0"/>
          <w:numId w:val="90"/>
        </w:numPr>
        <w:shd w:val="clear" w:color="auto" w:fill="FFFFFF"/>
        <w:suppressAutoHyphens/>
        <w:spacing w:before="75" w:after="225" w:line="360" w:lineRule="auto"/>
        <w:ind w:left="0"/>
        <w:jc w:val="both"/>
        <w:rPr>
          <w:rFonts w:ascii="Times New Roman" w:hAnsi="Times New Roman" w:cs="Times New Roman"/>
          <w:color w:val="000000" w:themeColor="text1"/>
          <w:sz w:val="24"/>
          <w:szCs w:val="24"/>
        </w:rPr>
      </w:pPr>
      <w:r w:rsidRPr="000C2EC4">
        <w:rPr>
          <w:rStyle w:val="a7"/>
          <w:rFonts w:ascii="Times New Roman" w:eastAsiaTheme="majorEastAsia" w:hAnsi="Times New Roman" w:cs="Times New Roman"/>
          <w:color w:val="000000" w:themeColor="text1"/>
          <w:sz w:val="24"/>
          <w:szCs w:val="24"/>
        </w:rPr>
        <w:t>ЕОК IC (</w:t>
      </w:r>
      <w:r w:rsidR="00F52FCA" w:rsidRPr="000C2EC4">
        <w:rPr>
          <w:rStyle w:val="a7"/>
          <w:rFonts w:ascii="Times New Roman" w:eastAsiaTheme="majorEastAsia" w:hAnsi="Times New Roman" w:cs="Times New Roman"/>
          <w:color w:val="000000" w:themeColor="text1"/>
          <w:sz w:val="24"/>
          <w:szCs w:val="24"/>
        </w:rPr>
        <w:t>Уровень убедительности рекомендаций</w:t>
      </w:r>
      <w:r w:rsidRPr="000C2EC4">
        <w:rPr>
          <w:rStyle w:val="a7"/>
          <w:rFonts w:ascii="Times New Roman" w:eastAsiaTheme="majorEastAsia" w:hAnsi="Times New Roman" w:cs="Times New Roman"/>
          <w:color w:val="000000" w:themeColor="text1"/>
          <w:sz w:val="24"/>
          <w:szCs w:val="24"/>
        </w:rPr>
        <w:t xml:space="preserve"> C, </w:t>
      </w:r>
      <w:r w:rsidR="00F52FCA" w:rsidRPr="000C2EC4">
        <w:rPr>
          <w:rStyle w:val="a7"/>
          <w:rFonts w:ascii="Times New Roman" w:eastAsiaTheme="majorEastAsia" w:hAnsi="Times New Roman" w:cs="Times New Roman"/>
          <w:color w:val="000000" w:themeColor="text1"/>
          <w:sz w:val="24"/>
          <w:szCs w:val="24"/>
        </w:rPr>
        <w:t>Уровень достоверности докзательств</w:t>
      </w:r>
      <w:r w:rsidRPr="000C2EC4">
        <w:rPr>
          <w:rStyle w:val="a7"/>
          <w:rFonts w:ascii="Times New Roman" w:eastAsiaTheme="majorEastAsia" w:hAnsi="Times New Roman" w:cs="Times New Roman"/>
          <w:color w:val="000000" w:themeColor="text1"/>
          <w:sz w:val="24"/>
          <w:szCs w:val="24"/>
        </w:rPr>
        <w:t> 5)</w:t>
      </w:r>
      <w:r w:rsidR="00BD2F09">
        <w:rPr>
          <w:rStyle w:val="a7"/>
          <w:rFonts w:ascii="Times New Roman" w:eastAsiaTheme="majorEastAsia" w:hAnsi="Times New Roman" w:cs="Times New Roman"/>
          <w:color w:val="000000" w:themeColor="text1"/>
          <w:sz w:val="24"/>
          <w:szCs w:val="24"/>
        </w:rPr>
        <w:t>.</w:t>
      </w:r>
    </w:p>
    <w:p w14:paraId="003EC807"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Комментарии.</w:t>
      </w:r>
      <w:r>
        <w:rPr>
          <w:rStyle w:val="a5"/>
          <w:rFonts w:eastAsiaTheme="majorEastAsia"/>
          <w:color w:val="000000" w:themeColor="text1"/>
        </w:rPr>
        <w:t> ЭКГ может регистрироваться чаще в соответствии с клинической необходимостью.</w:t>
      </w:r>
    </w:p>
    <w:p w14:paraId="038C60FB" w14:textId="77777777" w:rsidR="004C062E" w:rsidRDefault="002C7340" w:rsidP="00A419DB">
      <w:pPr>
        <w:numPr>
          <w:ilvl w:val="0"/>
          <w:numId w:val="91"/>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 пациентов, перенесших ИМпST, рекомендуются обзорная рентгенография органов грудной клетки с периодичностью не реже 1 раза в год для выявления признаков застоя в малом круге кровообращения</w:t>
      </w:r>
    </w:p>
    <w:p w14:paraId="3B7125A6" w14:textId="1ECB22D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IC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C,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5)</w:t>
      </w:r>
      <w:r w:rsidR="00BD2F09">
        <w:rPr>
          <w:rStyle w:val="a7"/>
          <w:rFonts w:eastAsiaTheme="majorEastAsia"/>
          <w:color w:val="000000" w:themeColor="text1"/>
        </w:rPr>
        <w:t>.</w:t>
      </w:r>
    </w:p>
    <w:p w14:paraId="7EBE1672" w14:textId="77777777" w:rsidR="004C062E" w:rsidRDefault="002C7340" w:rsidP="00A419DB">
      <w:pPr>
        <w:numPr>
          <w:ilvl w:val="0"/>
          <w:numId w:val="92"/>
        </w:numPr>
        <w:shd w:val="clear" w:color="auto" w:fill="FFFFFF"/>
        <w:suppressAutoHyphens/>
        <w:spacing w:before="75" w:after="225" w:line="360" w:lineRule="auto"/>
        <w:ind w:left="0"/>
        <w:jc w:val="both"/>
        <w:rPr>
          <w:color w:val="000000" w:themeColor="text1"/>
        </w:rPr>
      </w:pPr>
      <w:r>
        <w:rPr>
          <w:rFonts w:ascii="Times New Roman" w:hAnsi="Times New Roman" w:cs="Times New Roman"/>
          <w:color w:val="000000" w:themeColor="text1"/>
          <w:sz w:val="24"/>
          <w:szCs w:val="24"/>
        </w:rPr>
        <w:t>У пациентов, перенесших ИМпST, рекомендуются ЭхоКГ с обязательной оценкой ФВ ЛЖ с периодичностью не реже 1 раза в год для контроля динамики изменений, связанных с перенесенным ОКС, выявления новых патологических изменений и своевременной коррекции терапии</w:t>
      </w:r>
    </w:p>
    <w:p w14:paraId="5D7015DD" w14:textId="720444D4" w:rsidR="004C062E" w:rsidRPr="000C2EC4" w:rsidRDefault="002C7340" w:rsidP="00A419DB">
      <w:pPr>
        <w:numPr>
          <w:ilvl w:val="0"/>
          <w:numId w:val="92"/>
        </w:numPr>
        <w:shd w:val="clear" w:color="auto" w:fill="FFFFFF"/>
        <w:suppressAutoHyphens/>
        <w:spacing w:before="75" w:after="225" w:line="360" w:lineRule="auto"/>
        <w:ind w:left="0"/>
        <w:jc w:val="both"/>
        <w:rPr>
          <w:rFonts w:ascii="Times New Roman" w:hAnsi="Times New Roman" w:cs="Times New Roman"/>
          <w:color w:val="000000" w:themeColor="text1"/>
          <w:sz w:val="24"/>
          <w:szCs w:val="24"/>
        </w:rPr>
      </w:pPr>
      <w:r w:rsidRPr="000C2EC4">
        <w:rPr>
          <w:rStyle w:val="a7"/>
          <w:rFonts w:ascii="Times New Roman" w:eastAsiaTheme="majorEastAsia" w:hAnsi="Times New Roman" w:cs="Times New Roman"/>
          <w:color w:val="000000" w:themeColor="text1"/>
          <w:sz w:val="24"/>
          <w:szCs w:val="24"/>
        </w:rPr>
        <w:lastRenderedPageBreak/>
        <w:t>ЕОК IC (</w:t>
      </w:r>
      <w:r w:rsidR="00F52FCA" w:rsidRPr="000C2EC4">
        <w:rPr>
          <w:rStyle w:val="a7"/>
          <w:rFonts w:ascii="Times New Roman" w:eastAsiaTheme="majorEastAsia" w:hAnsi="Times New Roman" w:cs="Times New Roman"/>
          <w:color w:val="000000" w:themeColor="text1"/>
          <w:sz w:val="24"/>
          <w:szCs w:val="24"/>
        </w:rPr>
        <w:t>Уровень убедительности рекомендаций</w:t>
      </w:r>
      <w:r w:rsidRPr="000C2EC4">
        <w:rPr>
          <w:rStyle w:val="a7"/>
          <w:rFonts w:ascii="Times New Roman" w:eastAsiaTheme="majorEastAsia" w:hAnsi="Times New Roman" w:cs="Times New Roman"/>
          <w:color w:val="000000" w:themeColor="text1"/>
          <w:sz w:val="24"/>
          <w:szCs w:val="24"/>
        </w:rPr>
        <w:t xml:space="preserve"> C, </w:t>
      </w:r>
      <w:r w:rsidR="00F52FCA" w:rsidRPr="000C2EC4">
        <w:rPr>
          <w:rStyle w:val="a7"/>
          <w:rFonts w:ascii="Times New Roman" w:eastAsiaTheme="majorEastAsia" w:hAnsi="Times New Roman" w:cs="Times New Roman"/>
          <w:color w:val="000000" w:themeColor="text1"/>
          <w:sz w:val="24"/>
          <w:szCs w:val="24"/>
        </w:rPr>
        <w:t>Уровень достоверности докзательств</w:t>
      </w:r>
      <w:r w:rsidRPr="000C2EC4">
        <w:rPr>
          <w:rStyle w:val="a7"/>
          <w:rFonts w:ascii="Times New Roman" w:eastAsiaTheme="majorEastAsia" w:hAnsi="Times New Roman" w:cs="Times New Roman"/>
          <w:color w:val="000000" w:themeColor="text1"/>
          <w:sz w:val="24"/>
          <w:szCs w:val="24"/>
        </w:rPr>
        <w:t> 5)</w:t>
      </w:r>
      <w:r w:rsidR="00BD2F09">
        <w:rPr>
          <w:rStyle w:val="a7"/>
          <w:rFonts w:ascii="Times New Roman" w:eastAsiaTheme="majorEastAsia" w:hAnsi="Times New Roman" w:cs="Times New Roman"/>
          <w:color w:val="000000" w:themeColor="text1"/>
          <w:sz w:val="24"/>
          <w:szCs w:val="24"/>
        </w:rPr>
        <w:t>.</w:t>
      </w:r>
    </w:p>
    <w:p w14:paraId="5D9E71F6" w14:textId="209FBBBA"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Комментарии.</w:t>
      </w:r>
      <w:r>
        <w:rPr>
          <w:color w:val="000000" w:themeColor="text1"/>
        </w:rPr>
        <w:t> </w:t>
      </w:r>
      <w:r>
        <w:rPr>
          <w:rStyle w:val="a5"/>
          <w:rFonts w:eastAsiaTheme="majorEastAsia"/>
          <w:color w:val="000000" w:themeColor="text1"/>
        </w:rPr>
        <w:t>ЭхоКГ может выполняться чаще в соответствии с клинической необходимостью.</w:t>
      </w:r>
    </w:p>
    <w:p w14:paraId="2286D4D8" w14:textId="335D62B0" w:rsidR="004C062E" w:rsidRDefault="002C7340" w:rsidP="00A419DB">
      <w:pPr>
        <w:pStyle w:val="20"/>
        <w:suppressAutoHyphens/>
        <w:spacing w:line="360" w:lineRule="auto"/>
        <w:jc w:val="both"/>
        <w:rPr>
          <w:rFonts w:ascii="Times New Roman" w:hAnsi="Times New Roman" w:cs="Times New Roman"/>
          <w:color w:val="000000" w:themeColor="text1"/>
          <w:sz w:val="24"/>
          <w:szCs w:val="24"/>
        </w:rPr>
      </w:pPr>
      <w:bookmarkStart w:id="53" w:name="_Toc236138961"/>
      <w:r>
        <w:rPr>
          <w:rFonts w:ascii="Times New Roman" w:hAnsi="Times New Roman" w:cs="Times New Roman"/>
          <w:color w:val="000000" w:themeColor="text1"/>
          <w:sz w:val="24"/>
          <w:szCs w:val="24"/>
        </w:rPr>
        <w:t xml:space="preserve">6. </w:t>
      </w:r>
      <w:r w:rsidR="000C2EC4">
        <w:rPr>
          <w:rFonts w:ascii="Times New Roman" w:hAnsi="Times New Roman" w:cs="Times New Roman"/>
          <w:color w:val="000000" w:themeColor="text1"/>
          <w:sz w:val="24"/>
          <w:szCs w:val="24"/>
        </w:rPr>
        <w:t>Организация медицинской помощи</w:t>
      </w:r>
      <w:bookmarkEnd w:id="53"/>
    </w:p>
    <w:p w14:paraId="29A01A38" w14:textId="77777777" w:rsidR="004C062E" w:rsidRDefault="002C7340" w:rsidP="00A419DB">
      <w:pPr>
        <w:pStyle w:val="af5"/>
        <w:shd w:val="clear" w:color="auto" w:fill="FFFFFF"/>
        <w:suppressAutoHyphens/>
        <w:spacing w:before="75" w:beforeAutospacing="0" w:after="0" w:afterAutospacing="0" w:line="360" w:lineRule="auto"/>
        <w:jc w:val="both"/>
        <w:rPr>
          <w:color w:val="000000" w:themeColor="text1"/>
        </w:rPr>
      </w:pPr>
      <w:r>
        <w:rPr>
          <w:color w:val="000000" w:themeColor="text1"/>
        </w:rPr>
        <w:t>Любое подозрение на ИМпST является показанием для экстренной госпитализации.</w:t>
      </w:r>
    </w:p>
    <w:p w14:paraId="7E1A8F36"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color w:val="000000" w:themeColor="text1"/>
        </w:rPr>
        <w:t>Пациенты c ИМпSTдоставляются в лечебно- профилактические учреждения и госпитализируются в профильные отделения (кардиологическое отделение, отделение реанимации и интенсивной терап</w:t>
      </w:r>
      <w:r w:rsidR="00F935F8">
        <w:rPr>
          <w:color w:val="000000" w:themeColor="text1"/>
        </w:rPr>
        <w:t>ии</w:t>
      </w:r>
      <w:r>
        <w:rPr>
          <w:color w:val="000000" w:themeColor="text1"/>
        </w:rPr>
        <w:t xml:space="preserve">) в максимально короткие сроки, минуя приемное отделение. </w:t>
      </w:r>
    </w:p>
    <w:p w14:paraId="61E69508" w14:textId="35DF9001"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color w:val="000000" w:themeColor="text1"/>
        </w:rPr>
        <w:t>Стационарный этап медицинской помощи пациентам с ОКС осушествляется в палатах интенсивной терапии кардиологических отделений либо в отделениях реанимации и интенсивной терапии (при отсутствии профильных отделений ) в лечебно -профилактических учреждениях по территориальной принадлежности ,а также при наличии соответствующих показаний для проведения рентгенэндоваскулярных исследований и/или кардиохирургических методов лечения - в специализированных иностранных медицинских организациях (медицинских центрах).На догоспитальном этапе не рекомендуется проведение инструментальных/лабораторных диагностических мероприятий, за исключением ЭКГ, направленных на подтверждение или исключение диагноза ОКСпST/ИМпST </w:t>
      </w:r>
      <w:hyperlink r:id="rId303" w:history="1">
        <w:r>
          <w:rPr>
            <w:rStyle w:val="a6"/>
            <w:color w:val="000000" w:themeColor="text1"/>
          </w:rPr>
          <w:t>[521]</w:t>
        </w:r>
      </w:hyperlink>
      <w:hyperlink r:id="rId304" w:history="1">
        <w:r>
          <w:rPr>
            <w:rStyle w:val="a6"/>
            <w:color w:val="000000" w:themeColor="text1"/>
          </w:rPr>
          <w:t>[522]</w:t>
        </w:r>
      </w:hyperlink>
      <w:r>
        <w:rPr>
          <w:color w:val="000000" w:themeColor="text1"/>
        </w:rPr>
        <w:t>.</w:t>
      </w:r>
    </w:p>
    <w:p w14:paraId="65F04B0A" w14:textId="28D17819" w:rsidR="004C062E" w:rsidRPr="00F935F8"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rFonts w:eastAsiaTheme="majorEastAsia"/>
          <w:color w:val="000000" w:themeColor="text1"/>
        </w:rPr>
        <w:t>ЕОК IC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rPr>
        <w:t xml:space="preserve"> С,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rPr>
        <w:t> 5)</w:t>
      </w:r>
      <w:r w:rsidR="00BD2F09">
        <w:rPr>
          <w:rStyle w:val="a7"/>
          <w:rFonts w:eastAsiaTheme="majorEastAsia"/>
          <w:color w:val="000000" w:themeColor="text1"/>
        </w:rPr>
        <w:t>.</w:t>
      </w:r>
    </w:p>
    <w:p w14:paraId="4E7BB77E" w14:textId="2AF1947B" w:rsidR="004C062E" w:rsidRDefault="002C7340" w:rsidP="00A419DB">
      <w:pPr>
        <w:pStyle w:val="20"/>
        <w:suppressAutoHyphens/>
        <w:spacing w:line="360" w:lineRule="auto"/>
        <w:jc w:val="both"/>
        <w:rPr>
          <w:rFonts w:ascii="Times New Roman" w:hAnsi="Times New Roman" w:cs="Times New Roman"/>
          <w:color w:val="000000" w:themeColor="text1"/>
          <w:sz w:val="24"/>
          <w:szCs w:val="24"/>
        </w:rPr>
      </w:pPr>
      <w:bookmarkStart w:id="54" w:name="_Toc236138962"/>
      <w:r>
        <w:rPr>
          <w:rFonts w:ascii="Times New Roman" w:hAnsi="Times New Roman" w:cs="Times New Roman"/>
          <w:color w:val="000000" w:themeColor="text1"/>
          <w:sz w:val="24"/>
          <w:szCs w:val="24"/>
        </w:rPr>
        <w:t>Показания к выписке из стационара</w:t>
      </w:r>
      <w:bookmarkEnd w:id="54"/>
    </w:p>
    <w:p w14:paraId="7B3B3616" w14:textId="77777777" w:rsidR="004C062E" w:rsidRDefault="002C7340" w:rsidP="00A419DB">
      <w:pPr>
        <w:pStyle w:val="af5"/>
        <w:shd w:val="clear" w:color="auto" w:fill="FFFFFF"/>
        <w:suppressAutoHyphens/>
        <w:spacing w:before="75" w:beforeAutospacing="0" w:after="0" w:afterAutospacing="0" w:line="360" w:lineRule="auto"/>
        <w:jc w:val="both"/>
        <w:rPr>
          <w:color w:val="000000" w:themeColor="text1"/>
        </w:rPr>
      </w:pPr>
      <w:r>
        <w:rPr>
          <w:color w:val="000000" w:themeColor="text1"/>
        </w:rPr>
        <w:t>Продолжительность госпитализации определяется индивидуально в соответствии с сердечным риском пациента, сопутствующими заболеваниями, функциональным статусом и социальной поддержкой. В то же время пациенты не должны находиться в больнице дольше необходимого по психосоциальным причинам и с целью предупреждения внутригоспитальных инфекций.</w:t>
      </w:r>
    </w:p>
    <w:p w14:paraId="2996D79D" w14:textId="77777777" w:rsidR="004C062E" w:rsidRDefault="002C7340" w:rsidP="00A419DB">
      <w:pPr>
        <w:pStyle w:val="af5"/>
        <w:shd w:val="clear" w:color="auto" w:fill="FFFFFF"/>
        <w:suppressAutoHyphens/>
        <w:spacing w:before="75" w:beforeAutospacing="0" w:after="0" w:afterAutospacing="0" w:line="360" w:lineRule="auto"/>
        <w:jc w:val="both"/>
        <w:rPr>
          <w:color w:val="000000" w:themeColor="text1"/>
        </w:rPr>
      </w:pPr>
      <w:r>
        <w:rPr>
          <w:color w:val="000000" w:themeColor="text1"/>
        </w:rPr>
        <w:t>После исключения диагноза ИМпST пациента можно перевести в профильное отделение (при наличии показаний для госпитализации) или выписать.</w:t>
      </w:r>
    </w:p>
    <w:p w14:paraId="1ADA71FC" w14:textId="77777777" w:rsidR="004C062E" w:rsidRDefault="002C7340" w:rsidP="00A419DB">
      <w:pPr>
        <w:pStyle w:val="af5"/>
        <w:shd w:val="clear" w:color="auto" w:fill="FFFFFF"/>
        <w:suppressAutoHyphens/>
        <w:spacing w:before="75" w:beforeAutospacing="0" w:after="0" w:afterAutospacing="0" w:line="360" w:lineRule="auto"/>
        <w:jc w:val="both"/>
        <w:rPr>
          <w:color w:val="000000" w:themeColor="text1"/>
        </w:rPr>
      </w:pPr>
      <w:r>
        <w:rPr>
          <w:color w:val="000000" w:themeColor="text1"/>
        </w:rPr>
        <w:lastRenderedPageBreak/>
        <w:t>Пациентов рекомендуется выписывать при условии клинической стабилизации, завершения стратификации риска неблагоприятного исхода (в т. ч. проведения неинвазивных стресс-тестов у пациентов с ИМпST в случаях, когда это показано) и реализации выбранной стратегии лечения.</w:t>
      </w:r>
    </w:p>
    <w:p w14:paraId="4953A31E" w14:textId="77777777" w:rsidR="004C062E" w:rsidRDefault="002C7340" w:rsidP="00A419DB">
      <w:pPr>
        <w:pStyle w:val="af5"/>
        <w:shd w:val="clear" w:color="auto" w:fill="FFFFFF"/>
        <w:suppressAutoHyphens/>
        <w:spacing w:before="75" w:beforeAutospacing="0" w:after="0" w:afterAutospacing="0" w:line="360" w:lineRule="auto"/>
        <w:jc w:val="both"/>
        <w:rPr>
          <w:color w:val="1F497D" w:themeColor="text2"/>
        </w:rPr>
      </w:pPr>
      <w:r>
        <w:rPr>
          <w:color w:val="000000" w:themeColor="text1"/>
        </w:rPr>
        <w:t xml:space="preserve"> Безопасность ранней выписки (48-96 ч) после первичного ЧКВ определяется в первую очередь отсутствием ранних осложнений, таких как рецидив ишемии, тромбоз стента, ОСН, наджелудочковые и желудочковые аритмии, нарушения проводимости, разрыв МЖП или свободной стенки ЛЖ, острая митральная недостаточность, перикардит, тромб ЛЖ с угрозой системной эмболии.</w:t>
      </w:r>
    </w:p>
    <w:p w14:paraId="28A5962F" w14:textId="77777777" w:rsidR="004C062E" w:rsidRDefault="002C7340" w:rsidP="00A419DB">
      <w:pPr>
        <w:numPr>
          <w:ilvl w:val="0"/>
          <w:numId w:val="94"/>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Ранняя выписка пациентов с ИМпST низкого риска после первичного ЧКВ рекомендована у отдельных пациентов, если организованы ранняя реабилитация и адекватное наблюдение </w:t>
      </w:r>
      <w:hyperlink r:id="rId305" w:history="1">
        <w:r>
          <w:rPr>
            <w:rStyle w:val="a6"/>
            <w:rFonts w:ascii="Times New Roman" w:hAnsi="Times New Roman" w:cs="Times New Roman"/>
            <w:color w:val="000000" w:themeColor="text1"/>
            <w:sz w:val="24"/>
            <w:szCs w:val="24"/>
          </w:rPr>
          <w:t>[525]</w:t>
        </w:r>
      </w:hyperlink>
      <w:hyperlink r:id="rId306" w:history="1">
        <w:r>
          <w:rPr>
            <w:rStyle w:val="a6"/>
            <w:rFonts w:ascii="Times New Roman" w:hAnsi="Times New Roman" w:cs="Times New Roman"/>
            <w:color w:val="000000" w:themeColor="text1"/>
            <w:sz w:val="24"/>
            <w:szCs w:val="24"/>
          </w:rPr>
          <w:t>[526]</w:t>
        </w:r>
      </w:hyperlink>
      <w:r>
        <w:rPr>
          <w:rFonts w:ascii="Times New Roman" w:hAnsi="Times New Roman" w:cs="Times New Roman"/>
          <w:color w:val="000000" w:themeColor="text1"/>
          <w:sz w:val="24"/>
          <w:szCs w:val="24"/>
        </w:rPr>
        <w:t>.</w:t>
      </w:r>
    </w:p>
    <w:p w14:paraId="759B83DD" w14:textId="06F90CF6" w:rsidR="00A65219" w:rsidRPr="00A05D53" w:rsidRDefault="002C7340" w:rsidP="00A419DB">
      <w:pPr>
        <w:pStyle w:val="af5"/>
        <w:shd w:val="clear" w:color="auto" w:fill="FFFFFF"/>
        <w:suppressAutoHyphens/>
        <w:spacing w:before="75" w:beforeAutospacing="0" w:after="0" w:afterAutospacing="0" w:line="360" w:lineRule="auto"/>
        <w:jc w:val="both"/>
        <w:rPr>
          <w:rFonts w:eastAsiaTheme="majorEastAsia"/>
          <w:b/>
          <w:bCs/>
          <w:color w:val="000000" w:themeColor="text1"/>
        </w:rPr>
      </w:pPr>
      <w:r>
        <w:rPr>
          <w:rStyle w:val="a7"/>
          <w:rFonts w:eastAsiaTheme="majorEastAsia"/>
          <w:color w:val="000000" w:themeColor="text1"/>
        </w:rPr>
        <w:t>ЕОК</w:t>
      </w:r>
      <w:r>
        <w:rPr>
          <w:rStyle w:val="a7"/>
          <w:rFonts w:eastAsiaTheme="majorEastAsia"/>
          <w:color w:val="000000" w:themeColor="text1"/>
          <w:lang w:val="en-US"/>
        </w:rPr>
        <w:t> IB</w:t>
      </w:r>
      <w:r w:rsidRPr="00F52FCA">
        <w:rPr>
          <w:rStyle w:val="a7"/>
          <w:rFonts w:eastAsiaTheme="majorEastAsia"/>
          <w:color w:val="000000" w:themeColor="text1"/>
        </w:rPr>
        <w:t xml:space="preserve"> (</w:t>
      </w:r>
      <w:r w:rsidR="00F52FCA">
        <w:rPr>
          <w:rStyle w:val="a7"/>
          <w:rFonts w:eastAsiaTheme="majorEastAsia"/>
          <w:color w:val="000000" w:themeColor="text1"/>
        </w:rPr>
        <w:t>Уровень убедительности рекомендаций</w:t>
      </w:r>
      <w:r>
        <w:rPr>
          <w:rStyle w:val="a7"/>
          <w:rFonts w:eastAsiaTheme="majorEastAsia"/>
          <w:color w:val="000000" w:themeColor="text1"/>
          <w:lang w:val="en-US"/>
        </w:rPr>
        <w:t> A</w:t>
      </w:r>
      <w:r w:rsidRPr="00F52FCA">
        <w:rPr>
          <w:rStyle w:val="a7"/>
          <w:rFonts w:eastAsiaTheme="majorEastAsia"/>
          <w:color w:val="000000" w:themeColor="text1"/>
        </w:rPr>
        <w:t xml:space="preserve">, </w:t>
      </w:r>
      <w:r w:rsidR="00F52FCA">
        <w:rPr>
          <w:rStyle w:val="a7"/>
          <w:rFonts w:eastAsiaTheme="majorEastAsia"/>
          <w:color w:val="000000" w:themeColor="text1"/>
        </w:rPr>
        <w:t>Уровень достоверности докзательств</w:t>
      </w:r>
      <w:r>
        <w:rPr>
          <w:rStyle w:val="a7"/>
          <w:rFonts w:eastAsiaTheme="majorEastAsia"/>
          <w:color w:val="000000" w:themeColor="text1"/>
          <w:lang w:val="en-US"/>
        </w:rPr>
        <w:t> </w:t>
      </w:r>
      <w:r w:rsidRPr="00F52FCA">
        <w:rPr>
          <w:rStyle w:val="a7"/>
          <w:rFonts w:eastAsiaTheme="majorEastAsia"/>
          <w:color w:val="000000" w:themeColor="text1"/>
        </w:rPr>
        <w:t>2)</w:t>
      </w:r>
      <w:r w:rsidR="00BD2F09">
        <w:rPr>
          <w:rStyle w:val="a7"/>
          <w:rFonts w:eastAsiaTheme="majorEastAsia"/>
          <w:color w:val="000000" w:themeColor="text1"/>
        </w:rPr>
        <w:t>.</w:t>
      </w:r>
    </w:p>
    <w:p w14:paraId="6A1EA3CD" w14:textId="09E70317" w:rsidR="004C062E" w:rsidRDefault="002C7340" w:rsidP="00A419DB">
      <w:pPr>
        <w:pStyle w:val="20"/>
        <w:suppressAutoHyphens/>
        <w:spacing w:line="360" w:lineRule="auto"/>
        <w:jc w:val="both"/>
        <w:rPr>
          <w:rFonts w:ascii="Times New Roman" w:hAnsi="Times New Roman" w:cs="Times New Roman"/>
          <w:color w:val="000000" w:themeColor="text1"/>
          <w:sz w:val="24"/>
          <w:szCs w:val="24"/>
        </w:rPr>
      </w:pPr>
      <w:bookmarkStart w:id="55" w:name="_Toc236138963"/>
      <w:r>
        <w:rPr>
          <w:rFonts w:ascii="Times New Roman" w:hAnsi="Times New Roman" w:cs="Times New Roman"/>
          <w:color w:val="000000" w:themeColor="text1"/>
          <w:sz w:val="24"/>
          <w:szCs w:val="24"/>
        </w:rPr>
        <w:t>Инные организационный технологии.</w:t>
      </w:r>
      <w:bookmarkEnd w:id="55"/>
    </w:p>
    <w:p w14:paraId="347EECAE"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color w:val="000000" w:themeColor="text1"/>
        </w:rPr>
        <w:t>При подозрении на ИМпST рекомендуется интенсивное наблюдение за пациентами в блоке (палате) интенсивной терапии с дистанционным наблюдением за ЭКГ данными (мониторированием ЭКГ) для контроля ритма сердца, пока не будет подтверждено или отвергнуто наличие ИМпST, определен риск неблагоприятного исхода, выбрана стратегия ведения пациента и исключены другие угрожающие жизни заболевания и осложнения.</w:t>
      </w:r>
    </w:p>
    <w:p w14:paraId="044A96B2"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color w:val="000000" w:themeColor="text1"/>
        </w:rPr>
        <w:t>При неосложненном ИМпST у пациентов, не имеющих признаков, указывающих на повышенный риск возникновения жизнеугрожающих аритмий, рекомендуется интенсивное наблюдение в блоке (палате) интенсивной терапии с дистанционным наблюдением за ЭКГ данными (мониторированием ЭКГ) для контроля ритма сердца продолжительностью до 24 ч или до успешного ЧКВ, если оно было выполнено в первые сутки после госпитализации. В остальных случаях интенсивное наблюдение с дистанционным наблюдением за ЭКГ данными (мониторированием ЭКГ) для контроля ритма сердца рекомендуется продлить до клинической стабилизации.</w:t>
      </w:r>
    </w:p>
    <w:p w14:paraId="3C83E914"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color w:val="000000" w:themeColor="text1"/>
        </w:rPr>
        <w:t xml:space="preserve">Дистанционное наблюдение за ЭКГ данными (мониторированием ЭКГ) для контроля ритма сердца рекомендуется продлить &gt;24 ч при повышенном риске возникновения </w:t>
      </w:r>
      <w:r>
        <w:rPr>
          <w:color w:val="000000" w:themeColor="text1"/>
        </w:rPr>
        <w:lastRenderedPageBreak/>
        <w:t>жизнеугрожающих аритмий (нестабильность гемодинамики, имевшиеся серьезные аритмии, ФВ ЛЖ ≤40%, безуспешные попытки реперфузионного лечения, сохраняющиеся критические стенозы в крупных КА, осложнения при ЧКВ). У пациентов, не имеющих признаков продолжающейся ишемии миокарда, продление дистанционного наблюдения за ЭКГ данными (мониторирования ЭКГ) для контроля ритма сердца возможно при подозрении на спазм КА, а также при наличии симптомов, не позволяющих исключить аритмию.</w:t>
      </w:r>
    </w:p>
    <w:p w14:paraId="0962EF2E" w14:textId="13CD6EFC" w:rsidR="00A65219" w:rsidRPr="00A05D53"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color w:val="000000" w:themeColor="text1"/>
        </w:rPr>
        <w:t>Перед выпиской всем пациентам следует оценить риск неблагоприятных событий в отдаленном периоде, учитывающий ФВ ЛЖ, тяжесть поражения КА и полноту коронарной реваскуляризации, наличие резидуальной ишемии, осложнения, отмеченные во время госпитализации, и уровни метаболических маркеров, определенных за время пребывания в стационаре: исследования уровня ХС крови, уровня ХС ЛНП, уровня ХС ЛВП и триглицеридов, уровня глюкозы в крови натощак, а также показатели фильтрационной функции почек: уровня креатинина в крови, с расчетом скорости клубочковой фильтрации, а в случае назначения прямых оральных антикоагулянтов еще КлКр.</w:t>
      </w:r>
    </w:p>
    <w:p w14:paraId="255D34AD" w14:textId="77777777" w:rsidR="004C062E" w:rsidRDefault="002C7340" w:rsidP="00BD2F09">
      <w:pPr>
        <w:pStyle w:val="10"/>
        <w:suppressAutoHyphens/>
        <w:jc w:val="center"/>
        <w:rPr>
          <w:rFonts w:ascii="Times New Roman" w:hAnsi="Times New Roman" w:cs="Times New Roman"/>
          <w:caps/>
          <w:color w:val="000000" w:themeColor="text1"/>
          <w:sz w:val="24"/>
          <w:szCs w:val="24"/>
        </w:rPr>
      </w:pPr>
      <w:bookmarkStart w:id="56" w:name="_Toc236138964"/>
      <w:r>
        <w:rPr>
          <w:rFonts w:ascii="Times New Roman" w:hAnsi="Times New Roman" w:cs="Times New Roman"/>
          <w:caps/>
          <w:color w:val="000000" w:themeColor="text1"/>
          <w:sz w:val="24"/>
          <w:szCs w:val="24"/>
        </w:rPr>
        <w:t>Критерии оценки качества медицинской помощи</w:t>
      </w:r>
      <w:bookmarkEnd w:id="56"/>
    </w:p>
    <w:p w14:paraId="20A7A6A8" w14:textId="77777777" w:rsidR="00BD2F09" w:rsidRDefault="00BD2F09" w:rsidP="00A419DB">
      <w:pPr>
        <w:suppressAutoHyphens/>
        <w:spacing w:line="360" w:lineRule="auto"/>
        <w:rPr>
          <w:rStyle w:val="a7"/>
          <w:rFonts w:ascii="Times New Roman" w:hAnsi="Times New Roman" w:cs="Times New Roman"/>
          <w:color w:val="000000" w:themeColor="text1"/>
          <w:sz w:val="24"/>
          <w:szCs w:val="24"/>
        </w:rPr>
      </w:pPr>
    </w:p>
    <w:p w14:paraId="03BA9051" w14:textId="1B72DD7C" w:rsidR="004C062E" w:rsidRDefault="002C7340" w:rsidP="00A419DB">
      <w:pPr>
        <w:suppressAutoHyphens/>
        <w:spacing w:line="360" w:lineRule="auto"/>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Критерии оценки качества первичной медико-санитарной помощи взрослым при остром ИМпST электрокардиограммы </w:t>
      </w:r>
      <w:r>
        <w:rPr>
          <w:rFonts w:ascii="Times New Roman" w:hAnsi="Times New Roman" w:cs="Times New Roman"/>
          <w:color w:val="000000" w:themeColor="text1"/>
          <w:sz w:val="24"/>
          <w:szCs w:val="24"/>
        </w:rPr>
        <w:t>(коды по МКБ-10: I21.0, I21.1, I21.2, I21.3, I21.9, I22.0, I22.1, I22.8, I22.9, I24.0, I24.8, I24.9)</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659"/>
        <w:gridCol w:w="6923"/>
        <w:gridCol w:w="1668"/>
      </w:tblGrid>
      <w:tr w:rsidR="004C062E" w14:paraId="573E567F"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273F2122"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 п/п</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3BE6E78C"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Критерии оценки качества</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244DC9AA"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Оценка выполнения</w:t>
            </w:r>
          </w:p>
        </w:tc>
      </w:tr>
      <w:tr w:rsidR="004C062E" w14:paraId="6DE8A446"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D893AE1"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64A47D10"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После выписки из стационара пациент взят на диспансерное наблюдение</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155EB8EA"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Да/Нет</w:t>
            </w:r>
          </w:p>
        </w:tc>
      </w:tr>
      <w:tr w:rsidR="004C062E" w14:paraId="6D964616"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10F30546"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61DFB03"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Осуществляется программа кардиологической реабилитации</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7337EDA"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Да/Нет</w:t>
            </w:r>
          </w:p>
        </w:tc>
      </w:tr>
      <w:tr w:rsidR="004C062E" w14:paraId="1860A9B2"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390BB27A"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10CACF29"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Выполнен общий (клинический) анализ крови с периодичностью не реже 1 раза в год</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4F7A0D65"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Да/Нет</w:t>
            </w:r>
          </w:p>
        </w:tc>
      </w:tr>
      <w:tr w:rsidR="004C062E" w14:paraId="0E0D4E6E"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4F5AC883"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4.</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68CB21EE"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Выполнен биохимический общетерапевтический анализ крови (с расчетом рСКФ) с периодичностью не реже 1 раза в год</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3E18738"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Да/Нет</w:t>
            </w:r>
          </w:p>
        </w:tc>
      </w:tr>
      <w:tr w:rsidR="004C062E" w14:paraId="66F9DAE6"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2F8698B2"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99CAA1F"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Выполнен анализ крови по оценке нарушений липидного обмена биохимический (как минимум исследование ХС ЛНП) с периодичностью не реже 2 раз в год</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6A374FB6"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Да/Нет</w:t>
            </w:r>
          </w:p>
        </w:tc>
      </w:tr>
      <w:tr w:rsidR="004C062E" w14:paraId="45E348FB"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1A4F84F8"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77ACE8A5"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Выполнена регистрация ЭКГ с периодичностью не реже 1 раза в год</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3F65F7E1"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Да/Нет</w:t>
            </w:r>
          </w:p>
        </w:tc>
      </w:tr>
      <w:tr w:rsidR="004C062E" w14:paraId="210CFDD1"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3B73A1A5"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E0D1653"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Выполнена ЭхоКГ с оценкой ФВ ЛЖ с периодичностью не реже 1 раза в год</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371E50C2"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Да/Нет</w:t>
            </w:r>
          </w:p>
        </w:tc>
      </w:tr>
      <w:tr w:rsidR="004C062E" w14:paraId="24A3B735"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A71FE84"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23DBB49"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Проводится терапия АСК в сочетании с ингибитором Р2Y</w:t>
            </w:r>
            <w:r>
              <w:rPr>
                <w:rFonts w:ascii="Times New Roman" w:hAnsi="Times New Roman" w:cs="Times New Roman"/>
                <w:color w:val="000000" w:themeColor="text1"/>
                <w:sz w:val="24"/>
                <w:szCs w:val="24"/>
                <w:vertAlign w:val="subscript"/>
              </w:rPr>
              <w:t>12</w:t>
            </w:r>
            <w:r>
              <w:rPr>
                <w:rFonts w:ascii="Times New Roman" w:hAnsi="Times New Roman" w:cs="Times New Roman"/>
                <w:color w:val="000000" w:themeColor="text1"/>
                <w:sz w:val="24"/>
                <w:szCs w:val="24"/>
              </w:rPr>
              <w:t>-рецепторов тромбоцитов (клопидогрел, тикагрелор или прасугрел), или терапия пероральным антикоагулянтом (апиксабан, дабигатрана этексилат, ривароксабан, эдоксабан или антагонист витамина К) в сочетании с антиагрегантом (клопидогрелом, реже тикагрелором) в зависимости от медицинских показаний и при отсутствии медицинских противопоказаний</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2546B53D"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Да/Нет</w:t>
            </w:r>
          </w:p>
        </w:tc>
      </w:tr>
      <w:tr w:rsidR="004C062E" w14:paraId="1A84BF53"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37B8421F"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32CD7F3F"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Проводится терапия высокими дозами лекарственных препаратов из группы ингибиторов ГМГ-КоА-редуктазы при отсутствии медицинских противопоказаний; при недостижении целевого уровня ХС ЛНП (&lt;1,4 ммоль/л) и его снижения на 50% от исходного увеличена доза ингибитора ГМГ-КоА-редуктазы или проводится комбинированная терапия (с эзетимибом и/или препаратом из группы другие гиполипидемические средства (ингибиторы PCSK9)) в зависимости от медицинских показаний и при отсутствии медицинских противопоказаний</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10976184"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Да/Нет</w:t>
            </w:r>
          </w:p>
        </w:tc>
      </w:tr>
      <w:tr w:rsidR="004C062E" w14:paraId="23736853"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71AC99BB"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5929F30"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Проводится терапия лекарственными препаратами из группы иАПФ или АРА (как минимум у пациентов с ФВ ЛЖ ≤40%, сердечной недостаточностью, артериальной гипертензии, хронической болезни почек, при сахарном диабете) </w:t>
            </w:r>
            <w:r>
              <w:rPr>
                <w:rFonts w:ascii="Times New Roman" w:hAnsi="Times New Roman" w:cs="Times New Roman"/>
                <w:color w:val="000000" w:themeColor="text1"/>
                <w:sz w:val="24"/>
                <w:szCs w:val="24"/>
              </w:rPr>
              <w:lastRenderedPageBreak/>
              <w:t>в зависимости от медицинских показаний и при отсутствии медицинских противопоказаний</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64F1987A"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Да/Нет</w:t>
            </w:r>
          </w:p>
        </w:tc>
      </w:tr>
      <w:tr w:rsidR="004C062E" w14:paraId="112669EA"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1D75F020"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089C966"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Проводится терапия лекарственными препаратом из группы бета-адреноблокаторов перорально (как минимум при ФВ ЛЖ ≤40%) при отсутствии медицинских противопоказаний</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1003CB9"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Да/Нет</w:t>
            </w:r>
          </w:p>
        </w:tc>
      </w:tr>
    </w:tbl>
    <w:p w14:paraId="09B9EE48" w14:textId="77777777" w:rsidR="004C062E" w:rsidRDefault="004C062E" w:rsidP="00A419DB">
      <w:pPr>
        <w:suppressAutoHyphens/>
        <w:spacing w:line="360" w:lineRule="auto"/>
        <w:rPr>
          <w:rStyle w:val="a7"/>
          <w:rFonts w:ascii="Times New Roman" w:hAnsi="Times New Roman" w:cs="Times New Roman"/>
          <w:color w:val="000000" w:themeColor="text1"/>
          <w:sz w:val="24"/>
          <w:szCs w:val="24"/>
        </w:rPr>
      </w:pPr>
    </w:p>
    <w:p w14:paraId="3CF70371"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Критерии оценки качества специализированной медицинской помощи взрослым при остром ИМпST электрокардиограммы </w:t>
      </w:r>
      <w:r>
        <w:rPr>
          <w:rFonts w:ascii="Times New Roman" w:hAnsi="Times New Roman" w:cs="Times New Roman"/>
          <w:color w:val="000000" w:themeColor="text1"/>
          <w:sz w:val="24"/>
          <w:szCs w:val="24"/>
        </w:rPr>
        <w:t>(коды по МКБ-10: I21.0, I21.1, I21.2, I21.3, I21.9, I22.0, I22.1, I22.8, I22.9, I24.0, I24.8, I24.9)</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653"/>
        <w:gridCol w:w="6949"/>
        <w:gridCol w:w="1648"/>
      </w:tblGrid>
      <w:tr w:rsidR="004C062E" w14:paraId="2DC8E6D1"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6B4BE43C"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 п/п</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97FB7FF"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Критерии оценки качества</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13C2A88D"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Оценка выполнения</w:t>
            </w:r>
          </w:p>
        </w:tc>
      </w:tr>
      <w:tr w:rsidR="004C062E" w14:paraId="08CE14A7"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F4B9F3E"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6328D3A8"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медицинской документации указан временной интервал от момента обращения за медицинской помощью до начала реперфузионного лечения</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304CAE79"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Да/Нет</w:t>
            </w:r>
          </w:p>
        </w:tc>
      </w:tr>
      <w:tr w:rsidR="004C062E" w14:paraId="73CCC7B4"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64FB0316"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CB25A95"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Проведено введение лекарственных препаратов для ТЛТ не позднее 10 мин от момента установления диагноза (при невозможности выполнения первичного ЧКВ в течение 120 мин от постановки диагноза до введения проводника в инфаркт-связанную артерию)</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3149B5B6"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Да/Нет</w:t>
            </w:r>
          </w:p>
        </w:tc>
      </w:tr>
      <w:tr w:rsidR="004C062E" w14:paraId="5EC57041"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12163443"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78DFA928"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Выполнена КГ и, при необходимости, ЧКВ в пределах 2-24 ч после успешной ТЛТ</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376953ED"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Да/Нет</w:t>
            </w:r>
          </w:p>
        </w:tc>
      </w:tr>
      <w:tr w:rsidR="004C062E" w14:paraId="68AA34CA"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770608D"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D34F37E"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Время от постановки/подтверждения диагноза в ЧКВ-центре до введения проводника в инфаркт-связанную артерию при проведении первичного ЧКВ &lt;60 мин</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436DDC53"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Да/Нет</w:t>
            </w:r>
          </w:p>
        </w:tc>
      </w:tr>
      <w:tr w:rsidR="004C062E" w14:paraId="33B61F2A"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64B82503"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770D90F"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Выполнена ЭхоКГ с оценкой ФВ ЛЖ</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F43B652"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Да/Нет</w:t>
            </w:r>
          </w:p>
        </w:tc>
      </w:tr>
      <w:tr w:rsidR="004C062E" w14:paraId="60278C58"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6CD64AA6"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73FAAB93"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Выполнено исследование уровня тропонинов I или T в крови (при установлении диагноза; при неинформативности первого исследования — повторно)</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72952E8B"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Да/Нет</w:t>
            </w:r>
          </w:p>
        </w:tc>
      </w:tr>
      <w:tr w:rsidR="004C062E" w14:paraId="1669623C"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684003ED"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7.</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7AE393E1"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 КГ и ЧКВ использован доступ через лучевую артерию (при отсутствии медицинских противопоказаний)</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7AD1774"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Да/Нет</w:t>
            </w:r>
          </w:p>
        </w:tc>
      </w:tr>
      <w:tr w:rsidR="004C062E" w14:paraId="12D74AD9"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63EA47E6"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2DD533EC"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Проводится терапия лекарственными препаратами из группы бета-адреноблокаторов (как минимум при ФВ ЛЖ ≤40%) при отсутствии медицинских противопоказаний</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6735B7C1"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Да/Нет</w:t>
            </w:r>
          </w:p>
        </w:tc>
      </w:tr>
      <w:tr w:rsidR="004C062E" w14:paraId="00A18E9D"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685F113D"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22254A06"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Проводится терапия лекарственными препаратами из группы иАПФ или АРА (как минимум у пациентов с ФВ ЛЖ ≤40</w:t>
            </w:r>
            <w:r>
              <w:rPr>
                <w:rFonts w:ascii="Times New Roman" w:hAnsi="Times New Roman" w:cs="Times New Roman"/>
                <w:color w:val="000000" w:themeColor="text1"/>
                <w:sz w:val="24"/>
                <w:szCs w:val="24"/>
                <w:rtl/>
              </w:rPr>
              <w:t>٪</w:t>
            </w:r>
            <w:r>
              <w:rPr>
                <w:rFonts w:ascii="Times New Roman" w:hAnsi="Times New Roman" w:cs="Times New Roman"/>
                <w:color w:val="000000" w:themeColor="text1"/>
                <w:sz w:val="24"/>
                <w:szCs w:val="24"/>
              </w:rPr>
              <w:t>, сердечной недостаточностью, артериальной гипертензией, хронической болезнью почек, при сахарном диабете) в зависимости от медицинских показаний и при отсутствии медицинских противопоказаний</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B957B22"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Да/Нет</w:t>
            </w:r>
          </w:p>
        </w:tc>
      </w:tr>
      <w:tr w:rsidR="004C062E" w14:paraId="18AAC768"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0E8C68B"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D15B477"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Проводится гиполипидемическая терапия высокими дозами лекарственных препаратов из группы ингибиторов ГМГ-КоА-редуктазы при отсутствии медицинских противопоказаний</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14B902BD"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Да/Нет</w:t>
            </w:r>
          </w:p>
        </w:tc>
      </w:tr>
      <w:tr w:rsidR="004C062E" w14:paraId="57DADB10"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6AB0A3D7"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158A5EC0"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начале лечения использовалось сочетание АСК, ингибитора Р2Y</w:t>
            </w:r>
            <w:r>
              <w:rPr>
                <w:rFonts w:ascii="Times New Roman" w:hAnsi="Times New Roman" w:cs="Times New Roman"/>
                <w:color w:val="000000" w:themeColor="text1"/>
                <w:sz w:val="24"/>
                <w:szCs w:val="24"/>
                <w:vertAlign w:val="subscript"/>
              </w:rPr>
              <w:t>12</w:t>
            </w:r>
            <w:r>
              <w:rPr>
                <w:rFonts w:ascii="Times New Roman" w:hAnsi="Times New Roman" w:cs="Times New Roman"/>
                <w:color w:val="000000" w:themeColor="text1"/>
                <w:sz w:val="24"/>
                <w:szCs w:val="24"/>
              </w:rPr>
              <w:t>-рецептора тромбоцитов (клопидогрел, тикагрелор или прасугрел) и антикоагулянта с последующим переходом на сочетание АСК с ингибитором Р2Y</w:t>
            </w:r>
            <w:r>
              <w:rPr>
                <w:rFonts w:ascii="Times New Roman" w:hAnsi="Times New Roman" w:cs="Times New Roman"/>
                <w:color w:val="000000" w:themeColor="text1"/>
                <w:sz w:val="24"/>
                <w:szCs w:val="24"/>
                <w:vertAlign w:val="subscript"/>
              </w:rPr>
              <w:t>12</w:t>
            </w:r>
            <w:r>
              <w:rPr>
                <w:rFonts w:ascii="Times New Roman" w:hAnsi="Times New Roman" w:cs="Times New Roman"/>
                <w:color w:val="000000" w:themeColor="text1"/>
                <w:sz w:val="24"/>
                <w:szCs w:val="24"/>
              </w:rPr>
              <w:t>-рецептора тромбоцитов или, для пациентов с показаниями к длительному применению антикоагулянтов, на сочетание перорального антикоагулянта с антиагрегантом в зависимости от медицинских показаний и при отсутствии медицинских противопоказаний</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7861B7F3"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Да/Нет</w:t>
            </w:r>
          </w:p>
        </w:tc>
      </w:tr>
      <w:tr w:rsidR="004C062E" w14:paraId="47E94BD4"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212E356"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29A80AA6"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Перед выпиской из стационара определены сроки этапной реваскуляризации (при наличии показаний)</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2EAD42D2" w14:textId="77777777" w:rsidR="004C062E" w:rsidRDefault="002C7340" w:rsidP="00A419DB">
            <w:pPr>
              <w:suppressAutoHyphens/>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Да/Нет</w:t>
            </w:r>
          </w:p>
        </w:tc>
      </w:tr>
    </w:tbl>
    <w:p w14:paraId="5A606240" w14:textId="77777777" w:rsidR="00BD2F09" w:rsidRDefault="00BD2F09" w:rsidP="00A419DB">
      <w:pPr>
        <w:pStyle w:val="af5"/>
        <w:shd w:val="clear" w:color="auto" w:fill="FFFFFF"/>
        <w:suppressAutoHyphens/>
        <w:spacing w:before="75" w:beforeAutospacing="0" w:after="75" w:afterAutospacing="0" w:line="360" w:lineRule="auto"/>
        <w:jc w:val="center"/>
        <w:outlineLvl w:val="0"/>
        <w:rPr>
          <w:b/>
          <w:bCs/>
        </w:rPr>
      </w:pPr>
      <w:bookmarkStart w:id="57" w:name="_Toc236138965"/>
    </w:p>
    <w:p w14:paraId="059C4528" w14:textId="77777777" w:rsidR="00BD2F09" w:rsidRDefault="00BD2F09" w:rsidP="00A419DB">
      <w:pPr>
        <w:pStyle w:val="af5"/>
        <w:shd w:val="clear" w:color="auto" w:fill="FFFFFF"/>
        <w:suppressAutoHyphens/>
        <w:spacing w:before="75" w:beforeAutospacing="0" w:after="75" w:afterAutospacing="0" w:line="360" w:lineRule="auto"/>
        <w:jc w:val="center"/>
        <w:outlineLvl w:val="0"/>
        <w:rPr>
          <w:b/>
          <w:bCs/>
        </w:rPr>
      </w:pPr>
    </w:p>
    <w:p w14:paraId="79E6C9E3" w14:textId="77777777" w:rsidR="00BD2F09" w:rsidRDefault="00BD2F09" w:rsidP="00A419DB">
      <w:pPr>
        <w:pStyle w:val="af5"/>
        <w:shd w:val="clear" w:color="auto" w:fill="FFFFFF"/>
        <w:suppressAutoHyphens/>
        <w:spacing w:before="75" w:beforeAutospacing="0" w:after="75" w:afterAutospacing="0" w:line="360" w:lineRule="auto"/>
        <w:jc w:val="center"/>
        <w:outlineLvl w:val="0"/>
        <w:rPr>
          <w:b/>
          <w:bCs/>
        </w:rPr>
      </w:pPr>
    </w:p>
    <w:p w14:paraId="02217CD7" w14:textId="77777777" w:rsidR="00BD2F09" w:rsidRDefault="00BD2F09" w:rsidP="00A419DB">
      <w:pPr>
        <w:pStyle w:val="af5"/>
        <w:shd w:val="clear" w:color="auto" w:fill="FFFFFF"/>
        <w:suppressAutoHyphens/>
        <w:spacing w:before="75" w:beforeAutospacing="0" w:after="75" w:afterAutospacing="0" w:line="360" w:lineRule="auto"/>
        <w:jc w:val="center"/>
        <w:outlineLvl w:val="0"/>
        <w:rPr>
          <w:b/>
          <w:bCs/>
        </w:rPr>
      </w:pPr>
    </w:p>
    <w:p w14:paraId="0D2D0C51" w14:textId="77777777" w:rsidR="00BD2F09" w:rsidRDefault="00BD2F09" w:rsidP="00A419DB">
      <w:pPr>
        <w:pStyle w:val="af5"/>
        <w:shd w:val="clear" w:color="auto" w:fill="FFFFFF"/>
        <w:suppressAutoHyphens/>
        <w:spacing w:before="75" w:beforeAutospacing="0" w:after="75" w:afterAutospacing="0" w:line="360" w:lineRule="auto"/>
        <w:jc w:val="center"/>
        <w:outlineLvl w:val="0"/>
        <w:rPr>
          <w:b/>
          <w:bCs/>
        </w:rPr>
      </w:pPr>
    </w:p>
    <w:p w14:paraId="320E0FC3" w14:textId="77777777" w:rsidR="00BD2F09" w:rsidRDefault="00BD2F09" w:rsidP="00A419DB">
      <w:pPr>
        <w:pStyle w:val="af5"/>
        <w:shd w:val="clear" w:color="auto" w:fill="FFFFFF"/>
        <w:suppressAutoHyphens/>
        <w:spacing w:before="75" w:beforeAutospacing="0" w:after="75" w:afterAutospacing="0" w:line="360" w:lineRule="auto"/>
        <w:jc w:val="center"/>
        <w:outlineLvl w:val="0"/>
        <w:rPr>
          <w:b/>
          <w:bCs/>
        </w:rPr>
      </w:pPr>
    </w:p>
    <w:p w14:paraId="3F373F6F" w14:textId="143E3899" w:rsidR="004C062E" w:rsidRPr="000C2EC4" w:rsidRDefault="00F739AF" w:rsidP="00A419DB">
      <w:pPr>
        <w:pStyle w:val="af5"/>
        <w:shd w:val="clear" w:color="auto" w:fill="FFFFFF"/>
        <w:suppressAutoHyphens/>
        <w:spacing w:before="75" w:beforeAutospacing="0" w:after="75" w:afterAutospacing="0" w:line="360" w:lineRule="auto"/>
        <w:jc w:val="center"/>
        <w:outlineLvl w:val="0"/>
        <w:rPr>
          <w:b/>
          <w:bCs/>
        </w:rPr>
      </w:pPr>
      <w:r w:rsidRPr="000C2EC4">
        <w:rPr>
          <w:b/>
          <w:bCs/>
        </w:rPr>
        <w:lastRenderedPageBreak/>
        <w:t>Список литературы</w:t>
      </w:r>
      <w:bookmarkEnd w:id="57"/>
    </w:p>
    <w:p w14:paraId="45895F2A" w14:textId="77777777" w:rsidR="00FB6E1D" w:rsidRPr="00D35DBF" w:rsidRDefault="00D35DBF" w:rsidP="00A419DB">
      <w:pPr>
        <w:tabs>
          <w:tab w:val="left" w:pos="720"/>
          <w:tab w:val="left" w:pos="786"/>
        </w:tabs>
        <w:suppressAutoHyphen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FB6E1D" w:rsidRPr="00D35DBF">
        <w:rPr>
          <w:rFonts w:ascii="Times New Roman" w:hAnsi="Times New Roman" w:cs="Times New Roman"/>
          <w:sz w:val="24"/>
          <w:szCs w:val="24"/>
        </w:rPr>
        <w:t xml:space="preserve">Андреева Н. С., Реброва О.Ю., Зорин Н.А. и др. Системы оценки достоверности  научных доказательств и убедительности рекомендаций: сравнительная  </w:t>
      </w:r>
      <w:r w:rsidR="00FB6E1D" w:rsidRPr="00D35DBF">
        <w:rPr>
          <w:rFonts w:ascii="Times New Roman" w:hAnsi="Times New Roman" w:cs="Times New Roman"/>
          <w:sz w:val="24"/>
          <w:szCs w:val="24"/>
        </w:rPr>
        <w:br/>
        <w:t xml:space="preserve">характеристика и перспективы унификации. Медицинские технологии. Оценка и  </w:t>
      </w:r>
      <w:r w:rsidR="00FB6E1D" w:rsidRPr="00D35DBF">
        <w:rPr>
          <w:rFonts w:ascii="Times New Roman" w:hAnsi="Times New Roman" w:cs="Times New Roman"/>
          <w:sz w:val="24"/>
          <w:szCs w:val="24"/>
        </w:rPr>
        <w:br/>
        <w:t xml:space="preserve">выбор. 2012;4:10–24.  </w:t>
      </w:r>
    </w:p>
    <w:p w14:paraId="42149FEE" w14:textId="77777777" w:rsidR="00FB6E1D" w:rsidRPr="00D35DBF" w:rsidRDefault="00D35DBF" w:rsidP="00A419DB">
      <w:pPr>
        <w:tabs>
          <w:tab w:val="left" w:pos="720"/>
          <w:tab w:val="left" w:pos="786"/>
        </w:tabs>
        <w:suppressAutoHyphens/>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2. </w:t>
      </w:r>
      <w:r w:rsidR="00FB6E1D" w:rsidRPr="00D35DBF">
        <w:rPr>
          <w:rFonts w:ascii="Times New Roman" w:hAnsi="Times New Roman" w:cs="Times New Roman"/>
          <w:color w:val="000000"/>
          <w:sz w:val="24"/>
          <w:szCs w:val="24"/>
        </w:rPr>
        <w:t>Статистические данны</w:t>
      </w:r>
      <w:r w:rsidR="00FB6E1D" w:rsidRPr="00D35DBF">
        <w:rPr>
          <w:rFonts w:ascii="Times New Roman" w:hAnsi="Times New Roman" w:cs="Times New Roman"/>
          <w:color w:val="000000"/>
          <w:spacing w:val="-3"/>
          <w:sz w:val="24"/>
          <w:szCs w:val="24"/>
        </w:rPr>
        <w:t>е</w:t>
      </w:r>
      <w:r w:rsidR="00FB6E1D" w:rsidRPr="00D35DBF">
        <w:rPr>
          <w:rFonts w:ascii="Times New Roman" w:hAnsi="Times New Roman" w:cs="Times New Roman"/>
          <w:color w:val="000000"/>
          <w:sz w:val="24"/>
          <w:szCs w:val="24"/>
        </w:rPr>
        <w:t xml:space="preserve"> находятся в печати (ж</w:t>
      </w:r>
      <w:r w:rsidR="00FB6E1D" w:rsidRPr="00D35DBF">
        <w:rPr>
          <w:rFonts w:ascii="Times New Roman" w:hAnsi="Times New Roman" w:cs="Times New Roman"/>
          <w:color w:val="000000"/>
          <w:spacing w:val="-4"/>
          <w:sz w:val="24"/>
          <w:szCs w:val="24"/>
        </w:rPr>
        <w:t>у</w:t>
      </w:r>
      <w:r w:rsidR="00FB6E1D" w:rsidRPr="00D35DBF">
        <w:rPr>
          <w:rFonts w:ascii="Times New Roman" w:hAnsi="Times New Roman" w:cs="Times New Roman"/>
          <w:color w:val="000000"/>
          <w:sz w:val="24"/>
          <w:szCs w:val="24"/>
        </w:rPr>
        <w:t xml:space="preserve">рнал </w:t>
      </w:r>
      <w:r w:rsidR="00FB6E1D" w:rsidRPr="00D35DBF">
        <w:rPr>
          <w:rFonts w:ascii="Times New Roman" w:hAnsi="Times New Roman" w:cs="Times New Roman"/>
          <w:color w:val="000000"/>
          <w:spacing w:val="-7"/>
          <w:sz w:val="24"/>
          <w:szCs w:val="24"/>
        </w:rPr>
        <w:t>«</w:t>
      </w:r>
      <w:r w:rsidR="00FB6E1D" w:rsidRPr="00D35DBF">
        <w:rPr>
          <w:rFonts w:ascii="Times New Roman" w:hAnsi="Times New Roman" w:cs="Times New Roman"/>
          <w:color w:val="000000"/>
          <w:sz w:val="24"/>
          <w:szCs w:val="24"/>
        </w:rPr>
        <w:t>Кардиология</w:t>
      </w:r>
      <w:r w:rsidR="00FB6E1D" w:rsidRPr="00D35DBF">
        <w:rPr>
          <w:rFonts w:ascii="Times New Roman" w:hAnsi="Times New Roman" w:cs="Times New Roman"/>
          <w:color w:val="000000"/>
          <w:spacing w:val="-7"/>
          <w:sz w:val="24"/>
          <w:szCs w:val="24"/>
        </w:rPr>
        <w:t>»</w:t>
      </w:r>
      <w:r w:rsidR="00FB6E1D" w:rsidRPr="00D35DBF">
        <w:rPr>
          <w:rFonts w:ascii="Times New Roman" w:hAnsi="Times New Roman" w:cs="Times New Roman"/>
          <w:color w:val="000000"/>
          <w:sz w:val="24"/>
          <w:szCs w:val="24"/>
        </w:rPr>
        <w:t>, 2024)</w:t>
      </w:r>
      <w:r w:rsidR="00FB6E1D" w:rsidRPr="00D35DBF">
        <w:rPr>
          <w:rFonts w:ascii="TimesNewRomanPSMT" w:hAnsi="TimesNewRomanPSMT" w:cs="TimesNewRomanPSMT"/>
          <w:color w:val="000000"/>
          <w:sz w:val="24"/>
          <w:szCs w:val="24"/>
        </w:rPr>
        <w:t xml:space="preserve">.  </w:t>
      </w:r>
    </w:p>
    <w:p w14:paraId="2C4846DA" w14:textId="77777777" w:rsidR="00F220A1" w:rsidRPr="00D35DBF" w:rsidRDefault="00D35DBF" w:rsidP="00A419DB">
      <w:pPr>
        <w:tabs>
          <w:tab w:val="left" w:pos="720"/>
          <w:tab w:val="left" w:pos="786"/>
        </w:tabs>
        <w:suppressAutoHyphens/>
        <w:spacing w:line="414" w:lineRule="exact"/>
        <w:ind w:right="217"/>
        <w:jc w:val="both"/>
        <w:rPr>
          <w:rFonts w:ascii="Times New Roman" w:hAnsi="Times New Roman" w:cs="Times New Roman"/>
          <w:color w:val="010302"/>
          <w:lang w:val="en-US"/>
        </w:rPr>
      </w:pPr>
      <w:r w:rsidRPr="00D35DBF">
        <w:rPr>
          <w:rFonts w:ascii="TimesNewRomanPSMT" w:hAnsi="TimesNewRomanPSMT" w:cs="TimesNewRomanPSMT"/>
          <w:color w:val="000000"/>
          <w:sz w:val="24"/>
          <w:szCs w:val="24"/>
          <w:lang w:val="en-US"/>
        </w:rPr>
        <w:t xml:space="preserve">3. </w:t>
      </w:r>
      <w:r w:rsidR="00F220A1" w:rsidRPr="00D35DBF">
        <w:rPr>
          <w:rFonts w:ascii="TimesNewRomanPSMT" w:hAnsi="TimesNewRomanPSMT" w:cs="TimesNewRomanPSMT"/>
          <w:color w:val="000000"/>
          <w:sz w:val="24"/>
          <w:szCs w:val="24"/>
          <w:lang w:val="en-US"/>
        </w:rPr>
        <w:t>FesmireFM,Perc</w:t>
      </w:r>
      <w:r w:rsidR="00F220A1" w:rsidRPr="00D35DBF">
        <w:rPr>
          <w:rFonts w:ascii="TimesNewRomanPSMT" w:hAnsi="TimesNewRomanPSMT" w:cs="TimesNewRomanPSMT"/>
          <w:color w:val="000000"/>
          <w:spacing w:val="-4"/>
          <w:sz w:val="24"/>
          <w:szCs w:val="24"/>
          <w:lang w:val="en-US"/>
        </w:rPr>
        <w:t>y</w:t>
      </w:r>
      <w:r w:rsidR="00F220A1" w:rsidRPr="00D35DBF">
        <w:rPr>
          <w:rFonts w:ascii="TimesNewRomanPSMT" w:hAnsi="TimesNewRomanPSMT" w:cs="TimesNewRomanPSMT"/>
          <w:color w:val="000000"/>
          <w:sz w:val="24"/>
          <w:szCs w:val="24"/>
          <w:lang w:val="en-US"/>
        </w:rPr>
        <w:t>RF,BardonerJBetal.Usefulnessofautomatedserial12-leadECG  monitorin</w:t>
      </w:r>
      <w:r w:rsidR="00F220A1" w:rsidRPr="00D35DBF">
        <w:rPr>
          <w:rFonts w:ascii="TimesNewRomanPSMT" w:hAnsi="TimesNewRomanPSMT" w:cs="TimesNewRomanPSMT"/>
          <w:color w:val="000000"/>
          <w:spacing w:val="-2"/>
          <w:sz w:val="24"/>
          <w:szCs w:val="24"/>
          <w:lang w:val="en-US"/>
        </w:rPr>
        <w:t>g</w:t>
      </w:r>
      <w:r w:rsidR="00F220A1" w:rsidRPr="00D35DBF">
        <w:rPr>
          <w:rFonts w:ascii="TimesNewRomanPSMT" w:hAnsi="TimesNewRomanPSMT" w:cs="TimesNewRomanPSMT"/>
          <w:color w:val="000000"/>
          <w:sz w:val="24"/>
          <w:szCs w:val="24"/>
          <w:lang w:val="en-US"/>
        </w:rPr>
        <w:t>durin</w:t>
      </w:r>
      <w:r w:rsidR="00F220A1" w:rsidRPr="00D35DBF">
        <w:rPr>
          <w:rFonts w:ascii="TimesNewRomanPSMT" w:hAnsi="TimesNewRomanPSMT" w:cs="TimesNewRomanPSMT"/>
          <w:color w:val="000000"/>
          <w:spacing w:val="-2"/>
          <w:sz w:val="24"/>
          <w:szCs w:val="24"/>
          <w:lang w:val="en-US"/>
        </w:rPr>
        <w:t>g</w:t>
      </w:r>
      <w:r w:rsidR="00F220A1" w:rsidRPr="00D35DBF">
        <w:rPr>
          <w:rFonts w:ascii="TimesNewRomanPSMT" w:hAnsi="TimesNewRomanPSMT" w:cs="TimesNewRomanPSMT"/>
          <w:color w:val="000000"/>
          <w:sz w:val="24"/>
          <w:szCs w:val="24"/>
          <w:lang w:val="en-US"/>
        </w:rPr>
        <w:t>theinitialemer</w:t>
      </w:r>
      <w:r w:rsidR="00F220A1" w:rsidRPr="00D35DBF">
        <w:rPr>
          <w:rFonts w:ascii="TimesNewRomanPSMT" w:hAnsi="TimesNewRomanPSMT" w:cs="TimesNewRomanPSMT"/>
          <w:color w:val="000000"/>
          <w:spacing w:val="-2"/>
          <w:sz w:val="24"/>
          <w:szCs w:val="24"/>
          <w:lang w:val="en-US"/>
        </w:rPr>
        <w:t>g</w:t>
      </w:r>
      <w:r w:rsidR="00F220A1" w:rsidRPr="00D35DBF">
        <w:rPr>
          <w:rFonts w:ascii="TimesNewRomanPSMT" w:hAnsi="TimesNewRomanPSMT" w:cs="TimesNewRomanPSMT"/>
          <w:color w:val="000000"/>
          <w:sz w:val="24"/>
          <w:szCs w:val="24"/>
          <w:lang w:val="en-US"/>
        </w:rPr>
        <w:t>enc</w:t>
      </w:r>
      <w:r w:rsidR="00F220A1" w:rsidRPr="00D35DBF">
        <w:rPr>
          <w:rFonts w:ascii="TimesNewRomanPSMT" w:hAnsi="TimesNewRomanPSMT" w:cs="TimesNewRomanPSMT"/>
          <w:color w:val="000000"/>
          <w:spacing w:val="-7"/>
          <w:sz w:val="24"/>
          <w:szCs w:val="24"/>
          <w:lang w:val="en-US"/>
        </w:rPr>
        <w:t>y</w:t>
      </w:r>
      <w:r w:rsidR="00F220A1" w:rsidRPr="00D35DBF">
        <w:rPr>
          <w:rFonts w:ascii="TimesNewRomanPSMT" w:hAnsi="TimesNewRomanPSMT" w:cs="TimesNewRomanPSMT"/>
          <w:color w:val="000000"/>
          <w:sz w:val="24"/>
          <w:szCs w:val="24"/>
          <w:lang w:val="en-US"/>
        </w:rPr>
        <w:t>departmentevaluationofpatientswithchestpain</w:t>
      </w:r>
      <w:r w:rsidR="00F220A1" w:rsidRPr="00D35DBF">
        <w:rPr>
          <w:rFonts w:ascii="TimesNewRomanPSMT" w:hAnsi="TimesNewRomanPSMT" w:cs="TimesNewRomanPSMT"/>
          <w:color w:val="000000"/>
          <w:spacing w:val="-2"/>
          <w:sz w:val="24"/>
          <w:szCs w:val="24"/>
          <w:lang w:val="en-US"/>
        </w:rPr>
        <w:t>.</w:t>
      </w:r>
      <w:r w:rsidR="00F220A1" w:rsidRPr="00D35DBF">
        <w:rPr>
          <w:rFonts w:ascii="TimesNewRomanPSMT" w:hAnsi="TimesNewRomanPSMT" w:cs="TimesNewRomanPSMT"/>
          <w:color w:val="000000"/>
          <w:sz w:val="24"/>
          <w:szCs w:val="24"/>
          <w:lang w:val="en-US"/>
        </w:rPr>
        <w:t xml:space="preserve">  Ann Emer</w:t>
      </w:r>
      <w:r w:rsidR="00F220A1" w:rsidRPr="00D35DBF">
        <w:rPr>
          <w:rFonts w:ascii="TimesNewRomanPSMT" w:hAnsi="TimesNewRomanPSMT" w:cs="TimesNewRomanPSMT"/>
          <w:color w:val="000000"/>
          <w:spacing w:val="-2"/>
          <w:sz w:val="24"/>
          <w:szCs w:val="24"/>
          <w:lang w:val="en-US"/>
        </w:rPr>
        <w:t>g</w:t>
      </w:r>
      <w:r w:rsidR="00F220A1" w:rsidRPr="00D35DBF">
        <w:rPr>
          <w:rFonts w:ascii="TimesNewRomanPSMT" w:hAnsi="TimesNewRomanPSMT" w:cs="TimesNewRomanPSMT"/>
          <w:color w:val="000000"/>
          <w:sz w:val="24"/>
          <w:szCs w:val="24"/>
          <w:lang w:val="en-US"/>
        </w:rPr>
        <w:t xml:space="preserve"> Med. 1998; 31:3</w:t>
      </w:r>
      <w:r w:rsidR="00F220A1" w:rsidRPr="00D35DBF">
        <w:rPr>
          <w:rFonts w:ascii="Times New Roman" w:hAnsi="Times New Roman" w:cs="Times New Roman"/>
          <w:color w:val="000000"/>
          <w:sz w:val="24"/>
          <w:szCs w:val="24"/>
          <w:lang w:val="en-US"/>
        </w:rPr>
        <w:t>–</w:t>
      </w:r>
      <w:r w:rsidR="00F220A1" w:rsidRPr="00D35DBF">
        <w:rPr>
          <w:rFonts w:ascii="TimesNewRomanPSMT" w:hAnsi="TimesNewRomanPSMT" w:cs="TimesNewRomanPSMT"/>
          <w:color w:val="000000"/>
          <w:sz w:val="24"/>
          <w:szCs w:val="24"/>
          <w:lang w:val="en-US"/>
        </w:rPr>
        <w:t xml:space="preserve">11.  </w:t>
      </w:r>
    </w:p>
    <w:p w14:paraId="6BD2E76B" w14:textId="77777777" w:rsidR="00F220A1" w:rsidRPr="00D35DBF" w:rsidRDefault="00D35DBF" w:rsidP="00A419DB">
      <w:pPr>
        <w:tabs>
          <w:tab w:val="left" w:pos="720"/>
          <w:tab w:val="left" w:pos="786"/>
        </w:tabs>
        <w:suppressAutoHyphens/>
        <w:spacing w:line="414" w:lineRule="exact"/>
        <w:ind w:right="217"/>
        <w:jc w:val="both"/>
        <w:rPr>
          <w:rFonts w:ascii="Times New Roman" w:hAnsi="Times New Roman" w:cs="Times New Roman"/>
          <w:color w:val="010302"/>
          <w:lang w:val="en-US"/>
        </w:rPr>
      </w:pPr>
      <w:r w:rsidRPr="00D35DBF">
        <w:rPr>
          <w:rFonts w:ascii="TimesNewRomanPSMT" w:hAnsi="TimesNewRomanPSMT" w:cs="TimesNewRomanPSMT"/>
          <w:color w:val="000000"/>
          <w:sz w:val="24"/>
          <w:szCs w:val="24"/>
          <w:lang w:val="en-US"/>
        </w:rPr>
        <w:t xml:space="preserve">4. </w:t>
      </w:r>
      <w:r w:rsidR="00F220A1" w:rsidRPr="00D35DBF">
        <w:rPr>
          <w:rFonts w:ascii="TimesNewRomanPSMT" w:hAnsi="TimesNewRomanPSMT" w:cs="TimesNewRomanPSMT"/>
          <w:color w:val="000000"/>
          <w:sz w:val="24"/>
          <w:szCs w:val="24"/>
          <w:lang w:val="en-US"/>
        </w:rPr>
        <w:t xml:space="preserve">Rouan GW, </w:t>
      </w:r>
      <w:r w:rsidR="00F220A1" w:rsidRPr="00D35DBF">
        <w:rPr>
          <w:rFonts w:ascii="TimesNewRomanPSMT" w:hAnsi="TimesNewRomanPSMT" w:cs="TimesNewRomanPSMT"/>
          <w:color w:val="000000"/>
          <w:spacing w:val="-5"/>
          <w:sz w:val="24"/>
          <w:szCs w:val="24"/>
          <w:lang w:val="en-US"/>
        </w:rPr>
        <w:t>L</w:t>
      </w:r>
      <w:r w:rsidR="00F220A1" w:rsidRPr="00D35DBF">
        <w:rPr>
          <w:rFonts w:ascii="TimesNewRomanPSMT" w:hAnsi="TimesNewRomanPSMT" w:cs="TimesNewRomanPSMT"/>
          <w:color w:val="000000"/>
          <w:sz w:val="24"/>
          <w:szCs w:val="24"/>
          <w:lang w:val="en-US"/>
        </w:rPr>
        <w:t>ee TH, Cook EF, Brand DA, Weisber</w:t>
      </w:r>
      <w:r w:rsidR="00F220A1" w:rsidRPr="00D35DBF">
        <w:rPr>
          <w:rFonts w:ascii="TimesNewRomanPSMT" w:hAnsi="TimesNewRomanPSMT" w:cs="TimesNewRomanPSMT"/>
          <w:color w:val="000000"/>
          <w:spacing w:val="-2"/>
          <w:sz w:val="24"/>
          <w:szCs w:val="24"/>
          <w:lang w:val="en-US"/>
        </w:rPr>
        <w:t>g</w:t>
      </w:r>
      <w:r w:rsidR="00F220A1" w:rsidRPr="00D35DBF">
        <w:rPr>
          <w:rFonts w:ascii="TimesNewRomanPSMT" w:hAnsi="TimesNewRomanPSMT" w:cs="TimesNewRomanPSMT"/>
          <w:color w:val="000000"/>
          <w:sz w:val="24"/>
          <w:szCs w:val="24"/>
          <w:lang w:val="en-US"/>
        </w:rPr>
        <w:t xml:space="preserve"> MC et al. Clinical characteristics and  </w:t>
      </w:r>
      <w:r w:rsidR="00F220A1" w:rsidRPr="00D35DBF">
        <w:rPr>
          <w:lang w:val="en-US"/>
        </w:rPr>
        <w:br w:type="textWrapping" w:clear="all"/>
      </w:r>
      <w:r w:rsidR="00F220A1" w:rsidRPr="00D35DBF">
        <w:rPr>
          <w:rFonts w:ascii="TimesNewRomanPSMT" w:hAnsi="TimesNewRomanPSMT" w:cs="TimesNewRomanPSMT"/>
          <w:color w:val="000000"/>
          <w:sz w:val="24"/>
          <w:szCs w:val="24"/>
          <w:lang w:val="en-US"/>
        </w:rPr>
        <w:t>outcomeofacutem</w:t>
      </w:r>
      <w:r w:rsidR="00F220A1" w:rsidRPr="00D35DBF">
        <w:rPr>
          <w:rFonts w:ascii="TimesNewRomanPSMT" w:hAnsi="TimesNewRomanPSMT" w:cs="TimesNewRomanPSMT"/>
          <w:color w:val="000000"/>
          <w:spacing w:val="-4"/>
          <w:sz w:val="24"/>
          <w:szCs w:val="24"/>
          <w:lang w:val="en-US"/>
        </w:rPr>
        <w:t>y</w:t>
      </w:r>
      <w:r w:rsidR="00F220A1" w:rsidRPr="00D35DBF">
        <w:rPr>
          <w:rFonts w:ascii="TimesNewRomanPSMT" w:hAnsi="TimesNewRomanPSMT" w:cs="TimesNewRomanPSMT"/>
          <w:color w:val="000000"/>
          <w:sz w:val="24"/>
          <w:szCs w:val="24"/>
          <w:lang w:val="en-US"/>
        </w:rPr>
        <w:t>ocardialinfarctioninpatientswithinitiall</w:t>
      </w:r>
      <w:r w:rsidR="00F220A1" w:rsidRPr="00D35DBF">
        <w:rPr>
          <w:rFonts w:ascii="TimesNewRomanPSMT" w:hAnsi="TimesNewRomanPSMT" w:cs="TimesNewRomanPSMT"/>
          <w:color w:val="000000"/>
          <w:spacing w:val="-7"/>
          <w:sz w:val="24"/>
          <w:szCs w:val="24"/>
          <w:lang w:val="en-US"/>
        </w:rPr>
        <w:t>y</w:t>
      </w:r>
      <w:r w:rsidR="00F220A1" w:rsidRPr="00D35DBF">
        <w:rPr>
          <w:rFonts w:ascii="TimesNewRomanPSMT" w:hAnsi="TimesNewRomanPSMT" w:cs="TimesNewRomanPSMT"/>
          <w:color w:val="000000"/>
          <w:sz w:val="24"/>
          <w:szCs w:val="24"/>
          <w:lang w:val="en-US"/>
        </w:rPr>
        <w:t>normalornonspecificelectrocardio</w:t>
      </w:r>
      <w:r w:rsidR="00F220A1" w:rsidRPr="00D35DBF">
        <w:rPr>
          <w:rFonts w:ascii="TimesNewRomanPSMT" w:hAnsi="TimesNewRomanPSMT" w:cs="TimesNewRomanPSMT"/>
          <w:color w:val="000000"/>
          <w:spacing w:val="-2"/>
          <w:sz w:val="24"/>
          <w:szCs w:val="24"/>
          <w:lang w:val="en-US"/>
        </w:rPr>
        <w:t>g</w:t>
      </w:r>
      <w:r w:rsidR="00F220A1" w:rsidRPr="00D35DBF">
        <w:rPr>
          <w:rFonts w:ascii="TimesNewRomanPSMT" w:hAnsi="TimesNewRomanPSMT" w:cs="TimesNewRomanPSMT"/>
          <w:color w:val="000000"/>
          <w:sz w:val="24"/>
          <w:szCs w:val="24"/>
          <w:lang w:val="en-US"/>
        </w:rPr>
        <w:t>rams(areportfromtheMulticenterChestPainStud</w:t>
      </w:r>
      <w:r w:rsidR="00F220A1" w:rsidRPr="00D35DBF">
        <w:rPr>
          <w:rFonts w:ascii="TimesNewRomanPSMT" w:hAnsi="TimesNewRomanPSMT" w:cs="TimesNewRomanPSMT"/>
          <w:color w:val="000000"/>
          <w:spacing w:val="-7"/>
          <w:sz w:val="24"/>
          <w:szCs w:val="24"/>
          <w:lang w:val="en-US"/>
        </w:rPr>
        <w:t>y</w:t>
      </w:r>
      <w:r w:rsidR="00F220A1" w:rsidRPr="00D35DBF">
        <w:rPr>
          <w:rFonts w:ascii="TimesNewRomanPSMT" w:hAnsi="TimesNewRomanPSMT" w:cs="TimesNewRomanPSMT"/>
          <w:color w:val="000000"/>
          <w:sz w:val="24"/>
          <w:szCs w:val="24"/>
          <w:lang w:val="en-US"/>
        </w:rPr>
        <w:t>).AmJCardiol</w:t>
      </w:r>
      <w:r w:rsidR="00F220A1" w:rsidRPr="00D35DBF">
        <w:rPr>
          <w:rFonts w:ascii="TimesNewRomanPSMT" w:hAnsi="TimesNewRomanPSMT" w:cs="TimesNewRomanPSMT"/>
          <w:color w:val="000000"/>
          <w:spacing w:val="-2"/>
          <w:sz w:val="24"/>
          <w:szCs w:val="24"/>
          <w:lang w:val="en-US"/>
        </w:rPr>
        <w:t>.</w:t>
      </w:r>
      <w:r w:rsidR="00F220A1" w:rsidRPr="00D35DBF">
        <w:rPr>
          <w:rFonts w:ascii="TimesNewRomanPSMT" w:hAnsi="TimesNewRomanPSMT" w:cs="TimesNewRomanPSMT"/>
          <w:color w:val="000000"/>
          <w:sz w:val="24"/>
          <w:szCs w:val="24"/>
          <w:lang w:val="en-US"/>
        </w:rPr>
        <w:t>1989;64:1087</w:t>
      </w:r>
      <w:r w:rsidR="00F220A1" w:rsidRPr="00D35DBF">
        <w:rPr>
          <w:rFonts w:ascii="Times New Roman" w:hAnsi="Times New Roman" w:cs="Times New Roman"/>
          <w:color w:val="000000"/>
          <w:sz w:val="24"/>
          <w:szCs w:val="24"/>
          <w:lang w:val="en-US"/>
        </w:rPr>
        <w:t>–</w:t>
      </w:r>
      <w:r w:rsidR="00F220A1" w:rsidRPr="00D35DBF">
        <w:rPr>
          <w:rFonts w:ascii="TimesNewRomanPSMT" w:hAnsi="TimesNewRomanPSMT" w:cs="TimesNewRomanPSMT"/>
          <w:color w:val="000000"/>
          <w:sz w:val="24"/>
          <w:szCs w:val="24"/>
          <w:lang w:val="en-US"/>
        </w:rPr>
        <w:t xml:space="preserve">1092.    </w:t>
      </w:r>
    </w:p>
    <w:p w14:paraId="1504E5FD" w14:textId="77777777" w:rsidR="00F220A1" w:rsidRPr="00D35DBF" w:rsidRDefault="00D35DBF" w:rsidP="00A419DB">
      <w:pPr>
        <w:tabs>
          <w:tab w:val="left" w:pos="720"/>
          <w:tab w:val="left" w:pos="786"/>
        </w:tabs>
        <w:suppressAutoHyphens/>
        <w:spacing w:line="415" w:lineRule="exact"/>
        <w:ind w:right="217"/>
        <w:jc w:val="both"/>
        <w:rPr>
          <w:rFonts w:ascii="Times New Roman" w:hAnsi="Times New Roman" w:cs="Times New Roman"/>
          <w:color w:val="010302"/>
          <w:lang w:val="en-US"/>
        </w:rPr>
      </w:pPr>
      <w:r w:rsidRPr="00D35DBF">
        <w:rPr>
          <w:rFonts w:ascii="TimesNewRomanPSMT" w:hAnsi="TimesNewRomanPSMT" w:cs="TimesNewRomanPSMT"/>
          <w:color w:val="000000"/>
          <w:sz w:val="24"/>
          <w:szCs w:val="24"/>
          <w:lang w:val="en-US"/>
        </w:rPr>
        <w:t xml:space="preserve">5. </w:t>
      </w:r>
      <w:r w:rsidR="00F220A1" w:rsidRPr="00D35DBF">
        <w:rPr>
          <w:rFonts w:ascii="TimesNewRomanPSMT" w:hAnsi="TimesNewRomanPSMT" w:cs="TimesNewRomanPSMT"/>
          <w:color w:val="000000"/>
          <w:sz w:val="24"/>
          <w:szCs w:val="24"/>
          <w:lang w:val="en-US"/>
        </w:rPr>
        <w:t>McCarth</w:t>
      </w:r>
      <w:r w:rsidR="00F220A1" w:rsidRPr="00D35DBF">
        <w:rPr>
          <w:rFonts w:ascii="TimesNewRomanPSMT" w:hAnsi="TimesNewRomanPSMT" w:cs="TimesNewRomanPSMT"/>
          <w:color w:val="000000"/>
          <w:spacing w:val="-4"/>
          <w:sz w:val="24"/>
          <w:szCs w:val="24"/>
          <w:lang w:val="en-US"/>
        </w:rPr>
        <w:t>y</w:t>
      </w:r>
      <w:r w:rsidR="00F220A1" w:rsidRPr="00D35DBF">
        <w:rPr>
          <w:rFonts w:ascii="TimesNewRomanPSMT" w:hAnsi="TimesNewRomanPSMT" w:cs="TimesNewRomanPSMT"/>
          <w:color w:val="000000"/>
          <w:sz w:val="24"/>
          <w:szCs w:val="24"/>
          <w:lang w:val="en-US"/>
        </w:rPr>
        <w:t>BD,Won</w:t>
      </w:r>
      <w:r w:rsidR="00F220A1" w:rsidRPr="00D35DBF">
        <w:rPr>
          <w:rFonts w:ascii="TimesNewRomanPSMT" w:hAnsi="TimesNewRomanPSMT" w:cs="TimesNewRomanPSMT"/>
          <w:color w:val="000000"/>
          <w:spacing w:val="-2"/>
          <w:sz w:val="24"/>
          <w:szCs w:val="24"/>
          <w:lang w:val="en-US"/>
        </w:rPr>
        <w:t>g</w:t>
      </w:r>
      <w:r w:rsidR="00F220A1" w:rsidRPr="00D35DBF">
        <w:rPr>
          <w:rFonts w:ascii="TimesNewRomanPSMT" w:hAnsi="TimesNewRomanPSMT" w:cs="TimesNewRomanPSMT"/>
          <w:color w:val="000000"/>
          <w:sz w:val="24"/>
          <w:szCs w:val="24"/>
          <w:lang w:val="en-US"/>
        </w:rPr>
        <w:t>JB,SelkerHP.Detectingacutecardiacischemiaintheemer</w:t>
      </w:r>
      <w:r w:rsidR="00F220A1" w:rsidRPr="00D35DBF">
        <w:rPr>
          <w:rFonts w:ascii="TimesNewRomanPSMT" w:hAnsi="TimesNewRomanPSMT" w:cs="TimesNewRomanPSMT"/>
          <w:color w:val="000000"/>
          <w:spacing w:val="-2"/>
          <w:sz w:val="24"/>
          <w:szCs w:val="24"/>
          <w:lang w:val="en-US"/>
        </w:rPr>
        <w:t>g</w:t>
      </w:r>
      <w:r w:rsidR="00F220A1" w:rsidRPr="00D35DBF">
        <w:rPr>
          <w:rFonts w:ascii="TimesNewRomanPSMT" w:hAnsi="TimesNewRomanPSMT" w:cs="TimesNewRomanPSMT"/>
          <w:color w:val="000000"/>
          <w:sz w:val="24"/>
          <w:szCs w:val="24"/>
          <w:lang w:val="en-US"/>
        </w:rPr>
        <w:t>enc</w:t>
      </w:r>
      <w:r w:rsidR="00F220A1" w:rsidRPr="00D35DBF">
        <w:rPr>
          <w:rFonts w:ascii="TimesNewRomanPSMT" w:hAnsi="TimesNewRomanPSMT" w:cs="TimesNewRomanPSMT"/>
          <w:color w:val="000000"/>
          <w:spacing w:val="-4"/>
          <w:sz w:val="24"/>
          <w:szCs w:val="24"/>
          <w:lang w:val="en-US"/>
        </w:rPr>
        <w:t>y</w:t>
      </w:r>
      <w:r w:rsidR="00F220A1" w:rsidRPr="00D35DBF">
        <w:rPr>
          <w:rFonts w:ascii="TimesNewRomanPSMT" w:hAnsi="TimesNewRomanPSMT" w:cs="TimesNewRomanPSMT"/>
          <w:color w:val="000000"/>
          <w:sz w:val="24"/>
          <w:szCs w:val="24"/>
          <w:lang w:val="en-US"/>
        </w:rPr>
        <w:t xml:space="preserve">  department: a review of the literature. J Gen </w:t>
      </w:r>
      <w:r w:rsidR="00F220A1" w:rsidRPr="00D35DBF">
        <w:rPr>
          <w:rFonts w:ascii="TimesNewRomanPSMT" w:hAnsi="TimesNewRomanPSMT" w:cs="TimesNewRomanPSMT"/>
          <w:color w:val="000000"/>
          <w:spacing w:val="-3"/>
          <w:sz w:val="24"/>
          <w:szCs w:val="24"/>
          <w:lang w:val="en-US"/>
        </w:rPr>
        <w:t>I</w:t>
      </w:r>
      <w:r w:rsidR="00F220A1" w:rsidRPr="00D35DBF">
        <w:rPr>
          <w:rFonts w:ascii="TimesNewRomanPSMT" w:hAnsi="TimesNewRomanPSMT" w:cs="TimesNewRomanPSMT"/>
          <w:color w:val="000000"/>
          <w:sz w:val="24"/>
          <w:szCs w:val="24"/>
          <w:lang w:val="en-US"/>
        </w:rPr>
        <w:t>ntern Med. 1990;5:365</w:t>
      </w:r>
      <w:r w:rsidR="00F220A1" w:rsidRPr="00D35DBF">
        <w:rPr>
          <w:rFonts w:ascii="Times New Roman" w:hAnsi="Times New Roman" w:cs="Times New Roman"/>
          <w:color w:val="000000"/>
          <w:sz w:val="24"/>
          <w:szCs w:val="24"/>
          <w:lang w:val="en-US"/>
        </w:rPr>
        <w:t>–</w:t>
      </w:r>
      <w:r w:rsidR="00F220A1" w:rsidRPr="00D35DBF">
        <w:rPr>
          <w:rFonts w:ascii="TimesNewRomanPSMT" w:hAnsi="TimesNewRomanPSMT" w:cs="TimesNewRomanPSMT"/>
          <w:color w:val="000000"/>
          <w:sz w:val="24"/>
          <w:szCs w:val="24"/>
          <w:lang w:val="en-US"/>
        </w:rPr>
        <w:t xml:space="preserve">373.  </w:t>
      </w:r>
    </w:p>
    <w:p w14:paraId="77F7E6F6" w14:textId="77777777" w:rsidR="00F220A1" w:rsidRPr="00D35DBF" w:rsidRDefault="00D35DBF" w:rsidP="00A419DB">
      <w:pPr>
        <w:tabs>
          <w:tab w:val="left" w:pos="720"/>
          <w:tab w:val="left" w:pos="786"/>
        </w:tabs>
        <w:suppressAutoHyphens/>
        <w:spacing w:line="412" w:lineRule="exact"/>
        <w:ind w:right="217"/>
        <w:jc w:val="both"/>
        <w:rPr>
          <w:rFonts w:ascii="Times New Roman" w:hAnsi="Times New Roman" w:cs="Times New Roman"/>
          <w:color w:val="010302"/>
          <w:lang w:val="en-US"/>
        </w:rPr>
      </w:pPr>
      <w:r w:rsidRPr="00D35DBF">
        <w:rPr>
          <w:rFonts w:ascii="TimesNewRomanPSMT" w:hAnsi="TimesNewRomanPSMT" w:cs="TimesNewRomanPSMT"/>
          <w:color w:val="000000"/>
          <w:sz w:val="24"/>
          <w:szCs w:val="24"/>
          <w:lang w:val="en-US"/>
        </w:rPr>
        <w:t xml:space="preserve">6. </w:t>
      </w:r>
      <w:r w:rsidR="00F220A1" w:rsidRPr="00D35DBF">
        <w:rPr>
          <w:rFonts w:ascii="TimesNewRomanPSMT" w:hAnsi="TimesNewRomanPSMT" w:cs="TimesNewRomanPSMT"/>
          <w:color w:val="000000"/>
          <w:sz w:val="24"/>
          <w:szCs w:val="24"/>
          <w:lang w:val="en-US"/>
        </w:rPr>
        <w:t>SavonittoS,ArdissinoD,GrangerCB,MorandoG,PrandoMDetal.Pro</w:t>
      </w:r>
      <w:r w:rsidR="00F220A1" w:rsidRPr="00D35DBF">
        <w:rPr>
          <w:rFonts w:ascii="TimesNewRomanPSMT" w:hAnsi="TimesNewRomanPSMT" w:cs="TimesNewRomanPSMT"/>
          <w:color w:val="000000"/>
          <w:spacing w:val="-3"/>
          <w:sz w:val="24"/>
          <w:szCs w:val="24"/>
          <w:lang w:val="en-US"/>
        </w:rPr>
        <w:t>g</w:t>
      </w:r>
      <w:r w:rsidR="00F220A1" w:rsidRPr="00D35DBF">
        <w:rPr>
          <w:rFonts w:ascii="TimesNewRomanPSMT" w:hAnsi="TimesNewRomanPSMT" w:cs="TimesNewRomanPSMT"/>
          <w:color w:val="000000"/>
          <w:sz w:val="24"/>
          <w:szCs w:val="24"/>
          <w:lang w:val="en-US"/>
        </w:rPr>
        <w:t>nosticvalueo</w:t>
      </w:r>
      <w:r w:rsidR="00F220A1" w:rsidRPr="00D35DBF">
        <w:rPr>
          <w:rFonts w:ascii="TimesNewRomanPSMT" w:hAnsi="TimesNewRomanPSMT" w:cs="TimesNewRomanPSMT"/>
          <w:color w:val="000000"/>
          <w:spacing w:val="-3"/>
          <w:sz w:val="24"/>
          <w:szCs w:val="24"/>
          <w:lang w:val="en-US"/>
        </w:rPr>
        <w:t>f</w:t>
      </w:r>
      <w:r w:rsidR="00F220A1" w:rsidRPr="00D35DBF">
        <w:rPr>
          <w:rFonts w:ascii="TimesNewRomanPSMT" w:hAnsi="TimesNewRomanPSMT" w:cs="TimesNewRomanPSMT"/>
          <w:color w:val="000000"/>
          <w:sz w:val="24"/>
          <w:szCs w:val="24"/>
          <w:lang w:val="en-US"/>
        </w:rPr>
        <w:t xml:space="preserve">  the admission electrocardiogram in acute coronar</w:t>
      </w:r>
      <w:r w:rsidR="00F220A1" w:rsidRPr="00D35DBF">
        <w:rPr>
          <w:rFonts w:ascii="TimesNewRomanPSMT" w:hAnsi="TimesNewRomanPSMT" w:cs="TimesNewRomanPSMT"/>
          <w:color w:val="000000"/>
          <w:spacing w:val="-2"/>
          <w:sz w:val="24"/>
          <w:szCs w:val="24"/>
          <w:lang w:val="en-US"/>
        </w:rPr>
        <w:t>y</w:t>
      </w:r>
      <w:r w:rsidR="00F220A1" w:rsidRPr="00D35DBF">
        <w:rPr>
          <w:rFonts w:ascii="TimesNewRomanPSMT" w:hAnsi="TimesNewRomanPSMT" w:cs="TimesNewRomanPSMT"/>
          <w:color w:val="000000"/>
          <w:sz w:val="24"/>
          <w:szCs w:val="24"/>
          <w:lang w:val="en-US"/>
        </w:rPr>
        <w:t xml:space="preserve"> s</w:t>
      </w:r>
      <w:r w:rsidR="00F220A1" w:rsidRPr="00D35DBF">
        <w:rPr>
          <w:rFonts w:ascii="TimesNewRomanPSMT" w:hAnsi="TimesNewRomanPSMT" w:cs="TimesNewRomanPSMT"/>
          <w:color w:val="000000"/>
          <w:spacing w:val="-4"/>
          <w:sz w:val="24"/>
          <w:szCs w:val="24"/>
          <w:lang w:val="en-US"/>
        </w:rPr>
        <w:t>y</w:t>
      </w:r>
      <w:r w:rsidR="00F220A1" w:rsidRPr="00D35DBF">
        <w:rPr>
          <w:rFonts w:ascii="TimesNewRomanPSMT" w:hAnsi="TimesNewRomanPSMT" w:cs="TimesNewRomanPSMT"/>
          <w:color w:val="000000"/>
          <w:sz w:val="24"/>
          <w:szCs w:val="24"/>
          <w:lang w:val="en-US"/>
        </w:rPr>
        <w:t>ndromes. JAMA 1999;281: 707</w:t>
      </w:r>
      <w:r w:rsidR="00F220A1" w:rsidRPr="00D35DBF">
        <w:rPr>
          <w:rFonts w:ascii="Times New Roman" w:hAnsi="Times New Roman" w:cs="Times New Roman"/>
          <w:color w:val="000000"/>
          <w:sz w:val="24"/>
          <w:szCs w:val="24"/>
          <w:lang w:val="en-US"/>
        </w:rPr>
        <w:t>–</w:t>
      </w:r>
      <w:r w:rsidR="00F220A1" w:rsidRPr="00D35DBF">
        <w:rPr>
          <w:rFonts w:ascii="TimesNewRomanPSMT" w:hAnsi="TimesNewRomanPSMT" w:cs="TimesNewRomanPSMT"/>
          <w:color w:val="000000"/>
          <w:sz w:val="24"/>
          <w:szCs w:val="24"/>
          <w:lang w:val="en-US"/>
        </w:rPr>
        <w:t xml:space="preserve">713.   </w:t>
      </w:r>
    </w:p>
    <w:p w14:paraId="7C645337" w14:textId="77777777" w:rsidR="00841634" w:rsidRPr="00545863" w:rsidRDefault="00D35DBF" w:rsidP="00A419DB">
      <w:pPr>
        <w:tabs>
          <w:tab w:val="left" w:pos="720"/>
          <w:tab w:val="left" w:pos="786"/>
        </w:tabs>
        <w:suppressAutoHyphens/>
        <w:spacing w:line="413" w:lineRule="exact"/>
        <w:ind w:right="217"/>
        <w:jc w:val="both"/>
        <w:rPr>
          <w:rFonts w:ascii="Times New Roman" w:hAnsi="Times New Roman" w:cs="Times New Roman"/>
          <w:color w:val="010302"/>
        </w:rPr>
      </w:pPr>
      <w:r w:rsidRPr="00D35DBF">
        <w:rPr>
          <w:rFonts w:ascii="TimesNewRomanPSMT" w:hAnsi="TimesNewRomanPSMT" w:cs="TimesNewRomanPSMT"/>
          <w:color w:val="000000"/>
          <w:sz w:val="24"/>
          <w:szCs w:val="24"/>
          <w:lang w:val="en-US"/>
        </w:rPr>
        <w:t xml:space="preserve">7. </w:t>
      </w:r>
      <w:r w:rsidR="00F220A1" w:rsidRPr="00D35DBF">
        <w:rPr>
          <w:rFonts w:ascii="TimesNewRomanPSMT" w:hAnsi="TimesNewRomanPSMT" w:cs="TimesNewRomanPSMT"/>
          <w:color w:val="000000"/>
          <w:sz w:val="24"/>
          <w:szCs w:val="24"/>
          <w:lang w:val="en-US"/>
        </w:rPr>
        <w:t>Matetzk</w:t>
      </w:r>
      <w:r w:rsidR="00F220A1" w:rsidRPr="00D35DBF">
        <w:rPr>
          <w:rFonts w:ascii="TimesNewRomanPSMT" w:hAnsi="TimesNewRomanPSMT" w:cs="TimesNewRomanPSMT"/>
          <w:color w:val="000000"/>
          <w:spacing w:val="-7"/>
          <w:sz w:val="24"/>
          <w:szCs w:val="24"/>
          <w:lang w:val="en-US"/>
        </w:rPr>
        <w:t>y</w:t>
      </w:r>
      <w:r w:rsidR="00F220A1" w:rsidRPr="00D35DBF">
        <w:rPr>
          <w:rFonts w:ascii="TimesNewRomanPSMT" w:hAnsi="TimesNewRomanPSMT" w:cs="TimesNewRomanPSMT"/>
          <w:color w:val="000000"/>
          <w:sz w:val="24"/>
          <w:szCs w:val="24"/>
          <w:lang w:val="en-US"/>
        </w:rPr>
        <w:t xml:space="preserve"> S, Freimark D, Feinber</w:t>
      </w:r>
      <w:r w:rsidR="00F220A1" w:rsidRPr="00D35DBF">
        <w:rPr>
          <w:rFonts w:ascii="TimesNewRomanPSMT" w:hAnsi="TimesNewRomanPSMT" w:cs="TimesNewRomanPSMT"/>
          <w:color w:val="000000"/>
          <w:spacing w:val="-2"/>
          <w:sz w:val="24"/>
          <w:szCs w:val="24"/>
          <w:lang w:val="en-US"/>
        </w:rPr>
        <w:t>g</w:t>
      </w:r>
      <w:r w:rsidR="00F220A1" w:rsidRPr="00D35DBF">
        <w:rPr>
          <w:rFonts w:ascii="TimesNewRomanPSMT" w:hAnsi="TimesNewRomanPSMT" w:cs="TimesNewRomanPSMT"/>
          <w:color w:val="000000"/>
          <w:sz w:val="24"/>
          <w:szCs w:val="24"/>
          <w:lang w:val="en-US"/>
        </w:rPr>
        <w:t xml:space="preserve"> MS et al. Acute m</w:t>
      </w:r>
      <w:r w:rsidR="00F220A1" w:rsidRPr="00D35DBF">
        <w:rPr>
          <w:rFonts w:ascii="TimesNewRomanPSMT" w:hAnsi="TimesNewRomanPSMT" w:cs="TimesNewRomanPSMT"/>
          <w:color w:val="000000"/>
          <w:spacing w:val="-4"/>
          <w:sz w:val="24"/>
          <w:szCs w:val="24"/>
          <w:lang w:val="en-US"/>
        </w:rPr>
        <w:t>y</w:t>
      </w:r>
      <w:r w:rsidR="00F220A1" w:rsidRPr="00D35DBF">
        <w:rPr>
          <w:rFonts w:ascii="TimesNewRomanPSMT" w:hAnsi="TimesNewRomanPSMT" w:cs="TimesNewRomanPSMT"/>
          <w:color w:val="000000"/>
          <w:sz w:val="24"/>
          <w:szCs w:val="24"/>
          <w:lang w:val="en-US"/>
        </w:rPr>
        <w:t>ocardial infarction with isolated ST-</w:t>
      </w:r>
      <w:r w:rsidR="00F220A1" w:rsidRPr="00D35DBF">
        <w:rPr>
          <w:lang w:val="en-US"/>
        </w:rPr>
        <w:br w:type="textWrapping" w:clear="all"/>
      </w:r>
      <w:r w:rsidR="00F220A1" w:rsidRPr="00D35DBF">
        <w:rPr>
          <w:rFonts w:ascii="TimesNewRomanPSMT" w:hAnsi="TimesNewRomanPSMT" w:cs="TimesNewRomanPSMT"/>
          <w:color w:val="000000"/>
          <w:sz w:val="24"/>
          <w:szCs w:val="24"/>
          <w:lang w:val="en-US"/>
        </w:rPr>
        <w:t>se</w:t>
      </w:r>
      <w:r w:rsidR="00F220A1" w:rsidRPr="00D35DBF">
        <w:rPr>
          <w:rFonts w:ascii="TimesNewRomanPSMT" w:hAnsi="TimesNewRomanPSMT" w:cs="TimesNewRomanPSMT"/>
          <w:color w:val="000000"/>
          <w:spacing w:val="-2"/>
          <w:sz w:val="24"/>
          <w:szCs w:val="24"/>
          <w:lang w:val="en-US"/>
        </w:rPr>
        <w:t>g</w:t>
      </w:r>
      <w:r w:rsidR="00F220A1" w:rsidRPr="00D35DBF">
        <w:rPr>
          <w:rFonts w:ascii="TimesNewRomanPSMT" w:hAnsi="TimesNewRomanPSMT" w:cs="TimesNewRomanPSMT"/>
          <w:color w:val="000000"/>
          <w:sz w:val="24"/>
          <w:szCs w:val="24"/>
          <w:lang w:val="en-US"/>
        </w:rPr>
        <w:t>ment elevation in posterior chest leads V7</w:t>
      </w:r>
      <w:r w:rsidR="00F220A1" w:rsidRPr="00D35DBF">
        <w:rPr>
          <w:rFonts w:ascii="Times New Roman" w:hAnsi="Times New Roman" w:cs="Times New Roman"/>
          <w:color w:val="000000"/>
          <w:sz w:val="24"/>
          <w:szCs w:val="24"/>
          <w:lang w:val="en-US"/>
        </w:rPr>
        <w:t>–</w:t>
      </w:r>
      <w:r w:rsidR="00F220A1" w:rsidRPr="00D35DBF">
        <w:rPr>
          <w:rFonts w:ascii="TimesNewRomanPSMT" w:hAnsi="TimesNewRomanPSMT" w:cs="TimesNewRomanPSMT"/>
          <w:color w:val="000000"/>
          <w:sz w:val="24"/>
          <w:szCs w:val="24"/>
          <w:lang w:val="en-US"/>
        </w:rPr>
        <w:t>9: "hidden" ST-se</w:t>
      </w:r>
      <w:r w:rsidR="00F220A1" w:rsidRPr="00D35DBF">
        <w:rPr>
          <w:rFonts w:ascii="TimesNewRomanPSMT" w:hAnsi="TimesNewRomanPSMT" w:cs="TimesNewRomanPSMT"/>
          <w:color w:val="000000"/>
          <w:spacing w:val="-2"/>
          <w:sz w:val="24"/>
          <w:szCs w:val="24"/>
          <w:lang w:val="en-US"/>
        </w:rPr>
        <w:t>g</w:t>
      </w:r>
      <w:r w:rsidR="00F220A1" w:rsidRPr="00D35DBF">
        <w:rPr>
          <w:rFonts w:ascii="TimesNewRomanPSMT" w:hAnsi="TimesNewRomanPSMT" w:cs="TimesNewRomanPSMT"/>
          <w:color w:val="000000"/>
          <w:sz w:val="24"/>
          <w:szCs w:val="24"/>
          <w:lang w:val="en-US"/>
        </w:rPr>
        <w:t>ment elevations revealing acute posterior infarction. J</w:t>
      </w:r>
      <w:r w:rsidR="00F220A1" w:rsidRPr="00545863">
        <w:rPr>
          <w:rFonts w:ascii="TimesNewRomanPSMT" w:hAnsi="TimesNewRomanPSMT" w:cs="TimesNewRomanPSMT"/>
          <w:color w:val="000000"/>
          <w:sz w:val="24"/>
          <w:szCs w:val="24"/>
        </w:rPr>
        <w:t xml:space="preserve"> </w:t>
      </w:r>
      <w:r w:rsidR="00F220A1" w:rsidRPr="00D35DBF">
        <w:rPr>
          <w:rFonts w:ascii="TimesNewRomanPSMT" w:hAnsi="TimesNewRomanPSMT" w:cs="TimesNewRomanPSMT"/>
          <w:color w:val="000000"/>
          <w:sz w:val="24"/>
          <w:szCs w:val="24"/>
          <w:lang w:val="en-US"/>
        </w:rPr>
        <w:t>Am</w:t>
      </w:r>
      <w:r w:rsidR="00F220A1" w:rsidRPr="00545863">
        <w:rPr>
          <w:rFonts w:ascii="TimesNewRomanPSMT" w:hAnsi="TimesNewRomanPSMT" w:cs="TimesNewRomanPSMT"/>
          <w:color w:val="000000"/>
          <w:sz w:val="24"/>
          <w:szCs w:val="24"/>
        </w:rPr>
        <w:t xml:space="preserve"> </w:t>
      </w:r>
      <w:r w:rsidR="00F220A1" w:rsidRPr="00D35DBF">
        <w:rPr>
          <w:rFonts w:ascii="TimesNewRomanPSMT" w:hAnsi="TimesNewRomanPSMT" w:cs="TimesNewRomanPSMT"/>
          <w:color w:val="000000"/>
          <w:sz w:val="24"/>
          <w:szCs w:val="24"/>
          <w:lang w:val="en-US"/>
        </w:rPr>
        <w:t>C</w:t>
      </w:r>
      <w:r w:rsidR="00F220A1" w:rsidRPr="00D35DBF">
        <w:rPr>
          <w:rFonts w:ascii="TimesNewRomanPSMT" w:hAnsi="TimesNewRomanPSMT" w:cs="TimesNewRomanPSMT"/>
          <w:color w:val="000000"/>
          <w:spacing w:val="-2"/>
          <w:sz w:val="24"/>
          <w:szCs w:val="24"/>
          <w:lang w:val="en-US"/>
        </w:rPr>
        <w:t>o</w:t>
      </w:r>
      <w:r w:rsidR="00F220A1" w:rsidRPr="00D35DBF">
        <w:rPr>
          <w:rFonts w:ascii="TimesNewRomanPSMT" w:hAnsi="TimesNewRomanPSMT" w:cs="TimesNewRomanPSMT"/>
          <w:color w:val="000000"/>
          <w:sz w:val="24"/>
          <w:szCs w:val="24"/>
          <w:lang w:val="en-US"/>
        </w:rPr>
        <w:t>ll</w:t>
      </w:r>
      <w:r w:rsidR="00F220A1" w:rsidRPr="00545863">
        <w:rPr>
          <w:rFonts w:ascii="TimesNewRomanPSMT" w:hAnsi="TimesNewRomanPSMT" w:cs="TimesNewRomanPSMT"/>
          <w:color w:val="000000"/>
          <w:sz w:val="24"/>
          <w:szCs w:val="24"/>
        </w:rPr>
        <w:t xml:space="preserve"> </w:t>
      </w:r>
      <w:r w:rsidR="00F220A1" w:rsidRPr="00D35DBF">
        <w:rPr>
          <w:rFonts w:ascii="TimesNewRomanPSMT" w:hAnsi="TimesNewRomanPSMT" w:cs="TimesNewRomanPSMT"/>
          <w:color w:val="000000"/>
          <w:sz w:val="24"/>
          <w:szCs w:val="24"/>
          <w:lang w:val="en-US"/>
        </w:rPr>
        <w:t>Cardiol</w:t>
      </w:r>
      <w:r w:rsidR="00F220A1" w:rsidRPr="00545863">
        <w:rPr>
          <w:rFonts w:ascii="TimesNewRomanPSMT" w:hAnsi="TimesNewRomanPSMT" w:cs="TimesNewRomanPSMT"/>
          <w:color w:val="000000"/>
          <w:sz w:val="24"/>
          <w:szCs w:val="24"/>
        </w:rPr>
        <w:t>. 19</w:t>
      </w:r>
      <w:r w:rsidR="00F220A1" w:rsidRPr="00545863">
        <w:rPr>
          <w:rFonts w:ascii="TimesNewRomanPSMT" w:hAnsi="TimesNewRomanPSMT" w:cs="TimesNewRomanPSMT"/>
          <w:color w:val="000000"/>
          <w:spacing w:val="-2"/>
          <w:sz w:val="24"/>
          <w:szCs w:val="24"/>
        </w:rPr>
        <w:t>9</w:t>
      </w:r>
      <w:r w:rsidR="00F220A1" w:rsidRPr="00545863">
        <w:rPr>
          <w:rFonts w:ascii="TimesNewRomanPSMT" w:hAnsi="TimesNewRomanPSMT" w:cs="TimesNewRomanPSMT"/>
          <w:color w:val="000000"/>
          <w:sz w:val="24"/>
          <w:szCs w:val="24"/>
        </w:rPr>
        <w:t>9;34:748</w:t>
      </w:r>
      <w:r w:rsidR="00F220A1" w:rsidRPr="00545863">
        <w:rPr>
          <w:rFonts w:ascii="Times New Roman" w:hAnsi="Times New Roman" w:cs="Times New Roman"/>
          <w:color w:val="000000"/>
          <w:sz w:val="24"/>
          <w:szCs w:val="24"/>
        </w:rPr>
        <w:t>–</w:t>
      </w:r>
      <w:r w:rsidR="00F220A1" w:rsidRPr="00545863">
        <w:rPr>
          <w:rFonts w:ascii="TimesNewRomanPSMT" w:hAnsi="TimesNewRomanPSMT" w:cs="TimesNewRomanPSMT"/>
          <w:color w:val="000000"/>
          <w:sz w:val="24"/>
          <w:szCs w:val="24"/>
        </w:rPr>
        <w:t>753.</w:t>
      </w:r>
    </w:p>
    <w:p w14:paraId="2FD95BE5" w14:textId="77777777" w:rsidR="00FB6E1D" w:rsidRPr="00FD52A9" w:rsidRDefault="00FD52A9" w:rsidP="00A419DB">
      <w:pPr>
        <w:tabs>
          <w:tab w:val="left" w:pos="720"/>
          <w:tab w:val="left" w:pos="786"/>
        </w:tabs>
        <w:suppressAutoHyphen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8. </w:t>
      </w:r>
      <w:r w:rsidR="00704BD1" w:rsidRPr="00FD52A9">
        <w:rPr>
          <w:rFonts w:ascii="Times New Roman" w:hAnsi="Times New Roman" w:cs="Times New Roman"/>
          <w:sz w:val="24"/>
          <w:szCs w:val="24"/>
        </w:rPr>
        <w:t xml:space="preserve">Клинические </w:t>
      </w:r>
      <w:r w:rsidR="00704BD1" w:rsidRPr="00FD52A9">
        <w:rPr>
          <w:rFonts w:ascii="Times New Roman" w:hAnsi="Times New Roman" w:cs="Times New Roman"/>
          <w:sz w:val="24"/>
          <w:szCs w:val="24"/>
        </w:rPr>
        <w:tab/>
        <w:t xml:space="preserve">рекомендации МЗ </w:t>
      </w:r>
      <w:r w:rsidR="00704BD1" w:rsidRPr="00FD52A9">
        <w:rPr>
          <w:rFonts w:ascii="Times New Roman" w:hAnsi="Times New Roman" w:cs="Times New Roman"/>
          <w:sz w:val="24"/>
          <w:szCs w:val="24"/>
        </w:rPr>
        <w:tab/>
        <w:t xml:space="preserve">РФ </w:t>
      </w:r>
      <w:r w:rsidR="00704BD1" w:rsidRPr="00FD52A9">
        <w:rPr>
          <w:rFonts w:ascii="Times New Roman" w:hAnsi="Times New Roman" w:cs="Times New Roman"/>
          <w:sz w:val="24"/>
          <w:szCs w:val="24"/>
        </w:rPr>
        <w:tab/>
        <w:t xml:space="preserve">«Старческая </w:t>
      </w:r>
      <w:r w:rsidR="00704BD1" w:rsidRPr="00FD52A9">
        <w:rPr>
          <w:rFonts w:ascii="Times New Roman" w:hAnsi="Times New Roman" w:cs="Times New Roman"/>
          <w:sz w:val="24"/>
          <w:szCs w:val="24"/>
        </w:rPr>
        <w:tab/>
        <w:t xml:space="preserve">астения» https://cr.minzdrav.gov.ru/recomend/613_1  </w:t>
      </w:r>
    </w:p>
    <w:p w14:paraId="40A71DDC" w14:textId="77777777" w:rsidR="00FD52A9" w:rsidRDefault="00FD52A9" w:rsidP="00A419DB">
      <w:pPr>
        <w:tabs>
          <w:tab w:val="left" w:pos="720"/>
          <w:tab w:val="left" w:pos="786"/>
        </w:tabs>
        <w:suppressAutoHyphen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9. </w:t>
      </w:r>
      <w:r w:rsidR="00704BD1" w:rsidRPr="00FD52A9">
        <w:rPr>
          <w:rFonts w:ascii="Times New Roman" w:hAnsi="Times New Roman" w:cs="Times New Roman"/>
          <w:sz w:val="24"/>
          <w:szCs w:val="24"/>
        </w:rPr>
        <w:t xml:space="preserve">Клинические рекомендации МЗ РФ «Недостаточность питания (мальнутриция) у пациентов пожилого и старческого возраста» https://cr.minzdrav.gov.ru/recomend/615_2  </w:t>
      </w:r>
    </w:p>
    <w:p w14:paraId="66314734" w14:textId="77777777" w:rsidR="00FD52A9" w:rsidRPr="00FD52A9" w:rsidRDefault="00FD52A9" w:rsidP="00A419DB">
      <w:pPr>
        <w:tabs>
          <w:tab w:val="left" w:pos="720"/>
          <w:tab w:val="left" w:pos="786"/>
        </w:tabs>
        <w:suppressAutoHyphens/>
        <w:spacing w:line="36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10. </w:t>
      </w:r>
      <w:r w:rsidR="00BC0383" w:rsidRPr="00FD52A9">
        <w:rPr>
          <w:rFonts w:ascii="Times New Roman" w:hAnsi="Times New Roman" w:cs="Times New Roman"/>
          <w:color w:val="000000"/>
          <w:sz w:val="24"/>
          <w:szCs w:val="24"/>
        </w:rPr>
        <w:t>АроновД.М.,КрасницкийВ.Б.,Б</w:t>
      </w:r>
      <w:r w:rsidR="00BC0383" w:rsidRPr="00FD52A9">
        <w:rPr>
          <w:rFonts w:ascii="Times New Roman" w:hAnsi="Times New Roman" w:cs="Times New Roman"/>
          <w:color w:val="000000"/>
          <w:spacing w:val="-4"/>
          <w:sz w:val="24"/>
          <w:szCs w:val="24"/>
        </w:rPr>
        <w:t>у</w:t>
      </w:r>
      <w:r w:rsidR="00BC0383" w:rsidRPr="00FD52A9">
        <w:rPr>
          <w:rFonts w:ascii="Times New Roman" w:hAnsi="Times New Roman" w:cs="Times New Roman"/>
          <w:color w:val="000000"/>
          <w:sz w:val="24"/>
          <w:szCs w:val="24"/>
        </w:rPr>
        <w:t>бноваМ.Г.идр.Влияниефизическихтренир</w:t>
      </w:r>
      <w:r w:rsidR="00B849F9" w:rsidRPr="00FD52A9">
        <w:rPr>
          <w:rFonts w:ascii="Times New Roman" w:hAnsi="Times New Roman" w:cs="Times New Roman"/>
          <w:color w:val="000000"/>
          <w:sz w:val="24"/>
          <w:szCs w:val="24"/>
        </w:rPr>
        <w:t>о</w:t>
      </w:r>
      <w:r w:rsidR="00BC0383" w:rsidRPr="00FD52A9">
        <w:rPr>
          <w:rFonts w:ascii="Times New Roman" w:hAnsi="Times New Roman" w:cs="Times New Roman"/>
          <w:color w:val="000000"/>
          <w:sz w:val="24"/>
          <w:szCs w:val="24"/>
        </w:rPr>
        <w:t>в</w:t>
      </w:r>
      <w:r w:rsidR="00BC0383" w:rsidRPr="00FD52A9">
        <w:rPr>
          <w:rFonts w:ascii="Times New Roman" w:hAnsi="Times New Roman" w:cs="Times New Roman"/>
          <w:color w:val="000000"/>
          <w:spacing w:val="-2"/>
          <w:sz w:val="24"/>
          <w:szCs w:val="24"/>
        </w:rPr>
        <w:t>о</w:t>
      </w:r>
      <w:r w:rsidR="00BC0383" w:rsidRPr="00FD52A9">
        <w:rPr>
          <w:rFonts w:ascii="Times New Roman" w:hAnsi="Times New Roman" w:cs="Times New Roman"/>
          <w:color w:val="000000"/>
          <w:sz w:val="24"/>
          <w:szCs w:val="24"/>
        </w:rPr>
        <w:t>к нафизическ</w:t>
      </w:r>
      <w:r w:rsidR="00BC0383" w:rsidRPr="00FD52A9">
        <w:rPr>
          <w:rFonts w:ascii="Times New Roman" w:hAnsi="Times New Roman" w:cs="Times New Roman"/>
          <w:color w:val="000000"/>
          <w:spacing w:val="-4"/>
          <w:sz w:val="24"/>
          <w:szCs w:val="24"/>
        </w:rPr>
        <w:t>у</w:t>
      </w:r>
      <w:r w:rsidR="00BC0383" w:rsidRPr="00FD52A9">
        <w:rPr>
          <w:rFonts w:ascii="Times New Roman" w:hAnsi="Times New Roman" w:cs="Times New Roman"/>
          <w:color w:val="000000"/>
          <w:sz w:val="24"/>
          <w:szCs w:val="24"/>
        </w:rPr>
        <w:t>юработоспособность,гемодинамик</w:t>
      </w:r>
      <w:r w:rsidR="00BC0383" w:rsidRPr="00FD52A9">
        <w:rPr>
          <w:rFonts w:ascii="Times New Roman" w:hAnsi="Times New Roman" w:cs="Times New Roman"/>
          <w:color w:val="000000"/>
          <w:spacing w:val="-7"/>
          <w:sz w:val="24"/>
          <w:szCs w:val="24"/>
        </w:rPr>
        <w:t>у</w:t>
      </w:r>
      <w:r w:rsidR="00BC0383" w:rsidRPr="00FD52A9">
        <w:rPr>
          <w:rFonts w:ascii="Times New Roman" w:hAnsi="Times New Roman" w:cs="Times New Roman"/>
          <w:color w:val="000000"/>
          <w:sz w:val="24"/>
          <w:szCs w:val="24"/>
        </w:rPr>
        <w:t>,липидыкро</w:t>
      </w:r>
      <w:r w:rsidR="00BC0383" w:rsidRPr="00FD52A9">
        <w:rPr>
          <w:rFonts w:ascii="Times New Roman" w:hAnsi="Times New Roman" w:cs="Times New Roman"/>
          <w:color w:val="000000"/>
          <w:spacing w:val="-2"/>
          <w:sz w:val="24"/>
          <w:szCs w:val="24"/>
        </w:rPr>
        <w:t>в</w:t>
      </w:r>
      <w:r w:rsidR="00BC0383" w:rsidRPr="00FD52A9">
        <w:rPr>
          <w:rFonts w:ascii="Times New Roman" w:hAnsi="Times New Roman" w:cs="Times New Roman"/>
          <w:color w:val="000000"/>
          <w:sz w:val="24"/>
          <w:szCs w:val="24"/>
        </w:rPr>
        <w:t>и,клиническо</w:t>
      </w:r>
      <w:r w:rsidR="00BC0383" w:rsidRPr="00FD52A9">
        <w:rPr>
          <w:rFonts w:ascii="Times New Roman" w:hAnsi="Times New Roman" w:cs="Times New Roman"/>
          <w:color w:val="000000"/>
          <w:spacing w:val="-3"/>
          <w:sz w:val="24"/>
          <w:szCs w:val="24"/>
        </w:rPr>
        <w:t>е</w:t>
      </w:r>
      <w:r w:rsidR="00BC0383" w:rsidRPr="00FD52A9">
        <w:rPr>
          <w:rFonts w:ascii="Times New Roman" w:hAnsi="Times New Roman" w:cs="Times New Roman"/>
          <w:color w:val="000000"/>
          <w:sz w:val="24"/>
          <w:szCs w:val="24"/>
        </w:rPr>
        <w:t xml:space="preserve"> течениеипрогн</w:t>
      </w:r>
      <w:r w:rsidR="00BC0383" w:rsidRPr="00FD52A9">
        <w:rPr>
          <w:rFonts w:ascii="Times New Roman" w:hAnsi="Times New Roman" w:cs="Times New Roman"/>
          <w:color w:val="000000"/>
          <w:spacing w:val="-2"/>
          <w:sz w:val="24"/>
          <w:szCs w:val="24"/>
        </w:rPr>
        <w:t>о</w:t>
      </w:r>
      <w:r w:rsidR="00BC0383" w:rsidRPr="00FD52A9">
        <w:rPr>
          <w:rFonts w:ascii="Times New Roman" w:hAnsi="Times New Roman" w:cs="Times New Roman"/>
          <w:color w:val="000000"/>
          <w:sz w:val="24"/>
          <w:szCs w:val="24"/>
        </w:rPr>
        <w:t>з</w:t>
      </w:r>
      <w:r w:rsidR="00BC0383" w:rsidRPr="00FD52A9">
        <w:rPr>
          <w:rFonts w:ascii="Times New Roman" w:hAnsi="Times New Roman" w:cs="Times New Roman"/>
          <w:color w:val="000000"/>
          <w:spacing w:val="-4"/>
          <w:sz w:val="24"/>
          <w:szCs w:val="24"/>
        </w:rPr>
        <w:t>у</w:t>
      </w:r>
      <w:r w:rsidR="00BC0383" w:rsidRPr="00FD52A9">
        <w:rPr>
          <w:rFonts w:ascii="Times New Roman" w:hAnsi="Times New Roman" w:cs="Times New Roman"/>
          <w:color w:val="000000"/>
          <w:sz w:val="24"/>
          <w:szCs w:val="24"/>
        </w:rPr>
        <w:t>больныхишемическойб</w:t>
      </w:r>
      <w:r w:rsidR="00BC0383" w:rsidRPr="00FD52A9">
        <w:rPr>
          <w:rFonts w:ascii="Times New Roman" w:hAnsi="Times New Roman" w:cs="Times New Roman"/>
          <w:color w:val="000000"/>
          <w:spacing w:val="-2"/>
          <w:sz w:val="24"/>
          <w:szCs w:val="24"/>
        </w:rPr>
        <w:t>о</w:t>
      </w:r>
      <w:r w:rsidR="00BC0383" w:rsidRPr="00FD52A9">
        <w:rPr>
          <w:rFonts w:ascii="Times New Roman" w:hAnsi="Times New Roman" w:cs="Times New Roman"/>
          <w:color w:val="000000"/>
          <w:sz w:val="24"/>
          <w:szCs w:val="24"/>
        </w:rPr>
        <w:t>лезньюсердц</w:t>
      </w:r>
      <w:r w:rsidR="00BC0383" w:rsidRPr="00FD52A9">
        <w:rPr>
          <w:rFonts w:ascii="Times New Roman" w:hAnsi="Times New Roman" w:cs="Times New Roman"/>
          <w:color w:val="000000"/>
          <w:spacing w:val="-3"/>
          <w:sz w:val="24"/>
          <w:szCs w:val="24"/>
        </w:rPr>
        <w:t>а</w:t>
      </w:r>
      <w:r w:rsidR="00BC0383" w:rsidRPr="00FD52A9">
        <w:rPr>
          <w:rFonts w:ascii="Times New Roman" w:hAnsi="Times New Roman" w:cs="Times New Roman"/>
          <w:color w:val="000000"/>
          <w:sz w:val="24"/>
          <w:szCs w:val="24"/>
        </w:rPr>
        <w:t>послеостр</w:t>
      </w:r>
      <w:r w:rsidR="00BC0383" w:rsidRPr="00FD52A9">
        <w:rPr>
          <w:rFonts w:ascii="Times New Roman" w:hAnsi="Times New Roman" w:cs="Times New Roman"/>
          <w:color w:val="000000"/>
          <w:spacing w:val="-2"/>
          <w:sz w:val="24"/>
          <w:szCs w:val="24"/>
        </w:rPr>
        <w:t>ы</w:t>
      </w:r>
      <w:r w:rsidR="00BC0383" w:rsidRPr="00FD52A9">
        <w:rPr>
          <w:rFonts w:ascii="Times New Roman" w:hAnsi="Times New Roman" w:cs="Times New Roman"/>
          <w:color w:val="000000"/>
          <w:sz w:val="24"/>
          <w:szCs w:val="24"/>
        </w:rPr>
        <w:t>хкоронарн</w:t>
      </w:r>
      <w:r w:rsidR="00BC0383" w:rsidRPr="00FD52A9">
        <w:rPr>
          <w:rFonts w:ascii="Times New Roman" w:hAnsi="Times New Roman" w:cs="Times New Roman"/>
          <w:color w:val="000000"/>
          <w:spacing w:val="-2"/>
          <w:sz w:val="24"/>
          <w:szCs w:val="24"/>
        </w:rPr>
        <w:t>ы</w:t>
      </w:r>
      <w:r w:rsidR="00BC0383" w:rsidRPr="00FD52A9">
        <w:rPr>
          <w:rFonts w:ascii="Times New Roman" w:hAnsi="Times New Roman" w:cs="Times New Roman"/>
          <w:color w:val="000000"/>
          <w:sz w:val="24"/>
          <w:szCs w:val="24"/>
        </w:rPr>
        <w:t>хсобытийприкомплексн</w:t>
      </w:r>
      <w:r w:rsidR="00BC0383" w:rsidRPr="00FD52A9">
        <w:rPr>
          <w:rFonts w:ascii="Times New Roman" w:hAnsi="Times New Roman" w:cs="Times New Roman"/>
          <w:color w:val="000000"/>
          <w:spacing w:val="-2"/>
          <w:sz w:val="24"/>
          <w:szCs w:val="24"/>
        </w:rPr>
        <w:t>о</w:t>
      </w:r>
      <w:r w:rsidR="00BC0383" w:rsidRPr="00FD52A9">
        <w:rPr>
          <w:rFonts w:ascii="Times New Roman" w:hAnsi="Times New Roman" w:cs="Times New Roman"/>
          <w:color w:val="000000"/>
          <w:sz w:val="24"/>
          <w:szCs w:val="24"/>
        </w:rPr>
        <w:t>йреабилитацииивто</w:t>
      </w:r>
      <w:r w:rsidR="00BC0383" w:rsidRPr="00FD52A9">
        <w:rPr>
          <w:rFonts w:ascii="Times New Roman" w:hAnsi="Times New Roman" w:cs="Times New Roman"/>
          <w:color w:val="000000"/>
          <w:spacing w:val="-2"/>
          <w:sz w:val="24"/>
          <w:szCs w:val="24"/>
        </w:rPr>
        <w:t>р</w:t>
      </w:r>
      <w:r w:rsidR="00BC0383" w:rsidRPr="00FD52A9">
        <w:rPr>
          <w:rFonts w:ascii="Times New Roman" w:hAnsi="Times New Roman" w:cs="Times New Roman"/>
          <w:color w:val="000000"/>
          <w:sz w:val="24"/>
          <w:szCs w:val="24"/>
        </w:rPr>
        <w:t>ичн</w:t>
      </w:r>
      <w:r w:rsidR="00BC0383" w:rsidRPr="00FD52A9">
        <w:rPr>
          <w:rFonts w:ascii="Times New Roman" w:hAnsi="Times New Roman" w:cs="Times New Roman"/>
          <w:color w:val="000000"/>
          <w:spacing w:val="-2"/>
          <w:sz w:val="24"/>
          <w:szCs w:val="24"/>
        </w:rPr>
        <w:t>о</w:t>
      </w:r>
      <w:r w:rsidR="00BC0383" w:rsidRPr="00FD52A9">
        <w:rPr>
          <w:rFonts w:ascii="Times New Roman" w:hAnsi="Times New Roman" w:cs="Times New Roman"/>
          <w:color w:val="000000"/>
          <w:sz w:val="24"/>
          <w:szCs w:val="24"/>
        </w:rPr>
        <w:t>йпрофилактикенаамб</w:t>
      </w:r>
      <w:r w:rsidR="00BC0383" w:rsidRPr="00FD52A9">
        <w:rPr>
          <w:rFonts w:ascii="Times New Roman" w:hAnsi="Times New Roman" w:cs="Times New Roman"/>
          <w:color w:val="000000"/>
          <w:spacing w:val="-7"/>
          <w:sz w:val="24"/>
          <w:szCs w:val="24"/>
        </w:rPr>
        <w:t>у</w:t>
      </w:r>
      <w:r w:rsidR="00BC0383" w:rsidRPr="00FD52A9">
        <w:rPr>
          <w:rFonts w:ascii="Times New Roman" w:hAnsi="Times New Roman" w:cs="Times New Roman"/>
          <w:color w:val="000000"/>
          <w:sz w:val="24"/>
          <w:szCs w:val="24"/>
        </w:rPr>
        <w:t>латорно</w:t>
      </w:r>
      <w:r w:rsidR="00BC0383" w:rsidRPr="00FD52A9">
        <w:rPr>
          <w:rFonts w:ascii="TimesNewRomanPSMT" w:hAnsi="TimesNewRomanPSMT" w:cs="TimesNewRomanPSMT"/>
          <w:color w:val="000000"/>
          <w:sz w:val="24"/>
          <w:szCs w:val="24"/>
        </w:rPr>
        <w:t>-</w:t>
      </w:r>
      <w:r w:rsidR="00BC0383" w:rsidRPr="00FD52A9">
        <w:rPr>
          <w:rFonts w:ascii="Times New Roman" w:hAnsi="Times New Roman" w:cs="Times New Roman"/>
          <w:color w:val="000000"/>
          <w:sz w:val="24"/>
          <w:szCs w:val="24"/>
        </w:rPr>
        <w:t>полик</w:t>
      </w:r>
      <w:r w:rsidR="00BC0383" w:rsidRPr="00FD52A9">
        <w:rPr>
          <w:rFonts w:ascii="Times New Roman" w:hAnsi="Times New Roman" w:cs="Times New Roman"/>
          <w:color w:val="000000"/>
          <w:spacing w:val="-2"/>
          <w:sz w:val="24"/>
          <w:szCs w:val="24"/>
        </w:rPr>
        <w:t>л</w:t>
      </w:r>
      <w:r w:rsidR="00BC0383" w:rsidRPr="00FD52A9">
        <w:rPr>
          <w:rFonts w:ascii="Times New Roman" w:hAnsi="Times New Roman" w:cs="Times New Roman"/>
          <w:color w:val="000000"/>
          <w:sz w:val="24"/>
          <w:szCs w:val="24"/>
        </w:rPr>
        <w:t>иническомэтапе(Российскоекооперати</w:t>
      </w:r>
      <w:r w:rsidR="00BC0383" w:rsidRPr="00FD52A9">
        <w:rPr>
          <w:rFonts w:ascii="Times New Roman" w:hAnsi="Times New Roman" w:cs="Times New Roman"/>
          <w:color w:val="000000"/>
          <w:spacing w:val="-2"/>
          <w:sz w:val="24"/>
          <w:szCs w:val="24"/>
        </w:rPr>
        <w:t>в</w:t>
      </w:r>
      <w:r w:rsidR="00BC0383" w:rsidRPr="00FD52A9">
        <w:rPr>
          <w:rFonts w:ascii="Times New Roman" w:hAnsi="Times New Roman" w:cs="Times New Roman"/>
          <w:color w:val="000000"/>
          <w:sz w:val="24"/>
          <w:szCs w:val="24"/>
        </w:rPr>
        <w:t xml:space="preserve">ноеисследование) Кардиология. 2009; 3: </w:t>
      </w:r>
      <w:r w:rsidR="00BC0383" w:rsidRPr="00FD52A9">
        <w:rPr>
          <w:rFonts w:ascii="Times New Roman" w:hAnsi="Times New Roman" w:cs="Times New Roman"/>
          <w:color w:val="000000"/>
          <w:spacing w:val="-2"/>
          <w:sz w:val="24"/>
          <w:szCs w:val="24"/>
        </w:rPr>
        <w:t>4</w:t>
      </w:r>
      <w:r w:rsidR="00BC0383" w:rsidRPr="00FD52A9">
        <w:rPr>
          <w:rFonts w:ascii="Times New Roman" w:hAnsi="Times New Roman" w:cs="Times New Roman"/>
          <w:color w:val="000000"/>
          <w:sz w:val="24"/>
          <w:szCs w:val="24"/>
        </w:rPr>
        <w:t>9</w:t>
      </w:r>
      <w:r w:rsidR="00BC0383" w:rsidRPr="00FD52A9">
        <w:rPr>
          <w:rFonts w:ascii="TimesNewRomanPSMT" w:hAnsi="TimesNewRomanPSMT" w:cs="TimesNewRomanPSMT"/>
          <w:color w:val="000000"/>
          <w:sz w:val="24"/>
          <w:szCs w:val="24"/>
        </w:rPr>
        <w:t>-56.  eL</w:t>
      </w:r>
      <w:r w:rsidR="00BC0383" w:rsidRPr="00FD52A9">
        <w:rPr>
          <w:rFonts w:ascii="TimesNewRomanPSMT" w:hAnsi="TimesNewRomanPSMT" w:cs="TimesNewRomanPSMT"/>
          <w:color w:val="000000"/>
          <w:spacing w:val="-3"/>
          <w:sz w:val="24"/>
          <w:szCs w:val="24"/>
        </w:rPr>
        <w:t>I</w:t>
      </w:r>
      <w:r w:rsidR="00BC0383" w:rsidRPr="00FD52A9">
        <w:rPr>
          <w:rFonts w:ascii="TimesNewRomanPSMT" w:hAnsi="TimesNewRomanPSMT" w:cs="TimesNewRomanPSMT"/>
          <w:color w:val="000000"/>
          <w:sz w:val="24"/>
          <w:szCs w:val="24"/>
        </w:rPr>
        <w:t>BRARY</w:t>
      </w:r>
      <w:r w:rsidR="00BC0383" w:rsidRPr="00FD52A9">
        <w:rPr>
          <w:rFonts w:ascii="TimesNewRomanPSMT" w:hAnsi="TimesNewRomanPSMT" w:cs="TimesNewRomanPSMT"/>
          <w:color w:val="000000"/>
          <w:spacing w:val="-3"/>
          <w:sz w:val="24"/>
          <w:szCs w:val="24"/>
        </w:rPr>
        <w:t>I</w:t>
      </w:r>
      <w:r w:rsidR="00BC0383" w:rsidRPr="00FD52A9">
        <w:rPr>
          <w:rFonts w:ascii="TimesNewRomanPSMT" w:hAnsi="TimesNewRomanPSMT" w:cs="TimesNewRomanPSMT"/>
          <w:color w:val="000000"/>
          <w:sz w:val="24"/>
          <w:szCs w:val="24"/>
        </w:rPr>
        <w:t>D:</w:t>
      </w:r>
      <w:hyperlink r:id="rId307" w:history="1">
        <w:r w:rsidR="00BC0383" w:rsidRPr="00FD52A9">
          <w:rPr>
            <w:rFonts w:ascii="TimesNewRomanPSMT" w:hAnsi="TimesNewRomanPSMT" w:cs="TimesNewRomanPSMT"/>
            <w:color w:val="000000"/>
            <w:sz w:val="24"/>
            <w:szCs w:val="24"/>
            <w:u w:val="single"/>
          </w:rPr>
          <w:t>16768461</w:t>
        </w:r>
        <w:r w:rsidR="00BC0383" w:rsidRPr="00FD52A9">
          <w:rPr>
            <w:rFonts w:ascii="TimesNewRomanPSMT" w:hAnsi="TimesNewRomanPSMT" w:cs="TimesNewRomanPSMT"/>
            <w:color w:val="000000"/>
            <w:sz w:val="24"/>
            <w:szCs w:val="24"/>
          </w:rPr>
          <w:t>.</w:t>
        </w:r>
      </w:hyperlink>
    </w:p>
    <w:p w14:paraId="0B857E45" w14:textId="77777777" w:rsidR="009D343D" w:rsidRPr="00FD52A9" w:rsidRDefault="00FD52A9" w:rsidP="00A419DB">
      <w:pPr>
        <w:tabs>
          <w:tab w:val="left" w:pos="786"/>
        </w:tabs>
        <w:suppressAutoHyphens/>
        <w:spacing w:line="414" w:lineRule="exact"/>
        <w:ind w:right="190"/>
        <w:jc w:val="both"/>
        <w:rPr>
          <w:rFonts w:ascii="Times New Roman" w:hAnsi="Times New Roman" w:cs="Times New Roman"/>
          <w:color w:val="010302"/>
        </w:rPr>
      </w:pPr>
      <w:r>
        <w:rPr>
          <w:rFonts w:ascii="Times New Roman" w:hAnsi="Times New Roman" w:cs="Times New Roman"/>
          <w:color w:val="000000"/>
          <w:sz w:val="24"/>
          <w:szCs w:val="24"/>
        </w:rPr>
        <w:lastRenderedPageBreak/>
        <w:t xml:space="preserve">11. </w:t>
      </w:r>
      <w:r w:rsidR="009D343D" w:rsidRPr="00FD52A9">
        <w:rPr>
          <w:rFonts w:ascii="Times New Roman" w:hAnsi="Times New Roman" w:cs="Times New Roman"/>
          <w:color w:val="000000"/>
          <w:sz w:val="24"/>
          <w:szCs w:val="24"/>
        </w:rPr>
        <w:t>МинистерстваздравоохраненияРФ</w:t>
      </w:r>
      <w:r w:rsidR="009D343D" w:rsidRPr="00FD52A9">
        <w:rPr>
          <w:rFonts w:ascii="Times New Roman" w:hAnsi="Times New Roman" w:cs="Times New Roman"/>
          <w:color w:val="000000"/>
          <w:spacing w:val="-2"/>
          <w:sz w:val="24"/>
          <w:szCs w:val="24"/>
        </w:rPr>
        <w:t>о</w:t>
      </w:r>
      <w:r w:rsidR="009D343D" w:rsidRPr="00FD52A9">
        <w:rPr>
          <w:rFonts w:ascii="Times New Roman" w:hAnsi="Times New Roman" w:cs="Times New Roman"/>
          <w:color w:val="000000"/>
          <w:sz w:val="24"/>
          <w:szCs w:val="24"/>
        </w:rPr>
        <w:t>т31июля2020г.N</w:t>
      </w:r>
      <w:r w:rsidR="009D343D" w:rsidRPr="00FD52A9">
        <w:rPr>
          <w:rFonts w:ascii="Times New Roman" w:hAnsi="Times New Roman" w:cs="Times New Roman"/>
          <w:color w:val="000000"/>
          <w:spacing w:val="-2"/>
          <w:sz w:val="24"/>
          <w:szCs w:val="24"/>
        </w:rPr>
        <w:t>7</w:t>
      </w:r>
      <w:r w:rsidR="009D343D" w:rsidRPr="00FD52A9">
        <w:rPr>
          <w:rFonts w:ascii="Times New Roman" w:hAnsi="Times New Roman" w:cs="Times New Roman"/>
          <w:color w:val="000000"/>
          <w:sz w:val="24"/>
          <w:szCs w:val="24"/>
        </w:rPr>
        <w:t>78н"О</w:t>
      </w:r>
      <w:r w:rsidR="00A856FE" w:rsidRPr="00FD52A9">
        <w:rPr>
          <w:rFonts w:ascii="Times New Roman" w:hAnsi="Times New Roman" w:cs="Times New Roman"/>
          <w:color w:val="000000"/>
          <w:sz w:val="24"/>
          <w:szCs w:val="24"/>
        </w:rPr>
        <w:t>по</w:t>
      </w:r>
      <w:r w:rsidR="009D343D" w:rsidRPr="00FD52A9">
        <w:rPr>
          <w:rFonts w:ascii="Times New Roman" w:hAnsi="Times New Roman" w:cs="Times New Roman"/>
          <w:color w:val="000000"/>
          <w:sz w:val="24"/>
          <w:szCs w:val="24"/>
        </w:rPr>
        <w:t>ря</w:t>
      </w:r>
      <w:r w:rsidR="00A856FE" w:rsidRPr="00FD52A9">
        <w:rPr>
          <w:rFonts w:ascii="Times New Roman" w:hAnsi="Times New Roman" w:cs="Times New Roman"/>
          <w:color w:val="000000"/>
          <w:sz w:val="24"/>
          <w:szCs w:val="24"/>
        </w:rPr>
        <w:t>д</w:t>
      </w:r>
      <w:r w:rsidR="009D343D" w:rsidRPr="00FD52A9">
        <w:rPr>
          <w:rFonts w:ascii="Times New Roman" w:hAnsi="Times New Roman" w:cs="Times New Roman"/>
          <w:color w:val="000000"/>
          <w:sz w:val="24"/>
          <w:szCs w:val="24"/>
        </w:rPr>
        <w:t>ке  организации медицин</w:t>
      </w:r>
      <w:r w:rsidR="009D343D" w:rsidRPr="00FD52A9">
        <w:rPr>
          <w:rFonts w:ascii="Times New Roman" w:hAnsi="Times New Roman" w:cs="Times New Roman"/>
          <w:color w:val="000000"/>
          <w:spacing w:val="-3"/>
          <w:sz w:val="24"/>
          <w:szCs w:val="24"/>
        </w:rPr>
        <w:t>с</w:t>
      </w:r>
      <w:r w:rsidR="009D343D" w:rsidRPr="00FD52A9">
        <w:rPr>
          <w:rFonts w:ascii="Times New Roman" w:hAnsi="Times New Roman" w:cs="Times New Roman"/>
          <w:color w:val="000000"/>
          <w:sz w:val="24"/>
          <w:szCs w:val="24"/>
        </w:rPr>
        <w:t xml:space="preserve">кой реабилитации </w:t>
      </w:r>
      <w:r w:rsidR="009D343D" w:rsidRPr="00FD52A9">
        <w:rPr>
          <w:rFonts w:ascii="Times New Roman" w:hAnsi="Times New Roman" w:cs="Times New Roman"/>
          <w:color w:val="000000"/>
          <w:spacing w:val="-2"/>
          <w:sz w:val="24"/>
          <w:szCs w:val="24"/>
        </w:rPr>
        <w:t>в</w:t>
      </w:r>
      <w:r w:rsidR="009D343D" w:rsidRPr="00FD52A9">
        <w:rPr>
          <w:rFonts w:ascii="Times New Roman" w:hAnsi="Times New Roman" w:cs="Times New Roman"/>
          <w:color w:val="000000"/>
          <w:sz w:val="24"/>
          <w:szCs w:val="24"/>
        </w:rPr>
        <w:t>зр</w:t>
      </w:r>
      <w:r w:rsidR="009D343D" w:rsidRPr="00FD52A9">
        <w:rPr>
          <w:rFonts w:ascii="Times New Roman" w:hAnsi="Times New Roman" w:cs="Times New Roman"/>
          <w:color w:val="000000"/>
          <w:spacing w:val="-2"/>
          <w:sz w:val="24"/>
          <w:szCs w:val="24"/>
        </w:rPr>
        <w:t>о</w:t>
      </w:r>
      <w:r w:rsidR="009D343D" w:rsidRPr="00FD52A9">
        <w:rPr>
          <w:rFonts w:ascii="Times New Roman" w:hAnsi="Times New Roman" w:cs="Times New Roman"/>
          <w:color w:val="000000"/>
          <w:sz w:val="24"/>
          <w:szCs w:val="24"/>
        </w:rPr>
        <w:t>слых" Зарегистрировано в Минюсте Р</w:t>
      </w:r>
      <w:r w:rsidR="009D343D" w:rsidRPr="00FD52A9">
        <w:rPr>
          <w:rFonts w:ascii="Times New Roman" w:hAnsi="Times New Roman" w:cs="Times New Roman"/>
          <w:color w:val="000000"/>
          <w:spacing w:val="-2"/>
          <w:sz w:val="24"/>
          <w:szCs w:val="24"/>
        </w:rPr>
        <w:t>Ф</w:t>
      </w:r>
      <w:r w:rsidR="009D343D" w:rsidRPr="00FD52A9">
        <w:rPr>
          <w:rFonts w:ascii="Times New Roman" w:hAnsi="Times New Roman" w:cs="Times New Roman"/>
          <w:color w:val="000000"/>
          <w:sz w:val="24"/>
          <w:szCs w:val="24"/>
        </w:rPr>
        <w:t>25сентября2020г.Регистрационн</w:t>
      </w:r>
      <w:r w:rsidR="009D343D" w:rsidRPr="00FD52A9">
        <w:rPr>
          <w:rFonts w:ascii="Times New Roman" w:hAnsi="Times New Roman" w:cs="Times New Roman"/>
          <w:color w:val="000000"/>
          <w:spacing w:val="-2"/>
          <w:sz w:val="24"/>
          <w:szCs w:val="24"/>
        </w:rPr>
        <w:t>ы</w:t>
      </w:r>
      <w:r w:rsidR="009D343D" w:rsidRPr="00FD52A9">
        <w:rPr>
          <w:rFonts w:ascii="Times New Roman" w:hAnsi="Times New Roman" w:cs="Times New Roman"/>
          <w:color w:val="000000"/>
          <w:sz w:val="24"/>
          <w:szCs w:val="24"/>
        </w:rPr>
        <w:t>й№60039</w:t>
      </w:r>
      <w:hyperlink r:id="rId308" w:history="1">
        <w:r w:rsidR="00A856FE" w:rsidRPr="00FD52A9">
          <w:rPr>
            <w:rStyle w:val="a6"/>
            <w:rFonts w:ascii="TimesNewRomanPSMT" w:hAnsi="TimesNewRomanPSMT" w:cs="TimesNewRomanPSMT"/>
            <w:color w:val="auto"/>
            <w:sz w:val="24"/>
            <w:szCs w:val="24"/>
          </w:rPr>
          <w:t>https://www.</w:t>
        </w:r>
        <w:r w:rsidR="00A856FE" w:rsidRPr="00FD52A9">
          <w:rPr>
            <w:rStyle w:val="a6"/>
            <w:rFonts w:ascii="TimesNewRomanPSMT" w:hAnsi="TimesNewRomanPSMT" w:cs="TimesNewRomanPSMT"/>
            <w:color w:val="auto"/>
            <w:spacing w:val="-2"/>
            <w:sz w:val="24"/>
            <w:szCs w:val="24"/>
          </w:rPr>
          <w:t>g</w:t>
        </w:r>
        <w:r w:rsidR="00A856FE" w:rsidRPr="00FD52A9">
          <w:rPr>
            <w:rStyle w:val="a6"/>
            <w:rFonts w:ascii="TimesNewRomanPSMT" w:hAnsi="TimesNewRomanPSMT" w:cs="TimesNewRomanPSMT"/>
            <w:color w:val="auto"/>
            <w:sz w:val="24"/>
            <w:szCs w:val="24"/>
          </w:rPr>
          <w:t>arant.ru/products/ipo/prime/doc/74581688/</w:t>
        </w:r>
      </w:hyperlink>
      <w:r w:rsidR="009D343D" w:rsidRPr="00FD52A9">
        <w:rPr>
          <w:rFonts w:ascii="TimesNewRomanPSMT" w:hAnsi="TimesNewRomanPSMT" w:cs="TimesNewRomanPSMT"/>
          <w:sz w:val="24"/>
          <w:szCs w:val="24"/>
        </w:rPr>
        <w:t xml:space="preserve">.   </w:t>
      </w:r>
    </w:p>
    <w:p w14:paraId="1B49D185" w14:textId="77777777" w:rsidR="00A73DE2" w:rsidRPr="00575312" w:rsidRDefault="00575312" w:rsidP="00A419DB">
      <w:pPr>
        <w:tabs>
          <w:tab w:val="left" w:pos="720"/>
          <w:tab w:val="left" w:pos="786"/>
        </w:tabs>
        <w:suppressAutoHyphen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12. </w:t>
      </w:r>
      <w:r w:rsidR="00703002" w:rsidRPr="00575312">
        <w:rPr>
          <w:rFonts w:ascii="Times New Roman" w:hAnsi="Times New Roman" w:cs="Times New Roman"/>
          <w:sz w:val="24"/>
          <w:szCs w:val="24"/>
        </w:rPr>
        <w:t xml:space="preserve">Аронов Д.М., Бубнова М.Г., Барбараш О.Л., Долецкий А.А., Красницкий В.Б., Лебедева Е.В., Лямина Н.П., Репин А.Н., Свет А.В., Чумакова Г.А., Аронов Д.М., Абдуллаев А.А., Арутюнов Т.П., Барбараш О.Л., Бойцов С.А., Болдуева С.А., Бузиашвили Ю.И., Галявич А.С., Гарганеева А.А., Герасименко М.Ю., Гуляева С.Ф., Довгалевский П.Я., Журавлева А.И., Задионченко В.С., Зайцев В.П., Закирова А.Н., Иванова Г.Е., Иоселиани Д.Г., Калинина А.М., Карпов Р.С., Козиолова Н.А., Куликов А.Г., Кухарчук В.В., Лядов К.В., Мазаев В.П., Мартынов А.И., Мисюра О.Ф., Парнес Е.Я., Перепеч Н.Б., Репин А.Н., Руда М.Я., Староверов И.И., Смулевич А.Б., Сыркин А.Л., Терещенко С.Н., Фомин И.В., Чазов Е.И., Чазова И.Е., Шлык С.В., Шляхто Е.В., Шульман В.А. Острый инфаркт миокарда с подъемом сегмента ST электрокардигрмы: реабилитация и вторичная профилактика. Российский кардиологический журнал. 2015;(1):6-52. https://doi.org/10.15829/1560-4071-2015-1-6-52.   </w:t>
      </w:r>
    </w:p>
    <w:p w14:paraId="79F7947C" w14:textId="77777777" w:rsidR="00F45444" w:rsidRPr="00641BDC" w:rsidRDefault="00575312" w:rsidP="00A419DB">
      <w:pPr>
        <w:tabs>
          <w:tab w:val="left" w:pos="720"/>
          <w:tab w:val="left" w:pos="786"/>
        </w:tabs>
        <w:suppressAutoHyphen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13. </w:t>
      </w:r>
      <w:r w:rsidR="00F45444" w:rsidRPr="00641BDC">
        <w:rPr>
          <w:rFonts w:ascii="Times New Roman" w:hAnsi="Times New Roman" w:cs="Times New Roman"/>
          <w:sz w:val="24"/>
          <w:szCs w:val="24"/>
        </w:rPr>
        <w:t xml:space="preserve">Бойцов С.А., Погосова Н.В.,  Бадтиева В.А., Балахонова Т.В., Барбараш О.Л., ВасюкЮ.А.,Гамбарян М.Г., Голицын С.П., Драпкина О.М., Дроздова Л.Ю., Еганян Р.А.,Ежов М.В., Ершова А.И., Жиров И.В., Карпов Ю.А., Кобалава Ж.Д., Концевая А.В., Литвин А.Ю., Лукьянов М.М., Марцевич С.Ю., Мацкеплишвили С.Т., Метельская В.А., Мешков А.Н., Мишина И.Е., Панченко Е.П., Сергиенко И.В., Смирнова М.Д., Смирнова М.И., Соколова О.Ю, Стародубова А.В., Сухарева О.Ю., Терновой С.К., Ткачева О.Н., Шальнова С.А., Шестакова М.В. Кардиоваскулярная профилактика 2022. Российские национальные рекомендации. РКЖ 023;28(5):5452]. </w:t>
      </w:r>
    </w:p>
    <w:p w14:paraId="2A084997" w14:textId="77777777" w:rsidR="00E12A48" w:rsidRPr="00641BDC" w:rsidRDefault="00641BDC" w:rsidP="00A419DB">
      <w:pPr>
        <w:tabs>
          <w:tab w:val="left" w:pos="720"/>
          <w:tab w:val="left" w:pos="786"/>
        </w:tabs>
        <w:suppressAutoHyphen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14. </w:t>
      </w:r>
      <w:r w:rsidR="00AD0F32" w:rsidRPr="00641BDC">
        <w:rPr>
          <w:rFonts w:ascii="Times New Roman" w:hAnsi="Times New Roman" w:cs="Times New Roman"/>
          <w:sz w:val="24"/>
          <w:szCs w:val="24"/>
        </w:rPr>
        <w:t xml:space="preserve">Дроздов Д.В., Макаров Л.М., Баркан В.С., Газашвили Т.М., Ефимова В.П., Жук М.Ю.,  </w:t>
      </w:r>
      <w:r w:rsidR="00AD0F32" w:rsidRPr="00641BDC">
        <w:rPr>
          <w:rFonts w:ascii="Times New Roman" w:hAnsi="Times New Roman" w:cs="Times New Roman"/>
          <w:sz w:val="24"/>
          <w:szCs w:val="24"/>
        </w:rPr>
        <w:br/>
        <w:t xml:space="preserve">Иртюга О.Б., Калинин Л.А., Ковалёв И.А., Комолятова В.Н., Пармон Е.В., Рогоза  </w:t>
      </w:r>
      <w:r w:rsidR="00AD0F32" w:rsidRPr="00641BDC">
        <w:rPr>
          <w:rFonts w:ascii="Times New Roman" w:hAnsi="Times New Roman" w:cs="Times New Roman"/>
          <w:sz w:val="24"/>
          <w:szCs w:val="24"/>
        </w:rPr>
        <w:br/>
        <w:t xml:space="preserve">А.Н., Стручков П.В., Татаринова А.А., Терегулов Ю.Э., Трешкур Т.В., Шутов Д.В.  </w:t>
      </w:r>
      <w:r w:rsidR="00AD0F32" w:rsidRPr="00641BDC">
        <w:rPr>
          <w:rFonts w:ascii="Times New Roman" w:hAnsi="Times New Roman" w:cs="Times New Roman"/>
          <w:sz w:val="24"/>
          <w:szCs w:val="24"/>
        </w:rPr>
        <w:br/>
        <w:t xml:space="preserve">Регистрация электрокардиограммы покоя в 12 общепринятых отведениях взрослым и  </w:t>
      </w:r>
      <w:r w:rsidR="00AD0F32" w:rsidRPr="00641BDC">
        <w:rPr>
          <w:rFonts w:ascii="Times New Roman" w:hAnsi="Times New Roman" w:cs="Times New Roman"/>
          <w:sz w:val="24"/>
          <w:szCs w:val="24"/>
        </w:rPr>
        <w:br/>
        <w:t xml:space="preserve">детям 2023. Методические рекомендации. Российский кардиологический журнал.  2023;28(10):5631. </w:t>
      </w:r>
      <w:hyperlink r:id="rId309" w:history="1">
        <w:r w:rsidR="00AD0F32" w:rsidRPr="00641BDC">
          <w:rPr>
            <w:rStyle w:val="a6"/>
            <w:rFonts w:ascii="Times New Roman" w:hAnsi="Times New Roman" w:cs="Times New Roman"/>
            <w:color w:val="auto"/>
            <w:sz w:val="24"/>
            <w:szCs w:val="24"/>
            <w:lang w:val="en-US"/>
          </w:rPr>
          <w:t>https</w:t>
        </w:r>
        <w:r w:rsidR="00AD0F32" w:rsidRPr="00641BDC">
          <w:rPr>
            <w:rStyle w:val="a6"/>
            <w:rFonts w:ascii="Times New Roman" w:hAnsi="Times New Roman" w:cs="Times New Roman"/>
            <w:color w:val="auto"/>
            <w:sz w:val="24"/>
            <w:szCs w:val="24"/>
          </w:rPr>
          <w:t>://</w:t>
        </w:r>
        <w:r w:rsidR="00AD0F32" w:rsidRPr="00641BDC">
          <w:rPr>
            <w:rStyle w:val="a6"/>
            <w:rFonts w:ascii="Times New Roman" w:hAnsi="Times New Roman" w:cs="Times New Roman"/>
            <w:color w:val="auto"/>
            <w:sz w:val="24"/>
            <w:szCs w:val="24"/>
            <w:lang w:val="en-US"/>
          </w:rPr>
          <w:t>doi</w:t>
        </w:r>
        <w:r w:rsidR="00AD0F32" w:rsidRPr="00641BDC">
          <w:rPr>
            <w:rStyle w:val="a6"/>
            <w:rFonts w:ascii="Times New Roman" w:hAnsi="Times New Roman" w:cs="Times New Roman"/>
            <w:color w:val="auto"/>
            <w:sz w:val="24"/>
            <w:szCs w:val="24"/>
          </w:rPr>
          <w:t>.</w:t>
        </w:r>
        <w:r w:rsidR="00AD0F32" w:rsidRPr="00641BDC">
          <w:rPr>
            <w:rStyle w:val="a6"/>
            <w:rFonts w:ascii="Times New Roman" w:hAnsi="Times New Roman" w:cs="Times New Roman"/>
            <w:color w:val="auto"/>
            <w:sz w:val="24"/>
            <w:szCs w:val="24"/>
            <w:lang w:val="en-US"/>
          </w:rPr>
          <w:t>org</w:t>
        </w:r>
        <w:r w:rsidR="00AD0F32" w:rsidRPr="00641BDC">
          <w:rPr>
            <w:rStyle w:val="a6"/>
            <w:rFonts w:ascii="Times New Roman" w:hAnsi="Times New Roman" w:cs="Times New Roman"/>
            <w:color w:val="auto"/>
            <w:sz w:val="24"/>
            <w:szCs w:val="24"/>
          </w:rPr>
          <w:t>/10.15829/1560-4071-2023-5631</w:t>
        </w:r>
      </w:hyperlink>
      <w:r w:rsidR="00AD0F32" w:rsidRPr="00641BDC">
        <w:rPr>
          <w:rFonts w:ascii="Times New Roman" w:hAnsi="Times New Roman" w:cs="Times New Roman"/>
          <w:sz w:val="24"/>
          <w:szCs w:val="24"/>
        </w:rPr>
        <w:t xml:space="preserve">. </w:t>
      </w:r>
    </w:p>
    <w:p w14:paraId="1AFBF91A" w14:textId="77777777" w:rsidR="00D575E1" w:rsidRPr="00817044" w:rsidRDefault="00817044" w:rsidP="00A419DB">
      <w:pPr>
        <w:tabs>
          <w:tab w:val="left" w:pos="720"/>
          <w:tab w:val="left" w:pos="786"/>
        </w:tabs>
        <w:suppressAutoHyphen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15. </w:t>
      </w:r>
      <w:r w:rsidR="00E12A48" w:rsidRPr="00817044">
        <w:rPr>
          <w:rFonts w:ascii="Times New Roman" w:hAnsi="Times New Roman" w:cs="Times New Roman"/>
          <w:sz w:val="24"/>
          <w:szCs w:val="24"/>
        </w:rPr>
        <w:t xml:space="preserve">Подметин П.С., Бурак Т.Я., Кочанов И.Н., Каледин А.Л. Аугментация гиперемии введением дополнительного гиперемирующего агента при пограничных значениях </w:t>
      </w:r>
      <w:r w:rsidR="00E12A48" w:rsidRPr="00817044">
        <w:rPr>
          <w:rFonts w:ascii="Times New Roman" w:hAnsi="Times New Roman" w:cs="Times New Roman"/>
          <w:sz w:val="24"/>
          <w:szCs w:val="24"/>
        </w:rPr>
        <w:lastRenderedPageBreak/>
        <w:t xml:space="preserve">фракционного резерва кровотока. Эндоваскулярная хирургия. 2019; 6 (1): 13–9.  https://doi.org/10.24183/2409-4080-2019-6-1-13-19 601. </w:t>
      </w:r>
    </w:p>
    <w:p w14:paraId="4F902CB7" w14:textId="77777777" w:rsidR="00416689" w:rsidRPr="00F6333D" w:rsidRDefault="00F6333D" w:rsidP="00A419DB">
      <w:pPr>
        <w:tabs>
          <w:tab w:val="left" w:pos="720"/>
          <w:tab w:val="left" w:pos="786"/>
        </w:tabs>
        <w:suppressAutoHyphens/>
        <w:spacing w:line="360" w:lineRule="auto"/>
        <w:jc w:val="both"/>
        <w:rPr>
          <w:rFonts w:ascii="Times New Roman" w:hAnsi="Times New Roman" w:cs="Times New Roman"/>
          <w:sz w:val="24"/>
          <w:szCs w:val="24"/>
        </w:rPr>
      </w:pPr>
      <w:r>
        <w:rPr>
          <w:rFonts w:ascii="Times New Roman" w:hAnsi="Times New Roman" w:cs="Times New Roman"/>
          <w:sz w:val="24"/>
          <w:szCs w:val="24"/>
        </w:rPr>
        <w:t>16</w:t>
      </w:r>
      <w:r w:rsidR="00817044">
        <w:rPr>
          <w:rFonts w:ascii="Times New Roman" w:hAnsi="Times New Roman" w:cs="Times New Roman"/>
          <w:sz w:val="24"/>
          <w:szCs w:val="24"/>
        </w:rPr>
        <w:t xml:space="preserve">. </w:t>
      </w:r>
      <w:r w:rsidR="00890D25" w:rsidRPr="00F6333D">
        <w:rPr>
          <w:rFonts w:ascii="Times New Roman" w:hAnsi="Times New Roman" w:cs="Times New Roman"/>
          <w:sz w:val="24"/>
          <w:szCs w:val="24"/>
        </w:rPr>
        <w:t>Приказ МЗ Приднестровской Молдавской Республики от 18.11.2020 №999</w:t>
      </w:r>
      <w:r w:rsidR="00C476DF" w:rsidRPr="00F6333D">
        <w:rPr>
          <w:rFonts w:ascii="Times New Roman" w:hAnsi="Times New Roman" w:cs="Times New Roman"/>
          <w:sz w:val="24"/>
          <w:szCs w:val="24"/>
        </w:rPr>
        <w:t xml:space="preserve"> «Об утве</w:t>
      </w:r>
      <w:r w:rsidR="007714ED" w:rsidRPr="00F6333D">
        <w:rPr>
          <w:rFonts w:ascii="Times New Roman" w:hAnsi="Times New Roman" w:cs="Times New Roman"/>
          <w:sz w:val="24"/>
          <w:szCs w:val="24"/>
        </w:rPr>
        <w:t>р</w:t>
      </w:r>
      <w:r w:rsidR="00C476DF" w:rsidRPr="00F6333D">
        <w:rPr>
          <w:rFonts w:ascii="Times New Roman" w:hAnsi="Times New Roman" w:cs="Times New Roman"/>
          <w:sz w:val="24"/>
          <w:szCs w:val="24"/>
        </w:rPr>
        <w:t xml:space="preserve">ждении порядка оказания медицинской помощи населению при остром коронарномсиндроме </w:t>
      </w:r>
      <w:r w:rsidR="00BF6BE1" w:rsidRPr="00F6333D">
        <w:rPr>
          <w:rFonts w:ascii="Times New Roman" w:hAnsi="Times New Roman" w:cs="Times New Roman"/>
          <w:sz w:val="24"/>
          <w:szCs w:val="24"/>
        </w:rPr>
        <w:t>и Алгоритма сопровождения пациента с острым коронарным синдромом на этапах ок</w:t>
      </w:r>
      <w:r w:rsidR="00E34B20" w:rsidRPr="00F6333D">
        <w:rPr>
          <w:rFonts w:ascii="Times New Roman" w:hAnsi="Times New Roman" w:cs="Times New Roman"/>
          <w:sz w:val="24"/>
          <w:szCs w:val="24"/>
        </w:rPr>
        <w:t>аз</w:t>
      </w:r>
      <w:r w:rsidR="00BF6BE1" w:rsidRPr="00F6333D">
        <w:rPr>
          <w:rFonts w:ascii="Times New Roman" w:hAnsi="Times New Roman" w:cs="Times New Roman"/>
          <w:sz w:val="24"/>
          <w:szCs w:val="24"/>
        </w:rPr>
        <w:t>ания медицинской помощи»</w:t>
      </w:r>
    </w:p>
    <w:p w14:paraId="69105340" w14:textId="77777777" w:rsidR="00E05788" w:rsidRPr="00F6333D" w:rsidRDefault="00F6333D" w:rsidP="00A419DB">
      <w:pPr>
        <w:tabs>
          <w:tab w:val="left" w:pos="720"/>
          <w:tab w:val="left" w:pos="786"/>
        </w:tabs>
        <w:suppressAutoHyphen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17. </w:t>
      </w:r>
      <w:r w:rsidR="006847A6" w:rsidRPr="00F6333D">
        <w:rPr>
          <w:rFonts w:ascii="Times New Roman" w:hAnsi="Times New Roman" w:cs="Times New Roman"/>
          <w:sz w:val="24"/>
          <w:szCs w:val="24"/>
        </w:rPr>
        <w:t>Острый инфаркт миокарда с подъемом сегмента ST электрокардиограммы. КлиническиерекомендацииРФ</w:t>
      </w:r>
      <w:r w:rsidR="00255C47" w:rsidRPr="00F6333D">
        <w:rPr>
          <w:rFonts w:ascii="Times New Roman" w:hAnsi="Times New Roman" w:cs="Times New Roman"/>
          <w:sz w:val="24"/>
          <w:szCs w:val="24"/>
        </w:rPr>
        <w:t>–</w:t>
      </w:r>
      <w:r w:rsidR="006847A6" w:rsidRPr="00F6333D">
        <w:rPr>
          <w:rFonts w:ascii="Times New Roman" w:hAnsi="Times New Roman" w:cs="Times New Roman"/>
          <w:sz w:val="24"/>
          <w:szCs w:val="24"/>
        </w:rPr>
        <w:t>2024</w:t>
      </w:r>
      <w:hyperlink r:id="rId310" w:history="1">
        <w:r w:rsidR="007C6D54" w:rsidRPr="00F6333D">
          <w:rPr>
            <w:rStyle w:val="a6"/>
            <w:rFonts w:ascii="Times New Roman" w:hAnsi="Times New Roman" w:cs="Times New Roman"/>
            <w:sz w:val="24"/>
            <w:szCs w:val="24"/>
          </w:rPr>
          <w:t>https://diseases.medelement.com/disease/disease/острый-инфаркт-миокарда-с-подъемом-сегмента-st-электрокардиограммы-кр-рф-2024/18349</w:t>
        </w:r>
      </w:hyperlink>
    </w:p>
    <w:p w14:paraId="3256B83C" w14:textId="77777777" w:rsidR="00643109" w:rsidRPr="00F6333D"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18. D'Ascenzo F, Biondi-Zoccai G, Moretti C, et al. </w:t>
      </w:r>
      <w:r w:rsidRPr="00F6333D">
        <w:rPr>
          <w:rFonts w:ascii="Times New Roman" w:hAnsi="Times New Roman" w:cs="Times New Roman" w:hint="eastAsia"/>
          <w:sz w:val="24"/>
          <w:szCs w:val="24"/>
          <w:lang w:val="en-US"/>
        </w:rPr>
        <w:t>TIMI, GRACE and alternative risk scores in acute coronary syndromes: a meta-analysis of 40 derivation studies on 216,552 patients and of 42 validation studies on 31,625 patients. Contemporary clinical tr</w:t>
      </w:r>
      <w:r w:rsidRPr="00F6333D">
        <w:rPr>
          <w:rFonts w:ascii="Times New Roman" w:hAnsi="Times New Roman" w:cs="Times New Roman"/>
          <w:sz w:val="24"/>
          <w:szCs w:val="24"/>
          <w:lang w:val="en-US"/>
        </w:rPr>
        <w:t>ials. 2012;33: 507-14.</w:t>
      </w:r>
    </w:p>
    <w:p w14:paraId="43E6A48C"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19. McNamara RL, Kennedy KF, Cohen DJ, et al. Predicting In-Hospital Mortality in Patients With Acute Myocardial Infarction. JACC. 2016;68:626-35.</w:t>
      </w:r>
    </w:p>
    <w:p w14:paraId="02436508" w14:textId="77777777" w:rsidR="00643109" w:rsidRPr="00F52FCA" w:rsidRDefault="00643109" w:rsidP="00A419DB">
      <w:pPr>
        <w:tabs>
          <w:tab w:val="left" w:pos="786"/>
        </w:tabs>
        <w:suppressAutoHyphens/>
        <w:spacing w:after="60" w:line="360" w:lineRule="auto"/>
        <w:jc w:val="both"/>
        <w:rPr>
          <w:rFonts w:ascii="Times New Roman" w:hAnsi="Times New Roman" w:cs="Times New Roman"/>
          <w:sz w:val="24"/>
          <w:szCs w:val="24"/>
          <w:lang w:val="fr-FR"/>
        </w:rPr>
      </w:pPr>
      <w:r w:rsidRPr="00643109">
        <w:rPr>
          <w:rFonts w:ascii="Times New Roman" w:hAnsi="Times New Roman" w:cs="Times New Roman" w:hint="eastAsia"/>
          <w:sz w:val="24"/>
          <w:szCs w:val="24"/>
          <w:lang w:val="en-US"/>
        </w:rPr>
        <w:t xml:space="preserve">20. Bartnik M, Malmberg K, Norhammar A, et al. Newly detected abnormal glucose tolerance: an important predictor of long-term outcome after myocardial infarction. </w:t>
      </w:r>
      <w:r w:rsidRPr="00F52FCA">
        <w:rPr>
          <w:rFonts w:ascii="Times New Roman" w:hAnsi="Times New Roman" w:cs="Times New Roman" w:hint="eastAsia"/>
          <w:sz w:val="24"/>
          <w:szCs w:val="24"/>
          <w:lang w:val="fr-FR"/>
        </w:rPr>
        <w:t>Eur Heart J. 2004;25:1990-7.</w:t>
      </w:r>
    </w:p>
    <w:p w14:paraId="6E879309"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21. Ferrannini G, De Bacquer D, De Backer G, et al. </w:t>
      </w:r>
      <w:r w:rsidRPr="00643109">
        <w:rPr>
          <w:rFonts w:ascii="Times New Roman" w:hAnsi="Times New Roman" w:cs="Times New Roman" w:hint="eastAsia"/>
          <w:sz w:val="24"/>
          <w:szCs w:val="24"/>
          <w:lang w:val="en-US"/>
        </w:rPr>
        <w:t>Screening for glucose perturbations and risk factor management in dysglycemic patients with coronary artery disease- a persistent challenge in need of substantial improvement: a report from ESC EORP EURO</w:t>
      </w:r>
      <w:r w:rsidRPr="00643109">
        <w:rPr>
          <w:rFonts w:ascii="Times New Roman" w:hAnsi="Times New Roman" w:cs="Times New Roman"/>
          <w:sz w:val="24"/>
          <w:szCs w:val="24"/>
          <w:lang w:val="en-US"/>
        </w:rPr>
        <w:t>ASPIRE V. Diabetes Care. 2020;43:726-33. https://doi.org/10.2337/dc19-2165.</w:t>
      </w:r>
    </w:p>
    <w:p w14:paraId="6220A3C6"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22. Ritsinger V, Tanoglidi E, Malmberg K, et al. </w:t>
      </w:r>
      <w:r w:rsidRPr="00643109">
        <w:rPr>
          <w:rFonts w:ascii="Times New Roman" w:hAnsi="Times New Roman" w:cs="Times New Roman" w:hint="eastAsia"/>
          <w:sz w:val="24"/>
          <w:szCs w:val="24"/>
          <w:lang w:val="en-US"/>
        </w:rPr>
        <w:t>Sustained prognostic implications of newly detected glucose abnormalities in patients with acute myocardial infarction: long-term follow-up of the Glucose Tolerance in Patients with Acute Myocardial Infarct</w:t>
      </w:r>
      <w:r w:rsidRPr="00643109">
        <w:rPr>
          <w:rFonts w:ascii="Times New Roman" w:hAnsi="Times New Roman" w:cs="Times New Roman"/>
          <w:sz w:val="24"/>
          <w:szCs w:val="24"/>
          <w:lang w:val="en-US"/>
        </w:rPr>
        <w:t>ion cohort. Diab Vasc Dis Res. 2015;12:23-32. https://doi.org/10.1177/1479164114551746.</w:t>
      </w:r>
    </w:p>
    <w:p w14:paraId="1937DC3E"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23. Svensson AM, McGuire DK, Abrahamsson P, Dellborg M. Association between hyperandhypoglycaemia and 2 year all-cause mortality risk in diabetic patients with acute coronary events. Eur Heart J. 2005;26:1255-61. https://doi.org/10.1093/eurheartj/ehi230.</w:t>
      </w:r>
    </w:p>
    <w:p w14:paraId="0F08ECED"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24. Pinto DS, Skolnick AH, Kirtane AJ, et al. U-shaped relationship of blood glucose with adverse outcomes among patients with ST-segment elevation myocardial infarction. J Am Coll Cardiol. 2005;46:178-80. https://doi.org/10.1016/j.jacc.2005.03.052.</w:t>
      </w:r>
    </w:p>
    <w:p w14:paraId="6475EEA0"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lastRenderedPageBreak/>
        <w:t>25. Marx N, Federici M, Schütt K, et al. 2023 ESC Guidelines for the management of cardiovascular disease in patients with diabetes. Eur Heart J. 2023;44(39):4043-140. https://doi.org/10.1093/eurheartj/ehad192.</w:t>
      </w:r>
    </w:p>
    <w:p w14:paraId="1B50689D"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26. Mach F, Baigent C, Catapano AL, et al. 2019 ESC/EAS Guidelines for the management of dyslipidaemias: lipid modification to reduce cardiovascular risk. Eur Heart J. 2020; 41:111-88. https://doi.org/10.1093/eurheartj/ehz455.</w:t>
      </w:r>
    </w:p>
    <w:p w14:paraId="76CA0581"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27. Ference BA, Ginsberg HN, Graham I, et al. Low-density lipoproteins cause atherosclerotic cardiovascular disease. 1. Evidence from genetic, epidemiologic, and clinical studies. A consensus statement from the European Atherosclerosis Society Consensus P</w:t>
      </w:r>
      <w:r w:rsidRPr="00643109">
        <w:rPr>
          <w:rFonts w:ascii="Times New Roman" w:hAnsi="Times New Roman" w:cs="Times New Roman"/>
          <w:sz w:val="24"/>
          <w:szCs w:val="24"/>
          <w:lang w:val="en-US"/>
        </w:rPr>
        <w:t>anel. Eur Heart J. 2017;38:2459-72. https://doi.org/10.1093/eurheartj/ehx144.</w:t>
      </w:r>
    </w:p>
    <w:p w14:paraId="3F422817"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28. Sidhu D, Naugler C. Fasting time and lipid levels in a community-based population: a cross-sectional study. Arch Intern Med. 2012;172(22):1707-10.</w:t>
      </w:r>
    </w:p>
    <w:p w14:paraId="6808C881"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29. Goyal A, Spertus JA, Gosch K, et al. Serum potassium levels and mortality in acute myocardial infarction. JAMA. 2012;307:157-64.</w:t>
      </w:r>
    </w:p>
    <w:p w14:paraId="3400E803" w14:textId="77777777" w:rsidR="00643109" w:rsidRPr="00F52FCA" w:rsidRDefault="00643109" w:rsidP="00A419DB">
      <w:pPr>
        <w:tabs>
          <w:tab w:val="left" w:pos="786"/>
        </w:tabs>
        <w:suppressAutoHyphens/>
        <w:spacing w:after="60" w:line="360" w:lineRule="auto"/>
        <w:jc w:val="both"/>
        <w:rPr>
          <w:rFonts w:ascii="Times New Roman" w:hAnsi="Times New Roman" w:cs="Times New Roman"/>
          <w:sz w:val="24"/>
          <w:szCs w:val="24"/>
          <w:lang w:val="fr-FR"/>
        </w:rPr>
      </w:pPr>
      <w:r w:rsidRPr="00643109">
        <w:rPr>
          <w:rFonts w:ascii="Times New Roman" w:hAnsi="Times New Roman" w:cs="Times New Roman" w:hint="eastAsia"/>
          <w:sz w:val="24"/>
          <w:szCs w:val="24"/>
          <w:lang w:val="en-US"/>
        </w:rPr>
        <w:t xml:space="preserve">30. Shirakabe A, Hata N, Kobayashi N, et al. Clinical significance of acid-base balance in an emergency setting in patients with acute heart failure. </w:t>
      </w:r>
      <w:r w:rsidRPr="00F52FCA">
        <w:rPr>
          <w:rFonts w:ascii="Times New Roman" w:hAnsi="Times New Roman" w:cs="Times New Roman" w:hint="eastAsia"/>
          <w:sz w:val="24"/>
          <w:szCs w:val="24"/>
          <w:lang w:val="fr-FR"/>
        </w:rPr>
        <w:t>J Cardiol. 2012;60(4):288-94. https://doi.org/10.1016/j.jjcc.2012.06.004.</w:t>
      </w:r>
    </w:p>
    <w:p w14:paraId="21D18B31" w14:textId="77777777" w:rsidR="00643109" w:rsidRPr="00F52FCA" w:rsidRDefault="00643109" w:rsidP="00A419DB">
      <w:pPr>
        <w:tabs>
          <w:tab w:val="left" w:pos="786"/>
        </w:tabs>
        <w:suppressAutoHyphens/>
        <w:spacing w:after="60" w:line="360" w:lineRule="auto"/>
        <w:jc w:val="both"/>
        <w:rPr>
          <w:rFonts w:ascii="Times New Roman" w:hAnsi="Times New Roman" w:cs="Times New Roman"/>
          <w:sz w:val="24"/>
          <w:szCs w:val="24"/>
          <w:lang w:val="fr-FR"/>
        </w:rPr>
      </w:pPr>
      <w:r w:rsidRPr="00F52FCA">
        <w:rPr>
          <w:rFonts w:ascii="Times New Roman" w:hAnsi="Times New Roman" w:cs="Times New Roman" w:hint="eastAsia"/>
          <w:sz w:val="24"/>
          <w:szCs w:val="24"/>
          <w:lang w:val="fr-FR"/>
        </w:rPr>
        <w:t xml:space="preserve">31. Maciejewski P, Bednarz B, Chamiec T, et al. </w:t>
      </w:r>
      <w:r w:rsidRPr="00643109">
        <w:rPr>
          <w:rFonts w:ascii="Times New Roman" w:hAnsi="Times New Roman" w:cs="Times New Roman" w:hint="eastAsia"/>
          <w:sz w:val="24"/>
          <w:szCs w:val="24"/>
          <w:lang w:val="en-US"/>
        </w:rPr>
        <w:t xml:space="preserve">Acute coronary syndrome: potassium, magnesium and cardiac arrhythmia. </w:t>
      </w:r>
      <w:r w:rsidRPr="00F52FCA">
        <w:rPr>
          <w:rFonts w:ascii="Times New Roman" w:hAnsi="Times New Roman" w:cs="Times New Roman" w:hint="eastAsia"/>
          <w:sz w:val="24"/>
          <w:szCs w:val="24"/>
          <w:lang w:val="fr-FR"/>
        </w:rPr>
        <w:t>Kardiol Pol. 2003;59(11):402-7.</w:t>
      </w:r>
    </w:p>
    <w:p w14:paraId="7ED590F1" w14:textId="77777777" w:rsidR="00643109" w:rsidRPr="00F52FCA" w:rsidRDefault="00643109" w:rsidP="00A419DB">
      <w:pPr>
        <w:tabs>
          <w:tab w:val="left" w:pos="786"/>
        </w:tabs>
        <w:suppressAutoHyphens/>
        <w:spacing w:after="60" w:line="360" w:lineRule="auto"/>
        <w:jc w:val="both"/>
        <w:rPr>
          <w:rFonts w:ascii="Times New Roman" w:hAnsi="Times New Roman" w:cs="Times New Roman"/>
          <w:sz w:val="24"/>
          <w:szCs w:val="24"/>
          <w:lang w:val="fr-FR"/>
        </w:rPr>
      </w:pPr>
      <w:r w:rsidRPr="00F52FCA">
        <w:rPr>
          <w:rFonts w:ascii="Times New Roman" w:hAnsi="Times New Roman" w:cs="Times New Roman" w:hint="eastAsia"/>
          <w:sz w:val="24"/>
          <w:szCs w:val="24"/>
          <w:lang w:val="fr-FR"/>
        </w:rPr>
        <w:t xml:space="preserve">32. Babes EE, Zaha DC, Tit DM, et al. </w:t>
      </w:r>
      <w:r w:rsidRPr="00643109">
        <w:rPr>
          <w:rFonts w:ascii="Times New Roman" w:hAnsi="Times New Roman" w:cs="Times New Roman" w:hint="eastAsia"/>
          <w:sz w:val="24"/>
          <w:szCs w:val="24"/>
          <w:lang w:val="en-US"/>
        </w:rPr>
        <w:t xml:space="preserve">Value of Hematological and Coagulation Parameters as Prognostic Factors in Acute Coronary Syndromes. </w:t>
      </w:r>
      <w:r w:rsidRPr="00F52FCA">
        <w:rPr>
          <w:rFonts w:ascii="Times New Roman" w:hAnsi="Times New Roman" w:cs="Times New Roman" w:hint="eastAsia"/>
          <w:sz w:val="24"/>
          <w:szCs w:val="24"/>
          <w:lang w:val="fr-FR"/>
        </w:rPr>
        <w:t>Diagnostics (Basel). 2021;11(5):850. https://doi.org/10.3390/diagnostics11050850.</w:t>
      </w:r>
    </w:p>
    <w:p w14:paraId="62266BF4" w14:textId="77777777" w:rsidR="00643109" w:rsidRPr="00F52FCA" w:rsidRDefault="00643109" w:rsidP="00A419DB">
      <w:pPr>
        <w:tabs>
          <w:tab w:val="left" w:pos="786"/>
        </w:tabs>
        <w:suppressAutoHyphens/>
        <w:spacing w:after="60" w:line="360" w:lineRule="auto"/>
        <w:jc w:val="both"/>
        <w:rPr>
          <w:rFonts w:ascii="Times New Roman" w:hAnsi="Times New Roman" w:cs="Times New Roman"/>
          <w:sz w:val="24"/>
          <w:szCs w:val="24"/>
          <w:lang w:val="fr-FR"/>
        </w:rPr>
      </w:pPr>
      <w:r w:rsidRPr="00F52FCA">
        <w:rPr>
          <w:rFonts w:ascii="Times New Roman" w:hAnsi="Times New Roman" w:cs="Times New Roman" w:hint="eastAsia"/>
          <w:sz w:val="24"/>
          <w:szCs w:val="24"/>
          <w:lang w:val="fr-FR"/>
        </w:rPr>
        <w:t xml:space="preserve">33. Su H, Cao Y, Chen Q, et al. </w:t>
      </w:r>
      <w:r w:rsidRPr="00643109">
        <w:rPr>
          <w:rFonts w:ascii="Times New Roman" w:hAnsi="Times New Roman" w:cs="Times New Roman" w:hint="eastAsia"/>
          <w:sz w:val="24"/>
          <w:szCs w:val="24"/>
          <w:lang w:val="en-US"/>
        </w:rPr>
        <w:t xml:space="preserve">The association between fibrinogen levels and severity of coronary artery disease and long-term prognosis following percutaneous coronary intervention in patients with type 2 diabetes mellitus. </w:t>
      </w:r>
      <w:r w:rsidRPr="00F52FCA">
        <w:rPr>
          <w:rFonts w:ascii="Times New Roman" w:hAnsi="Times New Roman" w:cs="Times New Roman" w:hint="eastAsia"/>
          <w:sz w:val="24"/>
          <w:szCs w:val="24"/>
          <w:lang w:val="fr-FR"/>
        </w:rPr>
        <w:t xml:space="preserve">Front Endocrinol (Lausanne). </w:t>
      </w:r>
      <w:r w:rsidRPr="00F52FCA">
        <w:rPr>
          <w:rFonts w:ascii="Times New Roman" w:hAnsi="Times New Roman" w:cs="Times New Roman"/>
          <w:sz w:val="24"/>
          <w:szCs w:val="24"/>
          <w:lang w:val="fr-FR"/>
        </w:rPr>
        <w:t>2023;14:1287855. https://doi.org/10.3389/fendo.2023.1287855.</w:t>
      </w:r>
    </w:p>
    <w:p w14:paraId="770859F6"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34. Shi Y, Wu Y, Bian C, et al. </w:t>
      </w:r>
      <w:r w:rsidRPr="00643109">
        <w:rPr>
          <w:rFonts w:ascii="Times New Roman" w:hAnsi="Times New Roman" w:cs="Times New Roman" w:hint="eastAsia"/>
          <w:sz w:val="24"/>
          <w:szCs w:val="24"/>
          <w:lang w:val="en-US"/>
        </w:rPr>
        <w:t>Predictive value of plasma fibrinogen levels in patients admitted for acute coronary syndrome. Tex Heart Inst J. 2010;37(2):178-83.</w:t>
      </w:r>
    </w:p>
    <w:p w14:paraId="167028E8"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35. Perelló R, Calvo M, Miró O, et al. Clinical presentation of acute coronary syndrome in HIV infected adults: a retrospective analysis of a prospectively collected cohort. Eur J Intern Med. 2011;22(5):485-8. https://doi.org/10.1016/j.ejim.2011.02.017.</w:t>
      </w:r>
    </w:p>
    <w:p w14:paraId="67DE0D8B"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36. Seecheran VK, Giddings SL, Seecheran NA. Acute coronary syndromes in patients with HIV. Coron Artery Dis. 2017;28(2):166-72. https://doi.org/10.1097/MCA.0000000000000450.</w:t>
      </w:r>
    </w:p>
    <w:p w14:paraId="4CBA6F5A"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sz w:val="24"/>
          <w:szCs w:val="24"/>
          <w:lang w:val="en-US"/>
        </w:rPr>
        <w:lastRenderedPageBreak/>
        <w:t>37. Žvirblytė R, Ereminienė E, Montvilaitė A, et al. Syphilitic coronary artery ostial stenosis resulting in acute myocardial infarction. Medicina (Kaunas). 2017;53(3):211-6. https://doi.org/10.1016/j.medici.2017.06.001.</w:t>
      </w:r>
    </w:p>
    <w:p w14:paraId="274EB214" w14:textId="77777777" w:rsidR="00643109" w:rsidRPr="00F52FCA" w:rsidRDefault="00643109" w:rsidP="00A419DB">
      <w:pPr>
        <w:tabs>
          <w:tab w:val="left" w:pos="786"/>
        </w:tabs>
        <w:suppressAutoHyphens/>
        <w:spacing w:after="60" w:line="360" w:lineRule="auto"/>
        <w:jc w:val="both"/>
        <w:rPr>
          <w:rFonts w:ascii="Times New Roman" w:hAnsi="Times New Roman" w:cs="Times New Roman"/>
          <w:sz w:val="24"/>
          <w:szCs w:val="24"/>
          <w:lang w:val="fr-FR"/>
        </w:rPr>
      </w:pPr>
      <w:r w:rsidRPr="00643109">
        <w:rPr>
          <w:rFonts w:ascii="Times New Roman" w:hAnsi="Times New Roman" w:cs="Times New Roman" w:hint="eastAsia"/>
          <w:sz w:val="24"/>
          <w:szCs w:val="24"/>
          <w:lang w:val="en-US"/>
        </w:rPr>
        <w:t xml:space="preserve">38. Fu Y, Chen M, Sun H, et al. Blood group A: a risk factor for heart rupture after acute myocardial infarction. </w:t>
      </w:r>
      <w:r w:rsidRPr="00F52FCA">
        <w:rPr>
          <w:rFonts w:ascii="Times New Roman" w:hAnsi="Times New Roman" w:cs="Times New Roman" w:hint="eastAsia"/>
          <w:sz w:val="24"/>
          <w:szCs w:val="24"/>
          <w:lang w:val="fr-FR"/>
        </w:rPr>
        <w:t>BMC Cardiovasc Disord. 2020;20(1):471. https://doi.org/10.1186/s12872-020-01756-y.</w:t>
      </w:r>
    </w:p>
    <w:p w14:paraId="11126FB4"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39. Scudiero F, Valenti R, Marcucci R, et al. </w:t>
      </w:r>
      <w:r w:rsidRPr="00643109">
        <w:rPr>
          <w:rFonts w:ascii="Times New Roman" w:hAnsi="Times New Roman" w:cs="Times New Roman" w:hint="eastAsia"/>
          <w:sz w:val="24"/>
          <w:szCs w:val="24"/>
          <w:lang w:val="en-US"/>
        </w:rPr>
        <w:t>Platelet Reactivity in Hepatitis C Virus-Infected Patients on Dual Antiplatelet Therapy for Acute Coronary Syndrome. J Am Heart Assoc. 2020;9(18):e016441. https://doi.org/10.1161/JAHA.120.016441.</w:t>
      </w:r>
    </w:p>
    <w:p w14:paraId="0B53F5FB"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40. Kuo PL, Lin KC, Tang PL, et al. Contribution of Hepatitis B to Long-Term Outcome Among Patients With Acute Myocardial Infarction: A Nationwide Study. Medicine (Baltimore). 2016;95(5):e2678. https://doi.org/10.1097/MD.0000000000002678.</w:t>
      </w:r>
    </w:p>
    <w:p w14:paraId="2F104A65"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41. Diercks DB, Peacock WF, Hiestand BC, et al. Frequency and consequences of recording an electrocardiogram &gt;10 minutes after arrival in an emergency room in non-ST-segment elevation acute coronary syndromes (from the CRUSADE Initiative). Am J Cardiol. 2</w:t>
      </w:r>
      <w:r w:rsidRPr="00643109">
        <w:rPr>
          <w:rFonts w:ascii="Times New Roman" w:hAnsi="Times New Roman" w:cs="Times New Roman"/>
          <w:sz w:val="24"/>
          <w:szCs w:val="24"/>
          <w:lang w:val="en-US"/>
        </w:rPr>
        <w:t>006;97:437-42. https://doi.org/10.1016/j.amjcard.2005.09.073.</w:t>
      </w:r>
    </w:p>
    <w:p w14:paraId="1F02BE9D" w14:textId="77777777" w:rsidR="00643109" w:rsidRPr="00545863" w:rsidRDefault="00643109" w:rsidP="00A419DB">
      <w:pPr>
        <w:tabs>
          <w:tab w:val="left" w:pos="786"/>
        </w:tabs>
        <w:suppressAutoHyphens/>
        <w:spacing w:after="60" w:line="360" w:lineRule="auto"/>
        <w:jc w:val="both"/>
        <w:rPr>
          <w:rFonts w:ascii="Times New Roman" w:hAnsi="Times New Roman" w:cs="Times New Roman"/>
          <w:sz w:val="24"/>
          <w:szCs w:val="24"/>
        </w:rPr>
      </w:pPr>
      <w:r w:rsidRPr="00643109">
        <w:rPr>
          <w:rFonts w:ascii="Times New Roman" w:hAnsi="Times New Roman" w:cs="Times New Roman" w:hint="eastAsia"/>
          <w:sz w:val="24"/>
          <w:szCs w:val="24"/>
          <w:lang w:val="en-US"/>
        </w:rPr>
        <w:t>42. Schmitt C, Lehmann G, Schmieder S, et al. Diagnosis of acute myocardial infarction in angiographically documented occluded infarct vessel: limitations of ST-segment elevation in standard and extended ECG leads. Chest</w:t>
      </w:r>
      <w:r w:rsidRPr="00545863">
        <w:rPr>
          <w:rFonts w:ascii="Times New Roman" w:hAnsi="Times New Roman" w:cs="Times New Roman" w:hint="eastAsia"/>
          <w:sz w:val="24"/>
          <w:szCs w:val="24"/>
        </w:rPr>
        <w:t xml:space="preserve">. 2001;120:1540-6. </w:t>
      </w:r>
      <w:r w:rsidRPr="00643109">
        <w:rPr>
          <w:rFonts w:ascii="Times New Roman" w:hAnsi="Times New Roman" w:cs="Times New Roman" w:hint="eastAsia"/>
          <w:sz w:val="24"/>
          <w:szCs w:val="24"/>
          <w:lang w:val="en-US"/>
        </w:rPr>
        <w:t>https</w:t>
      </w:r>
      <w:r w:rsidRPr="00545863">
        <w:rPr>
          <w:rFonts w:ascii="Times New Roman" w:hAnsi="Times New Roman" w:cs="Times New Roman" w:hint="eastAsia"/>
          <w:sz w:val="24"/>
          <w:szCs w:val="24"/>
        </w:rPr>
        <w:t>://</w:t>
      </w:r>
      <w:r w:rsidRPr="00643109">
        <w:rPr>
          <w:rFonts w:ascii="Times New Roman" w:hAnsi="Times New Roman" w:cs="Times New Roman" w:hint="eastAsia"/>
          <w:sz w:val="24"/>
          <w:szCs w:val="24"/>
          <w:lang w:val="en-US"/>
        </w:rPr>
        <w:t>doi</w:t>
      </w:r>
      <w:r w:rsidRPr="00545863">
        <w:rPr>
          <w:rFonts w:ascii="Times New Roman" w:hAnsi="Times New Roman" w:cs="Times New Roman" w:hint="eastAsia"/>
          <w:sz w:val="24"/>
          <w:szCs w:val="24"/>
        </w:rPr>
        <w:t>.</w:t>
      </w:r>
      <w:r w:rsidRPr="00643109">
        <w:rPr>
          <w:rFonts w:ascii="Times New Roman" w:hAnsi="Times New Roman" w:cs="Times New Roman" w:hint="eastAsia"/>
          <w:sz w:val="24"/>
          <w:szCs w:val="24"/>
          <w:lang w:val="en-US"/>
        </w:rPr>
        <w:t>org</w:t>
      </w:r>
      <w:r w:rsidRPr="00545863">
        <w:rPr>
          <w:rFonts w:ascii="Times New Roman" w:hAnsi="Times New Roman" w:cs="Times New Roman" w:hint="eastAsia"/>
          <w:sz w:val="24"/>
          <w:szCs w:val="24"/>
        </w:rPr>
        <w:t>/</w:t>
      </w:r>
      <w:r w:rsidRPr="00545863">
        <w:rPr>
          <w:rFonts w:ascii="Times New Roman" w:hAnsi="Times New Roman" w:cs="Times New Roman"/>
          <w:sz w:val="24"/>
          <w:szCs w:val="24"/>
        </w:rPr>
        <w:t>10.1378/</w:t>
      </w:r>
      <w:r w:rsidRPr="00643109">
        <w:rPr>
          <w:rFonts w:ascii="Times New Roman" w:hAnsi="Times New Roman" w:cs="Times New Roman"/>
          <w:sz w:val="24"/>
          <w:szCs w:val="24"/>
          <w:lang w:val="en-US"/>
        </w:rPr>
        <w:t>chest</w:t>
      </w:r>
      <w:r w:rsidRPr="00545863">
        <w:rPr>
          <w:rFonts w:ascii="Times New Roman" w:hAnsi="Times New Roman" w:cs="Times New Roman"/>
          <w:sz w:val="24"/>
          <w:szCs w:val="24"/>
        </w:rPr>
        <w:t>.120.5.1540.</w:t>
      </w:r>
    </w:p>
    <w:p w14:paraId="4757502C" w14:textId="77777777" w:rsidR="00B706C9" w:rsidRPr="00B706C9" w:rsidRDefault="00B706C9" w:rsidP="00A419DB">
      <w:pPr>
        <w:tabs>
          <w:tab w:val="left" w:pos="786"/>
        </w:tabs>
        <w:suppressAutoHyphens/>
        <w:spacing w:after="60" w:line="360" w:lineRule="auto"/>
        <w:jc w:val="both"/>
        <w:rPr>
          <w:rFonts w:ascii="Times New Roman" w:hAnsi="Times New Roman" w:cs="Times New Roman"/>
          <w:sz w:val="24"/>
          <w:szCs w:val="24"/>
        </w:rPr>
      </w:pPr>
      <w:r w:rsidRPr="00B706C9">
        <w:rPr>
          <w:rFonts w:ascii="Times New Roman" w:hAnsi="Times New Roman" w:cs="Times New Roman"/>
          <w:sz w:val="24"/>
          <w:szCs w:val="24"/>
        </w:rPr>
        <w:t>43. Дроздов Д.В., Макаров Л.М., Баркан В.С. и др. Регистрация электрокардиограммы покоя в 12 общепринятых отведениях взрослым и детям 2023. Методические рекомендации. Российский кардиологический журнал. 2023;28(10):5631. </w:t>
      </w:r>
      <w:hyperlink r:id="rId311" w:tgtFrame="blank" w:history="1">
        <w:r w:rsidRPr="00B706C9">
          <w:rPr>
            <w:rStyle w:val="a6"/>
            <w:rFonts w:ascii="Times New Roman" w:hAnsi="Times New Roman" w:cs="Times New Roman"/>
            <w:sz w:val="24"/>
            <w:szCs w:val="24"/>
          </w:rPr>
          <w:t>https://doi.org/10.15829/1560-4071-2023-5631.</w:t>
        </w:r>
      </w:hyperlink>
    </w:p>
    <w:p w14:paraId="7BAB783B"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545863">
        <w:rPr>
          <w:rFonts w:ascii="Times New Roman" w:hAnsi="Times New Roman" w:cs="Times New Roman" w:hint="eastAsia"/>
          <w:sz w:val="24"/>
          <w:szCs w:val="24"/>
        </w:rPr>
        <w:t xml:space="preserve">44. </w:t>
      </w:r>
      <w:r w:rsidRPr="00643109">
        <w:rPr>
          <w:rFonts w:ascii="Times New Roman" w:hAnsi="Times New Roman" w:cs="Times New Roman" w:hint="eastAsia"/>
          <w:sz w:val="24"/>
          <w:szCs w:val="24"/>
          <w:lang w:val="en-US"/>
        </w:rPr>
        <w:t>FesmireFM</w:t>
      </w:r>
      <w:r w:rsidRPr="00545863">
        <w:rPr>
          <w:rFonts w:ascii="Times New Roman" w:hAnsi="Times New Roman" w:cs="Times New Roman" w:hint="eastAsia"/>
          <w:sz w:val="24"/>
          <w:szCs w:val="24"/>
        </w:rPr>
        <w:t xml:space="preserve">, </w:t>
      </w:r>
      <w:r w:rsidRPr="00643109">
        <w:rPr>
          <w:rFonts w:ascii="Times New Roman" w:hAnsi="Times New Roman" w:cs="Times New Roman" w:hint="eastAsia"/>
          <w:sz w:val="24"/>
          <w:szCs w:val="24"/>
          <w:lang w:val="en-US"/>
        </w:rPr>
        <w:t>PercyRF</w:t>
      </w:r>
      <w:r w:rsidRPr="00545863">
        <w:rPr>
          <w:rFonts w:ascii="Times New Roman" w:hAnsi="Times New Roman" w:cs="Times New Roman" w:hint="eastAsia"/>
          <w:sz w:val="24"/>
          <w:szCs w:val="24"/>
        </w:rPr>
        <w:t xml:space="preserve">, </w:t>
      </w:r>
      <w:r w:rsidRPr="00643109">
        <w:rPr>
          <w:rFonts w:ascii="Times New Roman" w:hAnsi="Times New Roman" w:cs="Times New Roman" w:hint="eastAsia"/>
          <w:sz w:val="24"/>
          <w:szCs w:val="24"/>
          <w:lang w:val="en-US"/>
        </w:rPr>
        <w:t>BardonerJB</w:t>
      </w:r>
      <w:r w:rsidRPr="00545863">
        <w:rPr>
          <w:rFonts w:ascii="Times New Roman" w:hAnsi="Times New Roman" w:cs="Times New Roman" w:hint="eastAsia"/>
          <w:sz w:val="24"/>
          <w:szCs w:val="24"/>
        </w:rPr>
        <w:t xml:space="preserve">, </w:t>
      </w:r>
      <w:r w:rsidRPr="00643109">
        <w:rPr>
          <w:rFonts w:ascii="Times New Roman" w:hAnsi="Times New Roman" w:cs="Times New Roman" w:hint="eastAsia"/>
          <w:sz w:val="24"/>
          <w:szCs w:val="24"/>
          <w:lang w:val="en-US"/>
        </w:rPr>
        <w:t>etal</w:t>
      </w:r>
      <w:r w:rsidRPr="00545863">
        <w:rPr>
          <w:rFonts w:ascii="Times New Roman" w:hAnsi="Times New Roman" w:cs="Times New Roman" w:hint="eastAsia"/>
          <w:sz w:val="24"/>
          <w:szCs w:val="24"/>
        </w:rPr>
        <w:t xml:space="preserve">. </w:t>
      </w:r>
      <w:r w:rsidRPr="00643109">
        <w:rPr>
          <w:rFonts w:ascii="Times New Roman" w:hAnsi="Times New Roman" w:cs="Times New Roman" w:hint="eastAsia"/>
          <w:sz w:val="24"/>
          <w:szCs w:val="24"/>
          <w:lang w:val="en-US"/>
        </w:rPr>
        <w:t>Usefulness of automated serial 12-lead ECG monitoring during the initial emergency department evaluation of patients with chest pain. Ann Emerg Med. 1998;31:3-11.</w:t>
      </w:r>
    </w:p>
    <w:p w14:paraId="7C305DE0"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45. Rouan GW, Lee TH, Cook EF, et al. Clinical characteristics and outcome of acute myocardial infarction in patients with initially normal or nonspecific electrocardiograms (a report from the Multicenter Chest Pain Study). Am J Cardiol. 1989;64:1087-92.</w:t>
      </w:r>
    </w:p>
    <w:p w14:paraId="668E50AF"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46. McCarthy BD, Wong JB, Selker HP. Detecting acute cardiac ischemia in the emergency department: a review of the literature. J Gen Intern Med. 1990;5:365-73.</w:t>
      </w:r>
    </w:p>
    <w:p w14:paraId="7CBA4294"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lastRenderedPageBreak/>
        <w:t>47. Savonitto S, Ardissino D, Granger CB, et al. Prognostic value of the admission electrocardiogram in acute coronary syndromes. JAMA. 1999;281:707-13.</w:t>
      </w:r>
    </w:p>
    <w:p w14:paraId="10993562"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48. Zalenski RJ, Rydman RJ, Sloan EP, et al. Value of posterior and right ventricular leads in comparison to the standard 12-lead electrocardiogram in evaluation of ST-segment elevation in suspected acute myocardial infarction. Am J Cardiol. 1997;79:1579-</w:t>
      </w:r>
      <w:r w:rsidRPr="00643109">
        <w:rPr>
          <w:rFonts w:ascii="Times New Roman" w:hAnsi="Times New Roman" w:cs="Times New Roman"/>
          <w:sz w:val="24"/>
          <w:szCs w:val="24"/>
          <w:lang w:val="en-US"/>
        </w:rPr>
        <w:t>85.</w:t>
      </w:r>
    </w:p>
    <w:p w14:paraId="60A1AFC4"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49. Matetzky S, Freimark D, Feinberg MS, et al. Acute myocardial infarction with isolated ST-segment elevation in posterior chest leads V7-9: "hidden" ST-segment elevations revealing acute posterior infarction. J Am Coll Cardiol. 1999;34:748-53.</w:t>
      </w:r>
    </w:p>
    <w:p w14:paraId="35E0D0C3"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50. Boden WE, Kleiger RE, Gibson RS, et al. Electrocardiographic evolution of posterior acute myocardial infarction: importance of early precordial ST-segment depression. Am J Cardiol. 1987;59:782-7.</w:t>
      </w:r>
    </w:p>
    <w:p w14:paraId="0CB5AB86"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51. Winkler C, Funk M, Schindler DM, et al. Arrhythmias in patients with acute coronary syndrome in the first 24 hours of hospitalization. Heart Lung. 2013;42:422-7. https://doi.org/10.1016/j.hrtlng.2013.07.010.</w:t>
      </w:r>
    </w:p>
    <w:p w14:paraId="3081EFA0"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52. O'Doherty M, Tayler DI, Quinn E, et al. Five hundred patients with myocardial infarction monitored within one hour of symptoms. Br Med J (Clin Res Ed). 1983;286:1405-8. https://doi.org/10.1136/bmj.286.6375.1405.</w:t>
      </w:r>
    </w:p>
    <w:p w14:paraId="03D28C98" w14:textId="77777777" w:rsidR="00643109" w:rsidRPr="00F52FCA" w:rsidRDefault="00643109" w:rsidP="00A419DB">
      <w:pPr>
        <w:tabs>
          <w:tab w:val="left" w:pos="786"/>
        </w:tabs>
        <w:suppressAutoHyphens/>
        <w:spacing w:after="60" w:line="360" w:lineRule="auto"/>
        <w:jc w:val="both"/>
        <w:rPr>
          <w:rFonts w:ascii="Times New Roman" w:hAnsi="Times New Roman" w:cs="Times New Roman"/>
          <w:sz w:val="24"/>
          <w:szCs w:val="24"/>
          <w:lang w:val="fr-FR"/>
        </w:rPr>
      </w:pPr>
      <w:r w:rsidRPr="00F52FCA">
        <w:rPr>
          <w:rFonts w:ascii="Times New Roman" w:hAnsi="Times New Roman" w:cs="Times New Roman" w:hint="eastAsia"/>
          <w:sz w:val="24"/>
          <w:szCs w:val="24"/>
          <w:lang w:val="fr-FR"/>
        </w:rPr>
        <w:t xml:space="preserve">53. Mehta RH, Starr AZ, Lopes RD, et al. </w:t>
      </w:r>
      <w:r w:rsidRPr="00643109">
        <w:rPr>
          <w:rFonts w:ascii="Times New Roman" w:hAnsi="Times New Roman" w:cs="Times New Roman" w:hint="eastAsia"/>
          <w:sz w:val="24"/>
          <w:szCs w:val="24"/>
          <w:lang w:val="en-US"/>
        </w:rPr>
        <w:t xml:space="preserve">Incidence of and outcomes associated with ventricular tachycardia or fibrillation in patients undergoing primary percutaneous coronary intervention. </w:t>
      </w:r>
      <w:r w:rsidRPr="00F52FCA">
        <w:rPr>
          <w:rFonts w:ascii="Times New Roman" w:hAnsi="Times New Roman" w:cs="Times New Roman" w:hint="eastAsia"/>
          <w:sz w:val="24"/>
          <w:szCs w:val="24"/>
          <w:lang w:val="fr-FR"/>
        </w:rPr>
        <w:t>JAMA. 2009;301:1779-89. https://doi.org/10.1001/jama.2009.600.</w:t>
      </w:r>
    </w:p>
    <w:p w14:paraId="3F6850ED"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54. Kalarus Z, Svendsen JH, Capodanno D, et al. </w:t>
      </w:r>
      <w:r w:rsidRPr="00643109">
        <w:rPr>
          <w:rFonts w:ascii="Times New Roman" w:hAnsi="Times New Roman" w:cs="Times New Roman" w:hint="eastAsia"/>
          <w:sz w:val="24"/>
          <w:szCs w:val="24"/>
          <w:lang w:val="en-US"/>
        </w:rPr>
        <w:t>Cardiac arrhythmias in the emergency settings of acute coronary syndrome and revascularization: an European Heart Rhythm Association (EHRA) consensus document, endorsed by the European Association of Percuta</w:t>
      </w:r>
      <w:r w:rsidRPr="00643109">
        <w:rPr>
          <w:rFonts w:ascii="Times New Roman" w:hAnsi="Times New Roman" w:cs="Times New Roman"/>
          <w:sz w:val="24"/>
          <w:szCs w:val="24"/>
          <w:lang w:val="en-US"/>
        </w:rPr>
        <w:t>neous Cardiovascular Interventions (EAPCI), and European Acute Cardiovascular Care Association (ACCA) Europace. 2019;21:1603-4.</w:t>
      </w:r>
    </w:p>
    <w:p w14:paraId="1FF5664C"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55. Keeley EC, Boura JA, Grines CL. Primary angioplasty versus intravenous thrombolytic therapy for acute myocardial infarction: a quantitative review of 23 randomised trials. Lancet. 2003;361:13-20.</w:t>
      </w:r>
    </w:p>
    <w:p w14:paraId="24622F0D"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56. Armstrong PW, Gershlick AH, Goldstein P, et al.; STREAM Investigative Team. Fibrinolysis or primary PCI in ST-segment elevation myocardial infarction. N Engl J Med. 2013;368(15):1379-87.</w:t>
      </w:r>
    </w:p>
    <w:p w14:paraId="65B3DD76"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 xml:space="preserve">57. Funke Küpper AJ, Verheugt FW, Peels CH, et al. Left ventricular thrombus incidence and behavior studied by serial two-dimensional echocardiography in acute anterior myocardial </w:t>
      </w:r>
      <w:r w:rsidRPr="00643109">
        <w:rPr>
          <w:rFonts w:ascii="Times New Roman" w:hAnsi="Times New Roman" w:cs="Times New Roman" w:hint="eastAsia"/>
          <w:sz w:val="24"/>
          <w:szCs w:val="24"/>
          <w:lang w:val="en-US"/>
        </w:rPr>
        <w:lastRenderedPageBreak/>
        <w:t>infarction: left ventricular wall motion, systemic embolism and oral antico</w:t>
      </w:r>
      <w:r w:rsidRPr="00643109">
        <w:rPr>
          <w:rFonts w:ascii="Times New Roman" w:hAnsi="Times New Roman" w:cs="Times New Roman"/>
          <w:sz w:val="24"/>
          <w:szCs w:val="24"/>
          <w:lang w:val="en-US"/>
        </w:rPr>
        <w:t>agulation. J Am Coll Cardiol. 1989;13:1514-20. https://doi.org/10.1016/0735-1097(89)90341-0.</w:t>
      </w:r>
    </w:p>
    <w:p w14:paraId="4043EC9B"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58. Weinsaft JW, Kim J, Medicherla CB, et al. Echocardiographic algorithm for post-myocardial infarction LV thrombus: a gatekeeper for thrombus evaluation by delayed enhancement CMR. JACC Cardiovasc Imaging. 2016;9:505-15. https://doi.org/10.1016/j.jcmg.2</w:t>
      </w:r>
      <w:r w:rsidRPr="00643109">
        <w:rPr>
          <w:rFonts w:ascii="Times New Roman" w:hAnsi="Times New Roman" w:cs="Times New Roman"/>
          <w:sz w:val="24"/>
          <w:szCs w:val="24"/>
          <w:lang w:val="en-US"/>
        </w:rPr>
        <w:t>015.06.017.</w:t>
      </w:r>
    </w:p>
    <w:p w14:paraId="08D8D000"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 xml:space="preserve">59. Lancellotti P, Price S, Edvardsen T, et al. The use of echocardiography in acute cardiovascular care: recommendations of the European Association of Cardiovascular Imaging and the Acute Cardiovascular Care Association. Eur Heart J Cardiovasc Imaging. </w:t>
      </w:r>
      <w:r w:rsidRPr="00643109">
        <w:rPr>
          <w:rFonts w:ascii="Times New Roman" w:hAnsi="Times New Roman" w:cs="Times New Roman"/>
          <w:sz w:val="24"/>
          <w:szCs w:val="24"/>
          <w:lang w:val="en-US"/>
        </w:rPr>
        <w:t>2015;16:119-46. https://doi.org/10.1093/ehjci/jeu210.</w:t>
      </w:r>
    </w:p>
    <w:p w14:paraId="00B053BD" w14:textId="77777777" w:rsidR="00643109" w:rsidRPr="00F6333D" w:rsidRDefault="00B706C9" w:rsidP="00A419DB">
      <w:pPr>
        <w:tabs>
          <w:tab w:val="left" w:pos="786"/>
        </w:tabs>
        <w:suppressAutoHyphens/>
        <w:spacing w:after="60" w:line="360" w:lineRule="auto"/>
        <w:jc w:val="both"/>
        <w:rPr>
          <w:rFonts w:ascii="Times New Roman" w:hAnsi="Times New Roman" w:cs="Times New Roman"/>
          <w:sz w:val="24"/>
          <w:szCs w:val="24"/>
          <w:lang w:val="en-US"/>
        </w:rPr>
      </w:pPr>
      <w:r w:rsidRPr="00B706C9">
        <w:rPr>
          <w:rFonts w:ascii="Times New Roman" w:hAnsi="Times New Roman" w:cs="Times New Roman"/>
          <w:sz w:val="24"/>
          <w:szCs w:val="24"/>
        </w:rPr>
        <w:t>60. Мареев Ю. В., Джиоева О. Н., Зоря О. Т. и др. Фокусное ультразвуковое исследование в практике врача-кардиолога. Российский согласительный документ. Кардиология. 2021; 61(11):4-23.</w:t>
      </w:r>
      <w:r w:rsidR="00643109" w:rsidRPr="00643109">
        <w:rPr>
          <w:rFonts w:ascii="Times New Roman" w:hAnsi="Times New Roman" w:cs="Times New Roman" w:hint="eastAsia"/>
          <w:sz w:val="24"/>
          <w:szCs w:val="24"/>
        </w:rPr>
        <w:t xml:space="preserve">61. </w:t>
      </w:r>
      <w:r w:rsidR="00643109" w:rsidRPr="00643109">
        <w:rPr>
          <w:rFonts w:ascii="Times New Roman" w:hAnsi="Times New Roman" w:cs="Times New Roman" w:hint="eastAsia"/>
          <w:sz w:val="24"/>
          <w:szCs w:val="24"/>
          <w:lang w:val="en-US"/>
        </w:rPr>
        <w:t>KimHW</w:t>
      </w:r>
      <w:r w:rsidR="00643109" w:rsidRPr="00643109">
        <w:rPr>
          <w:rFonts w:ascii="Times New Roman" w:hAnsi="Times New Roman" w:cs="Times New Roman" w:hint="eastAsia"/>
          <w:sz w:val="24"/>
          <w:szCs w:val="24"/>
        </w:rPr>
        <w:t xml:space="preserve">, </w:t>
      </w:r>
      <w:r w:rsidR="00643109" w:rsidRPr="00643109">
        <w:rPr>
          <w:rFonts w:ascii="Times New Roman" w:hAnsi="Times New Roman" w:cs="Times New Roman" w:hint="eastAsia"/>
          <w:sz w:val="24"/>
          <w:szCs w:val="24"/>
          <w:lang w:val="en-US"/>
        </w:rPr>
        <w:t>Faraneh</w:t>
      </w:r>
      <w:r w:rsidR="00643109" w:rsidRPr="00643109">
        <w:rPr>
          <w:rFonts w:ascii="Times New Roman" w:hAnsi="Times New Roman" w:cs="Times New Roman" w:hint="eastAsia"/>
          <w:sz w:val="24"/>
          <w:szCs w:val="24"/>
        </w:rPr>
        <w:t>-</w:t>
      </w:r>
      <w:r w:rsidR="00643109" w:rsidRPr="00643109">
        <w:rPr>
          <w:rFonts w:ascii="Times New Roman" w:hAnsi="Times New Roman" w:cs="Times New Roman" w:hint="eastAsia"/>
          <w:sz w:val="24"/>
          <w:szCs w:val="24"/>
          <w:lang w:val="en-US"/>
        </w:rPr>
        <w:t>FarA</w:t>
      </w:r>
      <w:r w:rsidR="00643109" w:rsidRPr="00643109">
        <w:rPr>
          <w:rFonts w:ascii="Times New Roman" w:hAnsi="Times New Roman" w:cs="Times New Roman" w:hint="eastAsia"/>
          <w:sz w:val="24"/>
          <w:szCs w:val="24"/>
        </w:rPr>
        <w:t xml:space="preserve">, </w:t>
      </w:r>
      <w:r w:rsidR="00643109" w:rsidRPr="00643109">
        <w:rPr>
          <w:rFonts w:ascii="Times New Roman" w:hAnsi="Times New Roman" w:cs="Times New Roman" w:hint="eastAsia"/>
          <w:sz w:val="24"/>
          <w:szCs w:val="24"/>
          <w:lang w:val="en-US"/>
        </w:rPr>
        <w:t>KimRJ</w:t>
      </w:r>
      <w:r w:rsidR="00643109" w:rsidRPr="00643109">
        <w:rPr>
          <w:rFonts w:ascii="Times New Roman" w:hAnsi="Times New Roman" w:cs="Times New Roman" w:hint="eastAsia"/>
          <w:sz w:val="24"/>
          <w:szCs w:val="24"/>
        </w:rPr>
        <w:t xml:space="preserve">. </w:t>
      </w:r>
      <w:r w:rsidR="00643109" w:rsidRPr="00643109">
        <w:rPr>
          <w:rFonts w:ascii="Times New Roman" w:hAnsi="Times New Roman" w:cs="Times New Roman" w:hint="eastAsia"/>
          <w:sz w:val="24"/>
          <w:szCs w:val="24"/>
          <w:lang w:val="en-US"/>
        </w:rPr>
        <w:t>Cardiovascular</w:t>
      </w:r>
      <w:r w:rsidR="00643109" w:rsidRPr="00545863">
        <w:rPr>
          <w:rFonts w:ascii="Times New Roman" w:hAnsi="Times New Roman" w:cs="Times New Roman" w:hint="eastAsia"/>
          <w:sz w:val="24"/>
          <w:szCs w:val="24"/>
        </w:rPr>
        <w:t xml:space="preserve"> </w:t>
      </w:r>
      <w:r w:rsidR="00643109" w:rsidRPr="00643109">
        <w:rPr>
          <w:rFonts w:ascii="Times New Roman" w:hAnsi="Times New Roman" w:cs="Times New Roman" w:hint="eastAsia"/>
          <w:sz w:val="24"/>
          <w:szCs w:val="24"/>
          <w:lang w:val="en-US"/>
        </w:rPr>
        <w:t>magnetic</w:t>
      </w:r>
      <w:r w:rsidR="00643109" w:rsidRPr="00545863">
        <w:rPr>
          <w:rFonts w:ascii="Times New Roman" w:hAnsi="Times New Roman" w:cs="Times New Roman" w:hint="eastAsia"/>
          <w:sz w:val="24"/>
          <w:szCs w:val="24"/>
        </w:rPr>
        <w:t xml:space="preserve"> </w:t>
      </w:r>
      <w:r w:rsidR="00643109" w:rsidRPr="00643109">
        <w:rPr>
          <w:rFonts w:ascii="Times New Roman" w:hAnsi="Times New Roman" w:cs="Times New Roman" w:hint="eastAsia"/>
          <w:sz w:val="24"/>
          <w:szCs w:val="24"/>
          <w:lang w:val="en-US"/>
        </w:rPr>
        <w:t>resonance</w:t>
      </w:r>
      <w:r w:rsidR="00643109" w:rsidRPr="00545863">
        <w:rPr>
          <w:rFonts w:ascii="Times New Roman" w:hAnsi="Times New Roman" w:cs="Times New Roman" w:hint="eastAsia"/>
          <w:sz w:val="24"/>
          <w:szCs w:val="24"/>
        </w:rPr>
        <w:t xml:space="preserve"> </w:t>
      </w:r>
      <w:r w:rsidR="00643109" w:rsidRPr="00643109">
        <w:rPr>
          <w:rFonts w:ascii="Times New Roman" w:hAnsi="Times New Roman" w:cs="Times New Roman" w:hint="eastAsia"/>
          <w:sz w:val="24"/>
          <w:szCs w:val="24"/>
          <w:lang w:val="en-US"/>
        </w:rPr>
        <w:t>in</w:t>
      </w:r>
      <w:r w:rsidR="00643109" w:rsidRPr="00545863">
        <w:rPr>
          <w:rFonts w:ascii="Times New Roman" w:hAnsi="Times New Roman" w:cs="Times New Roman" w:hint="eastAsia"/>
          <w:sz w:val="24"/>
          <w:szCs w:val="24"/>
        </w:rPr>
        <w:t xml:space="preserve"> </w:t>
      </w:r>
      <w:r w:rsidR="00643109" w:rsidRPr="00643109">
        <w:rPr>
          <w:rFonts w:ascii="Times New Roman" w:hAnsi="Times New Roman" w:cs="Times New Roman" w:hint="eastAsia"/>
          <w:sz w:val="24"/>
          <w:szCs w:val="24"/>
          <w:lang w:val="en-US"/>
        </w:rPr>
        <w:t>patients</w:t>
      </w:r>
      <w:r w:rsidR="00643109" w:rsidRPr="00545863">
        <w:rPr>
          <w:rFonts w:ascii="Times New Roman" w:hAnsi="Times New Roman" w:cs="Times New Roman" w:hint="eastAsia"/>
          <w:sz w:val="24"/>
          <w:szCs w:val="24"/>
        </w:rPr>
        <w:t xml:space="preserve"> </w:t>
      </w:r>
      <w:r w:rsidR="00643109" w:rsidRPr="00643109">
        <w:rPr>
          <w:rFonts w:ascii="Times New Roman" w:hAnsi="Times New Roman" w:cs="Times New Roman" w:hint="eastAsia"/>
          <w:sz w:val="24"/>
          <w:szCs w:val="24"/>
          <w:lang w:val="en-US"/>
        </w:rPr>
        <w:t>with</w:t>
      </w:r>
      <w:r w:rsidR="00643109" w:rsidRPr="00545863">
        <w:rPr>
          <w:rFonts w:ascii="Times New Roman" w:hAnsi="Times New Roman" w:cs="Times New Roman" w:hint="eastAsia"/>
          <w:sz w:val="24"/>
          <w:szCs w:val="24"/>
        </w:rPr>
        <w:t xml:space="preserve"> </w:t>
      </w:r>
      <w:r w:rsidR="00643109" w:rsidRPr="00643109">
        <w:rPr>
          <w:rFonts w:ascii="Times New Roman" w:hAnsi="Times New Roman" w:cs="Times New Roman" w:hint="eastAsia"/>
          <w:sz w:val="24"/>
          <w:szCs w:val="24"/>
          <w:lang w:val="en-US"/>
        </w:rPr>
        <w:t>myocardial</w:t>
      </w:r>
      <w:r w:rsidR="00643109" w:rsidRPr="00545863">
        <w:rPr>
          <w:rFonts w:ascii="Times New Roman" w:hAnsi="Times New Roman" w:cs="Times New Roman" w:hint="eastAsia"/>
          <w:sz w:val="24"/>
          <w:szCs w:val="24"/>
        </w:rPr>
        <w:t xml:space="preserve"> </w:t>
      </w:r>
      <w:r w:rsidR="00643109" w:rsidRPr="00643109">
        <w:rPr>
          <w:rFonts w:ascii="Times New Roman" w:hAnsi="Times New Roman" w:cs="Times New Roman" w:hint="eastAsia"/>
          <w:sz w:val="24"/>
          <w:szCs w:val="24"/>
          <w:lang w:val="en-US"/>
        </w:rPr>
        <w:t>infarction</w:t>
      </w:r>
      <w:r w:rsidR="00643109" w:rsidRPr="00545863">
        <w:rPr>
          <w:rFonts w:ascii="Times New Roman" w:hAnsi="Times New Roman" w:cs="Times New Roman" w:hint="eastAsia"/>
          <w:sz w:val="24"/>
          <w:szCs w:val="24"/>
        </w:rPr>
        <w:t xml:space="preserve">. </w:t>
      </w:r>
      <w:r w:rsidR="00643109" w:rsidRPr="00643109">
        <w:rPr>
          <w:rFonts w:ascii="Times New Roman" w:hAnsi="Times New Roman" w:cs="Times New Roman" w:hint="eastAsia"/>
          <w:sz w:val="24"/>
          <w:szCs w:val="24"/>
          <w:lang w:val="en-US"/>
        </w:rPr>
        <w:t>J Am Coll Cardiol. 2009;55:1-16.</w:t>
      </w:r>
    </w:p>
    <w:p w14:paraId="078934EF" w14:textId="77777777" w:rsidR="00643109" w:rsidRPr="00F6333D"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62. Beek AM, van Rossum AC. Cardiovascular magnetic resonance imaging in patients with acute myocardial infarction. Heart. 2010;96:237-43.</w:t>
      </w:r>
    </w:p>
    <w:p w14:paraId="35C05BF0" w14:textId="77777777" w:rsidR="00643109" w:rsidRPr="00F52FCA" w:rsidRDefault="00643109" w:rsidP="00A419DB">
      <w:pPr>
        <w:tabs>
          <w:tab w:val="left" w:pos="786"/>
        </w:tabs>
        <w:suppressAutoHyphens/>
        <w:spacing w:after="60" w:line="360" w:lineRule="auto"/>
        <w:jc w:val="both"/>
        <w:rPr>
          <w:rFonts w:ascii="Times New Roman" w:hAnsi="Times New Roman" w:cs="Times New Roman"/>
          <w:sz w:val="24"/>
          <w:szCs w:val="24"/>
          <w:lang w:val="fr-FR"/>
        </w:rPr>
      </w:pPr>
      <w:r w:rsidRPr="00643109">
        <w:rPr>
          <w:rFonts w:ascii="Times New Roman" w:hAnsi="Times New Roman" w:cs="Times New Roman" w:hint="eastAsia"/>
          <w:sz w:val="24"/>
          <w:szCs w:val="24"/>
          <w:lang w:val="en-US"/>
        </w:rPr>
        <w:t xml:space="preserve">63. de Waha S, Eitel I, Desch S, et al. Prognosis after ST-elevation myocardial infarction: a study on cardiac magnetic resonance imaging versus clinical routine. </w:t>
      </w:r>
      <w:r w:rsidRPr="00F52FCA">
        <w:rPr>
          <w:rFonts w:ascii="Times New Roman" w:hAnsi="Times New Roman" w:cs="Times New Roman" w:hint="eastAsia"/>
          <w:sz w:val="24"/>
          <w:szCs w:val="24"/>
          <w:lang w:val="fr-FR"/>
        </w:rPr>
        <w:t>Trials. 2014;15:249. https://doi.org/10.1186/1745-6215-15-249.</w:t>
      </w:r>
    </w:p>
    <w:p w14:paraId="2F93E47C"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64. Larose E, Côté J, Rodés-Cabau J, et al. </w:t>
      </w:r>
      <w:r w:rsidRPr="00643109">
        <w:rPr>
          <w:rFonts w:ascii="Times New Roman" w:hAnsi="Times New Roman" w:cs="Times New Roman" w:hint="eastAsia"/>
          <w:sz w:val="24"/>
          <w:szCs w:val="24"/>
          <w:lang w:val="en-US"/>
        </w:rPr>
        <w:t>Contrast-enhanced cardiovascular magnetic resonance in the hyperacute phase of ST-elevation myocardial infarction. Int J Cardiovasc Imaging. 2009;25:519-27. https://doi.org/10.1007/s10554-009-9451-4.</w:t>
      </w:r>
    </w:p>
    <w:p w14:paraId="57B1468E"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65. Stiermaier T, Jobs A, de Waha S, et al. Optimized prognosis assessment in ST-segmentelevation myocardial infarction using a cardiac magnetic resonance imaging risk score. Circ Cardiovasc Imaging. 2017;10:e006774. https://doi.org/10.1161/circimaging.11</w:t>
      </w:r>
      <w:r w:rsidRPr="00643109">
        <w:rPr>
          <w:rFonts w:ascii="Times New Roman" w:hAnsi="Times New Roman" w:cs="Times New Roman"/>
          <w:sz w:val="24"/>
          <w:szCs w:val="24"/>
          <w:lang w:val="en-US"/>
        </w:rPr>
        <w:t>7.006774.</w:t>
      </w:r>
    </w:p>
    <w:p w14:paraId="46ECA9CD"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66. de Waha S, Desch S, Eitel I, et al. Impact of early vs. late microvascular obstruction assessed by magnetic resonance imaging on long-term outcome after ST-elevation myocardial infarction: a comparison with traditional prognostic markers. Eur Heart J.</w:t>
      </w:r>
      <w:r w:rsidRPr="00643109">
        <w:rPr>
          <w:rFonts w:ascii="Times New Roman" w:hAnsi="Times New Roman" w:cs="Times New Roman"/>
          <w:sz w:val="24"/>
          <w:szCs w:val="24"/>
          <w:lang w:val="en-US"/>
        </w:rPr>
        <w:t>2010;31:2660-8. https://doi.org/10.1093/eurheartj/ehq247.</w:t>
      </w:r>
    </w:p>
    <w:p w14:paraId="003AECC0"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67. van Kranenburg M, Magro M, Thiele H, et al. Prognostic value of microvascular obstruction and infarct size, as measured by CMR in STEMI patients. JACC Cardiovasc Imaging. 2014;7:930-9. https://doi.org/10.1016/j.jcmg.2014.05.010.</w:t>
      </w:r>
    </w:p>
    <w:p w14:paraId="6F993BF7"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 xml:space="preserve">68. Bulluck H, Chan MHH, Paradies V, et al. Incidence and predictors of left ventricular thrombus by cardiovascular magnetic resonance in acute ST-segment elevation myocardial infarction </w:t>
      </w:r>
      <w:r w:rsidRPr="00643109">
        <w:rPr>
          <w:rFonts w:ascii="Times New Roman" w:hAnsi="Times New Roman" w:cs="Times New Roman" w:hint="eastAsia"/>
          <w:sz w:val="24"/>
          <w:szCs w:val="24"/>
          <w:lang w:val="en-US"/>
        </w:rPr>
        <w:lastRenderedPageBreak/>
        <w:t>treated by primary percutaneous coronary intervention: a metaanalysi</w:t>
      </w:r>
      <w:r w:rsidRPr="00643109">
        <w:rPr>
          <w:rFonts w:ascii="Times New Roman" w:hAnsi="Times New Roman" w:cs="Times New Roman"/>
          <w:sz w:val="24"/>
          <w:szCs w:val="24"/>
          <w:lang w:val="en-US"/>
        </w:rPr>
        <w:t>s. J Cardiovasc Magn Reson. 2018;20:72. https://doi.org/10.1186/s12968-018-0494-3.</w:t>
      </w:r>
    </w:p>
    <w:p w14:paraId="649E781A"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69. Velangi PS, Choo C, Chen KA, et al. Long-term embolic outcomes after detection of left ventricular thrombus by late gadolinium enhancement cardiovascular magnetic resonance imaging: a matched cohort study. Circ Cardiovasc Imaging. 2019;12:e009723. htt</w:t>
      </w:r>
      <w:r w:rsidRPr="00643109">
        <w:rPr>
          <w:rFonts w:ascii="Times New Roman" w:hAnsi="Times New Roman" w:cs="Times New Roman"/>
          <w:sz w:val="24"/>
          <w:szCs w:val="24"/>
          <w:lang w:val="en-US"/>
        </w:rPr>
        <w:t>ps://doi.org/10.1161/circimaging.119.009723.</w:t>
      </w:r>
    </w:p>
    <w:p w14:paraId="2E7271F6"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70. Dedic A, Lubbers MM, Schaap J, et al. Coronary CT angiography for suspected ACS in the era of high-sensitivity troponins: randomized multicenter study. J Am Coll Cardiol. 2016;67:16-26. https://doi.org/10.1016/j.jacc.2015.10.045.</w:t>
      </w:r>
    </w:p>
    <w:p w14:paraId="778AAF26"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71. Hoffmann U, Truong QA, Schoenfeld DA, et al. Coronary CT angiography versus standard evaluation in acute chest pain. N Engl J Med. 2012;367:299-308. https://doi.org/10.1056/NEJMoa1201161.</w:t>
      </w:r>
    </w:p>
    <w:p w14:paraId="1E6E3B45"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72. Gray AJ, Roobottom C, Smith JE, et al. Early computed tomography coronary angiography in patients with suspected acute coronary syndrome: randomised controlled trial. BMJ. 2021;374:n2106. https://doi.org/10.1136/bmj.n2106.</w:t>
      </w:r>
    </w:p>
    <w:p w14:paraId="05E4804A" w14:textId="77777777" w:rsidR="00643109" w:rsidRPr="00643109" w:rsidRDefault="00B91584" w:rsidP="00A419DB">
      <w:pPr>
        <w:tabs>
          <w:tab w:val="left" w:pos="786"/>
        </w:tabs>
        <w:suppressAutoHyphens/>
        <w:spacing w:after="60" w:line="360" w:lineRule="auto"/>
        <w:jc w:val="both"/>
        <w:rPr>
          <w:rFonts w:ascii="Times New Roman" w:hAnsi="Times New Roman" w:cs="Times New Roman"/>
          <w:sz w:val="24"/>
          <w:szCs w:val="24"/>
          <w:lang w:val="en-US"/>
        </w:rPr>
      </w:pPr>
      <w:r w:rsidRPr="007B0489">
        <w:rPr>
          <w:rFonts w:ascii="Times New Roman" w:hAnsi="Times New Roman" w:cs="Times New Roman"/>
          <w:sz w:val="24"/>
          <w:szCs w:val="24"/>
          <w:lang w:val="en-US"/>
        </w:rPr>
        <w:t>7</w:t>
      </w:r>
      <w:r w:rsidR="00643109" w:rsidRPr="00643109">
        <w:rPr>
          <w:rFonts w:ascii="Times New Roman" w:hAnsi="Times New Roman" w:cs="Times New Roman" w:hint="eastAsia"/>
          <w:sz w:val="24"/>
          <w:szCs w:val="24"/>
          <w:lang w:val="en-US"/>
        </w:rPr>
        <w:t>3. Lee KK, Bularga A, O'Brien R, et al. Troponin-guided coronary computed tomographic angiography after exclusion of myocardial infarction. J Am Coll Cardiol. 2021;78:1407-17. https://doi.org/10.1016/j.jacc.2021.07.055.</w:t>
      </w:r>
    </w:p>
    <w:p w14:paraId="2A1A4F88"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74. Linde JJ, Hove JD, Sorgaard M, et al. Long-term clinical impact of coronary CT angiography in patients with recent acute-onset chest pain: the randomized controlled CATCH trial. JACC Cardiovasc Imaging. 2015;8:1404-13. https://doi.org/10.1016/j.jcmg.2</w:t>
      </w:r>
      <w:r w:rsidRPr="00643109">
        <w:rPr>
          <w:rFonts w:ascii="Times New Roman" w:hAnsi="Times New Roman" w:cs="Times New Roman"/>
          <w:sz w:val="24"/>
          <w:szCs w:val="24"/>
          <w:lang w:val="en-US"/>
        </w:rPr>
        <w:t>015.07.015.</w:t>
      </w:r>
    </w:p>
    <w:p w14:paraId="4E69D42B"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75. Litt HI, Gatsonis C, Snyder B, et al. CT angiography for safe discharge of patients with possible acute coronary syndromes. N Engl J Med. 2012;366:1393-403. https://doi.org/10.1056/NEJMoa1201163.</w:t>
      </w:r>
    </w:p>
    <w:p w14:paraId="4CFD6590"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76. Hulten E, Pickett C, Bittencourt MS, et al. Outcomes after coronary computed tomography angiography in the emergency department: a systematic review and meta-analysis of randomized, controlled trials. J Am Coll Cardiol. 2013;61:880-92. https://doi.org</w:t>
      </w:r>
      <w:r w:rsidRPr="00643109">
        <w:rPr>
          <w:rFonts w:ascii="Times New Roman" w:hAnsi="Times New Roman" w:cs="Times New Roman"/>
          <w:sz w:val="24"/>
          <w:szCs w:val="24"/>
          <w:lang w:val="en-US"/>
        </w:rPr>
        <w:t>/10.1016/j.jacc.2012.11.061.</w:t>
      </w:r>
    </w:p>
    <w:p w14:paraId="302E2D64"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77. Nabi F, Kassi M, Muhyieddeen K, et al. Optimizing evaluation of patients with low-tointermediate-risk acute chest pain: a randomized study comparing stress myocardial perfusion tomography incorporating stress-only imaging versus cardiac CT. J Nucl Med</w:t>
      </w:r>
      <w:r w:rsidRPr="00643109">
        <w:rPr>
          <w:rFonts w:ascii="Times New Roman" w:hAnsi="Times New Roman" w:cs="Times New Roman"/>
          <w:sz w:val="24"/>
          <w:szCs w:val="24"/>
          <w:lang w:val="en-US"/>
        </w:rPr>
        <w:t>. 2016;57:378-84. https://doi.org/10.2967/jnumed.115.166595.</w:t>
      </w:r>
    </w:p>
    <w:p w14:paraId="76901444"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lastRenderedPageBreak/>
        <w:t>78. Çitaku H, Miftari R, Stubljar D, Krasniqi X. Size of Acute Myocardial Infarction Correlates with Earlier Time of Initiation of Reperfusion Therapy with Cardiac Perfusion Scintigraphy: A National Single-Center Study. Med Sci Monit Basic Res. 2021;27:e9</w:t>
      </w:r>
      <w:r w:rsidRPr="00643109">
        <w:rPr>
          <w:rFonts w:ascii="Times New Roman" w:hAnsi="Times New Roman" w:cs="Times New Roman"/>
          <w:sz w:val="24"/>
          <w:szCs w:val="24"/>
          <w:lang w:val="en-US"/>
        </w:rPr>
        <w:t>33214.</w:t>
      </w:r>
    </w:p>
    <w:p w14:paraId="106664B9" w14:textId="77777777" w:rsidR="00643109" w:rsidRPr="00F52FCA" w:rsidRDefault="00643109" w:rsidP="00A419DB">
      <w:pPr>
        <w:tabs>
          <w:tab w:val="left" w:pos="786"/>
        </w:tabs>
        <w:suppressAutoHyphens/>
        <w:spacing w:after="60" w:line="360" w:lineRule="auto"/>
        <w:jc w:val="both"/>
        <w:rPr>
          <w:rFonts w:ascii="Times New Roman" w:hAnsi="Times New Roman" w:cs="Times New Roman"/>
          <w:sz w:val="24"/>
          <w:szCs w:val="24"/>
          <w:lang w:val="fr-FR"/>
        </w:rPr>
      </w:pPr>
      <w:r w:rsidRPr="00643109">
        <w:rPr>
          <w:rFonts w:ascii="Times New Roman" w:hAnsi="Times New Roman" w:cs="Times New Roman" w:hint="eastAsia"/>
          <w:sz w:val="24"/>
          <w:szCs w:val="24"/>
          <w:lang w:val="en-US"/>
        </w:rPr>
        <w:t xml:space="preserve">79. James O, Borges-Neto S. Scintigraphic outlook of patients and regions with myocardial necrosis at myocardial perfusion scintigraphy. J Nucl Cardiol. 2018;25(2):506-7. https://doi.org/10.1007/s12350-017-0796-0. Erratum in: J Nucl Cardiol. </w:t>
      </w:r>
      <w:r w:rsidRPr="00F52FCA">
        <w:rPr>
          <w:rFonts w:ascii="Times New Roman" w:hAnsi="Times New Roman" w:cs="Times New Roman" w:hint="eastAsia"/>
          <w:sz w:val="24"/>
          <w:szCs w:val="24"/>
          <w:lang w:val="fr-FR"/>
        </w:rPr>
        <w:t>2018;25(2):50</w:t>
      </w:r>
      <w:r w:rsidRPr="00F52FCA">
        <w:rPr>
          <w:rFonts w:ascii="Times New Roman" w:hAnsi="Times New Roman" w:cs="Times New Roman"/>
          <w:sz w:val="24"/>
          <w:szCs w:val="24"/>
          <w:lang w:val="fr-FR"/>
        </w:rPr>
        <w:t>8. https://doi.org/10.1007/s12350-017-0861-8.</w:t>
      </w:r>
    </w:p>
    <w:p w14:paraId="4332D5F6"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80. Lim TW, Karim TS, Fernando M, et al. </w:t>
      </w:r>
      <w:r w:rsidRPr="00643109">
        <w:rPr>
          <w:rFonts w:ascii="Times New Roman" w:hAnsi="Times New Roman" w:cs="Times New Roman" w:hint="eastAsia"/>
          <w:sz w:val="24"/>
          <w:szCs w:val="24"/>
          <w:lang w:val="en-US"/>
        </w:rPr>
        <w:t>Utility of Zwolle Risk Score in Guiding Low-Risk STEMI Discharge. Heart Lung Circ. 2021;30(4):489-95. https://doi.org/10.1016/j.hlc.2020.08.026.</w:t>
      </w:r>
    </w:p>
    <w:p w14:paraId="10472685"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81. Parr CJ, Avery L, Hiebert B, et al. Using the Zwolle Risk Score at Time of Coronary Angiography to Triage Patients With ST-Elevation Myocardial Infarction Following Primary Percutaneous Coronary Intervention or Thrombolysis. J Am Heart Assoc. 2022; 11</w:t>
      </w:r>
      <w:r w:rsidRPr="00643109">
        <w:rPr>
          <w:rFonts w:ascii="Times New Roman" w:hAnsi="Times New Roman" w:cs="Times New Roman"/>
          <w:sz w:val="24"/>
          <w:szCs w:val="24"/>
          <w:lang w:val="en-US"/>
        </w:rPr>
        <w:t>(4):e024759. https://doi.org/10.1161/JAHA.121.024759.</w:t>
      </w:r>
    </w:p>
    <w:p w14:paraId="149D823A"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82. Williams C, Fordyce CB, Cairns JA, et al. Temporal Trends in Reperfusion Delivery and Clinical Outcomes Following Implementation of a Regional STEMI Protocol: A 12-Year Perspective. CJC Open. 2022;5(3):181-90. https://doi.org/10.1016/j.cjco.2022.11.01</w:t>
      </w:r>
      <w:r w:rsidRPr="00643109">
        <w:rPr>
          <w:rFonts w:ascii="Times New Roman" w:hAnsi="Times New Roman" w:cs="Times New Roman"/>
          <w:sz w:val="24"/>
          <w:szCs w:val="24"/>
          <w:lang w:val="en-US"/>
        </w:rPr>
        <w:t>5.</w:t>
      </w:r>
    </w:p>
    <w:p w14:paraId="7999B09A"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83. Jortveit J, Pripp AH, Halvorsen S. Outcomes after delayed primary percutaneous coronary intervention vs. pharmaco-invasive strategy in ST-segment elevation myocardial infarction in Norway. Eur Heart J Cardiovasc Pharmacother. 2022;8(5):442-51. https:/</w:t>
      </w:r>
      <w:r w:rsidRPr="00643109">
        <w:rPr>
          <w:rFonts w:ascii="Times New Roman" w:hAnsi="Times New Roman" w:cs="Times New Roman"/>
          <w:sz w:val="24"/>
          <w:szCs w:val="24"/>
          <w:lang w:val="en-US"/>
        </w:rPr>
        <w:t>/doi.org/10.1093/ehjcvp/pvab041.</w:t>
      </w:r>
    </w:p>
    <w:p w14:paraId="1818F35E"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84. Bainey KR, Armstrong PW, Zheng Y, et al. Pharmacoinvasive Strategy Versus Primary Percutaneous Coronary Intervention in ST-Elevation Myocardial Infarction in Clinical Practice: Insights From the Vital Heart Response Registry. Circ Cardiovasc Interv. 2</w:t>
      </w:r>
      <w:r w:rsidRPr="00643109">
        <w:rPr>
          <w:rFonts w:ascii="Times New Roman" w:hAnsi="Times New Roman" w:cs="Times New Roman"/>
          <w:sz w:val="24"/>
          <w:szCs w:val="24"/>
          <w:lang w:val="en-US"/>
        </w:rPr>
        <w:t>019;12(10):e008059. https://doi.org/10.1161/CIRCINTERVENTIONS.119.008059.</w:t>
      </w:r>
    </w:p>
    <w:p w14:paraId="103D1486"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85. Boersma E, Maas AC, Deckers JW, Simoons ML. Early thrombolytic treatment in acute myocardial infarction: reappraisal of the golden hour. Lancet. 1996;348:771-5. https://doi.org/10.1016/s0140-6736(96)02514-7.</w:t>
      </w:r>
    </w:p>
    <w:p w14:paraId="12491513"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86. Boersma E. Does time matter? A pooled analysis of randomized clinical trials comparing primary percutaneous coronary intervention and in-hospital fibrinolysis in acute myocardial infarction patients. Eur Heart J. 2006;27:779-88. https://doi.org/10.109</w:t>
      </w:r>
      <w:r w:rsidRPr="00643109">
        <w:rPr>
          <w:rFonts w:ascii="Times New Roman" w:hAnsi="Times New Roman" w:cs="Times New Roman"/>
          <w:sz w:val="24"/>
          <w:szCs w:val="24"/>
          <w:lang w:val="en-US"/>
        </w:rPr>
        <w:t>3/eurheartj/ehi810.</w:t>
      </w:r>
    </w:p>
    <w:p w14:paraId="18BA3CD1"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lastRenderedPageBreak/>
        <w:t>87. Hochman JS, Lamas GA, Buller CE, et al., Occluded Artery Trial Investigators. Coronary intervention for persistent occlusion after myocardial infarction. N Engl J Med. 2006;355(23):2395-407.</w:t>
      </w:r>
    </w:p>
    <w:p w14:paraId="3BBBD945"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88. Schomig A, Mehilli J, Antoniucci D, et al. </w:t>
      </w:r>
      <w:r w:rsidRPr="00643109">
        <w:rPr>
          <w:rFonts w:ascii="Times New Roman" w:hAnsi="Times New Roman" w:cs="Times New Roman" w:hint="eastAsia"/>
          <w:sz w:val="24"/>
          <w:szCs w:val="24"/>
          <w:lang w:val="en-US"/>
        </w:rPr>
        <w:t>Beyond 12 hours reperfusion alternative evaluation trial investigators. Mechanical reperfusion in patients with acute myocardial infarction presenting more than 12 hours from symptom onset: a randomized contr</w:t>
      </w:r>
      <w:r w:rsidRPr="00643109">
        <w:rPr>
          <w:rFonts w:ascii="Times New Roman" w:hAnsi="Times New Roman" w:cs="Times New Roman"/>
          <w:sz w:val="24"/>
          <w:szCs w:val="24"/>
          <w:lang w:val="en-US"/>
        </w:rPr>
        <w:t>olled trial. JAMA. 2005;293(23):2865-72.</w:t>
      </w:r>
    </w:p>
    <w:p w14:paraId="308B0083"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89. Nadrepepa G, Kastrati A, Mehilli J, et al. Mechanical reperfusion and long-term mortality in patients with acute myocardial infarction presenting 12 to 48 hours from onset of symptoms. JAMA. 2009;301(5):487-8.</w:t>
      </w:r>
    </w:p>
    <w:p w14:paraId="5F9F7043"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545863">
        <w:rPr>
          <w:rFonts w:ascii="Times New Roman" w:hAnsi="Times New Roman" w:cs="Times New Roman" w:hint="eastAsia"/>
          <w:sz w:val="24"/>
          <w:szCs w:val="24"/>
          <w:lang w:val="en-US"/>
        </w:rPr>
        <w:t xml:space="preserve">90. Bouisset F, Gerbaud E, Bataille V, et al. </w:t>
      </w:r>
      <w:r w:rsidRPr="00643109">
        <w:rPr>
          <w:rFonts w:ascii="Times New Roman" w:hAnsi="Times New Roman" w:cs="Times New Roman" w:hint="eastAsia"/>
          <w:sz w:val="24"/>
          <w:szCs w:val="24"/>
          <w:lang w:val="en-US"/>
        </w:rPr>
        <w:t>Percutaneous myocardial revascularization in late-presenting patients with STEMI. J Am Coll Cardiol. 2021;78:1291-305. https://doi.org/10.1016/j.jacc.2021.07.039.</w:t>
      </w:r>
    </w:p>
    <w:p w14:paraId="02A2AFE8"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91. Busk M, Kaltoft A, Nielsen SS, et al. Infarct size and myocardial salvage after primary angioplasty in patients presenting with symptoms for &lt;12 h vs. 12-72 h. Eur Heart J. 2009;30:1322-30. https://doi.org/10.1093/eurheartj/ehp113.</w:t>
      </w:r>
    </w:p>
    <w:p w14:paraId="36430A88"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92. Gierlotka M, Gasior M, Wilczek K, et al. Reperfusion by primary percutaneous coronary intervention in patients with ST-segment elevation myocardial infarction within 12 to 24 hours of the onset of symptoms (from a prospective national observational st</w:t>
      </w:r>
      <w:r w:rsidRPr="00643109">
        <w:rPr>
          <w:rFonts w:ascii="Times New Roman" w:hAnsi="Times New Roman" w:cs="Times New Roman"/>
          <w:sz w:val="24"/>
          <w:szCs w:val="24"/>
          <w:lang w:val="en-US"/>
        </w:rPr>
        <w:t>udy [PL-ACS]). Am J Cardiol. 2011;107:501-8. https://doi.org/10.1016/j.amjcard.2010.10.008.</w:t>
      </w:r>
    </w:p>
    <w:p w14:paraId="44F7E68A"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93. Ioannidis JP, Katritsis DG. Percutaneous coronary intervention for late reperfusion after myocardial infarction in stable patients. Am Heart J. 2007;154(6):1065-71.</w:t>
      </w:r>
    </w:p>
    <w:p w14:paraId="75541286" w14:textId="77777777" w:rsidR="008A61A8" w:rsidRPr="00F52FCA"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94. Menon V, Pearte CA, Buller CE, et al. Lack of benefit from percutaneous intervention of persistently occluded infarct arteries after the acute phase of myocardial infarction is time independent: insights from Occluded Artery Trial. Eur Heart J. 2009;3</w:t>
      </w:r>
      <w:r w:rsidRPr="00643109">
        <w:rPr>
          <w:rFonts w:ascii="Times New Roman" w:hAnsi="Times New Roman" w:cs="Times New Roman"/>
          <w:sz w:val="24"/>
          <w:szCs w:val="24"/>
          <w:lang w:val="en-US"/>
        </w:rPr>
        <w:t>0(2):183-91.</w:t>
      </w:r>
    </w:p>
    <w:p w14:paraId="35578914"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95. Bangalore S, Toklu B, Wetterslev J. Complete versus culprit-only revascularization for ST-segment-elevation myocardial infarction and multivessel disease: a meta-analysis and trial sequential analysis of randomized trials. Circ Cardiovasc Interv. 2015</w:t>
      </w:r>
      <w:r w:rsidRPr="00643109">
        <w:rPr>
          <w:rFonts w:ascii="Times New Roman" w:hAnsi="Times New Roman" w:cs="Times New Roman"/>
          <w:sz w:val="24"/>
          <w:szCs w:val="24"/>
          <w:lang w:val="en-US"/>
        </w:rPr>
        <w:t>;8(4):e002142.</w:t>
      </w:r>
    </w:p>
    <w:p w14:paraId="7A329B67"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96. Jang JS, Jin HY, Seo JS, et al. The transradial versus the transfemoral approach for primary percutaneous coronary intervention in patients with acute myocardial infarction: a systematic review and meta-analysis. EuroIntervention. 2012;8(4):501-10.</w:t>
      </w:r>
    </w:p>
    <w:p w14:paraId="0280C824"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lastRenderedPageBreak/>
        <w:t>97. Joyal D, Bertrand OF, Rinfret S, et al. Meta-analysis of ten trials on the effectiveness of the radial versus the femoral approach in primary percutaneous coronary intervention. Am J Cardiol. 2012;109(6):813-8.</w:t>
      </w:r>
    </w:p>
    <w:p w14:paraId="218ABB29"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98. Bertrand OF, Bélisle P, Joyal D, et al. Comparison of transradial and femoral approaches for percutaneous coronary interventions: a systematic review and hierarchical Bayesian meta-analysis. Am J Cardiol. 2012;163(4):632-48.</w:t>
      </w:r>
    </w:p>
    <w:p w14:paraId="623AE292"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99. Valgimigli M, Gagnor A, Calabró P, et al. Radial versus femoral access in patients with acute coronary syndromes undergoing invasive management: a randomisedmulticentre trial. Lancet. 2015;385(9986):2465-76.</w:t>
      </w:r>
    </w:p>
    <w:p w14:paraId="0812E13F"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100. Zhu MM, Feit A, Chadow H, et al. Primary stent implantation compared with primary balloon angioplasty for acute myocardial infarction: a meta-analysis of randomized clinical trials. Am J Cardiol. 2001;88:297-301.</w:t>
      </w:r>
    </w:p>
    <w:p w14:paraId="5757D812"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101. Nordmann AJ, Hengstler P, Harr T, et al. Clinical outcomes of primary stenting versus balloon angioplasty in patients with myocardial infarction: a meta-analysis of randomized controlled trials. Am J Med. 2004;116(4):253-62.</w:t>
      </w:r>
    </w:p>
    <w:p w14:paraId="60090E7E"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102. Kastrati A, Dibra A, Spaulding C, et al. Meta-analysis of randomized trials on drug-eluting stents vs. bare-metal stents in patients with acute myocardial infarction. Eur Heart J. 2007;28(22):2706-13.</w:t>
      </w:r>
    </w:p>
    <w:p w14:paraId="567DDD73" w14:textId="77777777" w:rsidR="00643109" w:rsidRPr="00F52FCA" w:rsidRDefault="00643109" w:rsidP="00A419DB">
      <w:pPr>
        <w:tabs>
          <w:tab w:val="left" w:pos="786"/>
        </w:tabs>
        <w:suppressAutoHyphens/>
        <w:spacing w:after="60" w:line="360" w:lineRule="auto"/>
        <w:jc w:val="both"/>
        <w:rPr>
          <w:rFonts w:ascii="Times New Roman" w:hAnsi="Times New Roman" w:cs="Times New Roman"/>
          <w:sz w:val="24"/>
          <w:szCs w:val="24"/>
          <w:lang w:val="fr-FR"/>
        </w:rPr>
      </w:pPr>
      <w:r w:rsidRPr="00643109">
        <w:rPr>
          <w:rFonts w:ascii="Times New Roman" w:hAnsi="Times New Roman" w:cs="Times New Roman" w:hint="eastAsia"/>
          <w:sz w:val="24"/>
          <w:szCs w:val="24"/>
          <w:lang w:val="en-US"/>
        </w:rPr>
        <w:t xml:space="preserve">103. Philip F, Stewart S, Southard J. Very late stent thrombosis with second generation drug eluting stents compared to bare metal stents: Network meta-analysis of randomized primary percutaneous coronary intervention trials. </w:t>
      </w:r>
      <w:r w:rsidRPr="00F52FCA">
        <w:rPr>
          <w:rFonts w:ascii="Times New Roman" w:hAnsi="Times New Roman" w:cs="Times New Roman" w:hint="eastAsia"/>
          <w:sz w:val="24"/>
          <w:szCs w:val="24"/>
          <w:lang w:val="fr-FR"/>
        </w:rPr>
        <w:t>Cathet Cardiovasc Interv. 201</w:t>
      </w:r>
      <w:r w:rsidRPr="00F52FCA">
        <w:rPr>
          <w:rFonts w:ascii="Times New Roman" w:hAnsi="Times New Roman" w:cs="Times New Roman"/>
          <w:sz w:val="24"/>
          <w:szCs w:val="24"/>
          <w:lang w:val="fr-FR"/>
        </w:rPr>
        <w:t>6; 88:38-48.</w:t>
      </w:r>
    </w:p>
    <w:p w14:paraId="35A57146"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104. Sabaté M, Brugaletta S, Cequier A, et al. </w:t>
      </w:r>
      <w:r w:rsidRPr="00643109">
        <w:rPr>
          <w:rFonts w:ascii="Times New Roman" w:hAnsi="Times New Roman" w:cs="Times New Roman" w:hint="eastAsia"/>
          <w:sz w:val="24"/>
          <w:szCs w:val="24"/>
          <w:lang w:val="en-US"/>
        </w:rPr>
        <w:t>Clinical outcomes in patients with ST-segment elevation myocardial infarction treated with everolimus-eluting stents versus bare-metal stents (EXAMINATION): 5-year results of a randomised trial. Lancet. 2016;</w:t>
      </w:r>
      <w:r w:rsidRPr="00643109">
        <w:rPr>
          <w:rFonts w:ascii="Times New Roman" w:hAnsi="Times New Roman" w:cs="Times New Roman"/>
          <w:sz w:val="24"/>
          <w:szCs w:val="24"/>
          <w:lang w:val="en-US"/>
        </w:rPr>
        <w:t>387:357-66. https://doi.org/10.1016/s0140-6736(15)00548-6.</w:t>
      </w:r>
    </w:p>
    <w:p w14:paraId="26F764DF" w14:textId="77777777" w:rsidR="008A61A8" w:rsidRPr="008A61A8"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105. Räber L, Yamaji K, Kelbæk H, et al. Five-year clinical outcomes and intracoronary imaging findings of the COMFORTABLE AMI trial: randomized comparison of biodegradable polymer-based biolimus-eluting stents with bare-metal stents in patients with acut</w:t>
      </w:r>
      <w:r w:rsidRPr="00643109">
        <w:rPr>
          <w:rFonts w:ascii="Times New Roman" w:hAnsi="Times New Roman" w:cs="Times New Roman"/>
          <w:sz w:val="24"/>
          <w:szCs w:val="24"/>
          <w:lang w:val="en-US"/>
        </w:rPr>
        <w:t xml:space="preserve">e ST-segment elevation myocardial infarction. Eur Heart J. 2019;40:1909-19. </w:t>
      </w:r>
      <w:hyperlink r:id="rId312" w:history="1">
        <w:r w:rsidR="008A61A8" w:rsidRPr="00D749BC">
          <w:rPr>
            <w:rStyle w:val="a6"/>
            <w:rFonts w:ascii="Times New Roman" w:hAnsi="Times New Roman" w:cs="Times New Roman"/>
            <w:sz w:val="24"/>
            <w:szCs w:val="24"/>
            <w:lang w:val="en-US"/>
          </w:rPr>
          <w:t>https://doi.org/10.1093/eurheartj/ehz074</w:t>
        </w:r>
      </w:hyperlink>
      <w:r w:rsidRPr="00643109">
        <w:rPr>
          <w:rFonts w:ascii="Times New Roman" w:hAnsi="Times New Roman" w:cs="Times New Roman"/>
          <w:sz w:val="24"/>
          <w:szCs w:val="24"/>
          <w:lang w:val="en-US"/>
        </w:rPr>
        <w:t>.</w:t>
      </w:r>
    </w:p>
    <w:p w14:paraId="7BE57BB3"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106. Jolly SS, James S, Dzavik V, et al. Thrombus aspiration in ST-segment-elevation myocardial infarction: an individual patient meta-analysis: Thrombectomy trialists collaboration. Circulation. 2017;135:143-52.</w:t>
      </w:r>
    </w:p>
    <w:p w14:paraId="2DC7872D" w14:textId="77777777" w:rsidR="00643109" w:rsidRPr="00F52FCA" w:rsidRDefault="00643109" w:rsidP="00A419DB">
      <w:pPr>
        <w:tabs>
          <w:tab w:val="left" w:pos="786"/>
        </w:tabs>
        <w:suppressAutoHyphens/>
        <w:spacing w:after="60" w:line="360" w:lineRule="auto"/>
        <w:jc w:val="both"/>
        <w:rPr>
          <w:rFonts w:ascii="Times New Roman" w:hAnsi="Times New Roman" w:cs="Times New Roman"/>
          <w:sz w:val="24"/>
          <w:szCs w:val="24"/>
          <w:lang w:val="fr-FR"/>
        </w:rPr>
      </w:pPr>
      <w:r w:rsidRPr="00643109">
        <w:rPr>
          <w:rFonts w:ascii="Times New Roman" w:hAnsi="Times New Roman" w:cs="Times New Roman" w:hint="eastAsia"/>
          <w:sz w:val="24"/>
          <w:szCs w:val="24"/>
          <w:lang w:val="en-US"/>
        </w:rPr>
        <w:lastRenderedPageBreak/>
        <w:t xml:space="preserve">107. Li Kam Wa ME, De Silva K, Collet C, Perera D. FLOWER-MI and the root of the problem with non-culprit revascularisation. </w:t>
      </w:r>
      <w:r w:rsidRPr="00F52FCA">
        <w:rPr>
          <w:rFonts w:ascii="Times New Roman" w:hAnsi="Times New Roman" w:cs="Times New Roman" w:hint="eastAsia"/>
          <w:sz w:val="24"/>
          <w:szCs w:val="24"/>
          <w:lang w:val="fr-FR"/>
        </w:rPr>
        <w:t>Open Heart. 2021;8(2):e001763. https://doi.org/10.1136/openhrt-2021-001763.</w:t>
      </w:r>
    </w:p>
    <w:p w14:paraId="5A999AA5"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108. Cuculi F, De Maria GL, Meier P, et al. </w:t>
      </w:r>
      <w:r w:rsidRPr="00643109">
        <w:rPr>
          <w:rFonts w:ascii="Times New Roman" w:hAnsi="Times New Roman" w:cs="Times New Roman" w:hint="eastAsia"/>
          <w:sz w:val="24"/>
          <w:szCs w:val="24"/>
          <w:lang w:val="en-US"/>
        </w:rPr>
        <w:t>Impact of microvascular obstruction on the assessment of coronary flow reserve, index of microcirculatory resistance, and fractional flow reserve after ST-segment elevation myocardial infarction. J Am Coll Cardi</w:t>
      </w:r>
      <w:r w:rsidRPr="00643109">
        <w:rPr>
          <w:rFonts w:ascii="Times New Roman" w:hAnsi="Times New Roman" w:cs="Times New Roman"/>
          <w:sz w:val="24"/>
          <w:szCs w:val="24"/>
          <w:lang w:val="en-US"/>
        </w:rPr>
        <w:t>ol. 2014;64:1894-904. https://doi.org/10.1016/j.jacc.2014.07.987.</w:t>
      </w:r>
    </w:p>
    <w:p w14:paraId="51CE88DA" w14:textId="77777777" w:rsidR="00643109" w:rsidRPr="00F52FCA" w:rsidRDefault="00643109" w:rsidP="00A419DB">
      <w:pPr>
        <w:tabs>
          <w:tab w:val="left" w:pos="786"/>
        </w:tabs>
        <w:suppressAutoHyphens/>
        <w:spacing w:after="60" w:line="360" w:lineRule="auto"/>
        <w:jc w:val="both"/>
        <w:rPr>
          <w:rFonts w:ascii="Times New Roman" w:hAnsi="Times New Roman" w:cs="Times New Roman"/>
          <w:sz w:val="24"/>
          <w:szCs w:val="24"/>
          <w:lang w:val="fr-FR"/>
        </w:rPr>
      </w:pPr>
      <w:r w:rsidRPr="00643109">
        <w:rPr>
          <w:rFonts w:ascii="Times New Roman" w:hAnsi="Times New Roman" w:cs="Times New Roman" w:hint="eastAsia"/>
          <w:sz w:val="24"/>
          <w:szCs w:val="24"/>
          <w:lang w:val="en-US"/>
        </w:rPr>
        <w:t xml:space="preserve">109. De Bruyne B, Pijls NH, Bartunek J, et al. Fractional flow reserve in patients with prior myocardial infarction. </w:t>
      </w:r>
      <w:r w:rsidRPr="00F52FCA">
        <w:rPr>
          <w:rFonts w:ascii="Times New Roman" w:hAnsi="Times New Roman" w:cs="Times New Roman" w:hint="eastAsia"/>
          <w:sz w:val="24"/>
          <w:szCs w:val="24"/>
          <w:lang w:val="fr-FR"/>
        </w:rPr>
        <w:t>Circulation. 2001;104:157-62. https://doi.org/10.1161/01.cir.104.2.157.</w:t>
      </w:r>
    </w:p>
    <w:p w14:paraId="7B64F606"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110. Bainey KR, Engstrøm T, Smits PC, et al. </w:t>
      </w:r>
      <w:r w:rsidRPr="00643109">
        <w:rPr>
          <w:rFonts w:ascii="Times New Roman" w:hAnsi="Times New Roman" w:cs="Times New Roman" w:hint="eastAsia"/>
          <w:sz w:val="24"/>
          <w:szCs w:val="24"/>
          <w:lang w:val="en-US"/>
        </w:rPr>
        <w:t>Complete vs culprit-lesion-only revascularization for ST-segment elevation myocardial infarction: a systematic review and meta-analysis. JAMA Cardiol. 2020;5:881-8. https://doi.org/10.1001/jamacardio.2020.1251.</w:t>
      </w:r>
    </w:p>
    <w:p w14:paraId="6B3F346C"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111. Sels JW, Tonino PA, Siebert U, et al. Fractional flow reserve in unstable angina and nonST-segment elevation myocardial infarction experience from the FAME (Fractional flow reserve versus Angiography for Multivessel Evaluation) study. JACC Cardiovasc</w:t>
      </w:r>
      <w:r w:rsidRPr="00643109">
        <w:rPr>
          <w:rFonts w:ascii="Times New Roman" w:hAnsi="Times New Roman" w:cs="Times New Roman"/>
          <w:sz w:val="24"/>
          <w:szCs w:val="24"/>
          <w:lang w:val="en-US"/>
        </w:rPr>
        <w:t>Interv. 2011;4:1183-9. https://doi.org/10.1016/j.jcin.2011.08.008.</w:t>
      </w:r>
    </w:p>
    <w:p w14:paraId="72CAF0F8"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112. Wald DS, Hadyanto S, Bestwick JP. Should fractional flow reserve follow angiographic visual inspection to guide preventive percutaneous coronary intervention in ST-elevation myocardial infarction? Eur Heart J Qual Care Clin Outcomes. 2020;6:186-92. h</w:t>
      </w:r>
      <w:r w:rsidRPr="00643109">
        <w:rPr>
          <w:rFonts w:ascii="Times New Roman" w:hAnsi="Times New Roman" w:cs="Times New Roman"/>
          <w:sz w:val="24"/>
          <w:szCs w:val="24"/>
          <w:lang w:val="en-US"/>
        </w:rPr>
        <w:t>ttps://doi.org/10.1093/ehjqcco/qcaa012.</w:t>
      </w:r>
    </w:p>
    <w:p w14:paraId="6E8B3CEC"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113. Gallone G, Angelini F, Fortuni F, et al. </w:t>
      </w:r>
      <w:r w:rsidRPr="00643109">
        <w:rPr>
          <w:rFonts w:ascii="Times New Roman" w:hAnsi="Times New Roman" w:cs="Times New Roman" w:hint="eastAsia"/>
          <w:sz w:val="24"/>
          <w:szCs w:val="24"/>
          <w:lang w:val="en-US"/>
        </w:rPr>
        <w:t>Angiography- vs. physiology-guided complete revascularization in patients with ST-elevation myocardial infarction and multivessel disease: who is the better gatekeeper in this setting? A meta-analysis of rando</w:t>
      </w:r>
      <w:r w:rsidRPr="00643109">
        <w:rPr>
          <w:rFonts w:ascii="Times New Roman" w:hAnsi="Times New Roman" w:cs="Times New Roman"/>
          <w:sz w:val="24"/>
          <w:szCs w:val="24"/>
          <w:lang w:val="en-US"/>
        </w:rPr>
        <w:t>mized controlled trials. Eur Heart J Qual Care Clin Outcomes. 2020;6:199-200. https://doi.org/10.1093/ehjqcco/qcaa007.</w:t>
      </w:r>
    </w:p>
    <w:p w14:paraId="6EAD1A0D" w14:textId="77777777" w:rsidR="0035670C" w:rsidRPr="0035670C"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 xml:space="preserve">114. Lee JM, Kim HK, Park KH, et al. Fractional flow reserve versus angiography-guided strategy in acute myocardial infarction with multivessel disease: a randomized trial. Eur Heart J. 2023;44:473-84. </w:t>
      </w:r>
      <w:hyperlink r:id="rId313" w:history="1">
        <w:r w:rsidR="0035670C" w:rsidRPr="00D749BC">
          <w:rPr>
            <w:rStyle w:val="a6"/>
            <w:rFonts w:ascii="Times New Roman" w:hAnsi="Times New Roman" w:cs="Times New Roman" w:hint="eastAsia"/>
            <w:sz w:val="24"/>
            <w:szCs w:val="24"/>
            <w:lang w:val="en-US"/>
          </w:rPr>
          <w:t>https://doi.org/10.1093/eurheartj/ehac763</w:t>
        </w:r>
      </w:hyperlink>
      <w:r w:rsidRPr="00643109">
        <w:rPr>
          <w:rFonts w:ascii="Times New Roman" w:hAnsi="Times New Roman" w:cs="Times New Roman" w:hint="eastAsia"/>
          <w:sz w:val="24"/>
          <w:szCs w:val="24"/>
          <w:lang w:val="en-US"/>
        </w:rPr>
        <w:t>.</w:t>
      </w:r>
    </w:p>
    <w:p w14:paraId="01CD495B"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115. Wald DS, Morris JK, Wald NJ, et al., &amp; PRAMI Investigators. Randomized trial of preventive angioplasty in myocardial infarction. The New England journal of medicine. 2013;369(12):1115-23. https://doi.org/10.1056/NEJMoa1305520.</w:t>
      </w:r>
    </w:p>
    <w:p w14:paraId="3B83D970"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 xml:space="preserve">116. Engstrøm T, Kelbæk H, Helqvist S, et al. Complete revascularisation versus treatment of the culprit lesion only in patients with ST-segment elevation myocardial infarction and multivessel </w:t>
      </w:r>
      <w:r w:rsidRPr="00643109">
        <w:rPr>
          <w:rFonts w:ascii="Times New Roman" w:hAnsi="Times New Roman" w:cs="Times New Roman" w:hint="eastAsia"/>
          <w:sz w:val="24"/>
          <w:szCs w:val="24"/>
          <w:lang w:val="en-US"/>
        </w:rPr>
        <w:lastRenderedPageBreak/>
        <w:t>disease (DANAMI-3-PRIMULTI): an open-label, randomised control</w:t>
      </w:r>
      <w:r w:rsidRPr="00643109">
        <w:rPr>
          <w:rFonts w:ascii="Times New Roman" w:hAnsi="Times New Roman" w:cs="Times New Roman"/>
          <w:sz w:val="24"/>
          <w:szCs w:val="24"/>
          <w:lang w:val="en-US"/>
        </w:rPr>
        <w:t>led trial. Lancet. 2015;386:665-71. https://doi.org/10.1016/s0140-6736(15)60648-1.</w:t>
      </w:r>
    </w:p>
    <w:p w14:paraId="4C396C10"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117. Smits PC, Abdel-Wahab M, Neumann FJ, et al. Fractional flow reserve-guided multivessel angioplasty in myocardial infarction. N Engl J Med. 2017;376:1234-44. https://doi.org/10.1056/NEJMoa1701067.</w:t>
      </w:r>
    </w:p>
    <w:p w14:paraId="51F39281"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118. Mehta SR, Wang J, Wood DA, et al. COMPLETE Trial Investigators. Complete Revascularization vs Culprit Lesion-Only Percutaneous Coronary Intervention for Angina-Related Quality of Life in Patients With ST-Segment Elevation Myocardial Infarction: Resul</w:t>
      </w:r>
      <w:r w:rsidRPr="00643109">
        <w:rPr>
          <w:rFonts w:ascii="Times New Roman" w:hAnsi="Times New Roman" w:cs="Times New Roman"/>
          <w:sz w:val="24"/>
          <w:szCs w:val="24"/>
          <w:lang w:val="en-US"/>
        </w:rPr>
        <w:t>ts From the COMPLETE Randomized Clinical Trial. JAMA cardiology. 2022;7(11):1091-9. https://doi.org/10.1001/jamacardio.2022.3032.</w:t>
      </w:r>
    </w:p>
    <w:p w14:paraId="08483FE6"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119. Gershlick AH, Khan JN, Kelly DJ, et al. Randomized trial of complete versus lesion-only revascularization in patients undergoing primary percutaneous coronary intervention for STEMI and multivessel disease: the CvLPRIT trial. J Am Coll Cardiol. 2015;</w:t>
      </w:r>
      <w:r w:rsidRPr="00643109">
        <w:rPr>
          <w:rFonts w:ascii="Times New Roman" w:hAnsi="Times New Roman" w:cs="Times New Roman"/>
          <w:sz w:val="24"/>
          <w:szCs w:val="24"/>
          <w:lang w:val="en-US"/>
        </w:rPr>
        <w:t>65:963-72. https://doi.org/10.1016/j.jacc.2014.12.038.</w:t>
      </w:r>
    </w:p>
    <w:p w14:paraId="56C816A5"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120. COMPARE-ACUTE Chin CT, L'Allier P, Neumann FJ, et al. The Compare-Acute trial of fractional flow reserve-guided multivessel angioplasty in myocardial infarction. EuroIntervention: journal of EuroPCR in collaboration with the Working Group on Interven</w:t>
      </w:r>
      <w:r w:rsidRPr="00643109">
        <w:rPr>
          <w:rFonts w:ascii="Times New Roman" w:hAnsi="Times New Roman" w:cs="Times New Roman"/>
          <w:sz w:val="24"/>
          <w:szCs w:val="24"/>
          <w:lang w:val="en-US"/>
        </w:rPr>
        <w:t>tional Cardiology of the European Society of Cardiology. 2017;13(5):e613-e616. https://doi.org/10.4244/EIJV13I5A96.</w:t>
      </w:r>
    </w:p>
    <w:p w14:paraId="5519ABB4"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121. Diletti R, den Dekker WK, Bennett J, et al. BIOVASC Investigators. Immediate versus staged complete revascularisation in patients presenting with acute coronary syndrome and multivessel coronary disease (BIOVASC): a prospective, open-label, non-infer</w:t>
      </w:r>
      <w:r w:rsidRPr="00643109">
        <w:rPr>
          <w:rFonts w:ascii="Times New Roman" w:hAnsi="Times New Roman" w:cs="Times New Roman"/>
          <w:sz w:val="24"/>
          <w:szCs w:val="24"/>
          <w:lang w:val="en-US"/>
        </w:rPr>
        <w:t>iority, randomised trial. Lancet (London, England). 2023;401(10383):1172-82. https://doi.org/10.1016/S0140-6736(23)00351-3.</w:t>
      </w:r>
    </w:p>
    <w:p w14:paraId="54DD0A95"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rPr>
      </w:pPr>
      <w:r w:rsidRPr="00643109">
        <w:rPr>
          <w:rFonts w:ascii="Times New Roman" w:hAnsi="Times New Roman" w:cs="Times New Roman" w:hint="eastAsia"/>
          <w:sz w:val="24"/>
          <w:szCs w:val="24"/>
          <w:lang w:val="en-US"/>
        </w:rPr>
        <w:t>122. Biscaglia S, Guiducci V, Escaned J, et al., FIRE Trial Investigators. Complete or CulpritOnly PCI in Older Patients with Myocardial Infarction. NEnglJMed</w:t>
      </w:r>
      <w:r w:rsidRPr="00643109">
        <w:rPr>
          <w:rFonts w:ascii="Times New Roman" w:hAnsi="Times New Roman" w:cs="Times New Roman" w:hint="eastAsia"/>
          <w:sz w:val="24"/>
          <w:szCs w:val="24"/>
        </w:rPr>
        <w:t xml:space="preserve">. 2023;389(10):889-98. </w:t>
      </w:r>
      <w:r w:rsidRPr="00643109">
        <w:rPr>
          <w:rFonts w:ascii="Times New Roman" w:hAnsi="Times New Roman" w:cs="Times New Roman" w:hint="eastAsia"/>
          <w:sz w:val="24"/>
          <w:szCs w:val="24"/>
          <w:lang w:val="en-US"/>
        </w:rPr>
        <w:t>https</w:t>
      </w:r>
      <w:r w:rsidRPr="00643109">
        <w:rPr>
          <w:rFonts w:ascii="Times New Roman" w:hAnsi="Times New Roman" w:cs="Times New Roman" w:hint="eastAsia"/>
          <w:sz w:val="24"/>
          <w:szCs w:val="24"/>
        </w:rPr>
        <w:t>://</w:t>
      </w:r>
      <w:r w:rsidRPr="00643109">
        <w:rPr>
          <w:rFonts w:ascii="Times New Roman" w:hAnsi="Times New Roman" w:cs="Times New Roman" w:hint="eastAsia"/>
          <w:sz w:val="24"/>
          <w:szCs w:val="24"/>
          <w:lang w:val="en-US"/>
        </w:rPr>
        <w:t>doi</w:t>
      </w:r>
      <w:r w:rsidRPr="00643109">
        <w:rPr>
          <w:rFonts w:ascii="Times New Roman" w:hAnsi="Times New Roman" w:cs="Times New Roman" w:hint="eastAsia"/>
          <w:sz w:val="24"/>
          <w:szCs w:val="24"/>
        </w:rPr>
        <w:t>.</w:t>
      </w:r>
      <w:r w:rsidRPr="00643109">
        <w:rPr>
          <w:rFonts w:ascii="Times New Roman" w:hAnsi="Times New Roman" w:cs="Times New Roman" w:hint="eastAsia"/>
          <w:sz w:val="24"/>
          <w:szCs w:val="24"/>
          <w:lang w:val="en-US"/>
        </w:rPr>
        <w:t>org</w:t>
      </w:r>
      <w:r w:rsidRPr="00643109">
        <w:rPr>
          <w:rFonts w:ascii="Times New Roman" w:hAnsi="Times New Roman" w:cs="Times New Roman" w:hint="eastAsia"/>
          <w:sz w:val="24"/>
          <w:szCs w:val="24"/>
        </w:rPr>
        <w:t>/10.1056/</w:t>
      </w:r>
      <w:r w:rsidRPr="00643109">
        <w:rPr>
          <w:rFonts w:ascii="Times New Roman" w:hAnsi="Times New Roman" w:cs="Times New Roman" w:hint="eastAsia"/>
          <w:sz w:val="24"/>
          <w:szCs w:val="24"/>
          <w:lang w:val="en-US"/>
        </w:rPr>
        <w:t>NEJMoa</w:t>
      </w:r>
      <w:r w:rsidRPr="00643109">
        <w:rPr>
          <w:rFonts w:ascii="Times New Roman" w:hAnsi="Times New Roman" w:cs="Times New Roman" w:hint="eastAsia"/>
          <w:sz w:val="24"/>
          <w:szCs w:val="24"/>
        </w:rPr>
        <w:t>2300468.</w:t>
      </w:r>
    </w:p>
    <w:p w14:paraId="3EEBC913" w14:textId="77777777" w:rsidR="0035670C" w:rsidRPr="00A44531" w:rsidRDefault="0035670C" w:rsidP="00A419DB">
      <w:pPr>
        <w:tabs>
          <w:tab w:val="left" w:pos="786"/>
        </w:tabs>
        <w:suppressAutoHyphens/>
        <w:spacing w:after="60" w:line="360" w:lineRule="auto"/>
        <w:jc w:val="both"/>
        <w:rPr>
          <w:rFonts w:ascii="Times New Roman" w:hAnsi="Times New Roman" w:cs="Times New Roman"/>
          <w:sz w:val="24"/>
          <w:szCs w:val="24"/>
          <w:lang w:val="en-US"/>
        </w:rPr>
      </w:pPr>
      <w:r w:rsidRPr="0035670C">
        <w:rPr>
          <w:rFonts w:ascii="Times New Roman" w:hAnsi="Times New Roman" w:cs="Times New Roman"/>
          <w:sz w:val="24"/>
          <w:szCs w:val="24"/>
        </w:rPr>
        <w:t>123. Подметин П. С., Бурак Т. Я., Кочанов И. Н., Каледин А. Л. Аугментация гиперемии введением дополнительного гиперемирующего агента при пограничных значениях фракционного резерва кровотока. Эндоваскулярная</w:t>
      </w:r>
      <w:r w:rsidRPr="00A44531">
        <w:rPr>
          <w:rFonts w:ascii="Times New Roman" w:hAnsi="Times New Roman" w:cs="Times New Roman"/>
          <w:sz w:val="24"/>
          <w:szCs w:val="24"/>
          <w:lang w:val="en-US"/>
        </w:rPr>
        <w:t xml:space="preserve"> </w:t>
      </w:r>
      <w:r w:rsidRPr="0035670C">
        <w:rPr>
          <w:rFonts w:ascii="Times New Roman" w:hAnsi="Times New Roman" w:cs="Times New Roman"/>
          <w:sz w:val="24"/>
          <w:szCs w:val="24"/>
        </w:rPr>
        <w:t>хирургия</w:t>
      </w:r>
      <w:r w:rsidRPr="00A44531">
        <w:rPr>
          <w:rFonts w:ascii="Times New Roman" w:hAnsi="Times New Roman" w:cs="Times New Roman"/>
          <w:sz w:val="24"/>
          <w:szCs w:val="24"/>
          <w:lang w:val="en-US"/>
        </w:rPr>
        <w:t>. 2019;6(1):13-9. </w:t>
      </w:r>
      <w:hyperlink r:id="rId314" w:tgtFrame="blank" w:history="1">
        <w:r w:rsidRPr="00A44531">
          <w:rPr>
            <w:rStyle w:val="a6"/>
            <w:rFonts w:ascii="Times New Roman" w:hAnsi="Times New Roman" w:cs="Times New Roman"/>
            <w:sz w:val="24"/>
            <w:szCs w:val="24"/>
            <w:lang w:val="en-US"/>
          </w:rPr>
          <w:t>https://doi.org/10.24183/2409-4080-2019-6-1-13-19.</w:t>
        </w:r>
      </w:hyperlink>
    </w:p>
    <w:p w14:paraId="768DBAA9" w14:textId="77777777" w:rsidR="00643109" w:rsidRPr="00F52FCA" w:rsidRDefault="00643109" w:rsidP="00A419DB">
      <w:pPr>
        <w:tabs>
          <w:tab w:val="left" w:pos="786"/>
        </w:tabs>
        <w:suppressAutoHyphens/>
        <w:spacing w:after="60" w:line="360" w:lineRule="auto"/>
        <w:jc w:val="both"/>
        <w:rPr>
          <w:rFonts w:ascii="Times New Roman" w:hAnsi="Times New Roman" w:cs="Times New Roman"/>
          <w:sz w:val="24"/>
          <w:szCs w:val="24"/>
          <w:lang w:val="fr-FR"/>
        </w:rPr>
      </w:pPr>
      <w:r w:rsidRPr="00F52FCA">
        <w:rPr>
          <w:rFonts w:ascii="Times New Roman" w:hAnsi="Times New Roman" w:cs="Times New Roman" w:hint="eastAsia"/>
          <w:sz w:val="24"/>
          <w:szCs w:val="24"/>
          <w:lang w:val="en-US"/>
        </w:rPr>
        <w:t xml:space="preserve">124. </w:t>
      </w:r>
      <w:r w:rsidRPr="00643109">
        <w:rPr>
          <w:rFonts w:ascii="Times New Roman" w:hAnsi="Times New Roman" w:cs="Times New Roman" w:hint="eastAsia"/>
          <w:sz w:val="24"/>
          <w:szCs w:val="24"/>
          <w:lang w:val="en-US"/>
        </w:rPr>
        <w:t>DeBruyneB</w:t>
      </w:r>
      <w:r w:rsidRPr="00F52FCA">
        <w:rPr>
          <w:rFonts w:ascii="Times New Roman" w:hAnsi="Times New Roman" w:cs="Times New Roman" w:hint="eastAsia"/>
          <w:sz w:val="24"/>
          <w:szCs w:val="24"/>
          <w:lang w:val="en-US"/>
        </w:rPr>
        <w:t xml:space="preserve">, </w:t>
      </w:r>
      <w:r w:rsidRPr="00643109">
        <w:rPr>
          <w:rFonts w:ascii="Times New Roman" w:hAnsi="Times New Roman" w:cs="Times New Roman" w:hint="eastAsia"/>
          <w:sz w:val="24"/>
          <w:szCs w:val="24"/>
          <w:lang w:val="en-US"/>
        </w:rPr>
        <w:t>PijlsNH</w:t>
      </w:r>
      <w:r w:rsidRPr="00F52FCA">
        <w:rPr>
          <w:rFonts w:ascii="Times New Roman" w:hAnsi="Times New Roman" w:cs="Times New Roman" w:hint="eastAsia"/>
          <w:sz w:val="24"/>
          <w:szCs w:val="24"/>
          <w:lang w:val="en-US"/>
        </w:rPr>
        <w:t xml:space="preserve">, </w:t>
      </w:r>
      <w:r w:rsidRPr="00643109">
        <w:rPr>
          <w:rFonts w:ascii="Times New Roman" w:hAnsi="Times New Roman" w:cs="Times New Roman" w:hint="eastAsia"/>
          <w:sz w:val="24"/>
          <w:szCs w:val="24"/>
          <w:lang w:val="en-US"/>
        </w:rPr>
        <w:t>BarbatoE</w:t>
      </w:r>
      <w:r w:rsidRPr="00F52FCA">
        <w:rPr>
          <w:rFonts w:ascii="Times New Roman" w:hAnsi="Times New Roman" w:cs="Times New Roman" w:hint="eastAsia"/>
          <w:sz w:val="24"/>
          <w:szCs w:val="24"/>
          <w:lang w:val="en-US"/>
        </w:rPr>
        <w:t xml:space="preserve">, </w:t>
      </w:r>
      <w:r w:rsidRPr="00643109">
        <w:rPr>
          <w:rFonts w:ascii="Times New Roman" w:hAnsi="Times New Roman" w:cs="Times New Roman" w:hint="eastAsia"/>
          <w:sz w:val="24"/>
          <w:szCs w:val="24"/>
          <w:lang w:val="en-US"/>
        </w:rPr>
        <w:t>etal</w:t>
      </w:r>
      <w:r w:rsidRPr="00F52FCA">
        <w:rPr>
          <w:rFonts w:ascii="Times New Roman" w:hAnsi="Times New Roman" w:cs="Times New Roman" w:hint="eastAsia"/>
          <w:sz w:val="24"/>
          <w:szCs w:val="24"/>
          <w:lang w:val="en-US"/>
        </w:rPr>
        <w:t xml:space="preserve">. </w:t>
      </w:r>
      <w:r w:rsidRPr="00643109">
        <w:rPr>
          <w:rFonts w:ascii="Times New Roman" w:hAnsi="Times New Roman" w:cs="Times New Roman" w:hint="eastAsia"/>
          <w:sz w:val="24"/>
          <w:szCs w:val="24"/>
          <w:lang w:val="en-US"/>
        </w:rPr>
        <w:t xml:space="preserve">Intracoronary and intravenous adenosine 5'-triphosphate, adenosine, papaverine, and contrast medium to assess fractional flow reserve in </w:t>
      </w:r>
      <w:r w:rsidRPr="00643109">
        <w:rPr>
          <w:rFonts w:ascii="Times New Roman" w:hAnsi="Times New Roman" w:cs="Times New Roman" w:hint="eastAsia"/>
          <w:sz w:val="24"/>
          <w:szCs w:val="24"/>
          <w:lang w:val="en-US"/>
        </w:rPr>
        <w:lastRenderedPageBreak/>
        <w:t xml:space="preserve">humans. </w:t>
      </w:r>
      <w:r w:rsidRPr="00F52FCA">
        <w:rPr>
          <w:rFonts w:ascii="Times New Roman" w:hAnsi="Times New Roman" w:cs="Times New Roman" w:hint="eastAsia"/>
          <w:sz w:val="24"/>
          <w:szCs w:val="24"/>
          <w:lang w:val="fr-FR"/>
        </w:rPr>
        <w:t>Circulation. 2003;107(14):1877-83. https://doi.org/10.1161/01.CI</w:t>
      </w:r>
      <w:r w:rsidRPr="00F52FCA">
        <w:rPr>
          <w:rFonts w:ascii="Times New Roman" w:hAnsi="Times New Roman" w:cs="Times New Roman"/>
          <w:sz w:val="24"/>
          <w:szCs w:val="24"/>
          <w:lang w:val="fr-FR"/>
        </w:rPr>
        <w:t>R.0000061950.24940.88.</w:t>
      </w:r>
    </w:p>
    <w:p w14:paraId="363EE0A7"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125. Van der Voort PH, van Hagen E, Hendrix G, et al. </w:t>
      </w:r>
      <w:r w:rsidRPr="00643109">
        <w:rPr>
          <w:rFonts w:ascii="Times New Roman" w:hAnsi="Times New Roman" w:cs="Times New Roman" w:hint="eastAsia"/>
          <w:sz w:val="24"/>
          <w:szCs w:val="24"/>
          <w:lang w:val="en-US"/>
        </w:rPr>
        <w:t>Comparison of intravenous adenosine to intracoronary papaverine for calculation of pressure- 177 derived fractional flow reserve. Cathet. Cardiovasc. Diagn. 1996;39(2):120-5. https://doi.org/10.1002/(S</w:t>
      </w:r>
      <w:r w:rsidRPr="00643109">
        <w:rPr>
          <w:rFonts w:ascii="Times New Roman" w:hAnsi="Times New Roman" w:cs="Times New Roman"/>
          <w:sz w:val="24"/>
          <w:szCs w:val="24"/>
          <w:lang w:val="en-US"/>
        </w:rPr>
        <w:t>ICI)1097-0304(199610)39:3.0.CO;2-H19.</w:t>
      </w:r>
    </w:p>
    <w:p w14:paraId="253D38DE" w14:textId="77777777" w:rsidR="00643109" w:rsidRPr="00F52FCA" w:rsidRDefault="00643109" w:rsidP="00A419DB">
      <w:pPr>
        <w:tabs>
          <w:tab w:val="left" w:pos="786"/>
        </w:tabs>
        <w:suppressAutoHyphens/>
        <w:spacing w:after="60" w:line="360" w:lineRule="auto"/>
        <w:jc w:val="both"/>
        <w:rPr>
          <w:rFonts w:ascii="Times New Roman" w:hAnsi="Times New Roman" w:cs="Times New Roman"/>
          <w:sz w:val="24"/>
          <w:szCs w:val="24"/>
          <w:lang w:val="fr-FR"/>
        </w:rPr>
      </w:pPr>
      <w:r w:rsidRPr="00643109">
        <w:rPr>
          <w:rFonts w:ascii="Times New Roman" w:hAnsi="Times New Roman" w:cs="Times New Roman" w:hint="eastAsia"/>
          <w:sz w:val="24"/>
          <w:szCs w:val="24"/>
          <w:lang w:val="en-US"/>
        </w:rPr>
        <w:t xml:space="preserve">126. Nishi T, Kitahara H, Iwata Y, et al. Efficacy of combined administration of intracoronary papaverine plus intravenous adenosine 5'-triphosphate in assessment of fractional flow reserve. </w:t>
      </w:r>
      <w:r w:rsidRPr="00F52FCA">
        <w:rPr>
          <w:rFonts w:ascii="Times New Roman" w:hAnsi="Times New Roman" w:cs="Times New Roman" w:hint="eastAsia"/>
          <w:sz w:val="24"/>
          <w:szCs w:val="24"/>
          <w:lang w:val="fr-FR"/>
        </w:rPr>
        <w:t>J. Cardiol. 2016;68(6):512-6. https://doi.org/10.1016/j.jjcc.201</w:t>
      </w:r>
      <w:r w:rsidRPr="00F52FCA">
        <w:rPr>
          <w:rFonts w:ascii="Times New Roman" w:hAnsi="Times New Roman" w:cs="Times New Roman"/>
          <w:sz w:val="24"/>
          <w:szCs w:val="24"/>
          <w:lang w:val="fr-FR"/>
        </w:rPr>
        <w:t>5.12.005.</w:t>
      </w:r>
    </w:p>
    <w:p w14:paraId="38BB5A17" w14:textId="77777777" w:rsidR="00643109" w:rsidRPr="00F52FCA" w:rsidRDefault="00643109" w:rsidP="00A419DB">
      <w:pPr>
        <w:tabs>
          <w:tab w:val="left" w:pos="786"/>
        </w:tabs>
        <w:suppressAutoHyphens/>
        <w:spacing w:after="60" w:line="360" w:lineRule="auto"/>
        <w:jc w:val="both"/>
        <w:rPr>
          <w:rFonts w:ascii="Times New Roman" w:hAnsi="Times New Roman" w:cs="Times New Roman"/>
          <w:sz w:val="24"/>
          <w:szCs w:val="24"/>
          <w:lang w:val="fr-FR"/>
        </w:rPr>
      </w:pPr>
      <w:r w:rsidRPr="00F52FCA">
        <w:rPr>
          <w:rFonts w:ascii="Times New Roman" w:hAnsi="Times New Roman" w:cs="Times New Roman" w:hint="eastAsia"/>
          <w:sz w:val="24"/>
          <w:szCs w:val="24"/>
          <w:lang w:val="fr-FR"/>
        </w:rPr>
        <w:t xml:space="preserve">127. Puymirat E, Cayla G, Simon T, et al. </w:t>
      </w:r>
      <w:r w:rsidRPr="00643109">
        <w:rPr>
          <w:rFonts w:ascii="Times New Roman" w:hAnsi="Times New Roman" w:cs="Times New Roman" w:hint="eastAsia"/>
          <w:sz w:val="24"/>
          <w:szCs w:val="24"/>
          <w:lang w:val="en-US"/>
        </w:rPr>
        <w:t xml:space="preserve">Multivessel PCI guided by FFR or angiography for myocardial infarction. </w:t>
      </w:r>
      <w:r w:rsidRPr="00F52FCA">
        <w:rPr>
          <w:rFonts w:ascii="Times New Roman" w:hAnsi="Times New Roman" w:cs="Times New Roman" w:hint="eastAsia"/>
          <w:sz w:val="24"/>
          <w:szCs w:val="24"/>
          <w:lang w:val="fr-FR"/>
        </w:rPr>
        <w:t>N Engl J Med. 2021;385:297-308. https://doi.org/10.1056/NEJMoa2104650.</w:t>
      </w:r>
    </w:p>
    <w:p w14:paraId="067BFC1A"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128. Darmoch F, Alraies MC, Al-Khadra Y, et al. </w:t>
      </w:r>
      <w:r w:rsidRPr="00643109">
        <w:rPr>
          <w:rFonts w:ascii="Times New Roman" w:hAnsi="Times New Roman" w:cs="Times New Roman" w:hint="eastAsia"/>
          <w:sz w:val="24"/>
          <w:szCs w:val="24"/>
          <w:lang w:val="en-US"/>
        </w:rPr>
        <w:t>Intravascular ultrasound imaging-guided versus coronary angiography-guided percutaneous coronary intervention: a systematic review and meta-analysis. J Am Heart Assoc. 2020;9:e013678. https://doi.org/10.1161</w:t>
      </w:r>
      <w:r w:rsidRPr="00643109">
        <w:rPr>
          <w:rFonts w:ascii="Times New Roman" w:hAnsi="Times New Roman" w:cs="Times New Roman"/>
          <w:sz w:val="24"/>
          <w:szCs w:val="24"/>
          <w:lang w:val="en-US"/>
        </w:rPr>
        <w:t>/jaha.119.013678.</w:t>
      </w:r>
    </w:p>
    <w:p w14:paraId="5D831975" w14:textId="77777777" w:rsidR="00643109" w:rsidRPr="00F52FCA" w:rsidRDefault="00643109" w:rsidP="00A419DB">
      <w:pPr>
        <w:tabs>
          <w:tab w:val="left" w:pos="786"/>
        </w:tabs>
        <w:suppressAutoHyphens/>
        <w:spacing w:after="60" w:line="360" w:lineRule="auto"/>
        <w:jc w:val="both"/>
        <w:rPr>
          <w:rFonts w:ascii="Times New Roman" w:hAnsi="Times New Roman" w:cs="Times New Roman"/>
          <w:sz w:val="24"/>
          <w:szCs w:val="24"/>
          <w:lang w:val="fr-FR"/>
        </w:rPr>
      </w:pPr>
      <w:r w:rsidRPr="00643109">
        <w:rPr>
          <w:rFonts w:ascii="Times New Roman" w:hAnsi="Times New Roman" w:cs="Times New Roman" w:hint="eastAsia"/>
          <w:sz w:val="24"/>
          <w:szCs w:val="24"/>
          <w:lang w:val="en-US"/>
        </w:rPr>
        <w:t xml:space="preserve">129. Hong SJ, Kim BK, Shin DH, et al. Effect of intravascular ultrasound-guided vs angiography-guided everolimus-eluting stent implantation: the IVUS-XPL randomized clinical trial. </w:t>
      </w:r>
      <w:r w:rsidRPr="00F52FCA">
        <w:rPr>
          <w:rFonts w:ascii="Times New Roman" w:hAnsi="Times New Roman" w:cs="Times New Roman" w:hint="eastAsia"/>
          <w:sz w:val="24"/>
          <w:szCs w:val="24"/>
          <w:lang w:val="fr-FR"/>
        </w:rPr>
        <w:t>JAMA. 2015;314:2155-63. https://doi.org/10.1001/jama.2015.15454.</w:t>
      </w:r>
    </w:p>
    <w:p w14:paraId="09747732"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130. Zhang J, Gao X, Kan J, et al. </w:t>
      </w:r>
      <w:r w:rsidRPr="00643109">
        <w:rPr>
          <w:rFonts w:ascii="Times New Roman" w:hAnsi="Times New Roman" w:cs="Times New Roman" w:hint="eastAsia"/>
          <w:sz w:val="24"/>
          <w:szCs w:val="24"/>
          <w:lang w:val="en-US"/>
        </w:rPr>
        <w:t>Intravascular ultrasound versus angiography-guided drugeluting stent implantation: the ULTIMATE trial. J Am Coll Cardiol. 2018;72:3126-37. https://doi.org/10.1016/j.jacc.2018.09.013.</w:t>
      </w:r>
    </w:p>
    <w:p w14:paraId="540D7CE6"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131. Gao XF, Ge Z, Kong XQ, et al. 3-Year outcomes of the ULTIMATE trial comparing intravascular ultrasound versus angiography-guided drug-eluting stent implantation. JACC Cardiovasc Interv. 2021;14:247-57. https://doi.org/10.1016/j.jcin.2020.10.001.</w:t>
      </w:r>
    </w:p>
    <w:p w14:paraId="247D6530"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132. Johnson TW, Räber L, di Mario C, et al. Clinical use of intracoronary imaging. Part 2: acute coronary syndromes, ambiguous coronary angiography findings, and guiding interventional decision-making: an expert consensus document of the European Associa</w:t>
      </w:r>
      <w:r w:rsidRPr="00643109">
        <w:rPr>
          <w:rFonts w:ascii="Times New Roman" w:hAnsi="Times New Roman" w:cs="Times New Roman"/>
          <w:sz w:val="24"/>
          <w:szCs w:val="24"/>
          <w:lang w:val="en-US"/>
        </w:rPr>
        <w:t>tion of Percutaneous Cardiovascular Interventions. Eur Heart J. 2019;40:2566-84. https://doi.org/10.1093/eurheartj/ehz332.</w:t>
      </w:r>
    </w:p>
    <w:p w14:paraId="799FAFE9" w14:textId="77777777" w:rsidR="00902D93" w:rsidRPr="00F52FCA" w:rsidRDefault="0035670C" w:rsidP="00A419DB">
      <w:pPr>
        <w:tabs>
          <w:tab w:val="left" w:pos="786"/>
        </w:tabs>
        <w:suppressAutoHyphens/>
        <w:spacing w:after="60" w:line="360" w:lineRule="auto"/>
        <w:jc w:val="both"/>
        <w:rPr>
          <w:rFonts w:ascii="Times New Roman" w:hAnsi="Times New Roman" w:cs="Times New Roman"/>
          <w:sz w:val="24"/>
          <w:szCs w:val="24"/>
          <w:lang w:val="fr-FR"/>
        </w:rPr>
      </w:pPr>
      <w:r w:rsidRPr="0035670C">
        <w:rPr>
          <w:rFonts w:ascii="Times New Roman" w:hAnsi="Times New Roman" w:cs="Times New Roman" w:hint="eastAsia"/>
          <w:sz w:val="24"/>
          <w:szCs w:val="24"/>
          <w:lang w:val="en-US"/>
        </w:rPr>
        <w:t xml:space="preserve">133. Jia H, Dai J, He L, et al. EROSION III: a multicenter RCT of OCT-guided reperfusion in STEMI with early infarct artery patency. </w:t>
      </w:r>
      <w:r w:rsidRPr="00F52FCA">
        <w:rPr>
          <w:rFonts w:ascii="Times New Roman" w:hAnsi="Times New Roman" w:cs="Times New Roman" w:hint="eastAsia"/>
          <w:sz w:val="24"/>
          <w:szCs w:val="24"/>
          <w:lang w:val="fr-FR"/>
        </w:rPr>
        <w:t xml:space="preserve">JACC Cardiovasc Interv. 2022;15:846-56. </w:t>
      </w:r>
      <w:hyperlink r:id="rId315" w:history="1">
        <w:r w:rsidR="00902D93" w:rsidRPr="00F52FCA">
          <w:rPr>
            <w:rStyle w:val="a6"/>
            <w:rFonts w:ascii="Times New Roman" w:hAnsi="Times New Roman" w:cs="Times New Roman" w:hint="eastAsia"/>
            <w:sz w:val="24"/>
            <w:szCs w:val="24"/>
            <w:lang w:val="fr-FR"/>
          </w:rPr>
          <w:t>https://doi.org/10.1016/j.jcin.2022.01.298.</w:t>
        </w:r>
      </w:hyperlink>
    </w:p>
    <w:p w14:paraId="7E2C76CD" w14:textId="77777777" w:rsidR="00643109" w:rsidRPr="00F52FCA" w:rsidRDefault="00643109" w:rsidP="00A419DB">
      <w:pPr>
        <w:tabs>
          <w:tab w:val="left" w:pos="786"/>
        </w:tabs>
        <w:suppressAutoHyphens/>
        <w:spacing w:after="60" w:line="360" w:lineRule="auto"/>
        <w:jc w:val="both"/>
        <w:rPr>
          <w:rFonts w:ascii="Times New Roman" w:hAnsi="Times New Roman" w:cs="Times New Roman"/>
          <w:sz w:val="24"/>
          <w:szCs w:val="24"/>
          <w:lang w:val="fr-FR"/>
        </w:rPr>
      </w:pPr>
      <w:r w:rsidRPr="00F52FCA">
        <w:rPr>
          <w:rFonts w:ascii="Times New Roman" w:hAnsi="Times New Roman" w:cs="Times New Roman" w:hint="eastAsia"/>
          <w:sz w:val="24"/>
          <w:szCs w:val="24"/>
          <w:lang w:val="fr-FR"/>
        </w:rPr>
        <w:lastRenderedPageBreak/>
        <w:t xml:space="preserve">134. Meneveau N, Souteyrand G, Motreff P, et al. </w:t>
      </w:r>
      <w:r w:rsidRPr="00643109">
        <w:rPr>
          <w:rFonts w:ascii="Times New Roman" w:hAnsi="Times New Roman" w:cs="Times New Roman" w:hint="eastAsia"/>
          <w:sz w:val="24"/>
          <w:szCs w:val="24"/>
          <w:lang w:val="en-US"/>
        </w:rPr>
        <w:t>Optical coherence tomography to optimize results of percutaneous coronary intervention in patients with non-ST-elevation acute coronary syndrome: results of the multicenter, randomized DOCTORS study (Does O</w:t>
      </w:r>
      <w:r w:rsidRPr="00643109">
        <w:rPr>
          <w:rFonts w:ascii="Times New Roman" w:hAnsi="Times New Roman" w:cs="Times New Roman"/>
          <w:sz w:val="24"/>
          <w:szCs w:val="24"/>
          <w:lang w:val="en-US"/>
        </w:rPr>
        <w:t xml:space="preserve">ptical Coherence Tomography Optimize Results of Stenting). </w:t>
      </w:r>
      <w:r w:rsidRPr="00F52FCA">
        <w:rPr>
          <w:rFonts w:ascii="Times New Roman" w:hAnsi="Times New Roman" w:cs="Times New Roman"/>
          <w:sz w:val="24"/>
          <w:szCs w:val="24"/>
          <w:lang w:val="fr-FR"/>
        </w:rPr>
        <w:t>Circulation. 2016;134:906-17. https://doi.org/10.1161/circulationaha.116.024393.</w:t>
      </w:r>
    </w:p>
    <w:p w14:paraId="0AD68BBD"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135. Kala P, Cervinka P, Jakl M, et al. </w:t>
      </w:r>
      <w:r w:rsidRPr="00643109">
        <w:rPr>
          <w:rFonts w:ascii="Times New Roman" w:hAnsi="Times New Roman" w:cs="Times New Roman" w:hint="eastAsia"/>
          <w:sz w:val="24"/>
          <w:szCs w:val="24"/>
          <w:lang w:val="en-US"/>
        </w:rPr>
        <w:t>OCT guidance during stent implantation in primary PCI: a randomized multicenter study with nine months of optical coherence tomography follow-up. Int J Cardiol. 2018;250:98-103. https://doi.org/10.1016/j.ijcard.2017</w:t>
      </w:r>
      <w:r w:rsidRPr="00643109">
        <w:rPr>
          <w:rFonts w:ascii="Times New Roman" w:hAnsi="Times New Roman" w:cs="Times New Roman"/>
          <w:sz w:val="24"/>
          <w:szCs w:val="24"/>
          <w:lang w:val="en-US"/>
        </w:rPr>
        <w:t>.10.059.</w:t>
      </w:r>
    </w:p>
    <w:p w14:paraId="63BB8F79"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136. Kim Y, Bae S, Johnson TW, et al.; KAMIR‐NIH (Korea Acute Myocardial Infarction Registry‐National Institutes of Health) Investigators [Link]. Role of Intravascular UltrasoundGuided Percutaneous Coronary Intervention in Optimizing Outcomes in Acute Myo</w:t>
      </w:r>
      <w:r w:rsidRPr="00643109">
        <w:rPr>
          <w:rFonts w:ascii="Times New Roman" w:hAnsi="Times New Roman" w:cs="Times New Roman"/>
          <w:sz w:val="24"/>
          <w:szCs w:val="24"/>
          <w:lang w:val="en-US"/>
        </w:rPr>
        <w:t>cardial Infarction. J Am Heart Assoc. 2022;11(5):e023481. https://doi.org/10.1161/JAHA.121.023481.</w:t>
      </w:r>
    </w:p>
    <w:p w14:paraId="2D7C0F8B"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545863">
        <w:rPr>
          <w:rFonts w:ascii="Times New Roman" w:hAnsi="Times New Roman" w:cs="Times New Roman" w:hint="eastAsia"/>
          <w:sz w:val="24"/>
          <w:szCs w:val="24"/>
          <w:lang w:val="en-US"/>
        </w:rPr>
        <w:t xml:space="preserve">137. Morrison LJ, Verbeek PR, McDonald AC, et al. </w:t>
      </w:r>
      <w:r w:rsidRPr="00643109">
        <w:rPr>
          <w:rFonts w:ascii="Times New Roman" w:hAnsi="Times New Roman" w:cs="Times New Roman" w:hint="eastAsia"/>
          <w:sz w:val="24"/>
          <w:szCs w:val="24"/>
          <w:lang w:val="en-US"/>
        </w:rPr>
        <w:t>Mortality and prehospital thrombolysis for acute myocardial infarction: a meta-analysis. J Am Med Assoc. 2000;283:2686-92.</w:t>
      </w:r>
    </w:p>
    <w:p w14:paraId="0B6D0145"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138. McCaul M, Lourens A, Kredo T. Pre-hospital versus in-hospital thrombolysis for ST-elevation myocardial infarction Cochrane Database Syst Rev. 2014;9. Art. No.: CD010191. https://doi.org/10.1002/14651858.CD010191.pub2.</w:t>
      </w:r>
    </w:p>
    <w:p w14:paraId="6FD66943"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139. Bonnefoy E, Steg PG, Boutitie F, et al. Comparison of primary angioplasty and prehospital fibrinolysis in acute myocardial infarction (CAPTIM) trial: a 5-year follow-up. Eur Heart J. 2009;30(13):1598-606.</w:t>
      </w:r>
    </w:p>
    <w:p w14:paraId="0F912E32"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140. Gershlick AH, Stephens-Lloyd A, Hughes S, et al., REACT Trial Investigators. Rescue angioplasty after failed thrombolytic therapy for acute myocardial infarction. N Engl J Med. 2005;353(26):2758-68.</w:t>
      </w:r>
    </w:p>
    <w:p w14:paraId="4FA5FB92"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141. Borgia F, Goodman SG, Halvorsen S, et al. Early routine percutaneous coronary intervention after fibrinolysis vs. standard therapy in ST-segment elevation myocardial infarction: a meta-analysis. Eur Heart J. 2010;31(17):2156-69.</w:t>
      </w:r>
    </w:p>
    <w:p w14:paraId="2DB0EDDA"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142. D'Souza SP, Mamas MA, Fraser DG, Fath-Ordoubadi F. Routine early coronary angioplasty versus ischaemia-guided angioplasty after thrombolysis in acute ST-elevation myocardial infarction: a meta-analysis. Eur Heart J. 2011;32(8):972-82.</w:t>
      </w:r>
    </w:p>
    <w:p w14:paraId="77A1878E"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143. Cantor WJ, Fitchett D, Borgundvaag B, et al.; TRANSFER-AMI Trial Investigators. Routine early angioplasty after fibrinolysis for acute myocardial infarction. N Engl J Med. 2009;360(26):2705-18.</w:t>
      </w:r>
    </w:p>
    <w:p w14:paraId="0ADA37BE" w14:textId="77777777" w:rsidR="00643109" w:rsidRPr="00F52FCA" w:rsidRDefault="00643109" w:rsidP="00A419DB">
      <w:pPr>
        <w:tabs>
          <w:tab w:val="left" w:pos="786"/>
        </w:tabs>
        <w:suppressAutoHyphens/>
        <w:spacing w:after="60" w:line="360" w:lineRule="auto"/>
        <w:jc w:val="both"/>
        <w:rPr>
          <w:rFonts w:ascii="Times New Roman" w:hAnsi="Times New Roman" w:cs="Times New Roman"/>
          <w:sz w:val="24"/>
          <w:szCs w:val="24"/>
          <w:lang w:val="fr-FR"/>
        </w:rPr>
      </w:pPr>
      <w:r w:rsidRPr="00643109">
        <w:rPr>
          <w:rFonts w:ascii="Times New Roman" w:hAnsi="Times New Roman" w:cs="Times New Roman" w:hint="eastAsia"/>
          <w:sz w:val="24"/>
          <w:szCs w:val="24"/>
          <w:lang w:val="en-US"/>
        </w:rPr>
        <w:lastRenderedPageBreak/>
        <w:t>144. O'Gara PT, Kushner FG, Ascheim DD, et al.; American College of Cardiology Foundation/American Heart Association Task Force on Practice Guidelines. 2013 ACCF/AHA guideline for the management of ST-elevation myocardial infarction: a report of the Ameri</w:t>
      </w:r>
      <w:r w:rsidRPr="00643109">
        <w:rPr>
          <w:rFonts w:ascii="Times New Roman" w:hAnsi="Times New Roman" w:cs="Times New Roman"/>
          <w:sz w:val="24"/>
          <w:szCs w:val="24"/>
          <w:lang w:val="en-US"/>
        </w:rPr>
        <w:t xml:space="preserve">can College of Cardiology Foundation/American Heart Association Task Force on Practice Guidelines. </w:t>
      </w:r>
      <w:r w:rsidRPr="00F52FCA">
        <w:rPr>
          <w:rFonts w:ascii="Times New Roman" w:hAnsi="Times New Roman" w:cs="Times New Roman"/>
          <w:sz w:val="24"/>
          <w:szCs w:val="24"/>
          <w:lang w:val="fr-FR"/>
        </w:rPr>
        <w:t>Circulation. 2013;127(4):e362-425. https://doi.org/10.1161/CIR.0b013e3182742cf6.</w:t>
      </w:r>
    </w:p>
    <w:p w14:paraId="70992FE3"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145. Steg PG, James SK, Atar D, et al. </w:t>
      </w:r>
      <w:r w:rsidRPr="00643109">
        <w:rPr>
          <w:rFonts w:ascii="Times New Roman" w:hAnsi="Times New Roman" w:cs="Times New Roman" w:hint="eastAsia"/>
          <w:sz w:val="24"/>
          <w:szCs w:val="24"/>
          <w:lang w:val="en-US"/>
        </w:rPr>
        <w:t>Task Force on the management of ST-segment elevation acute myocardial infarction of the European Society of Cardiology (ESC); ESC Guidelines for the management of acute myocardial infarction in patients presenting wi</w:t>
      </w:r>
      <w:r w:rsidRPr="00643109">
        <w:rPr>
          <w:rFonts w:ascii="Times New Roman" w:hAnsi="Times New Roman" w:cs="Times New Roman"/>
          <w:sz w:val="24"/>
          <w:szCs w:val="24"/>
          <w:lang w:val="en-US"/>
        </w:rPr>
        <w:t>th ST-segment elevation. Eur Heart J. 2012;33(20):2569-619. https://doi.org/10.1093/eurheartj/ehs215.</w:t>
      </w:r>
    </w:p>
    <w:p w14:paraId="3FCF1CB0"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146. GUSTO Investigators. An international randomized trial comparing four thrombolytic strategies for acute myocardial infarction. The GUSTO investigators. N Engl J Med. 1993;329:673-82.</w:t>
      </w:r>
    </w:p>
    <w:p w14:paraId="078C6448"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sz w:val="24"/>
          <w:szCs w:val="24"/>
          <w:lang w:val="en-US"/>
        </w:rPr>
        <w:t>147. Van de Werf F, Ristić AD, Averkov OV, et al. Half-Dose Tenecteplase or Primary Percutaneous Coronary Intervention in Older Patients With ST-Segment-Elevation Myocardial Infarction in STREAM-2: A Randomized, Open-Label Trial. Circulation. 2023;148. https://doi.org/10.1161/CIRCULATIONAHA.123.064521.</w:t>
      </w:r>
    </w:p>
    <w:p w14:paraId="2FEFD78D"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148. Ellis SG, da Silva ER, Heyndrickx G, et al.; RЕSCUE Investigators. Randomized comparison of rescue angioplasty with conservative management of patients with early failure of thrombolysis for acute anterior myocardial infarction. Circulation. 1994;90(</w:t>
      </w:r>
      <w:r w:rsidRPr="00643109">
        <w:rPr>
          <w:rFonts w:ascii="Times New Roman" w:hAnsi="Times New Roman" w:cs="Times New Roman"/>
          <w:sz w:val="24"/>
          <w:szCs w:val="24"/>
          <w:lang w:val="en-US"/>
        </w:rPr>
        <w:t>5):2280-4.</w:t>
      </w:r>
    </w:p>
    <w:p w14:paraId="1F2D1B4F" w14:textId="77777777" w:rsidR="00902D93" w:rsidRPr="00F6333D"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149. Sutton AGC, Campbell PG, Graham R, et al. A randomized trial of rescue angioplasty versus a conservative approach for failed fibrinolysis in ST-segment elevation myocardial infarction: the Middlesbrough Early Revascularization to Limit INfarction (ME</w:t>
      </w:r>
      <w:r w:rsidRPr="00643109">
        <w:rPr>
          <w:rFonts w:ascii="Times New Roman" w:hAnsi="Times New Roman" w:cs="Times New Roman"/>
          <w:sz w:val="24"/>
          <w:szCs w:val="24"/>
          <w:lang w:val="en-US"/>
        </w:rPr>
        <w:t>RLIN) trial. J Am Coll Cardiol. 2004;44:287-96.</w:t>
      </w:r>
    </w:p>
    <w:p w14:paraId="207D6C6F"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150. Wijeysundera HC, Vijayaraghavan R, Nallamothu BK, et al. Rescue angioplasty or repeat fibrinolysis after failed fibrinolytic therapy for ST-segment myocardial infarction: a metaanalysis of randomized trials. J Am Coll Cardiol. 2007;49:422-30.</w:t>
      </w:r>
    </w:p>
    <w:p w14:paraId="06B5A3C9"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151. Collet JP, Montalesot G, Le May M, et al. Percutaneous coronary intervention after fibrinolysis: a multiple meta-analyses approach according to the type of strategy. J Am Coll Cardiol. 2006;48:1326-35.</w:t>
      </w:r>
    </w:p>
    <w:p w14:paraId="0159181C"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152. Appleton DL, Abbate A, Biondi-Zoccai GGL. Late percutaneous coronary intervention for the totally occluded infarct-related artery: a meta-analysis of the effects on cardiac function and remodeling. Catheter Cardiovasc Interv. 2008;71:772-81.</w:t>
      </w:r>
    </w:p>
    <w:p w14:paraId="51FEA597"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lastRenderedPageBreak/>
        <w:t xml:space="preserve">153. Ibanez B, James S, Agewall S, et al. 2017 ESC Guidelines for the management of acute myocardial infarction in patients presenting with ST-segment elevation: the task force for the management of acute myocardial infarction in patients presenting with </w:t>
      </w:r>
      <w:r w:rsidRPr="00643109">
        <w:rPr>
          <w:rFonts w:ascii="Times New Roman" w:hAnsi="Times New Roman" w:cs="Times New Roman"/>
          <w:sz w:val="24"/>
          <w:szCs w:val="24"/>
          <w:lang w:val="en-US"/>
        </w:rPr>
        <w:t>ST-segment elevation of the European Society of Cardiology. Eur Heart J. 2018;39:119-77.</w:t>
      </w:r>
    </w:p>
    <w:p w14:paraId="31236D45" w14:textId="77777777" w:rsidR="00902D93" w:rsidRPr="00F6333D"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 xml:space="preserve">154. O'Gara PT, Kushner FG, Ascheim DD, et al. 2013 ACCF/aha guideline for the management of ST-elevation myocardial infarction. A report of the American College of Cardiology Foundation/American Heart Association Task Force on Practice Guidelines. JACC. </w:t>
      </w:r>
      <w:r w:rsidRPr="00643109">
        <w:rPr>
          <w:rFonts w:ascii="Times New Roman" w:hAnsi="Times New Roman" w:cs="Times New Roman"/>
          <w:sz w:val="24"/>
          <w:szCs w:val="24"/>
          <w:lang w:val="en-US"/>
        </w:rPr>
        <w:t>2013;61:485-510.</w:t>
      </w:r>
    </w:p>
    <w:p w14:paraId="3723C616"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155. Brar SS, Shen AY, Jorgensen MB, et al. Sodium bicarbonate vs sodium chloride for the prevention of contrast medium-induced nephropathy in patients undergoing coronary angiography: a randomized trial. JAMA. 2008;300:1038-46. https://doi.org/10.1001/ja</w:t>
      </w:r>
      <w:r w:rsidRPr="00643109">
        <w:rPr>
          <w:rFonts w:ascii="Times New Roman" w:hAnsi="Times New Roman" w:cs="Times New Roman"/>
          <w:sz w:val="24"/>
          <w:szCs w:val="24"/>
          <w:lang w:val="en-US"/>
        </w:rPr>
        <w:t>ma.300.9.1038.</w:t>
      </w:r>
    </w:p>
    <w:p w14:paraId="7273018C"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156. Brar SS, Aharonian V, Mansukhani P, et al. Haemodynamic-guided fluid administration for the prevention of contrast-induced acute kidney injury: the POSEIDON randomized controlled trial. Lancet. 2014;383:1814-23. https://doi.org/10.1016/s0140-6736(14)</w:t>
      </w:r>
      <w:r w:rsidRPr="00643109">
        <w:rPr>
          <w:rFonts w:ascii="Times New Roman" w:hAnsi="Times New Roman" w:cs="Times New Roman"/>
          <w:sz w:val="24"/>
          <w:szCs w:val="24"/>
          <w:lang w:val="en-US"/>
        </w:rPr>
        <w:t>60689-9.</w:t>
      </w:r>
    </w:p>
    <w:p w14:paraId="410F439B" w14:textId="77777777" w:rsidR="00643109" w:rsidRPr="00F52FCA" w:rsidRDefault="00643109" w:rsidP="00A419DB">
      <w:pPr>
        <w:tabs>
          <w:tab w:val="left" w:pos="786"/>
        </w:tabs>
        <w:suppressAutoHyphens/>
        <w:spacing w:after="60" w:line="360" w:lineRule="auto"/>
        <w:jc w:val="both"/>
        <w:rPr>
          <w:rFonts w:ascii="Times New Roman" w:hAnsi="Times New Roman" w:cs="Times New Roman"/>
          <w:sz w:val="24"/>
          <w:szCs w:val="24"/>
          <w:lang w:val="fr-FR"/>
        </w:rPr>
      </w:pPr>
      <w:r w:rsidRPr="00643109">
        <w:rPr>
          <w:rFonts w:ascii="Times New Roman" w:hAnsi="Times New Roman" w:cs="Times New Roman" w:hint="eastAsia"/>
          <w:sz w:val="24"/>
          <w:szCs w:val="24"/>
          <w:lang w:val="en-US"/>
        </w:rPr>
        <w:t>157. Giacoppo D, Gargiulo G, Buccheri S, et al. Preventive strategies for contrast-induced acute kidney injury in patients undergoing percutaneous coronary procedures: evidence from a hierarchical Bayesian network meta-analysis of 124 trials and 28240 pat</w:t>
      </w:r>
      <w:r w:rsidRPr="00643109">
        <w:rPr>
          <w:rFonts w:ascii="Times New Roman" w:hAnsi="Times New Roman" w:cs="Times New Roman"/>
          <w:sz w:val="24"/>
          <w:szCs w:val="24"/>
          <w:lang w:val="en-US"/>
        </w:rPr>
        <w:t xml:space="preserve">ients. </w:t>
      </w:r>
      <w:r w:rsidRPr="00F52FCA">
        <w:rPr>
          <w:rFonts w:ascii="Times New Roman" w:hAnsi="Times New Roman" w:cs="Times New Roman"/>
          <w:sz w:val="24"/>
          <w:szCs w:val="24"/>
          <w:lang w:val="fr-FR"/>
        </w:rPr>
        <w:t>Circ Cardiovasc Interv. 2017;10:e004383. https://doi.org/10.1161/circinterventions.116.004383.</w:t>
      </w:r>
    </w:p>
    <w:p w14:paraId="01A172F2" w14:textId="77777777" w:rsidR="00643109" w:rsidRPr="00F52FCA" w:rsidRDefault="00643109" w:rsidP="00A419DB">
      <w:pPr>
        <w:tabs>
          <w:tab w:val="left" w:pos="786"/>
        </w:tabs>
        <w:suppressAutoHyphens/>
        <w:spacing w:after="60" w:line="360" w:lineRule="auto"/>
        <w:jc w:val="both"/>
        <w:rPr>
          <w:rFonts w:ascii="Times New Roman" w:hAnsi="Times New Roman" w:cs="Times New Roman"/>
          <w:sz w:val="24"/>
          <w:szCs w:val="24"/>
          <w:lang w:val="fr-FR"/>
        </w:rPr>
      </w:pPr>
      <w:r w:rsidRPr="00F52FCA">
        <w:rPr>
          <w:rFonts w:ascii="Times New Roman" w:hAnsi="Times New Roman" w:cs="Times New Roman" w:hint="eastAsia"/>
          <w:sz w:val="24"/>
          <w:szCs w:val="24"/>
          <w:lang w:val="fr-FR"/>
        </w:rPr>
        <w:t xml:space="preserve">158. Nijssen EC, Rennenberg RJ, Nelemans PJ, et al. </w:t>
      </w:r>
      <w:r w:rsidRPr="00643109">
        <w:rPr>
          <w:rFonts w:ascii="Times New Roman" w:hAnsi="Times New Roman" w:cs="Times New Roman" w:hint="eastAsia"/>
          <w:sz w:val="24"/>
          <w:szCs w:val="24"/>
          <w:lang w:val="en-US"/>
        </w:rPr>
        <w:t>Prophylactic hydration to protect renal function from intravascular iodinated contrast material in patients at high risk of contrast-induced nephropathy (AMACING): a prospective, randomised, phase 3, con</w:t>
      </w:r>
      <w:r w:rsidRPr="00643109">
        <w:rPr>
          <w:rFonts w:ascii="Times New Roman" w:hAnsi="Times New Roman" w:cs="Times New Roman"/>
          <w:sz w:val="24"/>
          <w:szCs w:val="24"/>
          <w:lang w:val="en-US"/>
        </w:rPr>
        <w:t xml:space="preserve">trolled, open-label, non-inferiority trial. </w:t>
      </w:r>
      <w:r w:rsidRPr="00F52FCA">
        <w:rPr>
          <w:rFonts w:ascii="Times New Roman" w:hAnsi="Times New Roman" w:cs="Times New Roman"/>
          <w:sz w:val="24"/>
          <w:szCs w:val="24"/>
          <w:lang w:val="fr-FR"/>
        </w:rPr>
        <w:t>Lancet. 2017;389:1312-322. https://doi.org/10.1016/s0140-6736(17)30057-0.</w:t>
      </w:r>
    </w:p>
    <w:p w14:paraId="29C35507"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159. Aspelin P, Aubry P, Fransson SG, et al. </w:t>
      </w:r>
      <w:r w:rsidRPr="00643109">
        <w:rPr>
          <w:rFonts w:ascii="Times New Roman" w:hAnsi="Times New Roman" w:cs="Times New Roman" w:hint="eastAsia"/>
          <w:sz w:val="24"/>
          <w:szCs w:val="24"/>
          <w:lang w:val="en-US"/>
        </w:rPr>
        <w:t>Nephrotoxic effects in high-risk patients undergoing angiography. N Engl J Med. 2003;348:491-9.</w:t>
      </w:r>
    </w:p>
    <w:p w14:paraId="45A1C057"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160. Jo SH, Youn TJ, Koo BK, et al. Renal toxicity evaluation and comparison between Visipaque (iodixanol) and Hexabrix (ioxaglate) in patients with renal insufficiency undergoing coronary angiography: the RECOVER study: a randomized controlled trial. J A</w:t>
      </w:r>
      <w:r w:rsidRPr="00643109">
        <w:rPr>
          <w:rFonts w:ascii="Times New Roman" w:hAnsi="Times New Roman" w:cs="Times New Roman"/>
          <w:sz w:val="24"/>
          <w:szCs w:val="24"/>
          <w:lang w:val="en-US"/>
        </w:rPr>
        <w:t>m Coll Cardiol. 2006;48:924-30.</w:t>
      </w:r>
    </w:p>
    <w:p w14:paraId="695CA3EE"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161. Solomon RJ, Natarajan MK, Doucet S, et al. Cardiac Angiography in Renally Impaired Patients (CARE) study: a randomized double-blind trial of contrast-induced nephropathy in patients with chronic kidney disease. Circulation. 2007;115:3189-96.</w:t>
      </w:r>
    </w:p>
    <w:p w14:paraId="2209CD36"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lastRenderedPageBreak/>
        <w:t>162. Maioli M, Toso A, Leoncini M, et al. Effects of hydration in contrast-induced acute kidney injury after primary angioplasty: a randomized, controlled trial. Circ Cardiovasc Interv. 2011;4:456-62.</w:t>
      </w:r>
    </w:p>
    <w:p w14:paraId="6D124BBC"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163. Tweet MS, Eleid MF, Best PJM, et al. Spontaneous coronary artery dissection: revascularization versus conservative therapy. Circ Cardiovasc Interv. 2014;7:777-86. https://doi.org/10.1161/circinterventions.114.001659.</w:t>
      </w:r>
    </w:p>
    <w:p w14:paraId="71F05132"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164. Hayes SN, Tweet MS, Adlam D, et al. Spontaneous coronary artery dissection: JACC Stateof-the-Art Review. J Am Coll Cardiol. 2020;76:961-84. https://doi.org/10.1016/j.jacc.2020.05.084.</w:t>
      </w:r>
    </w:p>
    <w:p w14:paraId="2B67EC91"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165. Adlam D, Alfonso F, Maas A, Vrints C. European Society of Cardiology, Acute Cardiovascular Care Association, SCAD study group: a position paper on spontaneous coronary artery dissection. Eur Heart J. 2018;39:3353-68. https://doi.org/10.1093/eurheartj</w:t>
      </w:r>
      <w:r w:rsidRPr="00643109">
        <w:rPr>
          <w:rFonts w:ascii="Times New Roman" w:hAnsi="Times New Roman" w:cs="Times New Roman"/>
          <w:sz w:val="24"/>
          <w:szCs w:val="24"/>
          <w:lang w:val="en-US"/>
        </w:rPr>
        <w:t>/ehy080.</w:t>
      </w:r>
    </w:p>
    <w:p w14:paraId="4CEB44D3"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166. Jackson R, Al-Hussaini A, Joseph S, et al. Spontaneous coronary artery dissection: pathophysiological insights from optical coherence tomography. JACC Cardiovasc Imaging. 2019;12:2475-88. https://doi.org/10.1016/j.jcmg.2019.01.015.</w:t>
      </w:r>
    </w:p>
    <w:p w14:paraId="78BC3DCC" w14:textId="77777777" w:rsidR="00643109" w:rsidRPr="00F52FCA" w:rsidRDefault="00643109" w:rsidP="00A419DB">
      <w:pPr>
        <w:tabs>
          <w:tab w:val="left" w:pos="786"/>
        </w:tabs>
        <w:suppressAutoHyphens/>
        <w:spacing w:after="60" w:line="360" w:lineRule="auto"/>
        <w:jc w:val="both"/>
        <w:rPr>
          <w:rFonts w:ascii="Times New Roman" w:hAnsi="Times New Roman" w:cs="Times New Roman"/>
          <w:sz w:val="24"/>
          <w:szCs w:val="24"/>
          <w:lang w:val="fr-FR"/>
        </w:rPr>
      </w:pPr>
      <w:r w:rsidRPr="00643109">
        <w:rPr>
          <w:rFonts w:ascii="Times New Roman" w:hAnsi="Times New Roman" w:cs="Times New Roman" w:hint="eastAsia"/>
          <w:sz w:val="24"/>
          <w:szCs w:val="24"/>
          <w:lang w:val="en-US"/>
        </w:rPr>
        <w:t xml:space="preserve">167. Hayes SN, Kim ESH, Saw J, et al. Spontaneous coronary artery dissection: current state of the science: a scientific statement from the American Heart Association. </w:t>
      </w:r>
      <w:r w:rsidRPr="00F52FCA">
        <w:rPr>
          <w:rFonts w:ascii="Times New Roman" w:hAnsi="Times New Roman" w:cs="Times New Roman" w:hint="eastAsia"/>
          <w:sz w:val="24"/>
          <w:szCs w:val="24"/>
          <w:lang w:val="fr-FR"/>
        </w:rPr>
        <w:t>Circulation. 2018;137:e523-e557. https://doi.org/10.1161/cir.0000000000000564.</w:t>
      </w:r>
    </w:p>
    <w:p w14:paraId="689BB192"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168. Alfonso F, de la Torre Hernández JM, Ibáñez B, et al. </w:t>
      </w:r>
      <w:r w:rsidRPr="00643109">
        <w:rPr>
          <w:rFonts w:ascii="Times New Roman" w:hAnsi="Times New Roman" w:cs="Times New Roman" w:hint="eastAsia"/>
          <w:sz w:val="24"/>
          <w:szCs w:val="24"/>
          <w:lang w:val="en-US"/>
        </w:rPr>
        <w:t>Rationale and design of the BA-SCAD (Beta-blockers and Antiplatelet agents in patients with Spontaneous Coronary Artery Dissection) randomized clinical trial. Rev Esp Cardiol (Engl Ed). 2022;75: 5</w:t>
      </w:r>
      <w:r w:rsidRPr="00643109">
        <w:rPr>
          <w:rFonts w:ascii="Times New Roman" w:hAnsi="Times New Roman" w:cs="Times New Roman"/>
          <w:sz w:val="24"/>
          <w:szCs w:val="24"/>
          <w:lang w:val="en-US"/>
        </w:rPr>
        <w:t>15-22. https://doi.org/10.1016/j.rec.2021.08.003.</w:t>
      </w:r>
    </w:p>
    <w:p w14:paraId="37F80E9F"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169. Tweet MS, Eleid MF, Best PJM, et al. Spontaneous coronary artery dissection: revascularization versus conservative therapy. Circ Cardiovasc Interv. 2014;7:777-86. https://doi.org/10.1161/circinterventions.114.001659.</w:t>
      </w:r>
    </w:p>
    <w:p w14:paraId="4255C8C5"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170. Hayes SN, Tweet MS, Adlam D, et al. Spontaneous coronary artery dissection: JACC Stateof-the-Art Review. J Am Coll Cardiol. 2020;76:961-84. https://doi.org/10.1016/j.jacc.2020.05.084.</w:t>
      </w:r>
    </w:p>
    <w:p w14:paraId="700413B1"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171. Corrigendum to: 2018 ESC/EACTS Guidelines on myocardial revascularization. Eur Heart J. 2019;40(37):3096. https://doi.org/10.1093/eurheartj/ehz507. Erratum for: Eur Heart J. 2019;40(2):87-165.</w:t>
      </w:r>
    </w:p>
    <w:p w14:paraId="67745D3E"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 xml:space="preserve">172. Thielmann M, Wendt D, Slottosch I, et al. Coronary artery bypass graft surgery in patients with acute coronary syndromes after primary percutaneous coronary intervention: a current report </w:t>
      </w:r>
      <w:r w:rsidRPr="00643109">
        <w:rPr>
          <w:rFonts w:ascii="Times New Roman" w:hAnsi="Times New Roman" w:cs="Times New Roman" w:hint="eastAsia"/>
          <w:sz w:val="24"/>
          <w:szCs w:val="24"/>
          <w:lang w:val="en-US"/>
        </w:rPr>
        <w:lastRenderedPageBreak/>
        <w:t>from the north-Rhine Westphalia surgical myocardial infarction</w:t>
      </w:r>
      <w:r w:rsidRPr="00643109">
        <w:rPr>
          <w:rFonts w:ascii="Times New Roman" w:hAnsi="Times New Roman" w:cs="Times New Roman"/>
          <w:sz w:val="24"/>
          <w:szCs w:val="24"/>
          <w:lang w:val="en-US"/>
        </w:rPr>
        <w:t xml:space="preserve"> registry. J Am Heart Assoc. 2021;10:e021182. https://doi.org/10.1161/jaha.121.021182.</w:t>
      </w:r>
    </w:p>
    <w:p w14:paraId="7629FBBF"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173. Hochman JS, Sleeper LA, Webb JG, et al. Early revascularization in acute myocardial infarction complicated by cardiogenic shock. SHOCK Investigators. Should We Emergently Revascularize Occluded Coronaries for Cardiogenic Shock. N Engl J Med. 1999;341</w:t>
      </w:r>
      <w:r w:rsidRPr="00643109">
        <w:rPr>
          <w:rFonts w:ascii="Times New Roman" w:hAnsi="Times New Roman" w:cs="Times New Roman"/>
          <w:sz w:val="24"/>
          <w:szCs w:val="24"/>
          <w:lang w:val="en-US"/>
        </w:rPr>
        <w:t>(9):625-34. https://doi.org/10.1056/NEJM199908263410901.</w:t>
      </w:r>
    </w:p>
    <w:p w14:paraId="43ABC1A0" w14:textId="77777777" w:rsidR="00643109" w:rsidRPr="00F52FCA" w:rsidRDefault="00643109" w:rsidP="00A419DB">
      <w:pPr>
        <w:tabs>
          <w:tab w:val="left" w:pos="786"/>
        </w:tabs>
        <w:suppressAutoHyphens/>
        <w:spacing w:after="60" w:line="360" w:lineRule="auto"/>
        <w:jc w:val="both"/>
        <w:rPr>
          <w:rFonts w:ascii="Times New Roman" w:hAnsi="Times New Roman" w:cs="Times New Roman"/>
          <w:sz w:val="24"/>
          <w:szCs w:val="24"/>
          <w:lang w:val="fr-FR"/>
        </w:rPr>
      </w:pPr>
      <w:r w:rsidRPr="00643109">
        <w:rPr>
          <w:rFonts w:ascii="Times New Roman" w:hAnsi="Times New Roman" w:cs="Times New Roman" w:hint="eastAsia"/>
          <w:sz w:val="24"/>
          <w:szCs w:val="24"/>
          <w:lang w:val="en-US"/>
        </w:rPr>
        <w:t xml:space="preserve">174. Thiele H, Akin I, Sandri M, et al.; on behalf of the CULPRIT‐SHOCK Investigators. PCI strategies in patients with acute myocardial infarction and cardiogenic shock. </w:t>
      </w:r>
      <w:r w:rsidRPr="00F52FCA">
        <w:rPr>
          <w:rFonts w:ascii="Times New Roman" w:hAnsi="Times New Roman" w:cs="Times New Roman" w:hint="eastAsia"/>
          <w:sz w:val="24"/>
          <w:szCs w:val="24"/>
          <w:lang w:val="fr-FR"/>
        </w:rPr>
        <w:t>N Engl J Med. 2017;377:2419-32.</w:t>
      </w:r>
    </w:p>
    <w:p w14:paraId="2F2FFF0D"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175. Ellis SG, Tendera M, de Belder MA, et al. </w:t>
      </w:r>
      <w:r w:rsidRPr="00643109">
        <w:rPr>
          <w:rFonts w:ascii="Times New Roman" w:hAnsi="Times New Roman" w:cs="Times New Roman" w:hint="eastAsia"/>
          <w:sz w:val="24"/>
          <w:szCs w:val="24"/>
          <w:lang w:val="en-US"/>
        </w:rPr>
        <w:t>Facilitated PCI in patients with ST-elevation myocardial infarction. N Engl J Med. 2008;358:2205-17.</w:t>
      </w:r>
    </w:p>
    <w:p w14:paraId="5F586D16"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 xml:space="preserve">176. Thiele H, Eitel I, Meinberg C, et al. Randomized comparison of pre-hospital-initiated facilitated percutaneous coronary intervention versus primary percutaneous coronary intervention in acute myocardial infarction very early after symptom onset: the </w:t>
      </w:r>
      <w:r w:rsidRPr="00643109">
        <w:rPr>
          <w:rFonts w:ascii="Times New Roman" w:hAnsi="Times New Roman" w:cs="Times New Roman"/>
          <w:sz w:val="24"/>
          <w:szCs w:val="24"/>
          <w:lang w:val="en-US"/>
        </w:rPr>
        <w:t>LIPSIASTEMI trial (Leipzig immediate prehospital facilitated angioplasty in ST-segment myocardial infarction) JACC Cardiovasc Interv. 2011;4:605-14.</w:t>
      </w:r>
    </w:p>
    <w:p w14:paraId="5E5DDD40"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177. Thiele H, Akin I, Sandri M, et al.; for the CULPRIT-SHOCK Investigators. One-Year Outcomes after PCI Strategies in Cardiogenic Shock. N Engl J Med. 2018;379(18):1699-710. https://doi.org/10.1056/NEJMoa1808788.</w:t>
      </w:r>
    </w:p>
    <w:p w14:paraId="51FDCE8B"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178. Farhan S, Vogel B, Monta lescot G, et al. Association of Culprit Lesion Location With Outcomes of Culprit-Lesion-Only vs Immediate Multivessel Percutaneous Coronary Intervention in Cardiogenic Shock: A Post Hoc Analysis of a Randomized Clinical Trial</w:t>
      </w:r>
      <w:r w:rsidRPr="00643109">
        <w:rPr>
          <w:rFonts w:ascii="Times New Roman" w:hAnsi="Times New Roman" w:cs="Times New Roman"/>
          <w:sz w:val="24"/>
          <w:szCs w:val="24"/>
          <w:lang w:val="en-US"/>
        </w:rPr>
        <w:t>. JAMA Cardiol. 2020;5(12):1329-37. https://doi.org/10.1001/jamacardio.2020.3377.</w:t>
      </w:r>
    </w:p>
    <w:p w14:paraId="10E992B9" w14:textId="77777777" w:rsidR="00643109" w:rsidRPr="00F52FCA" w:rsidRDefault="00643109" w:rsidP="00A419DB">
      <w:pPr>
        <w:tabs>
          <w:tab w:val="left" w:pos="786"/>
        </w:tabs>
        <w:suppressAutoHyphens/>
        <w:spacing w:after="60" w:line="360" w:lineRule="auto"/>
        <w:jc w:val="both"/>
        <w:rPr>
          <w:rFonts w:ascii="Times New Roman" w:hAnsi="Times New Roman" w:cs="Times New Roman"/>
          <w:sz w:val="24"/>
          <w:szCs w:val="24"/>
          <w:lang w:val="fr-FR"/>
        </w:rPr>
      </w:pPr>
      <w:r w:rsidRPr="00643109">
        <w:rPr>
          <w:rFonts w:ascii="Times New Roman" w:hAnsi="Times New Roman" w:cs="Times New Roman" w:hint="eastAsia"/>
          <w:sz w:val="24"/>
          <w:szCs w:val="24"/>
          <w:lang w:val="en-US"/>
        </w:rPr>
        <w:t xml:space="preserve">179. Lemkes JS, Janssens GN, van der Hoeven NW, et al. Coronary angiography after cardiac arrest without ST segment elevation: one-year outcomes of the COACT randomized clinical trial. </w:t>
      </w:r>
      <w:r w:rsidRPr="00F52FCA">
        <w:rPr>
          <w:rFonts w:ascii="Times New Roman" w:hAnsi="Times New Roman" w:cs="Times New Roman" w:hint="eastAsia"/>
          <w:sz w:val="24"/>
          <w:szCs w:val="24"/>
          <w:lang w:val="fr-FR"/>
        </w:rPr>
        <w:t>JAMA Cardiol. 2020;5:1358-65. https://doi.org/10.1001/jamacardio.2020.</w:t>
      </w:r>
      <w:r w:rsidRPr="00F52FCA">
        <w:rPr>
          <w:rFonts w:ascii="Times New Roman" w:hAnsi="Times New Roman" w:cs="Times New Roman"/>
          <w:sz w:val="24"/>
          <w:szCs w:val="24"/>
          <w:lang w:val="fr-FR"/>
        </w:rPr>
        <w:t>3670.</w:t>
      </w:r>
    </w:p>
    <w:p w14:paraId="6BAE9015"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180. Kunadian V, Chieffo A, Camici PG, et al. </w:t>
      </w:r>
      <w:r w:rsidRPr="00643109">
        <w:rPr>
          <w:rFonts w:ascii="Times New Roman" w:hAnsi="Times New Roman" w:cs="Times New Roman" w:hint="eastAsia"/>
          <w:sz w:val="24"/>
          <w:szCs w:val="24"/>
          <w:lang w:val="en-US"/>
        </w:rPr>
        <w:t>An EAPCI expert consensus document on ischaemia with non-obstructive coronary arteries in collaboration with European Society of Cardiology Working Group on Coronary Pathophysiology &amp; Microcirculation Endorsed</w:t>
      </w:r>
      <w:r w:rsidRPr="00643109">
        <w:rPr>
          <w:rFonts w:ascii="Times New Roman" w:hAnsi="Times New Roman" w:cs="Times New Roman"/>
          <w:sz w:val="24"/>
          <w:szCs w:val="24"/>
          <w:lang w:val="en-US"/>
        </w:rPr>
        <w:t xml:space="preserve"> by Coronary Vasomotor Disorders International Study Group. Eur Heart J. 2020;41: 3504-20. https://doi.org/10.1093/eurheartj/ehaa503.</w:t>
      </w:r>
    </w:p>
    <w:p w14:paraId="22DA5D68"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545863">
        <w:rPr>
          <w:rFonts w:ascii="Times New Roman" w:hAnsi="Times New Roman" w:cs="Times New Roman" w:hint="eastAsia"/>
          <w:sz w:val="24"/>
          <w:szCs w:val="24"/>
          <w:lang w:val="en-US"/>
        </w:rPr>
        <w:lastRenderedPageBreak/>
        <w:t xml:space="preserve">181. Pathik B, Raman B, Mohd Amin NH, et al. </w:t>
      </w:r>
      <w:r w:rsidRPr="00643109">
        <w:rPr>
          <w:rFonts w:ascii="Times New Roman" w:hAnsi="Times New Roman" w:cs="Times New Roman" w:hint="eastAsia"/>
          <w:sz w:val="24"/>
          <w:szCs w:val="24"/>
          <w:lang w:val="en-US"/>
        </w:rPr>
        <w:t>Troponin-positive chest pain with unobstructed coronary arteries: incremental diag- nostic value of cardiovascular magnetic resonance imaging. Eur Heart J Cardiovasc Imaging. 2016;17:1146-52. https://doi.org/10</w:t>
      </w:r>
      <w:r w:rsidRPr="00643109">
        <w:rPr>
          <w:rFonts w:ascii="Times New Roman" w:hAnsi="Times New Roman" w:cs="Times New Roman"/>
          <w:sz w:val="24"/>
          <w:szCs w:val="24"/>
          <w:lang w:val="en-US"/>
        </w:rPr>
        <w:t>.1093/ehjci/jev289.</w:t>
      </w:r>
    </w:p>
    <w:p w14:paraId="2E3E284A"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182. Reynolds HR, Maehara A, Kwong RY, et al. Coronary optical coherence tomography and cardiac magnetic resonance imaging to determine underlying causes of myocardial infarction with nonobstructive coronary arteries in women. Circulation. 2021;143:624-40</w:t>
      </w:r>
      <w:r w:rsidRPr="00643109">
        <w:rPr>
          <w:rFonts w:ascii="Times New Roman" w:hAnsi="Times New Roman" w:cs="Times New Roman"/>
          <w:sz w:val="24"/>
          <w:szCs w:val="24"/>
          <w:lang w:val="en-US"/>
        </w:rPr>
        <w:t>. https://doi.org/10.1161/circulationaha.120.052008.</w:t>
      </w:r>
    </w:p>
    <w:p w14:paraId="219C59A1"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183. Bonin M, Mewton N, Roubille F, et al.; for CIRCUS Study Investigators. Effect and safety of morphine use in acute anterior ST-segment elevation myocardial infarction. J Am Heart Assoc. 2018;7(4). pii: e006833. https://doi.org/10.1161/JAHA.117.006833.</w:t>
      </w:r>
    </w:p>
    <w:p w14:paraId="0627388E"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184. Lapostolle F, Van't Hof AW, Hamm CW, et al.; for ATLANTIC Investigators. Morphine and ticagrelor interaction in primary percutaneous coronary intervention in ST-segment elevation myocardial infarction: ATLANTIC-Morphine. Am J Cardiovasc Drugs. 2019;1</w:t>
      </w:r>
      <w:r w:rsidRPr="00643109">
        <w:rPr>
          <w:rFonts w:ascii="Times New Roman" w:hAnsi="Times New Roman" w:cs="Times New Roman"/>
          <w:sz w:val="24"/>
          <w:szCs w:val="24"/>
          <w:lang w:val="en-US"/>
        </w:rPr>
        <w:t>9(2):173-83. https://doi.org/10.1007/s40256-018-0305-0.</w:t>
      </w:r>
    </w:p>
    <w:p w14:paraId="29B14281"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185. Thomas MR, Morton AC, Hossain R, et al. Morphine delays the onset of action of prasugrel in patients with prior history of ST-elevation myocardial infarction. ThrombHaemost. 2016;116(1):96-102. https://doi.org/10.1160/TH16-02-0102.</w:t>
      </w:r>
    </w:p>
    <w:p w14:paraId="10511B12"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186. Hobl EL, Stimpfl T, Ebner J, et al. Morphine decreases clopidogrel concentrations and effects: a randomized, double-blind, placebo-controlled trial. J Am Coll Cardiol. 2014;63(7):630-5.</w:t>
      </w:r>
    </w:p>
    <w:p w14:paraId="12882A9A" w14:textId="77777777" w:rsidR="00643109" w:rsidRPr="00F52FCA" w:rsidRDefault="00643109" w:rsidP="00A419DB">
      <w:pPr>
        <w:tabs>
          <w:tab w:val="left" w:pos="786"/>
        </w:tabs>
        <w:suppressAutoHyphens/>
        <w:spacing w:after="60" w:line="360" w:lineRule="auto"/>
        <w:jc w:val="both"/>
        <w:rPr>
          <w:rFonts w:ascii="Times New Roman" w:hAnsi="Times New Roman" w:cs="Times New Roman"/>
          <w:sz w:val="24"/>
          <w:szCs w:val="24"/>
          <w:lang w:val="fr-FR"/>
        </w:rPr>
      </w:pPr>
      <w:r w:rsidRPr="00643109">
        <w:rPr>
          <w:rFonts w:ascii="Times New Roman" w:hAnsi="Times New Roman" w:cs="Times New Roman" w:hint="eastAsia"/>
          <w:sz w:val="24"/>
          <w:szCs w:val="24"/>
          <w:lang w:val="en-US"/>
        </w:rPr>
        <w:t xml:space="preserve">187. Baumeister H, Hutter N, Bengel J. Psychological and pharmacological interventions for depression in patients with coronary artery disease. </w:t>
      </w:r>
      <w:r w:rsidRPr="00F52FCA">
        <w:rPr>
          <w:rFonts w:ascii="Times New Roman" w:hAnsi="Times New Roman" w:cs="Times New Roman" w:hint="eastAsia"/>
          <w:sz w:val="24"/>
          <w:szCs w:val="24"/>
          <w:lang w:val="fr-FR"/>
        </w:rPr>
        <w:t>Cochrane Database Syst Rev. 2011;2011:Cd008012. https://doi.org/10.1002/14651858.CD008012.pub3.</w:t>
      </w:r>
    </w:p>
    <w:p w14:paraId="0CD71E1B"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188. Richards SH, Anderson L, Jenkinson CE, et al. </w:t>
      </w:r>
      <w:r w:rsidRPr="00643109">
        <w:rPr>
          <w:rFonts w:ascii="Times New Roman" w:hAnsi="Times New Roman" w:cs="Times New Roman" w:hint="eastAsia"/>
          <w:sz w:val="24"/>
          <w:szCs w:val="24"/>
          <w:lang w:val="en-US"/>
        </w:rPr>
        <w:t>Psychological interventions for coronary heart disease: cochrane systematic review and meta-analysis. Eur J Prev Cardiol. 2018;25:247-59. https://doi.org/10.1177/2047487317739978.</w:t>
      </w:r>
    </w:p>
    <w:p w14:paraId="33AAA237"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189. Hofmann R, James SK, Jernberg T, et al.; DETO2X-SWEDEHEART Investigators. Oxygen therapy in suspected acute myocardial infarction. N Engl J Med. 2017;377:1240-9.</w:t>
      </w:r>
    </w:p>
    <w:p w14:paraId="341DD87F"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190. Stub D, Smith K, Bernard S, et al.; AVOID Investigators. Air versus oxygen in ST-segment-elevation myocardial infarction. Circulation. 2015;131(24):2143-50. https://doi.org/10.1161/CIRCULATIONAHA.114.014494.</w:t>
      </w:r>
    </w:p>
    <w:p w14:paraId="780742AC"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lastRenderedPageBreak/>
        <w:t>191. Antithrombotic Trialists' Collaboration. Collaborative meta-analysis of randomised trials of antiplatelet therapy for prevention of death, myocardial infarction, and stroke in high risk patients. BMJ. 2002;324(7329):71-86.</w:t>
      </w:r>
    </w:p>
    <w:p w14:paraId="4995A5B6"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192. Antithrombotic Trialists' (ATT) Collaboration. Aspirin in the primary and secondary prevention of vascular disease: collaborative meta-analysis of individual participant data from randomised trials. Lancet. 2009;373:1849-60. https://doi.org/10.1016/s</w:t>
      </w:r>
      <w:r w:rsidRPr="00643109">
        <w:rPr>
          <w:rFonts w:ascii="Times New Roman" w:hAnsi="Times New Roman" w:cs="Times New Roman"/>
          <w:sz w:val="24"/>
          <w:szCs w:val="24"/>
          <w:lang w:val="en-US"/>
        </w:rPr>
        <w:t>0140-6736(09)60503-1.</w:t>
      </w:r>
    </w:p>
    <w:p w14:paraId="0D03203F" w14:textId="77777777" w:rsidR="00643109" w:rsidRPr="00F52FCA" w:rsidRDefault="00643109" w:rsidP="00A419DB">
      <w:pPr>
        <w:tabs>
          <w:tab w:val="left" w:pos="786"/>
        </w:tabs>
        <w:suppressAutoHyphens/>
        <w:spacing w:after="60" w:line="360" w:lineRule="auto"/>
        <w:jc w:val="both"/>
        <w:rPr>
          <w:rFonts w:ascii="Times New Roman" w:hAnsi="Times New Roman" w:cs="Times New Roman"/>
          <w:sz w:val="24"/>
          <w:szCs w:val="24"/>
          <w:lang w:val="fr-FR"/>
        </w:rPr>
      </w:pPr>
      <w:r w:rsidRPr="00643109">
        <w:rPr>
          <w:rFonts w:ascii="Times New Roman" w:hAnsi="Times New Roman" w:cs="Times New Roman" w:hint="eastAsia"/>
          <w:sz w:val="24"/>
          <w:szCs w:val="24"/>
          <w:lang w:val="en-US"/>
        </w:rPr>
        <w:t xml:space="preserve">193. Chen ZM, Jiang LX, Chen YP, et al.; COMMIT (ClOpidogrel and Metoprolol in Myocardial Infarction Trial) Collaborative Group. Addition of clopidogrel to aspirin in 45,852 patients with acute myocardial infarction: randomised placebo-controlled trial. </w:t>
      </w:r>
      <w:r w:rsidRPr="00F52FCA">
        <w:rPr>
          <w:rFonts w:ascii="Times New Roman" w:hAnsi="Times New Roman" w:cs="Times New Roman" w:hint="eastAsia"/>
          <w:sz w:val="24"/>
          <w:szCs w:val="24"/>
          <w:lang w:val="fr-FR"/>
        </w:rPr>
        <w:t>L</w:t>
      </w:r>
      <w:r w:rsidRPr="00F52FCA">
        <w:rPr>
          <w:rFonts w:ascii="Times New Roman" w:hAnsi="Times New Roman" w:cs="Times New Roman"/>
          <w:sz w:val="24"/>
          <w:szCs w:val="24"/>
          <w:lang w:val="fr-FR"/>
        </w:rPr>
        <w:t>ancet. 2005;366(9497):1607-21.</w:t>
      </w:r>
    </w:p>
    <w:p w14:paraId="4BF8BE4B"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194. Sabatine MS, Cannon CP, Gibson CM, et al.; CLARITY-TIMI 28 Investigators. </w:t>
      </w:r>
      <w:r w:rsidRPr="00643109">
        <w:rPr>
          <w:rFonts w:ascii="Times New Roman" w:hAnsi="Times New Roman" w:cs="Times New Roman" w:hint="eastAsia"/>
          <w:sz w:val="24"/>
          <w:szCs w:val="24"/>
          <w:lang w:val="en-US"/>
        </w:rPr>
        <w:t>Addition of clopidogrel to aspirin and fibrinolytic therapy for myocardial infarction with ST-segment elevation. N Engl J Med. 2005;352(12):1179-89.</w:t>
      </w:r>
    </w:p>
    <w:p w14:paraId="20A91FEF"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195. Berwanger O, Lopes RD, Moia DDF, et al. Ticagrelor versus clopidogrel in patients with STEMI treated with fibrinolysis: TREAT trial. J Am Coll Cardiol. 2019;73:2819-28. https://doi.org/10.1016/j.jacc.2019.03.011.</w:t>
      </w:r>
    </w:p>
    <w:p w14:paraId="133AE1C1"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196. James SK, Roe MT, Cannon CP, et al. Ticagrelor versus clopidogrel in patients with acute coronary syndromes intended for non-invasive management: substudy from prospective randomisedPLATelet inhibition and patient Outcomes (PLATO) trial. BMJ. 2011;3</w:t>
      </w:r>
      <w:r w:rsidRPr="00643109">
        <w:rPr>
          <w:rFonts w:ascii="Times New Roman" w:hAnsi="Times New Roman" w:cs="Times New Roman"/>
          <w:sz w:val="24"/>
          <w:szCs w:val="24"/>
          <w:lang w:val="en-US"/>
        </w:rPr>
        <w:t>42: d3527. https://doi.org/10.1136/bmj.d3527.</w:t>
      </w:r>
    </w:p>
    <w:p w14:paraId="54F358FE"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197. Montalescot G, Wiviott SD, Braunwald E, et al. Prasugrel compared with clopidogrel in patients undergoing percutaneous coronary intervention for ST-elevation myocardial infarction (TRITON-TIMI 38): double-blind, randomised controlled trial. Lancet. 2</w:t>
      </w:r>
      <w:r w:rsidRPr="00643109">
        <w:rPr>
          <w:rFonts w:ascii="Times New Roman" w:hAnsi="Times New Roman" w:cs="Times New Roman"/>
          <w:sz w:val="24"/>
          <w:szCs w:val="24"/>
          <w:lang w:val="en-US"/>
        </w:rPr>
        <w:t>009;373:723-31. https://doi.org/10.1016/S0140-6736(09)60441-4.</w:t>
      </w:r>
    </w:p>
    <w:p w14:paraId="16A9E4BD" w14:textId="77777777" w:rsidR="00643109" w:rsidRPr="00643109"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198. Schüpke S, Neumann FJ, Menichelli M, et al. Ticagrelor or prasugrel in patients with acute coronary syndromes. N Engl J Med. 2019;381:1524-34. https://doi.org/10.1056/NEJMoa1908973.</w:t>
      </w:r>
    </w:p>
    <w:p w14:paraId="0EB8DFAF" w14:textId="77777777" w:rsidR="00AF411E" w:rsidRPr="00DB1562" w:rsidRDefault="00643109" w:rsidP="00A419DB">
      <w:pPr>
        <w:tabs>
          <w:tab w:val="left" w:pos="786"/>
        </w:tabs>
        <w:suppressAutoHyphens/>
        <w:spacing w:after="60" w:line="360" w:lineRule="auto"/>
        <w:jc w:val="both"/>
        <w:rPr>
          <w:rFonts w:ascii="Times New Roman" w:hAnsi="Times New Roman" w:cs="Times New Roman"/>
          <w:sz w:val="24"/>
          <w:szCs w:val="24"/>
          <w:lang w:val="en-US"/>
        </w:rPr>
      </w:pPr>
      <w:r w:rsidRPr="00643109">
        <w:rPr>
          <w:rFonts w:ascii="Times New Roman" w:hAnsi="Times New Roman" w:cs="Times New Roman" w:hint="eastAsia"/>
          <w:sz w:val="24"/>
          <w:szCs w:val="24"/>
          <w:lang w:val="en-US"/>
        </w:rPr>
        <w:t xml:space="preserve">199. Coughlan JJ, Aytekin A, Lahu S, et al. Ticagrelor or prasugrel for patients with acute coronary syndrome treated with percutaneous coronary intervention: a prespecified subgroup analysis of a randomized clinical trial. </w:t>
      </w:r>
      <w:r w:rsidRPr="00F52FCA">
        <w:rPr>
          <w:rFonts w:ascii="Times New Roman" w:hAnsi="Times New Roman" w:cs="Times New Roman" w:hint="eastAsia"/>
          <w:sz w:val="24"/>
          <w:szCs w:val="24"/>
          <w:lang w:val="fr-FR"/>
        </w:rPr>
        <w:t>JAMA Cardiol. 2021;6:1121-9. ht</w:t>
      </w:r>
      <w:r w:rsidRPr="00F52FCA">
        <w:rPr>
          <w:rFonts w:ascii="Times New Roman" w:hAnsi="Times New Roman" w:cs="Times New Roman"/>
          <w:sz w:val="24"/>
          <w:szCs w:val="24"/>
          <w:lang w:val="fr-FR"/>
        </w:rPr>
        <w:t>tps://doi.org/10.1001/jamacardio.2021.2228.</w:t>
      </w:r>
      <w:r w:rsidR="00AF411E" w:rsidRPr="00F52FCA">
        <w:rPr>
          <w:rFonts w:ascii="Times New Roman" w:hAnsi="Times New Roman" w:cs="Times New Roman" w:hint="eastAsia"/>
          <w:sz w:val="24"/>
          <w:szCs w:val="24"/>
          <w:lang w:val="fr-FR"/>
        </w:rPr>
        <w:t xml:space="preserve">200. Khan SU, Khan MZ, Asad ZUA, et al. </w:t>
      </w:r>
      <w:r w:rsidR="00AF411E" w:rsidRPr="00AF411E">
        <w:rPr>
          <w:rFonts w:ascii="Times New Roman" w:hAnsi="Times New Roman" w:cs="Times New Roman" w:hint="eastAsia"/>
          <w:sz w:val="24"/>
          <w:szCs w:val="24"/>
          <w:lang w:val="en-US"/>
        </w:rPr>
        <w:t xml:space="preserve">Efficacy and safety of low dose rivaroxaban in patients with coronary heart disease: a systematic </w:t>
      </w:r>
      <w:r w:rsidR="00AF411E" w:rsidRPr="00AF411E">
        <w:rPr>
          <w:rFonts w:ascii="Times New Roman" w:hAnsi="Times New Roman" w:cs="Times New Roman" w:hint="eastAsia"/>
          <w:sz w:val="24"/>
          <w:szCs w:val="24"/>
          <w:lang w:val="en-US"/>
        </w:rPr>
        <w:lastRenderedPageBreak/>
        <w:t xml:space="preserve">review and meta-analysis. J Thromb Thrombolysis. 2020;50(4):913-20. </w:t>
      </w:r>
      <w:hyperlink r:id="rId316" w:history="1">
        <w:r w:rsidR="00DB1562" w:rsidRPr="00D749BC">
          <w:rPr>
            <w:rStyle w:val="a6"/>
            <w:rFonts w:ascii="Times New Roman" w:hAnsi="Times New Roman" w:cs="Times New Roman" w:hint="eastAsia"/>
            <w:sz w:val="24"/>
            <w:szCs w:val="24"/>
            <w:lang w:val="en-US"/>
          </w:rPr>
          <w:t>https://doi.org/10.1007/s11239-020-02114-7</w:t>
        </w:r>
      </w:hyperlink>
      <w:r w:rsidR="00AF411E" w:rsidRPr="00AF411E">
        <w:rPr>
          <w:rFonts w:ascii="Times New Roman" w:hAnsi="Times New Roman" w:cs="Times New Roman" w:hint="eastAsia"/>
          <w:sz w:val="24"/>
          <w:szCs w:val="24"/>
          <w:lang w:val="en-US"/>
        </w:rPr>
        <w:t>.</w:t>
      </w:r>
    </w:p>
    <w:p w14:paraId="6569F8D1" w14:textId="77777777" w:rsidR="00DB1562" w:rsidRPr="00F6333D" w:rsidRDefault="00DB1562" w:rsidP="00A419DB">
      <w:pPr>
        <w:tabs>
          <w:tab w:val="left" w:pos="786"/>
        </w:tabs>
        <w:suppressAutoHyphens/>
        <w:spacing w:after="60" w:line="360" w:lineRule="auto"/>
        <w:jc w:val="both"/>
        <w:rPr>
          <w:rFonts w:ascii="Times New Roman" w:hAnsi="Times New Roman" w:cs="Times New Roman"/>
          <w:sz w:val="24"/>
          <w:szCs w:val="24"/>
          <w:lang w:val="en-US"/>
        </w:rPr>
      </w:pPr>
      <w:r w:rsidRPr="00DB1562">
        <w:rPr>
          <w:rFonts w:ascii="Times New Roman" w:hAnsi="Times New Roman" w:cs="Times New Roman" w:hint="eastAsia"/>
          <w:sz w:val="24"/>
          <w:szCs w:val="24"/>
          <w:lang w:val="en-US"/>
        </w:rPr>
        <w:t xml:space="preserve">200. Khan SU, Khan MZ, Asad ZUA, et al. Efficacy and safety of low dose rivaroxaban in patients with coronary heart disease: a systematic review and meta-analysis. </w:t>
      </w:r>
      <w:r w:rsidRPr="00F6333D">
        <w:rPr>
          <w:rFonts w:ascii="Times New Roman" w:hAnsi="Times New Roman" w:cs="Times New Roman" w:hint="eastAsia"/>
          <w:sz w:val="24"/>
          <w:szCs w:val="24"/>
          <w:lang w:val="en-US"/>
        </w:rPr>
        <w:t>J Thromb Thrombolysis. 2020;50(4):913-20. https://doi.org/10.1007/s11239-020-02114-7.</w:t>
      </w:r>
    </w:p>
    <w:p w14:paraId="2D7B4544"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201. Sanchez PL, Gimeno F, Ancillo P, et al. Role of the paclitaxel-eluting stent and tirofiban in patients with ST-elevation myocardial infarction undergoing postfibrinolysis angioplasty: the GRACIA-3 randomized clinical trial. Circ Cardiovasc Interv. 20</w:t>
      </w:r>
      <w:r w:rsidRPr="00AF411E">
        <w:rPr>
          <w:rFonts w:ascii="Times New Roman" w:hAnsi="Times New Roman" w:cs="Times New Roman"/>
          <w:sz w:val="24"/>
          <w:szCs w:val="24"/>
          <w:lang w:val="en-US"/>
        </w:rPr>
        <w:t>10;3(4):297-307.</w:t>
      </w:r>
    </w:p>
    <w:p w14:paraId="6D1D0549"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202. Gurm HS, Lincoff AM, Lee D, et al.; GUSTO V Trial. Outcome of acute ST-segment elevation myocardial infarction in diabetics treated with fibrinolytic or combination reduced fibrinolytic therapy and platelet glycoprotein IIb/IIIa inhibition: lessons f</w:t>
      </w:r>
      <w:r w:rsidRPr="00AF411E">
        <w:rPr>
          <w:rFonts w:ascii="Times New Roman" w:hAnsi="Times New Roman" w:cs="Times New Roman"/>
          <w:sz w:val="24"/>
          <w:szCs w:val="24"/>
          <w:lang w:val="en-US"/>
        </w:rPr>
        <w:t>rom the GUSTO V trial. J Am Coll Cardiol. 2004;43(4):542-8.</w:t>
      </w:r>
    </w:p>
    <w:p w14:paraId="0D60BB95"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545863">
        <w:rPr>
          <w:rFonts w:ascii="Times New Roman" w:hAnsi="Times New Roman" w:cs="Times New Roman" w:hint="eastAsia"/>
          <w:sz w:val="24"/>
          <w:szCs w:val="24"/>
          <w:lang w:val="en-US"/>
        </w:rPr>
        <w:t xml:space="preserve">203. Bhatt DL, Cryer BL, Contant CF, et al. </w:t>
      </w:r>
      <w:r w:rsidRPr="00AF411E">
        <w:rPr>
          <w:rFonts w:ascii="Times New Roman" w:hAnsi="Times New Roman" w:cs="Times New Roman" w:hint="eastAsia"/>
          <w:sz w:val="24"/>
          <w:szCs w:val="24"/>
          <w:lang w:val="en-US"/>
        </w:rPr>
        <w:t>Clopidogrel with or without omeprazole in coronary artery disease. N Engl J Med. 2010;363:1909-17. https://doi.org/10.1056/NEJMoa1007964.</w:t>
      </w:r>
    </w:p>
    <w:p w14:paraId="5308F28F" w14:textId="77777777" w:rsidR="00595247" w:rsidRPr="00595247"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204. Gargiulo G, Costa F, Ariotti S, et al. Impact of proton pump inhibitors on clinical outcomes in patients treated with a 6- or 24-month dual-antiplatelet therapy duration: insights from the PROlonging Dual-antiplatelet treatment after Grading stent-in</w:t>
      </w:r>
      <w:r w:rsidRPr="00AF411E">
        <w:rPr>
          <w:rFonts w:ascii="Times New Roman" w:hAnsi="Times New Roman" w:cs="Times New Roman"/>
          <w:sz w:val="24"/>
          <w:szCs w:val="24"/>
          <w:lang w:val="en-US"/>
        </w:rPr>
        <w:t xml:space="preserve">duced Intimal hyperplasia studY trial. Am Heart J. 2016;174:95-102. </w:t>
      </w:r>
      <w:hyperlink r:id="rId317" w:history="1">
        <w:r w:rsidR="00595247" w:rsidRPr="00D749BC">
          <w:rPr>
            <w:rStyle w:val="a6"/>
            <w:rFonts w:ascii="Times New Roman" w:hAnsi="Times New Roman" w:cs="Times New Roman"/>
            <w:sz w:val="24"/>
            <w:szCs w:val="24"/>
            <w:lang w:val="en-US"/>
          </w:rPr>
          <w:t>https://doi.org/10.1016/j.ahj.2016.01.015</w:t>
        </w:r>
      </w:hyperlink>
      <w:r w:rsidRPr="00AF411E">
        <w:rPr>
          <w:rFonts w:ascii="Times New Roman" w:hAnsi="Times New Roman" w:cs="Times New Roman"/>
          <w:sz w:val="24"/>
          <w:szCs w:val="24"/>
          <w:lang w:val="en-US"/>
        </w:rPr>
        <w:t>.</w:t>
      </w:r>
    </w:p>
    <w:p w14:paraId="194E30F7" w14:textId="77777777" w:rsidR="00AF411E" w:rsidRPr="00F52FCA" w:rsidRDefault="00AF411E" w:rsidP="00A419DB">
      <w:pPr>
        <w:tabs>
          <w:tab w:val="left" w:pos="786"/>
        </w:tabs>
        <w:suppressAutoHyphens/>
        <w:spacing w:after="60" w:line="360" w:lineRule="auto"/>
        <w:jc w:val="both"/>
        <w:rPr>
          <w:rFonts w:ascii="Times New Roman" w:hAnsi="Times New Roman" w:cs="Times New Roman"/>
          <w:sz w:val="24"/>
          <w:szCs w:val="24"/>
          <w:lang w:val="fr-FR"/>
        </w:rPr>
      </w:pPr>
      <w:r w:rsidRPr="00AF411E">
        <w:rPr>
          <w:rFonts w:ascii="Times New Roman" w:hAnsi="Times New Roman" w:cs="Times New Roman" w:hint="eastAsia"/>
          <w:sz w:val="24"/>
          <w:szCs w:val="24"/>
          <w:lang w:val="en-US"/>
        </w:rPr>
        <w:t xml:space="preserve">205. Eikelboom JW, Anand SS, Malmberg K, et al. Unfractionated heparin and low-molecularweight heparin in acute coronary syndrome without ST elevation: a meta-analysis. </w:t>
      </w:r>
      <w:r w:rsidRPr="00F52FCA">
        <w:rPr>
          <w:rFonts w:ascii="Times New Roman" w:hAnsi="Times New Roman" w:cs="Times New Roman" w:hint="eastAsia"/>
          <w:sz w:val="24"/>
          <w:szCs w:val="24"/>
          <w:lang w:val="fr-FR"/>
        </w:rPr>
        <w:t>Lancet. 2000;355:1936-42. https://doi.org/10.1016/s0140-6736(00)02324-2.</w:t>
      </w:r>
    </w:p>
    <w:p w14:paraId="67B9457A" w14:textId="77777777" w:rsidR="00AF411E" w:rsidRPr="00F52FCA" w:rsidRDefault="00AF411E" w:rsidP="00A419DB">
      <w:pPr>
        <w:tabs>
          <w:tab w:val="left" w:pos="786"/>
        </w:tabs>
        <w:suppressAutoHyphens/>
        <w:spacing w:after="60" w:line="360" w:lineRule="auto"/>
        <w:jc w:val="both"/>
        <w:rPr>
          <w:rFonts w:ascii="Times New Roman" w:hAnsi="Times New Roman" w:cs="Times New Roman"/>
          <w:sz w:val="24"/>
          <w:szCs w:val="24"/>
          <w:lang w:val="fr-FR"/>
        </w:rPr>
      </w:pPr>
      <w:r w:rsidRPr="00F52FCA">
        <w:rPr>
          <w:rFonts w:ascii="Times New Roman" w:hAnsi="Times New Roman" w:cs="Times New Roman" w:hint="eastAsia"/>
          <w:sz w:val="24"/>
          <w:szCs w:val="24"/>
          <w:lang w:val="fr-FR"/>
        </w:rPr>
        <w:t xml:space="preserve">206. Eikelboom JW, Quinlan DJ, Mehta SR, et al. </w:t>
      </w:r>
      <w:r w:rsidRPr="00AF411E">
        <w:rPr>
          <w:rFonts w:ascii="Times New Roman" w:hAnsi="Times New Roman" w:cs="Times New Roman" w:hint="eastAsia"/>
          <w:sz w:val="24"/>
          <w:szCs w:val="24"/>
          <w:lang w:val="en-US"/>
        </w:rPr>
        <w:t xml:space="preserve">Unfractionated and low-molecular-weight heparin as adjuncts to thrombolysis in aspirin-treated patients with ST-elevation acute myocardial infarction: a meta-analysis of the randomized trials. </w:t>
      </w:r>
      <w:r w:rsidRPr="00F52FCA">
        <w:rPr>
          <w:rFonts w:ascii="Times New Roman" w:hAnsi="Times New Roman" w:cs="Times New Roman" w:hint="eastAsia"/>
          <w:sz w:val="24"/>
          <w:szCs w:val="24"/>
          <w:lang w:val="fr-FR"/>
        </w:rPr>
        <w:t>Circulation. 2</w:t>
      </w:r>
      <w:r w:rsidRPr="00F52FCA">
        <w:rPr>
          <w:rFonts w:ascii="Times New Roman" w:hAnsi="Times New Roman" w:cs="Times New Roman"/>
          <w:sz w:val="24"/>
          <w:szCs w:val="24"/>
          <w:lang w:val="fr-FR"/>
        </w:rPr>
        <w:t>005;112:3855.</w:t>
      </w:r>
    </w:p>
    <w:p w14:paraId="49AB39AE"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207. Navarese EP, De Luca G, Castriota F, et al. </w:t>
      </w:r>
      <w:r w:rsidRPr="00AF411E">
        <w:rPr>
          <w:rFonts w:ascii="Times New Roman" w:hAnsi="Times New Roman" w:cs="Times New Roman" w:hint="eastAsia"/>
          <w:sz w:val="24"/>
          <w:szCs w:val="24"/>
          <w:lang w:val="en-US"/>
        </w:rPr>
        <w:t>Low-molecular-weight heparins vs. unfractionated heparin in the setting of percutaneous coronary intervention for ST-elevation myocardial infarction: a meta-analysis. J ThrombHaemost. 2011;9:1902.</w:t>
      </w:r>
    </w:p>
    <w:p w14:paraId="48D09251"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208. Silvain J, Beygui F, Barthélémy O, et al. Efficacy and safety of enoxaparin versus unfractionated heparin during percutaneous coronary intervention: systematic review and meta-analysis. BMJ. 2012;344:e553.</w:t>
      </w:r>
    </w:p>
    <w:p w14:paraId="0489F98F"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 xml:space="preserve">209. White H; Hirulog and Early Reperfusion or Occlusion (HERO)-2 Trial Investigators. Thrombin-specific anticoagulation with bivalirudin versus heparin in patients receiving </w:t>
      </w:r>
      <w:r w:rsidRPr="00AF411E">
        <w:rPr>
          <w:rFonts w:ascii="Times New Roman" w:hAnsi="Times New Roman" w:cs="Times New Roman" w:hint="eastAsia"/>
          <w:sz w:val="24"/>
          <w:szCs w:val="24"/>
          <w:lang w:val="en-US"/>
        </w:rPr>
        <w:lastRenderedPageBreak/>
        <w:t>fibrinolytic therapy for acute myocardial infarction: the HERO-2 randomised tria</w:t>
      </w:r>
      <w:r w:rsidRPr="00AF411E">
        <w:rPr>
          <w:rFonts w:ascii="Times New Roman" w:hAnsi="Times New Roman" w:cs="Times New Roman"/>
          <w:sz w:val="24"/>
          <w:szCs w:val="24"/>
          <w:lang w:val="en-US"/>
        </w:rPr>
        <w:t>l. Lancet. 2001;358(9296):1855-63. https://doi.org/10.1016/s0140-6736(01)06887-8.</w:t>
      </w:r>
    </w:p>
    <w:p w14:paraId="3C37850B"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210. Antman EM, Louwerenburg HW, Baars HF, et al. Enoxaparin as adjunctive antithrombin therapy for ST-elevation myocardial infarction: results of the ENTIRE-Thrombolysis in Myocardial Infarction (TIMI) 23 Trial. Circulation. 2002;105:1642-9.</w:t>
      </w:r>
    </w:p>
    <w:p w14:paraId="38F7C346"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211. Killip T, Kimball JT. Treatment of myocardial infarction in a coronary care unit. Am. J. Cardiol. 1967;20(4):457-64.</w:t>
      </w:r>
    </w:p>
    <w:p w14:paraId="140B2AD3"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212. Giraldez RR, Nicolau JC, Corbalan R, et al. Enoxaparin is superior to unfractionated heparin in patients with ST elevation myocardial infarction undergoing fibrinolysis regardless of the choice of lytic: an ExTRACT-TIMI 25 analysis. Eur Heart J. 2007</w:t>
      </w:r>
      <w:r w:rsidRPr="00AF411E">
        <w:rPr>
          <w:rFonts w:ascii="Times New Roman" w:hAnsi="Times New Roman" w:cs="Times New Roman"/>
          <w:sz w:val="24"/>
          <w:szCs w:val="24"/>
          <w:lang w:val="en-US"/>
        </w:rPr>
        <w:t>;28(13):1566-73.</w:t>
      </w:r>
    </w:p>
    <w:p w14:paraId="0B76A4B1"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213. White HD, Braunwald E, Murphy SA, et al. Enoxaparin vs. unfractionated heparin with fibrinolysis for ST-elevation myocardial infarction in elderly and younger patients: results from ExTRACT-TIMI 25. Eur Heart J. 2007;28:1066-71. https://doi.org/10.10</w:t>
      </w:r>
      <w:r w:rsidRPr="00AF411E">
        <w:rPr>
          <w:rFonts w:ascii="Times New Roman" w:hAnsi="Times New Roman" w:cs="Times New Roman"/>
          <w:sz w:val="24"/>
          <w:szCs w:val="24"/>
          <w:lang w:val="en-US"/>
        </w:rPr>
        <w:t>93/eurheartj/ehm081.</w:t>
      </w:r>
    </w:p>
    <w:p w14:paraId="6198CB14"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214. ASSENT-3 Investigators. Efficacy and safety of tenecteplase in combination with enoxaparin, abciximab, or unfractionated heparin: the ASSENT-3 randomised trial in acute myocardial infarction. Lancet. 2001;358:605-13. https://doi.org/10.1016/s0140-673</w:t>
      </w:r>
      <w:r w:rsidRPr="00AF411E">
        <w:rPr>
          <w:rFonts w:ascii="Times New Roman" w:hAnsi="Times New Roman" w:cs="Times New Roman"/>
          <w:sz w:val="24"/>
          <w:szCs w:val="24"/>
          <w:lang w:val="en-US"/>
        </w:rPr>
        <w:t>6(01)05775-0.</w:t>
      </w:r>
    </w:p>
    <w:p w14:paraId="3DB3A19F"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215. Wallentin L, Goldstein P, Armstrong PW, et al. Efficacy and safety of Tenecteplase in combination with the low-molecular-weight heparin enoxaparin or unfractionated heparin in the prehospital setting: the Assessment of the Safety and Efficacy of a Ne</w:t>
      </w:r>
      <w:r w:rsidRPr="00AF411E">
        <w:rPr>
          <w:rFonts w:ascii="Times New Roman" w:hAnsi="Times New Roman" w:cs="Times New Roman"/>
          <w:sz w:val="24"/>
          <w:szCs w:val="24"/>
          <w:lang w:val="en-US"/>
        </w:rPr>
        <w:t>w Thrombolytic Regimen (ASSENT)-3 PLUS randomized trial in acute myocardial infarction. Circulation. 2003;108:135-42. https://doi.org/10.1161/01.Cir.0000081659.72985.A8.</w:t>
      </w:r>
    </w:p>
    <w:p w14:paraId="2F4C250F" w14:textId="77777777" w:rsidR="00AF411E" w:rsidRPr="00F52FCA" w:rsidRDefault="00AF411E" w:rsidP="00A419DB">
      <w:pPr>
        <w:tabs>
          <w:tab w:val="left" w:pos="786"/>
        </w:tabs>
        <w:suppressAutoHyphens/>
        <w:spacing w:after="60" w:line="360" w:lineRule="auto"/>
        <w:jc w:val="both"/>
        <w:rPr>
          <w:rFonts w:ascii="Times New Roman" w:hAnsi="Times New Roman" w:cs="Times New Roman"/>
          <w:sz w:val="24"/>
          <w:szCs w:val="24"/>
          <w:lang w:val="fr-FR"/>
        </w:rPr>
      </w:pPr>
      <w:r w:rsidRPr="00AF411E">
        <w:rPr>
          <w:rFonts w:ascii="Times New Roman" w:hAnsi="Times New Roman" w:cs="Times New Roman" w:hint="eastAsia"/>
          <w:sz w:val="24"/>
          <w:szCs w:val="24"/>
          <w:lang w:val="en-US"/>
        </w:rPr>
        <w:t>216. Ross AM, Molhoek P, Lundergan C, et al. Randomized comparison of enoxaparin, a low-molecular-weight heparin, with unfractionated heparin adjunctive to recombinant tissue plasminogen activator thrombolysis and aspirin: second trial of Heparin and Aspi</w:t>
      </w:r>
      <w:r w:rsidRPr="00AF411E">
        <w:rPr>
          <w:rFonts w:ascii="Times New Roman" w:hAnsi="Times New Roman" w:cs="Times New Roman"/>
          <w:sz w:val="24"/>
          <w:szCs w:val="24"/>
          <w:lang w:val="en-US"/>
        </w:rPr>
        <w:t xml:space="preserve">rin Reperfusion Therapy (HART II). </w:t>
      </w:r>
      <w:r w:rsidRPr="00F52FCA">
        <w:rPr>
          <w:rFonts w:ascii="Times New Roman" w:hAnsi="Times New Roman" w:cs="Times New Roman"/>
          <w:sz w:val="24"/>
          <w:szCs w:val="24"/>
          <w:lang w:val="fr-FR"/>
        </w:rPr>
        <w:t>Circulation. 2001;104:648-52. https://doi.org/10.1161/hc3101.093866.</w:t>
      </w:r>
    </w:p>
    <w:p w14:paraId="17367131"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sz w:val="24"/>
          <w:szCs w:val="24"/>
          <w:lang w:val="fr-FR"/>
        </w:rPr>
        <w:t xml:space="preserve">217. Tatu-Chiţoiu G, Oprişan M, Cismara O, et al. </w:t>
      </w:r>
      <w:r w:rsidRPr="00AF411E">
        <w:rPr>
          <w:rFonts w:ascii="Times New Roman" w:hAnsi="Times New Roman" w:cs="Times New Roman"/>
          <w:sz w:val="24"/>
          <w:szCs w:val="24"/>
          <w:lang w:val="en-US"/>
        </w:rPr>
        <w:t>Streptokinase and enoxaparin in the prehospital management of the ST-segment elevation acute myocardial infarction. Rom J Intern Med. 2002;40(1-4):11-25.</w:t>
      </w:r>
    </w:p>
    <w:p w14:paraId="1EA115E2"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218. Giraldez RR, Wiviott SD, Nicolau JC, et al. Streptokinase and enoxaparin as an alternative to fibrin-specific lytic-based regimens: an ExTRACT-TIMI 25 analysis. Drugs. 2009;69(11):1433-43. https://doi.org/10.2165/00003495-200969110-00003.</w:t>
      </w:r>
    </w:p>
    <w:p w14:paraId="24D1319B"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lastRenderedPageBreak/>
        <w:t>219. Yusuf S, Mehta SR, Chrolavicius S, et al. Effects of fondaparinux on mortality and reinfarction in patients with acute ST-segment elevation myocardial infarction: the OASIS-6 randomized trial. JAMA. 2006;295:1519-30. https://doi.org/10.1001/jama.295.</w:t>
      </w:r>
      <w:r w:rsidRPr="00AF411E">
        <w:rPr>
          <w:rFonts w:ascii="Times New Roman" w:hAnsi="Times New Roman" w:cs="Times New Roman"/>
          <w:sz w:val="24"/>
          <w:szCs w:val="24"/>
          <w:lang w:val="en-US"/>
        </w:rPr>
        <w:t>13.joc60038.</w:t>
      </w:r>
    </w:p>
    <w:p w14:paraId="0868CB1F"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220. Montalesot G, Van't Hof AW, Lapostolle F, et al.; on behalf of the ATLANTIC Investigators. Prehospital Ticagrelor in ST-Segment Elevation Myocardial Infarction. N Engl J Med. 2014;371:1016-27.</w:t>
      </w:r>
    </w:p>
    <w:p w14:paraId="37452680"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221. Wallentin L, Becker RC, Budaj A, et al. Ticagrelor versus clopidogrel in patients with acute coronary syndromes. N Engl J Med. 2009;361:1045-57. https://doi.org/10.1056/NEJMoa0904327.</w:t>
      </w:r>
    </w:p>
    <w:p w14:paraId="72E2C5DA"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222. Wiviott SD, Braunwald E, McCabe CH, et al. Prasugrel versus clopidogrel in patients with acute coronary syndromes. N Engl J Med. 2007;357:2001-15. https://doi.org/10.1056/NEJMoa0706482.</w:t>
      </w:r>
    </w:p>
    <w:p w14:paraId="00CD35BC"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223. Mehta SR, Yusuf S, Peters RJ, et al. Effects of pretreatment with clopidogrel and aspirin followed by long-term therapy in patients undergoing percutaneous coronary intervention: the PCI-CURE study. Lancet. 2001;358:527-33. https://doi.org/10.1016/s0</w:t>
      </w:r>
      <w:r w:rsidRPr="00AF411E">
        <w:rPr>
          <w:rFonts w:ascii="Times New Roman" w:hAnsi="Times New Roman" w:cs="Times New Roman"/>
          <w:sz w:val="24"/>
          <w:szCs w:val="24"/>
          <w:lang w:val="en-US"/>
        </w:rPr>
        <w:t>140-6736(01)05701-4.</w:t>
      </w:r>
    </w:p>
    <w:p w14:paraId="5B931263"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224. Mehta SR, Tanguay JF, Eikelboom JW, et al.; for CURRENT-OASIS Trial Investigators. Double-dose versus standard-dose clopidogrel and high-dose versus low-dose aspirin in individuals undergoing percutaneous coronary intervention for acute coronary synd</w:t>
      </w:r>
      <w:r w:rsidRPr="00AF411E">
        <w:rPr>
          <w:rFonts w:ascii="Times New Roman" w:hAnsi="Times New Roman" w:cs="Times New Roman"/>
          <w:sz w:val="24"/>
          <w:szCs w:val="24"/>
          <w:lang w:val="en-US"/>
        </w:rPr>
        <w:t>romes (CURRENT-OASIS 7): a randomised factorial trial. Lancet. 2010;376:1233-43.</w:t>
      </w:r>
    </w:p>
    <w:p w14:paraId="3435366F"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225. Husted S, James S, Becker RC, et al. Ticagrelor versus clopidogrel in elderly patients with acute coronary syndromes: a substudy from the prospective randomized PLATelet inhibition and patient Outcomes (PLATO) trial. Circ Cardiovasc Qual Outcomes. 20</w:t>
      </w:r>
      <w:r w:rsidRPr="00AF411E">
        <w:rPr>
          <w:rFonts w:ascii="Times New Roman" w:hAnsi="Times New Roman" w:cs="Times New Roman"/>
          <w:sz w:val="24"/>
          <w:szCs w:val="24"/>
          <w:lang w:val="en-US"/>
        </w:rPr>
        <w:t>12; 5:680-8. https://doi.org/10.1161/circoutcomes.111.964395.</w:t>
      </w:r>
    </w:p>
    <w:p w14:paraId="787616CA"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226. Gimbel M, Qaderdan K, Willemsen L, et al. Clopidogrel versus ticagrelor or prasugrel in patients aged 70 years or older with non-ST-elevation acute coronary syndrome (POPular AGE): the randomised, openlabel, non-inferiority trial. Lancet. 2020;395:13</w:t>
      </w:r>
      <w:r w:rsidRPr="00AF411E">
        <w:rPr>
          <w:rFonts w:ascii="Times New Roman" w:hAnsi="Times New Roman" w:cs="Times New Roman"/>
          <w:sz w:val="24"/>
          <w:szCs w:val="24"/>
          <w:lang w:val="en-US"/>
        </w:rPr>
        <w:t>74-81. https://doi.org/10.1016/s0140-6736(20)30325-1.</w:t>
      </w:r>
    </w:p>
    <w:p w14:paraId="655534BF" w14:textId="77777777" w:rsidR="00AF411E" w:rsidRPr="00F52FCA" w:rsidRDefault="00AF411E" w:rsidP="00A419DB">
      <w:pPr>
        <w:tabs>
          <w:tab w:val="left" w:pos="786"/>
        </w:tabs>
        <w:suppressAutoHyphens/>
        <w:spacing w:after="60" w:line="360" w:lineRule="auto"/>
        <w:jc w:val="both"/>
        <w:rPr>
          <w:rFonts w:ascii="Times New Roman" w:hAnsi="Times New Roman" w:cs="Times New Roman"/>
          <w:sz w:val="24"/>
          <w:szCs w:val="24"/>
          <w:lang w:val="fr-FR"/>
        </w:rPr>
      </w:pPr>
      <w:r w:rsidRPr="00AF411E">
        <w:rPr>
          <w:rFonts w:ascii="Times New Roman" w:hAnsi="Times New Roman" w:cs="Times New Roman" w:hint="eastAsia"/>
          <w:sz w:val="24"/>
          <w:szCs w:val="24"/>
          <w:lang w:val="en-US"/>
        </w:rPr>
        <w:t xml:space="preserve">227. Boersma E, Harrington RA, Moliterno DJ, et al. Platelet glycoprotein IIb/IIIa inhibitors in acute coronary syndromes: a meta-analysis of all major randomised clinical trials. </w:t>
      </w:r>
      <w:r w:rsidRPr="00F52FCA">
        <w:rPr>
          <w:rFonts w:ascii="Times New Roman" w:hAnsi="Times New Roman" w:cs="Times New Roman" w:hint="eastAsia"/>
          <w:sz w:val="24"/>
          <w:szCs w:val="24"/>
          <w:lang w:val="fr-FR"/>
        </w:rPr>
        <w:t>Lancet. 2002;359:189-98. https://doi.org/10.1016/s0140-6736(02)07442-1.</w:t>
      </w:r>
    </w:p>
    <w:p w14:paraId="10D57CD9"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228. Long M, Ye Z, Zheng J, et al. </w:t>
      </w:r>
      <w:r w:rsidRPr="00AF411E">
        <w:rPr>
          <w:rFonts w:ascii="Times New Roman" w:hAnsi="Times New Roman" w:cs="Times New Roman" w:hint="eastAsia"/>
          <w:sz w:val="24"/>
          <w:szCs w:val="24"/>
          <w:lang w:val="en-US"/>
        </w:rPr>
        <w:t>Dual anti-platelet therapy following percutaneous coronary intervention in a population of patients with thrombocytopenia at baseline: a metaanalysis. BMC PharmacolToxicol. 2020;21:31. https://doi.org/10.1186/s40360-020</w:t>
      </w:r>
      <w:r w:rsidRPr="00AF411E">
        <w:rPr>
          <w:rFonts w:ascii="Times New Roman" w:hAnsi="Times New Roman" w:cs="Times New Roman"/>
          <w:sz w:val="24"/>
          <w:szCs w:val="24"/>
          <w:lang w:val="en-US"/>
        </w:rPr>
        <w:t>-00409-2.</w:t>
      </w:r>
    </w:p>
    <w:p w14:paraId="6923552A"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lastRenderedPageBreak/>
        <w:t>229. Martin JL, Fry ETA, Sanderink G-JCM, et al. Reliable anticoagulation with enoxaparin in patients undergoing percutaneous coronary intervention: The pharmacokinetics of enoxaparin in PCI (PEPCI) study. Cardiovasc Interv. 2004;61:163-70. https://doi.or</w:t>
      </w:r>
      <w:r w:rsidRPr="00AF411E">
        <w:rPr>
          <w:rFonts w:ascii="Times New Roman" w:hAnsi="Times New Roman" w:cs="Times New Roman"/>
          <w:sz w:val="24"/>
          <w:szCs w:val="24"/>
          <w:lang w:val="en-US"/>
        </w:rPr>
        <w:t>g/10.1002/ccd.10726.</w:t>
      </w:r>
    </w:p>
    <w:p w14:paraId="0B871F47"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230. Capodanno D, Gargiulo G, Capranzano P, et al. Bivalirudin versus heparin with or without glycoprotein IIb/IIIa inhibitors in patients with STEMI undergoing primary PCI: An updated meta-analysis of 10,350 patients from five randomized clinical trials.</w:t>
      </w:r>
      <w:r w:rsidRPr="00AF411E">
        <w:rPr>
          <w:rFonts w:ascii="Times New Roman" w:hAnsi="Times New Roman" w:cs="Times New Roman"/>
          <w:sz w:val="24"/>
          <w:szCs w:val="24"/>
          <w:lang w:val="en-US"/>
        </w:rPr>
        <w:t>Eur Heart J Acute Cardiovasc Care. 2016;5:253-62.</w:t>
      </w:r>
    </w:p>
    <w:p w14:paraId="59C7934D"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231. Erlinge D, Omerovic E, Fröbert O, et al. </w:t>
      </w:r>
      <w:r w:rsidRPr="00AF411E">
        <w:rPr>
          <w:rFonts w:ascii="Times New Roman" w:hAnsi="Times New Roman" w:cs="Times New Roman" w:hint="eastAsia"/>
          <w:sz w:val="24"/>
          <w:szCs w:val="24"/>
          <w:lang w:val="en-US"/>
        </w:rPr>
        <w:t>Bivalirudin versus heparin monotherapy in myocardial infarction. N Engl J Med. 2017;377:1132-42.</w:t>
      </w:r>
    </w:p>
    <w:p w14:paraId="586AC6C4"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232. Valgimigli M, Frigoli E, Leonardi S, et al.; MATRIX Investigators. Bivalirudin or unfractionated heparin in acute coronary syndromes. N Engl J Med. 2015;373:997-1009.</w:t>
      </w:r>
    </w:p>
    <w:p w14:paraId="13582639"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233. Zhang S, Gao W, Li H, et al. Efficacy and safety of bivalirudin versus heparin in patients undergoing percutaneous coronary intervention: A meta-analysis of randomized controlled trials. Int J Cardiol. 2016;209:87-95. https://doi.org/10.1016/j.ijcard</w:t>
      </w:r>
      <w:r w:rsidRPr="00AF411E">
        <w:rPr>
          <w:rFonts w:ascii="Times New Roman" w:hAnsi="Times New Roman" w:cs="Times New Roman"/>
          <w:sz w:val="24"/>
          <w:szCs w:val="24"/>
          <w:lang w:val="en-US"/>
        </w:rPr>
        <w:t>.2016.01.206.</w:t>
      </w:r>
    </w:p>
    <w:p w14:paraId="37BF0417"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234. Nuhrenberg TG, Hochholzer W, Mashayekhi K, et al. Efficacy and safety of bivalirudin for percutaneous coronary intervention in acute coronary syndromes: A meta-analysis of randomized-controlled trials. Clin Res Cardiol. 2018;107:807-15.</w:t>
      </w:r>
    </w:p>
    <w:p w14:paraId="360CC6B7"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235. Kuno T, Watanabe A, Shoji S, et al. Short-Term DAPT and DAPT De-Escalation Strategies for Patients With Acute Coronary Syndromes: A Systematic Review and Network Meta-Analysis. Circ Cardiovasc Interv. 2023;16(9):e013242. https://doi.org/10.1161/CIRCI</w:t>
      </w:r>
      <w:r w:rsidRPr="00AF411E">
        <w:rPr>
          <w:rFonts w:ascii="Times New Roman" w:hAnsi="Times New Roman" w:cs="Times New Roman"/>
          <w:sz w:val="24"/>
          <w:szCs w:val="24"/>
          <w:lang w:val="en-US"/>
        </w:rPr>
        <w:t>NTERVENTIONS.123.013242.</w:t>
      </w:r>
    </w:p>
    <w:p w14:paraId="23302496"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236. Wang W, Huang Q, Pan D, et al. The optimal duration of triple antithrombotic therapy in patients with atrial fibrillation and acute coronary syndrome or undergoing percutaneous coronary intervention: A network meta-analysis of randomized clinical tri</w:t>
      </w:r>
      <w:r w:rsidRPr="00AF411E">
        <w:rPr>
          <w:rFonts w:ascii="Times New Roman" w:hAnsi="Times New Roman" w:cs="Times New Roman"/>
          <w:sz w:val="24"/>
          <w:szCs w:val="24"/>
          <w:lang w:val="en-US"/>
        </w:rPr>
        <w:t>als. Int J Cardiol. 2022;357:33-8. https://doi.org/10.1016/j.ijcard.2022.03.047.</w:t>
      </w:r>
    </w:p>
    <w:p w14:paraId="08F85A9F"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237. Kuno T, Ueyama H, Takagi H, Bangalore S. The risk of stent thrombosis of dual antithrombotic therapy for patients who require oral anticoagulant undergoing percutaneous coronary intervention: insights of a meta-analysis of randomized trials. Scand Ca</w:t>
      </w:r>
      <w:r w:rsidRPr="00AF411E">
        <w:rPr>
          <w:rFonts w:ascii="Times New Roman" w:hAnsi="Times New Roman" w:cs="Times New Roman"/>
          <w:sz w:val="24"/>
          <w:szCs w:val="24"/>
          <w:lang w:val="en-US"/>
        </w:rPr>
        <w:t>rdiovasc J. 2022;56(1):1-3. https://doi.org/10.1080/14017431.2021.2025264.</w:t>
      </w:r>
    </w:p>
    <w:p w14:paraId="3AB94E38"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238. Gupta R, Malik AH, Gupta R, et al. Dual Versus Triple Therapy in Patients with Acute Coronary Syndrome and an Anticoagulation Indication: A Systematic Review with MetaAnalysis and Trial-Sequential Analysis. Cardiol Rev. 2021;29(5):245-52. https://doi</w:t>
      </w:r>
      <w:r w:rsidRPr="00AF411E">
        <w:rPr>
          <w:rFonts w:ascii="Times New Roman" w:hAnsi="Times New Roman" w:cs="Times New Roman"/>
          <w:sz w:val="24"/>
          <w:szCs w:val="24"/>
          <w:lang w:val="en-US"/>
        </w:rPr>
        <w:t>.org/10.1097/CRD.0000000000000320.</w:t>
      </w:r>
    </w:p>
    <w:p w14:paraId="71FA869E" w14:textId="77777777" w:rsidR="00AF411E" w:rsidRPr="00F52FCA" w:rsidRDefault="00AF411E" w:rsidP="00A419DB">
      <w:pPr>
        <w:tabs>
          <w:tab w:val="left" w:pos="786"/>
        </w:tabs>
        <w:suppressAutoHyphens/>
        <w:spacing w:after="60" w:line="360" w:lineRule="auto"/>
        <w:jc w:val="both"/>
        <w:rPr>
          <w:rFonts w:ascii="Times New Roman" w:hAnsi="Times New Roman" w:cs="Times New Roman"/>
          <w:sz w:val="24"/>
          <w:szCs w:val="24"/>
          <w:lang w:val="fr-FR"/>
        </w:rPr>
      </w:pPr>
      <w:r w:rsidRPr="00AF411E">
        <w:rPr>
          <w:rFonts w:ascii="Times New Roman" w:hAnsi="Times New Roman" w:cs="Times New Roman" w:hint="eastAsia"/>
          <w:sz w:val="24"/>
          <w:szCs w:val="24"/>
          <w:lang w:val="en-US"/>
        </w:rPr>
        <w:lastRenderedPageBreak/>
        <w:t xml:space="preserve">239. Agarwal N, Mahmoud AN, Mojadidi MK, et al. Dual versus triple antithrombotic therapy in patients undergoing percutaneous coronary intervention-meta-analysis and metaregression. </w:t>
      </w:r>
      <w:r w:rsidRPr="00F52FCA">
        <w:rPr>
          <w:rFonts w:ascii="Times New Roman" w:hAnsi="Times New Roman" w:cs="Times New Roman" w:hint="eastAsia"/>
          <w:sz w:val="24"/>
          <w:szCs w:val="24"/>
          <w:lang w:val="fr-FR"/>
        </w:rPr>
        <w:t>Cardiovasc Revasc Med. 2019;20(12):1134-9. https://doi.org/10.1016/j.carr</w:t>
      </w:r>
      <w:r w:rsidRPr="00F52FCA">
        <w:rPr>
          <w:rFonts w:ascii="Times New Roman" w:hAnsi="Times New Roman" w:cs="Times New Roman"/>
          <w:sz w:val="24"/>
          <w:szCs w:val="24"/>
          <w:lang w:val="fr-FR"/>
        </w:rPr>
        <w:t>ev.2019.02.022.</w:t>
      </w:r>
    </w:p>
    <w:p w14:paraId="330B5828"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240. Zhang J, Wang Z, Sang W, et al. </w:t>
      </w:r>
      <w:r w:rsidRPr="00AF411E">
        <w:rPr>
          <w:rFonts w:ascii="Times New Roman" w:hAnsi="Times New Roman" w:cs="Times New Roman" w:hint="eastAsia"/>
          <w:sz w:val="24"/>
          <w:szCs w:val="24"/>
          <w:lang w:val="en-US"/>
        </w:rPr>
        <w:t>Omission of aspirin in patients taking oral anticoagulation after percutaneous coronary intervention: a systematic review and meta-analysis. Coron Artery Dis. 2019;30(2):109-15. https://doi.org/10.1097/MCA.000000000000</w:t>
      </w:r>
      <w:r w:rsidRPr="00AF411E">
        <w:rPr>
          <w:rFonts w:ascii="Times New Roman" w:hAnsi="Times New Roman" w:cs="Times New Roman"/>
          <w:sz w:val="24"/>
          <w:szCs w:val="24"/>
          <w:lang w:val="en-US"/>
        </w:rPr>
        <w:t>0698.</w:t>
      </w:r>
    </w:p>
    <w:p w14:paraId="5541BAA4"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241. Shah R, Khan SA, Khan B, Latham SB. Short-term versus long-term triple antithrombotic therapy for patients with coronary stents and requiring oral anticoagulation: a metaanalysis of randomized clinical trials. Coron Artery Dis. 2019;30(2):116-23. htt</w:t>
      </w:r>
      <w:r w:rsidRPr="00AF411E">
        <w:rPr>
          <w:rFonts w:ascii="Times New Roman" w:hAnsi="Times New Roman" w:cs="Times New Roman"/>
          <w:sz w:val="24"/>
          <w:szCs w:val="24"/>
          <w:lang w:val="en-US"/>
        </w:rPr>
        <w:t>ps://doi.org/10.1097/MCA.0000000000000690.</w:t>
      </w:r>
    </w:p>
    <w:p w14:paraId="55A203B0"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 xml:space="preserve">242. Shin D, Mohanty BD, Lee ES. Dual versus triple antithrombotic therapy after percutaneous coronary intervention or acute coronary syndrome in patients with indication for anticoagulation: an updated meta-analysis. Coron Artery Dis. 2018;29(8):670-80. </w:t>
      </w:r>
      <w:r w:rsidRPr="00AF411E">
        <w:rPr>
          <w:rFonts w:ascii="Times New Roman" w:hAnsi="Times New Roman" w:cs="Times New Roman"/>
          <w:sz w:val="24"/>
          <w:szCs w:val="24"/>
          <w:lang w:val="en-US"/>
        </w:rPr>
        <w:t>https://doi.org/10.1097/MCA.0000000000000660.</w:t>
      </w:r>
    </w:p>
    <w:p w14:paraId="4374562C"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243. Cannon CP, Bhatt DL, Oldgren J, et al.; RE-DUAL Steering Committee PCI and Investigators. Dual antithrombotic therapy with dabigatran after PCI in atrial fibrillation. N Engl J Med. 2017;377:1513-24.</w:t>
      </w:r>
    </w:p>
    <w:p w14:paraId="611AAAA7"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244. Dewilde WJ, Oirbans T, Verheugt FW, et al.; WOEST Study Investigators. Use of clopidogrel with or without aspirin in patients taking oral anticoagulant therapy and undergoing percutaneous coronary intervention: an open-label, randomised, controlled t</w:t>
      </w:r>
      <w:r w:rsidRPr="00AF411E">
        <w:rPr>
          <w:rFonts w:ascii="Times New Roman" w:hAnsi="Times New Roman" w:cs="Times New Roman"/>
          <w:sz w:val="24"/>
          <w:szCs w:val="24"/>
          <w:lang w:val="en-US"/>
        </w:rPr>
        <w:t>rial. Lancet. 2013;381:1107-15.</w:t>
      </w:r>
    </w:p>
    <w:p w14:paraId="5711AC3F"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245. Gibson CM, Mehran R, Bode C, et al. Prevention of bleeding in patients with atrial fibrillation undergoing PCI. N Engl J Med. 2016;375:2423-34.</w:t>
      </w:r>
    </w:p>
    <w:p w14:paraId="5C09D616"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246. Lopes RD, Heizer G, Aronson R, et al.; for the AUGUSTUS Investigators. Antithrombotic therapy after acute coronary syndrome or PCI in atrial fibrillation. NEJM. 2019;380: 1509-24.</w:t>
      </w:r>
    </w:p>
    <w:p w14:paraId="0066E4BC" w14:textId="77777777" w:rsidR="00AF411E" w:rsidRPr="00F52FCA" w:rsidRDefault="00AF411E" w:rsidP="00A419DB">
      <w:pPr>
        <w:tabs>
          <w:tab w:val="left" w:pos="786"/>
        </w:tabs>
        <w:suppressAutoHyphens/>
        <w:spacing w:after="60" w:line="360" w:lineRule="auto"/>
        <w:jc w:val="both"/>
        <w:rPr>
          <w:rFonts w:ascii="Times New Roman" w:hAnsi="Times New Roman" w:cs="Times New Roman"/>
          <w:sz w:val="24"/>
          <w:szCs w:val="24"/>
          <w:lang w:val="fr-FR"/>
        </w:rPr>
      </w:pPr>
      <w:r w:rsidRPr="00AF411E">
        <w:rPr>
          <w:rFonts w:ascii="Times New Roman" w:hAnsi="Times New Roman" w:cs="Times New Roman" w:hint="eastAsia"/>
          <w:sz w:val="24"/>
          <w:szCs w:val="24"/>
          <w:lang w:val="en-US"/>
        </w:rPr>
        <w:t xml:space="preserve">247. Vranckx P, Valgimigli M, Eckardt L, et al. Edoxaban-based versus vitamin K antagonistbased antithrombotic regimen after successful coronary stenting in patients with atrial fibrillation (ENTRUST-AF PCI): a randomised, open-label, phase 3b trial. </w:t>
      </w:r>
      <w:r w:rsidRPr="00F52FCA">
        <w:rPr>
          <w:rFonts w:ascii="Times New Roman" w:hAnsi="Times New Roman" w:cs="Times New Roman" w:hint="eastAsia"/>
          <w:sz w:val="24"/>
          <w:szCs w:val="24"/>
          <w:lang w:val="fr-FR"/>
        </w:rPr>
        <w:t>Lanc</w:t>
      </w:r>
      <w:r w:rsidRPr="00F52FCA">
        <w:rPr>
          <w:rFonts w:ascii="Times New Roman" w:hAnsi="Times New Roman" w:cs="Times New Roman"/>
          <w:sz w:val="24"/>
          <w:szCs w:val="24"/>
          <w:lang w:val="fr-FR"/>
        </w:rPr>
        <w:t>et. 2019;394:1335-43. https://doi.org/10.1016/s0140-6736(19)31872-0.</w:t>
      </w:r>
    </w:p>
    <w:p w14:paraId="0661B281"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545863">
        <w:rPr>
          <w:rFonts w:ascii="Times New Roman" w:hAnsi="Times New Roman" w:cs="Times New Roman" w:hint="eastAsia"/>
          <w:sz w:val="24"/>
          <w:szCs w:val="24"/>
          <w:lang w:val="fr-FR"/>
        </w:rPr>
        <w:t xml:space="preserve">248. Gargiulo G, Goette A, Tijssen J, et al. </w:t>
      </w:r>
      <w:r w:rsidRPr="00AF411E">
        <w:rPr>
          <w:rFonts w:ascii="Times New Roman" w:hAnsi="Times New Roman" w:cs="Times New Roman" w:hint="eastAsia"/>
          <w:sz w:val="24"/>
          <w:szCs w:val="24"/>
          <w:lang w:val="en-US"/>
        </w:rPr>
        <w:t>Safety and efficacy outcomes of double vs. triple antithrombotic therapy in patients with atrial fibrillation following percutaneous coronary intervention: a systematic review and meta-analysis of non-vitamin K</w:t>
      </w:r>
      <w:r w:rsidRPr="00AF411E">
        <w:rPr>
          <w:rFonts w:ascii="Times New Roman" w:hAnsi="Times New Roman" w:cs="Times New Roman"/>
          <w:sz w:val="24"/>
          <w:szCs w:val="24"/>
          <w:lang w:val="en-US"/>
        </w:rPr>
        <w:t xml:space="preserve"> antagonist oral </w:t>
      </w:r>
      <w:r w:rsidRPr="00AF411E">
        <w:rPr>
          <w:rFonts w:ascii="Times New Roman" w:hAnsi="Times New Roman" w:cs="Times New Roman"/>
          <w:sz w:val="24"/>
          <w:szCs w:val="24"/>
          <w:lang w:val="en-US"/>
        </w:rPr>
        <w:lastRenderedPageBreak/>
        <w:t>anticoagulant-based randomized clinical trials. Eur Heart J. 2019;40:3757-67. https://doi.org/10.1093/eurheartj/ehz732.</w:t>
      </w:r>
    </w:p>
    <w:p w14:paraId="6D09A6CD"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249. Patel MR, Mahaffey KW, Garg J, et al.; ROCKET AF Investigators. Rivaroxaban versus warfarin in nonvalvular atrial fibrillation. N Engl J Med. 2011;365(10):883-91. https://doi.org/10.1056/NEJMoa1009638.</w:t>
      </w:r>
    </w:p>
    <w:p w14:paraId="2650E791"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250. Carter NJ, Plosker GL. Rivaroxaban: a review of its use in the prevention of stroke and systemic embolism in patients with atrial fibrillation. Drugs. 2013;73(7):715-39. https://doi.org/10.1007/s40265-013-0056-9.</w:t>
      </w:r>
    </w:p>
    <w:p w14:paraId="08D07853"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251. Ray WA, Chung CP, Murray KT, et al. Association of Oral Anticoagulants and Proton Pump Inhibitor CotherapyWith Hospitalization for Upper Gastrointestinal Tract Bleeding. JAMA. 2018;320:2221-30. https://doi.org/10.1001/jama.2018.17242.</w:t>
      </w:r>
    </w:p>
    <w:p w14:paraId="40A4C90A"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252. Moayyedi P, Eikelboom JW, Bosch J, et al.; COMPASS Investigators. Pantoprazole to Prevent Gastroduodenal Events in Patients Receiving Rivaroxaban and/or Aspirin in a Randomized, Double-Blind, Placebo-Controlled Trial Gastroenterology. 2019; 157(2):40</w:t>
      </w:r>
      <w:r w:rsidRPr="00AF411E">
        <w:rPr>
          <w:rFonts w:ascii="Times New Roman" w:hAnsi="Times New Roman" w:cs="Times New Roman"/>
          <w:sz w:val="24"/>
          <w:szCs w:val="24"/>
          <w:lang w:val="en-US"/>
        </w:rPr>
        <w:t>3-12. https://doi.org/10.1053/j.gastro.2019.04.041.</w:t>
      </w:r>
    </w:p>
    <w:p w14:paraId="0CC16A04"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253. Lee SR, Kwon S, Choi EK, et al. Proton Pump Inhibitor Co-Therapy in Patients with Atrial Fibrillation Treated with Oral Anticoagulants and a Prior History of Upper Gastrointestinal Tract Bleeding. Cardiovasc Drugs Ther. 2022;36:679-89. https://doi.or</w:t>
      </w:r>
      <w:r w:rsidRPr="00AF411E">
        <w:rPr>
          <w:rFonts w:ascii="Times New Roman" w:hAnsi="Times New Roman" w:cs="Times New Roman"/>
          <w:sz w:val="24"/>
          <w:szCs w:val="24"/>
          <w:lang w:val="en-US"/>
        </w:rPr>
        <w:t>g/10.1007/s10557-021-07170-6.</w:t>
      </w:r>
    </w:p>
    <w:p w14:paraId="730CC5B6" w14:textId="77777777" w:rsidR="00AF411E" w:rsidRPr="00F52FCA" w:rsidRDefault="00AF411E" w:rsidP="00A419DB">
      <w:pPr>
        <w:tabs>
          <w:tab w:val="left" w:pos="786"/>
        </w:tabs>
        <w:suppressAutoHyphens/>
        <w:spacing w:after="60" w:line="360" w:lineRule="auto"/>
        <w:jc w:val="both"/>
        <w:rPr>
          <w:rFonts w:ascii="Times New Roman" w:hAnsi="Times New Roman" w:cs="Times New Roman"/>
          <w:sz w:val="24"/>
          <w:szCs w:val="24"/>
          <w:lang w:val="fr-FR"/>
        </w:rPr>
      </w:pPr>
      <w:r w:rsidRPr="00AF411E">
        <w:rPr>
          <w:rFonts w:ascii="Times New Roman" w:hAnsi="Times New Roman" w:cs="Times New Roman" w:hint="eastAsia"/>
          <w:sz w:val="24"/>
          <w:szCs w:val="24"/>
          <w:lang w:val="en-US"/>
        </w:rPr>
        <w:t xml:space="preserve">254. Ahn HJ, Lee SR, Choi EK, et al. Protective effect of proton-pump inhibitor against gastrointestinal bleeding in patients receiving oral anticoagulants: A systematic review and meta-analysis. </w:t>
      </w:r>
      <w:r w:rsidRPr="00F52FCA">
        <w:rPr>
          <w:rFonts w:ascii="Times New Roman" w:hAnsi="Times New Roman" w:cs="Times New Roman" w:hint="eastAsia"/>
          <w:sz w:val="24"/>
          <w:szCs w:val="24"/>
          <w:lang w:val="fr-FR"/>
        </w:rPr>
        <w:t>Br J Clin Pharmacol. 2022;88:4676-87. https://doi.org/10.11</w:t>
      </w:r>
      <w:r w:rsidRPr="00F52FCA">
        <w:rPr>
          <w:rFonts w:ascii="Times New Roman" w:hAnsi="Times New Roman" w:cs="Times New Roman"/>
          <w:sz w:val="24"/>
          <w:szCs w:val="24"/>
          <w:lang w:val="fr-FR"/>
        </w:rPr>
        <w:t>11/bcp.15478.</w:t>
      </w:r>
    </w:p>
    <w:p w14:paraId="4C09C20A" w14:textId="77777777" w:rsidR="00AF411E" w:rsidRPr="00F52FCA" w:rsidRDefault="00AF411E" w:rsidP="00A419DB">
      <w:pPr>
        <w:tabs>
          <w:tab w:val="left" w:pos="786"/>
        </w:tabs>
        <w:suppressAutoHyphens/>
        <w:spacing w:after="60" w:line="360" w:lineRule="auto"/>
        <w:jc w:val="both"/>
        <w:rPr>
          <w:rFonts w:ascii="Times New Roman" w:hAnsi="Times New Roman" w:cs="Times New Roman"/>
          <w:sz w:val="24"/>
          <w:szCs w:val="24"/>
          <w:lang w:val="fr-FR"/>
        </w:rPr>
      </w:pPr>
      <w:r w:rsidRPr="00F52FCA">
        <w:rPr>
          <w:rFonts w:ascii="Times New Roman" w:hAnsi="Times New Roman" w:cs="Times New Roman" w:hint="eastAsia"/>
          <w:sz w:val="24"/>
          <w:szCs w:val="24"/>
          <w:lang w:val="fr-FR"/>
        </w:rPr>
        <w:t xml:space="preserve">255. Urban P, Mehran R, Colleran R, et al. </w:t>
      </w:r>
      <w:r w:rsidRPr="00AF411E">
        <w:rPr>
          <w:rFonts w:ascii="Times New Roman" w:hAnsi="Times New Roman" w:cs="Times New Roman" w:hint="eastAsia"/>
          <w:sz w:val="24"/>
          <w:szCs w:val="24"/>
          <w:lang w:val="en-US"/>
        </w:rPr>
        <w:t xml:space="preserve">Defining high bleeding risk in patients undergoing percutaneous coronary intervention: a consensus document from the Academic Research Consortium for High Bleeding Risk. </w:t>
      </w:r>
      <w:r w:rsidRPr="00F52FCA">
        <w:rPr>
          <w:rFonts w:ascii="Times New Roman" w:hAnsi="Times New Roman" w:cs="Times New Roman" w:hint="eastAsia"/>
          <w:sz w:val="24"/>
          <w:szCs w:val="24"/>
          <w:lang w:val="fr-FR"/>
        </w:rPr>
        <w:t>Eur Heart J. 2019;40:2632-53. https://doi.</w:t>
      </w:r>
      <w:r w:rsidRPr="00F52FCA">
        <w:rPr>
          <w:rFonts w:ascii="Times New Roman" w:hAnsi="Times New Roman" w:cs="Times New Roman"/>
          <w:sz w:val="24"/>
          <w:szCs w:val="24"/>
          <w:lang w:val="fr-FR"/>
        </w:rPr>
        <w:t>org/10.1093/eurheartj/ehz372.</w:t>
      </w:r>
    </w:p>
    <w:p w14:paraId="2D65DB44"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256. Palmerini T, Della Riva D, Benedetto U, et al. </w:t>
      </w:r>
      <w:r w:rsidRPr="00AF411E">
        <w:rPr>
          <w:rFonts w:ascii="Times New Roman" w:hAnsi="Times New Roman" w:cs="Times New Roman" w:hint="eastAsia"/>
          <w:sz w:val="24"/>
          <w:szCs w:val="24"/>
          <w:lang w:val="en-US"/>
        </w:rPr>
        <w:t>Three, six or twelve months of dual antiplatelet therapy after drug-eluting stent implantation in patients with or without acute coronary syndromes: an individual patient data pairwise and network meta-a</w:t>
      </w:r>
      <w:r w:rsidRPr="00AF411E">
        <w:rPr>
          <w:rFonts w:ascii="Times New Roman" w:hAnsi="Times New Roman" w:cs="Times New Roman"/>
          <w:sz w:val="24"/>
          <w:szCs w:val="24"/>
          <w:lang w:val="en-US"/>
        </w:rPr>
        <w:t>nalysis of six randomized trials and 11,473 patients. Eur Heart J. 2017;38:1034-43.</w:t>
      </w:r>
    </w:p>
    <w:p w14:paraId="37998D2E" w14:textId="77777777" w:rsidR="00AF411E" w:rsidRPr="00F52FCA" w:rsidRDefault="00AF411E" w:rsidP="00A419DB">
      <w:pPr>
        <w:tabs>
          <w:tab w:val="left" w:pos="786"/>
        </w:tabs>
        <w:suppressAutoHyphens/>
        <w:spacing w:after="60" w:line="360" w:lineRule="auto"/>
        <w:jc w:val="both"/>
        <w:rPr>
          <w:rFonts w:ascii="Times New Roman" w:hAnsi="Times New Roman" w:cs="Times New Roman"/>
          <w:sz w:val="24"/>
          <w:szCs w:val="24"/>
          <w:lang w:val="fr-FR"/>
        </w:rPr>
      </w:pPr>
      <w:r w:rsidRPr="00AF411E">
        <w:rPr>
          <w:rFonts w:ascii="Times New Roman" w:hAnsi="Times New Roman" w:cs="Times New Roman" w:hint="eastAsia"/>
          <w:sz w:val="24"/>
          <w:szCs w:val="24"/>
          <w:lang w:val="en-US"/>
        </w:rPr>
        <w:t xml:space="preserve">257. Hahn J-Y, Song YB, Oh J-H, et al. Effect of P2Y12 inhibitor monotherapy vs dual antiplatelet therapy on cardiovascular events in patients undergoing percutaneous coronary </w:t>
      </w:r>
      <w:r w:rsidRPr="00AF411E">
        <w:rPr>
          <w:rFonts w:ascii="Times New Roman" w:hAnsi="Times New Roman" w:cs="Times New Roman" w:hint="eastAsia"/>
          <w:sz w:val="24"/>
          <w:szCs w:val="24"/>
          <w:lang w:val="en-US"/>
        </w:rPr>
        <w:lastRenderedPageBreak/>
        <w:t xml:space="preserve">intervention: the SMART-CHOICE randomized clinical trial. </w:t>
      </w:r>
      <w:r w:rsidRPr="00F52FCA">
        <w:rPr>
          <w:rFonts w:ascii="Times New Roman" w:hAnsi="Times New Roman" w:cs="Times New Roman" w:hint="eastAsia"/>
          <w:sz w:val="24"/>
          <w:szCs w:val="24"/>
          <w:lang w:val="fr-FR"/>
        </w:rPr>
        <w:t>JAMA. 2019;321:2428-3</w:t>
      </w:r>
      <w:r w:rsidRPr="00F52FCA">
        <w:rPr>
          <w:rFonts w:ascii="Times New Roman" w:hAnsi="Times New Roman" w:cs="Times New Roman"/>
          <w:sz w:val="24"/>
          <w:szCs w:val="24"/>
          <w:lang w:val="fr-FR"/>
        </w:rPr>
        <w:t>7. https://doi.org/10.1001/jama.2019.8146.</w:t>
      </w:r>
    </w:p>
    <w:p w14:paraId="18C9F082" w14:textId="77777777" w:rsidR="00AF411E" w:rsidRPr="00F52FCA" w:rsidRDefault="00AF411E" w:rsidP="00A419DB">
      <w:pPr>
        <w:tabs>
          <w:tab w:val="left" w:pos="786"/>
        </w:tabs>
        <w:suppressAutoHyphens/>
        <w:spacing w:after="60" w:line="360" w:lineRule="auto"/>
        <w:jc w:val="both"/>
        <w:rPr>
          <w:rFonts w:ascii="Times New Roman" w:hAnsi="Times New Roman" w:cs="Times New Roman"/>
          <w:sz w:val="24"/>
          <w:szCs w:val="24"/>
          <w:lang w:val="fr-FR"/>
        </w:rPr>
      </w:pPr>
      <w:r w:rsidRPr="00F52FCA">
        <w:rPr>
          <w:rFonts w:ascii="Times New Roman" w:hAnsi="Times New Roman" w:cs="Times New Roman" w:hint="eastAsia"/>
          <w:sz w:val="24"/>
          <w:szCs w:val="24"/>
          <w:lang w:val="fr-FR"/>
        </w:rPr>
        <w:t xml:space="preserve">258. Vranckx P, Valgimigli M, Jüni P, et al. </w:t>
      </w:r>
      <w:r w:rsidRPr="00AF411E">
        <w:rPr>
          <w:rFonts w:ascii="Times New Roman" w:hAnsi="Times New Roman" w:cs="Times New Roman" w:hint="eastAsia"/>
          <w:sz w:val="24"/>
          <w:szCs w:val="24"/>
          <w:lang w:val="en-US"/>
        </w:rPr>
        <w:t>Ticagrelor plus aspirin for 1 month, followed by ticagrelor monotherapy for 23 months vs aspirin plus clopidogrel or ticagrelor for 12 months, followed by aspirin monotherapy for 12 months after implantation of</w:t>
      </w:r>
      <w:r w:rsidRPr="00AF411E">
        <w:rPr>
          <w:rFonts w:ascii="Times New Roman" w:hAnsi="Times New Roman" w:cs="Times New Roman"/>
          <w:sz w:val="24"/>
          <w:szCs w:val="24"/>
          <w:lang w:val="en-US"/>
        </w:rPr>
        <w:t xml:space="preserve"> a drug-eluting stent: a multicentre, open-label, randomized superiority trial. </w:t>
      </w:r>
      <w:r w:rsidRPr="00F52FCA">
        <w:rPr>
          <w:rFonts w:ascii="Times New Roman" w:hAnsi="Times New Roman" w:cs="Times New Roman"/>
          <w:sz w:val="24"/>
          <w:szCs w:val="24"/>
          <w:lang w:val="fr-FR"/>
        </w:rPr>
        <w:t>Lancet. 2018;392:940-9. https://doi.org/10.1016/s0140-6736(18)31858-0.</w:t>
      </w:r>
    </w:p>
    <w:p w14:paraId="161C7A0E"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545863">
        <w:rPr>
          <w:rFonts w:ascii="Times New Roman" w:hAnsi="Times New Roman" w:cs="Times New Roman" w:hint="eastAsia"/>
          <w:sz w:val="24"/>
          <w:szCs w:val="24"/>
          <w:lang w:val="fr-FR"/>
        </w:rPr>
        <w:t xml:space="preserve">259. Mehran R, Baber U, Sharma SK, et al. </w:t>
      </w:r>
      <w:r w:rsidRPr="00AF411E">
        <w:rPr>
          <w:rFonts w:ascii="Times New Roman" w:hAnsi="Times New Roman" w:cs="Times New Roman" w:hint="eastAsia"/>
          <w:sz w:val="24"/>
          <w:szCs w:val="24"/>
          <w:lang w:val="en-US"/>
        </w:rPr>
        <w:t>Ticagrelor with or without aspirin in high-risk patients after PCI. N Engl J Med. 2019;381:2032-42. https://doi.org/10.1056/NEJMoa1908419.</w:t>
      </w:r>
    </w:p>
    <w:p w14:paraId="5D8321DB" w14:textId="77777777" w:rsidR="00AF411E" w:rsidRPr="00F52FCA" w:rsidRDefault="00AF411E" w:rsidP="00A419DB">
      <w:pPr>
        <w:tabs>
          <w:tab w:val="left" w:pos="786"/>
        </w:tabs>
        <w:suppressAutoHyphens/>
        <w:spacing w:after="60" w:line="360" w:lineRule="auto"/>
        <w:jc w:val="both"/>
        <w:rPr>
          <w:rFonts w:ascii="Times New Roman" w:hAnsi="Times New Roman" w:cs="Times New Roman"/>
          <w:sz w:val="24"/>
          <w:szCs w:val="24"/>
          <w:lang w:val="fr-FR"/>
        </w:rPr>
      </w:pPr>
      <w:r w:rsidRPr="00AF411E">
        <w:rPr>
          <w:rFonts w:ascii="Times New Roman" w:hAnsi="Times New Roman" w:cs="Times New Roman" w:hint="eastAsia"/>
          <w:sz w:val="24"/>
          <w:szCs w:val="24"/>
          <w:lang w:val="en-US"/>
        </w:rPr>
        <w:t xml:space="preserve">260. Kim BK, Hong SJ, Cho YH, et al. Effect of ticagrelor monotherapy vs ticagrelor with aspirin on major bleeding and cardiovascular events in patients with acute coronary syndrome: the TICO randomized clinical trial. </w:t>
      </w:r>
      <w:r w:rsidRPr="00F52FCA">
        <w:rPr>
          <w:rFonts w:ascii="Times New Roman" w:hAnsi="Times New Roman" w:cs="Times New Roman" w:hint="eastAsia"/>
          <w:sz w:val="24"/>
          <w:szCs w:val="24"/>
          <w:lang w:val="fr-FR"/>
        </w:rPr>
        <w:t>JAMA. 2020;323:2407-16. https://doi.</w:t>
      </w:r>
      <w:r w:rsidRPr="00F52FCA">
        <w:rPr>
          <w:rFonts w:ascii="Times New Roman" w:hAnsi="Times New Roman" w:cs="Times New Roman"/>
          <w:sz w:val="24"/>
          <w:szCs w:val="24"/>
          <w:lang w:val="fr-FR"/>
        </w:rPr>
        <w:t>org/10.1001/jama.2020.7580.</w:t>
      </w:r>
    </w:p>
    <w:p w14:paraId="0AB6C64C" w14:textId="77777777" w:rsidR="00037E5C" w:rsidRPr="00F52FCA" w:rsidRDefault="00AF411E" w:rsidP="00A419DB">
      <w:pPr>
        <w:tabs>
          <w:tab w:val="left" w:pos="786"/>
        </w:tabs>
        <w:suppressAutoHyphens/>
        <w:spacing w:after="60" w:line="360" w:lineRule="auto"/>
        <w:jc w:val="both"/>
        <w:rPr>
          <w:rFonts w:ascii="Times New Roman" w:hAnsi="Times New Roman" w:cs="Times New Roman"/>
          <w:sz w:val="24"/>
          <w:szCs w:val="24"/>
          <w:lang w:val="fr-FR"/>
        </w:rPr>
      </w:pPr>
      <w:r w:rsidRPr="00F52FCA">
        <w:rPr>
          <w:rFonts w:ascii="Times New Roman" w:hAnsi="Times New Roman" w:cs="Times New Roman" w:hint="eastAsia"/>
          <w:sz w:val="24"/>
          <w:szCs w:val="24"/>
          <w:lang w:val="fr-FR"/>
        </w:rPr>
        <w:t xml:space="preserve">261. Giacoppo D, Matsuda Y, Fovino LN, et al. </w:t>
      </w:r>
      <w:r w:rsidRPr="00AF411E">
        <w:rPr>
          <w:rFonts w:ascii="Times New Roman" w:hAnsi="Times New Roman" w:cs="Times New Roman" w:hint="eastAsia"/>
          <w:sz w:val="24"/>
          <w:szCs w:val="24"/>
          <w:lang w:val="en-US"/>
        </w:rPr>
        <w:t xml:space="preserve">Short dual antiplatelet therapy followed by P2Y12 inhibitor monotherapy vs. prolonged dual antiplatelet therapy after percutaneous coronary intervention with secondgeneration drug-eluting stents: a systematic </w:t>
      </w:r>
      <w:r w:rsidRPr="00AF411E">
        <w:rPr>
          <w:rFonts w:ascii="Times New Roman" w:hAnsi="Times New Roman" w:cs="Times New Roman"/>
          <w:sz w:val="24"/>
          <w:szCs w:val="24"/>
          <w:lang w:val="en-US"/>
        </w:rPr>
        <w:t xml:space="preserve">review and meta-analysis of randomized clinical trials. </w:t>
      </w:r>
      <w:r w:rsidRPr="00F52FCA">
        <w:rPr>
          <w:rFonts w:ascii="Times New Roman" w:hAnsi="Times New Roman" w:cs="Times New Roman"/>
          <w:sz w:val="24"/>
          <w:szCs w:val="24"/>
          <w:lang w:val="fr-FR"/>
        </w:rPr>
        <w:t xml:space="preserve">Eur Heart J. 2021;42:308-19. </w:t>
      </w:r>
      <w:hyperlink r:id="rId318" w:history="1">
        <w:r w:rsidR="00037E5C" w:rsidRPr="00F52FCA">
          <w:rPr>
            <w:rStyle w:val="a6"/>
            <w:rFonts w:ascii="Times New Roman" w:hAnsi="Times New Roman" w:cs="Times New Roman"/>
            <w:sz w:val="24"/>
            <w:szCs w:val="24"/>
            <w:lang w:val="fr-FR"/>
          </w:rPr>
          <w:t>https://doi.org/10.1093/eurheartj/ehaa739</w:t>
        </w:r>
      </w:hyperlink>
      <w:r w:rsidRPr="00F52FCA">
        <w:rPr>
          <w:rFonts w:ascii="Times New Roman" w:hAnsi="Times New Roman" w:cs="Times New Roman"/>
          <w:sz w:val="24"/>
          <w:szCs w:val="24"/>
          <w:lang w:val="fr-FR"/>
        </w:rPr>
        <w:t>.</w:t>
      </w:r>
    </w:p>
    <w:p w14:paraId="20E20F21" w14:textId="77777777" w:rsidR="00AF411E" w:rsidRPr="00F52FCA" w:rsidRDefault="00AF411E" w:rsidP="00A419DB">
      <w:pPr>
        <w:tabs>
          <w:tab w:val="left" w:pos="786"/>
        </w:tabs>
        <w:suppressAutoHyphens/>
        <w:spacing w:after="60" w:line="360" w:lineRule="auto"/>
        <w:jc w:val="both"/>
        <w:rPr>
          <w:rFonts w:ascii="Times New Roman" w:hAnsi="Times New Roman" w:cs="Times New Roman"/>
          <w:sz w:val="24"/>
          <w:szCs w:val="24"/>
          <w:lang w:val="fr-FR"/>
        </w:rPr>
      </w:pPr>
      <w:r w:rsidRPr="00F52FCA">
        <w:rPr>
          <w:rFonts w:ascii="Times New Roman" w:hAnsi="Times New Roman" w:cs="Times New Roman" w:hint="eastAsia"/>
          <w:sz w:val="24"/>
          <w:szCs w:val="24"/>
          <w:lang w:val="fr-FR"/>
        </w:rPr>
        <w:t xml:space="preserve">262. Valgimigli M, Gragnano F, Branca M, et al. </w:t>
      </w:r>
      <w:r w:rsidRPr="00AF411E">
        <w:rPr>
          <w:rFonts w:ascii="Times New Roman" w:hAnsi="Times New Roman" w:cs="Times New Roman" w:hint="eastAsia"/>
          <w:sz w:val="24"/>
          <w:szCs w:val="24"/>
          <w:lang w:val="en-US"/>
        </w:rPr>
        <w:t xml:space="preserve">P2Y12 inhibitor monotherapy or dual antiplatelet therapy after coronary revascularisation: individual patient level meta-analysis of randomised controlled trials. </w:t>
      </w:r>
      <w:r w:rsidRPr="00F52FCA">
        <w:rPr>
          <w:rFonts w:ascii="Times New Roman" w:hAnsi="Times New Roman" w:cs="Times New Roman" w:hint="eastAsia"/>
          <w:sz w:val="24"/>
          <w:szCs w:val="24"/>
          <w:lang w:val="fr-FR"/>
        </w:rPr>
        <w:t>BMJ. 2021;373:n1332. https://doi.org/10.1136</w:t>
      </w:r>
      <w:r w:rsidRPr="00F52FCA">
        <w:rPr>
          <w:rFonts w:ascii="Times New Roman" w:hAnsi="Times New Roman" w:cs="Times New Roman"/>
          <w:sz w:val="24"/>
          <w:szCs w:val="24"/>
          <w:lang w:val="fr-FR"/>
        </w:rPr>
        <w:t>/bmj.n1332.</w:t>
      </w:r>
    </w:p>
    <w:p w14:paraId="1B6B1D56"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263. Smits PC, Frigoli E, Tijssen J, et al. </w:t>
      </w:r>
      <w:r w:rsidRPr="00AF411E">
        <w:rPr>
          <w:rFonts w:ascii="Times New Roman" w:hAnsi="Times New Roman" w:cs="Times New Roman" w:hint="eastAsia"/>
          <w:sz w:val="24"/>
          <w:szCs w:val="24"/>
          <w:lang w:val="en-US"/>
        </w:rPr>
        <w:t>Abbreviated antiplatelet therapy in patients at high bleeding risk with or without oral anticoagulant therapy after coronary stenting: an open-label, randomized, controlled trial. Circulation. 2021;144:1196-211.</w:t>
      </w:r>
      <w:r w:rsidRPr="00AF411E">
        <w:rPr>
          <w:rFonts w:ascii="Times New Roman" w:hAnsi="Times New Roman" w:cs="Times New Roman"/>
          <w:sz w:val="24"/>
          <w:szCs w:val="24"/>
          <w:lang w:val="en-US"/>
        </w:rPr>
        <w:t xml:space="preserve"> https://doi.org/10.1161/circulationaha.121.056680.</w:t>
      </w:r>
    </w:p>
    <w:p w14:paraId="7751367E"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264. Watanabe H, Morimoto T, Natsuaki M, et al.; STOPDAPT-2 ACS Investigators. Comparison of Clopidogrel Monotherapy After 1 to 2 Months of Dual Antiplatelet Therapy With 12 Months of Dual Antiplatelet Therapy in Patients With Acute Coronary Syndrome: The</w:t>
      </w:r>
      <w:r w:rsidRPr="00AF411E">
        <w:rPr>
          <w:rFonts w:ascii="Times New Roman" w:hAnsi="Times New Roman" w:cs="Times New Roman"/>
          <w:sz w:val="24"/>
          <w:szCs w:val="24"/>
          <w:lang w:val="en-US"/>
        </w:rPr>
        <w:t xml:space="preserve"> STOPDAPT-2 ACS Randomized Clinical Trial. JAMA Cardiol. 2022;7(4):407-17. https://doi.org/10.1001/jamacardio.2021.5244.</w:t>
      </w:r>
    </w:p>
    <w:p w14:paraId="01A48034"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265. Sibbing D, Aradi D, Jacobshagen C, et al.; on behalf of the TROPICAL-ACS Investigators. Guided de-ЕОКalation of antiplatelet treatment in patients with acute coronary syndrome undergoing percutaneous coronary intervention (TROPICAL-ACS): a randomised</w:t>
      </w:r>
      <w:r w:rsidRPr="00AF411E">
        <w:rPr>
          <w:rFonts w:ascii="Times New Roman" w:hAnsi="Times New Roman" w:cs="Times New Roman"/>
          <w:sz w:val="24"/>
          <w:szCs w:val="24"/>
          <w:lang w:val="en-US"/>
        </w:rPr>
        <w:t>, openlabel, multicentre trial. Lancet. 2017;390:1747-57.</w:t>
      </w:r>
    </w:p>
    <w:p w14:paraId="1ED70B42" w14:textId="77777777" w:rsidR="00AF411E" w:rsidRPr="00AF411E" w:rsidRDefault="00037E5C" w:rsidP="00A419DB">
      <w:pPr>
        <w:tabs>
          <w:tab w:val="left" w:pos="786"/>
        </w:tabs>
        <w:suppressAutoHyphens/>
        <w:spacing w:after="60" w:line="360" w:lineRule="auto"/>
        <w:jc w:val="both"/>
        <w:rPr>
          <w:rFonts w:ascii="Times New Roman" w:hAnsi="Times New Roman" w:cs="Times New Roman"/>
          <w:sz w:val="24"/>
          <w:szCs w:val="24"/>
          <w:lang w:val="en-US"/>
        </w:rPr>
      </w:pPr>
      <w:r w:rsidRPr="00037E5C">
        <w:rPr>
          <w:rFonts w:ascii="Times New Roman" w:hAnsi="Times New Roman" w:cs="Times New Roman"/>
          <w:sz w:val="24"/>
          <w:szCs w:val="24"/>
          <w:lang w:val="en-US"/>
        </w:rPr>
        <w:lastRenderedPageBreak/>
        <w:t>2</w:t>
      </w:r>
      <w:r w:rsidR="00AF411E" w:rsidRPr="00AF411E">
        <w:rPr>
          <w:rFonts w:ascii="Times New Roman" w:hAnsi="Times New Roman" w:cs="Times New Roman" w:hint="eastAsia"/>
          <w:sz w:val="24"/>
          <w:szCs w:val="24"/>
          <w:lang w:val="en-US"/>
        </w:rPr>
        <w:t>66. Cuisset T, Deharo P, Quilici J, et al. Benefit of switching dual antiplatelet therapy after acute coronary syndrome: the TOPIC (timing of platelet inhibition after acute coronary syndrome) randomized study. Eur Heart J. 2017;38:3070-8.</w:t>
      </w:r>
    </w:p>
    <w:p w14:paraId="3AD79794" w14:textId="77777777" w:rsidR="00AF411E" w:rsidRPr="00F52FCA" w:rsidRDefault="00AF411E" w:rsidP="00A419DB">
      <w:pPr>
        <w:tabs>
          <w:tab w:val="left" w:pos="786"/>
        </w:tabs>
        <w:suppressAutoHyphens/>
        <w:spacing w:after="60" w:line="360" w:lineRule="auto"/>
        <w:jc w:val="both"/>
        <w:rPr>
          <w:rFonts w:ascii="Times New Roman" w:hAnsi="Times New Roman" w:cs="Times New Roman"/>
          <w:sz w:val="24"/>
          <w:szCs w:val="24"/>
          <w:lang w:val="fr-FR"/>
        </w:rPr>
      </w:pPr>
      <w:r w:rsidRPr="00AF411E">
        <w:rPr>
          <w:rFonts w:ascii="Times New Roman" w:hAnsi="Times New Roman" w:cs="Times New Roman" w:hint="eastAsia"/>
          <w:sz w:val="24"/>
          <w:szCs w:val="24"/>
          <w:lang w:val="en-US"/>
        </w:rPr>
        <w:t>267. Kim CJ, Park MW, Kim MC, et al. Unguided de-escalation from ticagrelor to clopidogrel in stabilised patients with acute myocardial infarction undergoing percutaneous coronary intervention (TALOS-AMI): an investigator-initiated, open-label, multicentr</w:t>
      </w:r>
      <w:r w:rsidRPr="00AF411E">
        <w:rPr>
          <w:rFonts w:ascii="Times New Roman" w:hAnsi="Times New Roman" w:cs="Times New Roman"/>
          <w:sz w:val="24"/>
          <w:szCs w:val="24"/>
          <w:lang w:val="en-US"/>
        </w:rPr>
        <w:t xml:space="preserve">e, non-inferiority, randomised trial. </w:t>
      </w:r>
      <w:r w:rsidRPr="00F52FCA">
        <w:rPr>
          <w:rFonts w:ascii="Times New Roman" w:hAnsi="Times New Roman" w:cs="Times New Roman"/>
          <w:sz w:val="24"/>
          <w:szCs w:val="24"/>
          <w:lang w:val="fr-FR"/>
        </w:rPr>
        <w:t>Lancet. 2021;398:1305-16. https://doi.org/10.1016/s0140-6736(21)01445-8.</w:t>
      </w:r>
    </w:p>
    <w:p w14:paraId="7BDEDB5F"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268. Claassens DMF, Vos GJA, Bergmeijer TO, et al. </w:t>
      </w:r>
      <w:r w:rsidRPr="00AF411E">
        <w:rPr>
          <w:rFonts w:ascii="Times New Roman" w:hAnsi="Times New Roman" w:cs="Times New Roman" w:hint="eastAsia"/>
          <w:sz w:val="24"/>
          <w:szCs w:val="24"/>
          <w:lang w:val="en-US"/>
        </w:rPr>
        <w:t>A genotype-guided strategy for oral P2Y12 inhibitors in primary PCI. N Engl J Med. 2019;381:1621-31. https://doi.org/10.1056/NEJMoa1907096.</w:t>
      </w:r>
    </w:p>
    <w:p w14:paraId="2F92C280"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269. Eikelboom JW, Connolly SJ, Bosch J, et al.; on behalf of the COMPASS Investigators. Rivaroxaban with or without aspirin in stable cardiovascular disease. N Engl J Med. 2017;377:1319-930.</w:t>
      </w:r>
    </w:p>
    <w:p w14:paraId="2C3C6D10"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270. Connolly SJ, Eikelboom JW, Bosch J, et al. Rivaroxaban with or without aspirin in patients with stable coronary artery disease: an international, randomised, double-blind, placebocontrolled trial. Lancet. 2018;391:205-18.</w:t>
      </w:r>
    </w:p>
    <w:p w14:paraId="2530BA02"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271. Mauri L, Kereiakes DJ, Yeh RW, et al. Twelve or 30 months of dual antiplatelet therapy after drug-eluting stents. N Engl J Med. 2014;371:2155-66. https://doi.org/10.1056/NEJMoa1409312.</w:t>
      </w:r>
    </w:p>
    <w:p w14:paraId="595CA53C"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272. Bonaca MP, Bhatt DL, Steg PG, et al. Ischaemic risk and efficacy of ticagrelor in relation to time from P2Y12 inhibitor withdrawal in patients with prior myocardial infarction: insights from PEGASUS-TIMI 54. Eur Heart J. 2016;37:1133-42. https://doi.</w:t>
      </w:r>
      <w:r w:rsidRPr="00AF411E">
        <w:rPr>
          <w:rFonts w:ascii="Times New Roman" w:hAnsi="Times New Roman" w:cs="Times New Roman"/>
          <w:sz w:val="24"/>
          <w:szCs w:val="24"/>
          <w:lang w:val="en-US"/>
        </w:rPr>
        <w:t>org/10.1093/eurheartj/ehv531.</w:t>
      </w:r>
    </w:p>
    <w:p w14:paraId="523BC5B7"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273. Bonaca MP, Bhatt DL, Cohen M, et al. Long-term use of ticagrelor in patients with prior myocardial infarction. N Engl J Med. 2015;372:1791-800. https://doi.org/10.1056/NEJMoa1500857.</w:t>
      </w:r>
    </w:p>
    <w:p w14:paraId="5A1CCBEE" w14:textId="77777777" w:rsidR="00AF411E" w:rsidRPr="00F52FCA" w:rsidRDefault="00AF411E" w:rsidP="00A419DB">
      <w:pPr>
        <w:tabs>
          <w:tab w:val="left" w:pos="786"/>
        </w:tabs>
        <w:suppressAutoHyphens/>
        <w:spacing w:after="60" w:line="360" w:lineRule="auto"/>
        <w:jc w:val="both"/>
        <w:rPr>
          <w:rFonts w:ascii="Times New Roman" w:hAnsi="Times New Roman" w:cs="Times New Roman"/>
          <w:sz w:val="24"/>
          <w:szCs w:val="24"/>
          <w:lang w:val="fr-FR"/>
        </w:rPr>
      </w:pPr>
      <w:r w:rsidRPr="00AF411E">
        <w:rPr>
          <w:rFonts w:ascii="Times New Roman" w:hAnsi="Times New Roman" w:cs="Times New Roman" w:hint="eastAsia"/>
          <w:sz w:val="24"/>
          <w:szCs w:val="24"/>
          <w:lang w:val="en-US"/>
        </w:rPr>
        <w:t xml:space="preserve">274. Chiarito M, Sanz-Sánchez J, Cannata F, et al. Monotherapy with a P2Y(12) inhibitor or aspirin for secondary prevention in patients with established atherosclerosis: a systematic review and meta-analysis. </w:t>
      </w:r>
      <w:r w:rsidRPr="00F52FCA">
        <w:rPr>
          <w:rFonts w:ascii="Times New Roman" w:hAnsi="Times New Roman" w:cs="Times New Roman" w:hint="eastAsia"/>
          <w:sz w:val="24"/>
          <w:szCs w:val="24"/>
          <w:lang w:val="fr-FR"/>
        </w:rPr>
        <w:t>Lancet. 2020;395:1487-95. https://doi.org/10.1</w:t>
      </w:r>
      <w:r w:rsidRPr="00F52FCA">
        <w:rPr>
          <w:rFonts w:ascii="Times New Roman" w:hAnsi="Times New Roman" w:cs="Times New Roman"/>
          <w:sz w:val="24"/>
          <w:szCs w:val="24"/>
          <w:lang w:val="fr-FR"/>
        </w:rPr>
        <w:t>016/s0140-6736(20)30315-9.</w:t>
      </w:r>
    </w:p>
    <w:p w14:paraId="1DC84A1F" w14:textId="77777777" w:rsidR="00AF411E" w:rsidRPr="00F52FCA" w:rsidRDefault="00AF411E" w:rsidP="00A419DB">
      <w:pPr>
        <w:tabs>
          <w:tab w:val="left" w:pos="786"/>
        </w:tabs>
        <w:suppressAutoHyphens/>
        <w:spacing w:after="60" w:line="360" w:lineRule="auto"/>
        <w:jc w:val="both"/>
        <w:rPr>
          <w:rFonts w:ascii="Times New Roman" w:hAnsi="Times New Roman" w:cs="Times New Roman"/>
          <w:sz w:val="24"/>
          <w:szCs w:val="24"/>
          <w:lang w:val="fr-FR"/>
        </w:rPr>
      </w:pPr>
      <w:r w:rsidRPr="00F52FCA">
        <w:rPr>
          <w:rFonts w:ascii="Times New Roman" w:hAnsi="Times New Roman" w:cs="Times New Roman" w:hint="eastAsia"/>
          <w:sz w:val="24"/>
          <w:szCs w:val="24"/>
          <w:lang w:val="fr-FR"/>
        </w:rPr>
        <w:t xml:space="preserve">275. Koo BK, Kang J, Park KW, et al. </w:t>
      </w:r>
      <w:r w:rsidRPr="00AF411E">
        <w:rPr>
          <w:rFonts w:ascii="Times New Roman" w:hAnsi="Times New Roman" w:cs="Times New Roman" w:hint="eastAsia"/>
          <w:sz w:val="24"/>
          <w:szCs w:val="24"/>
          <w:lang w:val="en-US"/>
        </w:rPr>
        <w:t xml:space="preserve">Aspirin versus clopidogrel for chronic maintenance monotherapy after percutaneous coronary intervention (HOST-EXAM): an investigatorinitiated, prospective, randomised, open-label, multicentre trial. </w:t>
      </w:r>
      <w:r w:rsidRPr="00F52FCA">
        <w:rPr>
          <w:rFonts w:ascii="Times New Roman" w:hAnsi="Times New Roman" w:cs="Times New Roman" w:hint="eastAsia"/>
          <w:sz w:val="24"/>
          <w:szCs w:val="24"/>
          <w:lang w:val="fr-FR"/>
        </w:rPr>
        <w:t>Lancet. 2021;397:24</w:t>
      </w:r>
      <w:r w:rsidRPr="00F52FCA">
        <w:rPr>
          <w:rFonts w:ascii="Times New Roman" w:hAnsi="Times New Roman" w:cs="Times New Roman"/>
          <w:sz w:val="24"/>
          <w:szCs w:val="24"/>
          <w:lang w:val="fr-FR"/>
        </w:rPr>
        <w:t>87-96. https://doi.org/10.1016/s0140-6736(21)01063-1.</w:t>
      </w:r>
    </w:p>
    <w:p w14:paraId="27D046E1"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545863">
        <w:rPr>
          <w:rFonts w:ascii="Times New Roman" w:hAnsi="Times New Roman" w:cs="Times New Roman" w:hint="eastAsia"/>
          <w:sz w:val="24"/>
          <w:szCs w:val="24"/>
          <w:lang w:val="fr-FR"/>
        </w:rPr>
        <w:lastRenderedPageBreak/>
        <w:t xml:space="preserve">276. Leonardi S, Franzone A, Piccolo R, et al. </w:t>
      </w:r>
      <w:r w:rsidRPr="00AF411E">
        <w:rPr>
          <w:rFonts w:ascii="Times New Roman" w:hAnsi="Times New Roman" w:cs="Times New Roman" w:hint="eastAsia"/>
          <w:sz w:val="24"/>
          <w:szCs w:val="24"/>
          <w:lang w:val="en-US"/>
        </w:rPr>
        <w:t>Rationale and design of a prospective substudy of clinical endpoint adjudication processes within an investigator-reported randomized controlled trial in patients with coronary artery disease: the GLOBAL LEAD</w:t>
      </w:r>
      <w:r w:rsidRPr="00AF411E">
        <w:rPr>
          <w:rFonts w:ascii="Times New Roman" w:hAnsi="Times New Roman" w:cs="Times New Roman"/>
          <w:sz w:val="24"/>
          <w:szCs w:val="24"/>
          <w:lang w:val="en-US"/>
        </w:rPr>
        <w:t>ERS Adjudication Sub-StudY (GLASSY). BMJ Open. 2019;9(3):e026053. https://doi.org/10.1136/bmjopen-2018-026053.</w:t>
      </w:r>
    </w:p>
    <w:p w14:paraId="7C3BE161"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277. ISSI-3: effects of lisinopril and transdermal glyceryl trinitrate singly and together on 6-week mortality and ventricular function after acute myocardial infarction. Gruppo Italiano per lo STudiodellaSopravvivenzanell'infartoMiocardico. Lancet. 1</w:t>
      </w:r>
      <w:r w:rsidRPr="00AF411E">
        <w:rPr>
          <w:rFonts w:ascii="Times New Roman" w:hAnsi="Times New Roman" w:cs="Times New Roman"/>
          <w:sz w:val="24"/>
          <w:szCs w:val="24"/>
          <w:lang w:val="en-US"/>
        </w:rPr>
        <w:t>994;343:1115.</w:t>
      </w:r>
    </w:p>
    <w:p w14:paraId="2042368F"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 xml:space="preserve">278. ISIS-4 (Fourth International Study of Infarct Survival) Collaborative Group. ISIS-4: a randomised factorial trial assessing early oral captopril, oral mononitrate, and intravenous magnesium sulphate in 58,050 patients with suspected acute myocardial </w:t>
      </w:r>
      <w:r w:rsidRPr="00AF411E">
        <w:rPr>
          <w:rFonts w:ascii="Times New Roman" w:hAnsi="Times New Roman" w:cs="Times New Roman"/>
          <w:sz w:val="24"/>
          <w:szCs w:val="24"/>
          <w:lang w:val="en-US"/>
        </w:rPr>
        <w:t>infarction. Lancet. 1995;345(8951):669-85.</w:t>
      </w:r>
    </w:p>
    <w:p w14:paraId="2733CA37"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 xml:space="preserve">279. Gruppo Italiano per lo Studio dellaSopravvivenzanell'infartoMiocardico. GISSI-3: effects of lisinopril and transdermal glyceryl trinitrate singly and together on 6-week mortality and ventricular function after acute myocardial infarction. Lancet. </w:t>
      </w:r>
      <w:r w:rsidRPr="00AF411E">
        <w:rPr>
          <w:rFonts w:ascii="Times New Roman" w:hAnsi="Times New Roman" w:cs="Times New Roman"/>
          <w:sz w:val="24"/>
          <w:szCs w:val="24"/>
          <w:lang w:val="en-US"/>
        </w:rPr>
        <w:t>1994;343:1115-22.</w:t>
      </w:r>
    </w:p>
    <w:p w14:paraId="08E177A6"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280. Roberts R. Intravenous Nitroglycerin in Acute Myocardial Infarction. Am J Med. 1983;74(6B):45-52.</w:t>
      </w:r>
    </w:p>
    <w:p w14:paraId="4CB7E2B6" w14:textId="77777777" w:rsidR="00AF411E" w:rsidRPr="00F52FCA" w:rsidRDefault="00AF411E" w:rsidP="00A419DB">
      <w:pPr>
        <w:tabs>
          <w:tab w:val="left" w:pos="786"/>
        </w:tabs>
        <w:suppressAutoHyphens/>
        <w:spacing w:after="60" w:line="360" w:lineRule="auto"/>
        <w:jc w:val="both"/>
        <w:rPr>
          <w:rFonts w:ascii="Times New Roman" w:hAnsi="Times New Roman" w:cs="Times New Roman"/>
          <w:sz w:val="24"/>
          <w:szCs w:val="24"/>
          <w:lang w:val="fr-FR"/>
        </w:rPr>
      </w:pPr>
      <w:r w:rsidRPr="00AF411E">
        <w:rPr>
          <w:rFonts w:ascii="Times New Roman" w:hAnsi="Times New Roman" w:cs="Times New Roman" w:hint="eastAsia"/>
          <w:sz w:val="24"/>
          <w:szCs w:val="24"/>
          <w:lang w:val="en-US"/>
        </w:rPr>
        <w:t xml:space="preserve">281. Charvat J, Kuruvilla T, al Amad H. Beneficial Effect of Intravenous Nitroglycerin in Patients With non-Q Myocardial Infarction. </w:t>
      </w:r>
      <w:r w:rsidRPr="00F52FCA">
        <w:rPr>
          <w:rFonts w:ascii="Times New Roman" w:hAnsi="Times New Roman" w:cs="Times New Roman" w:hint="eastAsia"/>
          <w:sz w:val="24"/>
          <w:szCs w:val="24"/>
          <w:lang w:val="fr-FR"/>
        </w:rPr>
        <w:t>Cardiologia. 1990;35(1):49-54.</w:t>
      </w:r>
    </w:p>
    <w:p w14:paraId="45813DED"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282. Ibanez B, Macaya C, Sánchez-Brunete V, et al. </w:t>
      </w:r>
      <w:r w:rsidRPr="00AF411E">
        <w:rPr>
          <w:rFonts w:ascii="Times New Roman" w:hAnsi="Times New Roman" w:cs="Times New Roman" w:hint="eastAsia"/>
          <w:sz w:val="24"/>
          <w:szCs w:val="24"/>
          <w:lang w:val="en-US"/>
        </w:rPr>
        <w:t>Effect of early metoprolol on infarct size in ST-segment-elevation myocardial infarction patients undergoing primary percutaneous coronary intervention: the effect of metoprolol in cardioprotection during</w:t>
      </w:r>
      <w:r w:rsidRPr="00AF411E">
        <w:rPr>
          <w:rFonts w:ascii="Times New Roman" w:hAnsi="Times New Roman" w:cs="Times New Roman"/>
          <w:sz w:val="24"/>
          <w:szCs w:val="24"/>
          <w:lang w:val="en-US"/>
        </w:rPr>
        <w:t xml:space="preserve"> an acute myocardial infarction (METOCARD-CNIC) trial. Circulation. 2013;128:1495-503. https://doi.org/10.1161/circulationaha.113.003653.</w:t>
      </w:r>
    </w:p>
    <w:p w14:paraId="0A3196D3"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283. Roolvink V, Ibáñez B, Ottervanger JP, et al. Early intravenous beta-blockers in patients with ST-segment elevation myocardial infarction before primary percutaneous coronary intervention. J Am Coll Cardiol. 2016;67:2705-15. https://doi.org/10.1016/j.</w:t>
      </w:r>
      <w:r w:rsidRPr="00AF411E">
        <w:rPr>
          <w:rFonts w:ascii="Times New Roman" w:hAnsi="Times New Roman" w:cs="Times New Roman"/>
          <w:sz w:val="24"/>
          <w:szCs w:val="24"/>
          <w:lang w:val="en-US"/>
        </w:rPr>
        <w:t>jacc.2016.03.522.</w:t>
      </w:r>
    </w:p>
    <w:p w14:paraId="2B73DB72"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284. Pizarro G, Fernández-Friera L, Fuster V, et al. Long-term benefit of early pre-reperfusion metoprolol administration in patients with acute myocardial infarction: results from the METOCARD-CNIC trial (effect of metoprolol in cardioprotection during a</w:t>
      </w:r>
      <w:r w:rsidRPr="00AF411E">
        <w:rPr>
          <w:rFonts w:ascii="Times New Roman" w:hAnsi="Times New Roman" w:cs="Times New Roman"/>
          <w:sz w:val="24"/>
          <w:szCs w:val="24"/>
          <w:lang w:val="en-US"/>
        </w:rPr>
        <w:t>n acute myocardial infarction). J Am Coll Cardiol. 2014;63:2356-62. https://doi.org/10.1016/j.jacc.2014.03.014.</w:t>
      </w:r>
    </w:p>
    <w:p w14:paraId="16B66022"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285. García-Ruiz JM, Fernández-Jiménez R, García-Alvarez A, et al. Impact of the timing of metoprolol administration during STEMI on infarct size and ventricular function. J Am Coll Cardiol. 2016;67:2093-104. https://doi.org/10.1016/j.jacc.2016.02.050.</w:t>
      </w:r>
    </w:p>
    <w:p w14:paraId="6D92C946"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lastRenderedPageBreak/>
        <w:t>286. Hoedemaker NP, Roolvink V, de Winter RJ, et al. Early intravenous beta-blockers in patients undergoing primary percutaneous coronary intervention for ST-segment elevation myocardial infarction: a patientpooled meta-analysis of randomized clinical tri</w:t>
      </w:r>
      <w:r w:rsidRPr="00AF411E">
        <w:rPr>
          <w:rFonts w:ascii="Times New Roman" w:hAnsi="Times New Roman" w:cs="Times New Roman"/>
          <w:sz w:val="24"/>
          <w:szCs w:val="24"/>
          <w:lang w:val="en-US"/>
        </w:rPr>
        <w:t>als. Eur Heart J Acute Cardiovasc Care. 2020;9:469-77. https://doi.org/10.1177/2048872619830609.</w:t>
      </w:r>
    </w:p>
    <w:p w14:paraId="334062DD"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287. Sterling LH, Filion KB, Atallah R, et al. Intravenous beta-blockers in ST-segment elevation myocardial infarction: a systematic review and meta-analysis. Int J Cardiol. 2017;228:295-302.</w:t>
      </w:r>
    </w:p>
    <w:p w14:paraId="481D896F"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288. Sun B, Wang CY, Chen RR. Clinical Efficacy and Safety of Early Intravenous Administration of Beta-Blockers in Patients Suffering from Acute ST-Segment Elevation Myocardial Infarction Without Heart Failure Undergoing Primary Percutaneous Coronary Inte</w:t>
      </w:r>
      <w:r w:rsidRPr="00AF411E">
        <w:rPr>
          <w:rFonts w:ascii="Times New Roman" w:hAnsi="Times New Roman" w:cs="Times New Roman"/>
          <w:sz w:val="24"/>
          <w:szCs w:val="24"/>
          <w:lang w:val="en-US"/>
        </w:rPr>
        <w:t>rvention: A Study-Level Meta-Analysis of Randomized Clinical Trials. Cardiovasc Drugs Ther. 2023. https://doi.org/10.1007/s10557-023-07448-x.</w:t>
      </w:r>
    </w:p>
    <w:p w14:paraId="302E364D" w14:textId="77777777" w:rsidR="00AF411E" w:rsidRPr="00F52FCA" w:rsidRDefault="00AF411E" w:rsidP="00A419DB">
      <w:pPr>
        <w:tabs>
          <w:tab w:val="left" w:pos="786"/>
        </w:tabs>
        <w:suppressAutoHyphens/>
        <w:spacing w:after="60" w:line="360" w:lineRule="auto"/>
        <w:jc w:val="both"/>
        <w:rPr>
          <w:rFonts w:ascii="Times New Roman" w:hAnsi="Times New Roman" w:cs="Times New Roman"/>
          <w:sz w:val="24"/>
          <w:szCs w:val="24"/>
          <w:lang w:val="fr-FR"/>
        </w:rPr>
      </w:pPr>
      <w:r w:rsidRPr="00AF411E">
        <w:rPr>
          <w:rFonts w:ascii="Times New Roman" w:hAnsi="Times New Roman" w:cs="Times New Roman" w:hint="eastAsia"/>
          <w:sz w:val="24"/>
          <w:szCs w:val="24"/>
          <w:lang w:val="en-US"/>
        </w:rPr>
        <w:t xml:space="preserve">289. Freemantle N, Cleland J, Young P, et al. Beta blockade after myocardial infarction: systematic review and meta regression analysis. </w:t>
      </w:r>
      <w:r w:rsidRPr="00F52FCA">
        <w:rPr>
          <w:rFonts w:ascii="Times New Roman" w:hAnsi="Times New Roman" w:cs="Times New Roman" w:hint="eastAsia"/>
          <w:sz w:val="24"/>
          <w:szCs w:val="24"/>
          <w:lang w:val="fr-FR"/>
        </w:rPr>
        <w:t>BMJ. 1999;318(7200):1730-7.</w:t>
      </w:r>
    </w:p>
    <w:p w14:paraId="77E5ECAE"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290. Watanabe H, Ozasa N, Morimoto T, et al.; CAPITAL-RCT investigators. </w:t>
      </w:r>
      <w:r w:rsidRPr="00AF411E">
        <w:rPr>
          <w:rFonts w:ascii="Times New Roman" w:hAnsi="Times New Roman" w:cs="Times New Roman" w:hint="eastAsia"/>
          <w:sz w:val="24"/>
          <w:szCs w:val="24"/>
          <w:lang w:val="en-US"/>
        </w:rPr>
        <w:t>Long-term use of carvedilol in patients with ST-segment elevation myocardial infarction treated with primary percutaneous coronary intervention. PLoS One. 2018;13(8):e0199347.</w:t>
      </w:r>
    </w:p>
    <w:p w14:paraId="4AB5BEB4"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291. Bangalore S, Makani H, Radford M, et al. Clinical outcomes with β-blockers for myocardial infarction: a meta-analysis of randomized trials. Am J Med. 2014;127(10):939-53.</w:t>
      </w:r>
    </w:p>
    <w:p w14:paraId="3961E405"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292. Huang BT, Huang FY, Zuo ZL, et al. Meta-analysis of relation between oral β-blocker therapy and outcomes in patients with acute myocardial infarction who underwent percutaneous coronary intervention. Am J Cardiol. 2015;115(11):1529-38.</w:t>
      </w:r>
    </w:p>
    <w:p w14:paraId="7B756B7B"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↑293. Munkhaugen J, Ruddox V, Halvorsen S, et al. Betablocker treatment after acute myocardial infarction in revascularized patients without reduced left ventricular ejection fraction (BETAMI): rationale and design of a prospective, randomized, open, blind</w:t>
      </w:r>
      <w:r w:rsidRPr="00AF411E">
        <w:rPr>
          <w:rFonts w:ascii="Times New Roman" w:hAnsi="Times New Roman" w:cs="Times New Roman"/>
          <w:sz w:val="24"/>
          <w:szCs w:val="24"/>
          <w:lang w:val="en-US"/>
        </w:rPr>
        <w:t>ed end point study. Am Heart J. 2019;208:37-46.</w:t>
      </w:r>
    </w:p>
    <w:p w14:paraId="62A93B74"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294. Kristensen AMD, Bovin A, Zwisler AD, et al. Design and rationale of the Danish trial of beta-blocker treatment after myocardial infarction without reduced ejection fraction: study protocol for a randomized controlled trial. Trials. 2020;21:1-11.</w:t>
      </w:r>
    </w:p>
    <w:p w14:paraId="115AAF07"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295. Rossello X, Raposeiras-Roubin S, Latini R, et al. Rationale and design of the pragmatic clinical trial tREatment with beta-blockers after ayesiand infarction ayesia reduced ejection ayesian (REBOOT). Eur Heart J Cardiovasc Pharmacother. 2022;8(3):291</w:t>
      </w:r>
      <w:r w:rsidRPr="00AF411E">
        <w:rPr>
          <w:rFonts w:ascii="Times New Roman" w:hAnsi="Times New Roman" w:cs="Times New Roman"/>
          <w:sz w:val="24"/>
          <w:szCs w:val="24"/>
          <w:lang w:val="en-US"/>
        </w:rPr>
        <w:t>-301.</w:t>
      </w:r>
    </w:p>
    <w:p w14:paraId="5EF969DF"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lastRenderedPageBreak/>
        <w:t>296. Yndigegn T, Lindahl B, Alfredsson J, et al. Design and rationale of randomized evaluation of decreased usage of beta-blockers after acute myocardial infarction (REDUCE-AMI). Eur Heart J Cardiovasc Pharmacother. 2023;9(2):192-7. https://doi.org/10.109</w:t>
      </w:r>
      <w:r w:rsidRPr="00AF411E">
        <w:rPr>
          <w:rFonts w:ascii="Times New Roman" w:hAnsi="Times New Roman" w:cs="Times New Roman"/>
          <w:sz w:val="24"/>
          <w:szCs w:val="24"/>
          <w:lang w:val="en-US"/>
        </w:rPr>
        <w:t>3/ehjcvp/pvac070.</w:t>
      </w:r>
    </w:p>
    <w:p w14:paraId="215F710C"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297. Goldberger JJ, Bonow RO, Cuffe M, et al.; OBTAIN Investigators. Effect of beta-blocker dose on survival after acute myocardial infarction. J Am Coll Cardiol. 2015;66(13):1431-41.</w:t>
      </w:r>
    </w:p>
    <w:p w14:paraId="65809573" w14:textId="77777777" w:rsidR="00AF411E"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298. Andersson C, Shilane D, Go AS, et al. Beta-blocker therapy and cardiac events among patients with newly diagnosed coronary heart disease. J Am Coll Cardiol. 014;64(3): 247-52.</w:t>
      </w:r>
    </w:p>
    <w:p w14:paraId="10F2508B" w14:textId="77777777" w:rsidR="009D5C3B" w:rsidRPr="00AF411E"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 xml:space="preserve">299. Safi S, Sethi NJ, Korang SK, et al. Beta-blockers in patients without heart failure after myocardial infarction. </w:t>
      </w:r>
      <w:r w:rsidRPr="00F52FCA">
        <w:rPr>
          <w:rFonts w:ascii="Times New Roman" w:hAnsi="Times New Roman" w:cs="Times New Roman" w:hint="eastAsia"/>
          <w:sz w:val="24"/>
          <w:szCs w:val="24"/>
          <w:lang w:val="fr-FR"/>
        </w:rPr>
        <w:t>Cochrane Database Syst Rev. 2021;11(11):CD012565. https://doi.org/10.1002/14651858.</w:t>
      </w:r>
      <w:r w:rsidR="009D5C3B" w:rsidRPr="00F52FCA">
        <w:rPr>
          <w:rFonts w:ascii="Times New Roman" w:hAnsi="Times New Roman" w:cs="Times New Roman" w:hint="eastAsia"/>
          <w:sz w:val="24"/>
          <w:szCs w:val="24"/>
          <w:lang w:val="fr-FR"/>
        </w:rPr>
        <w:t xml:space="preserve">300. Wen XS, Luo R, Liu J, et al. </w:t>
      </w:r>
      <w:r w:rsidR="009D5C3B" w:rsidRPr="009D5C3B">
        <w:rPr>
          <w:rFonts w:ascii="Times New Roman" w:hAnsi="Times New Roman" w:cs="Times New Roman" w:hint="eastAsia"/>
          <w:sz w:val="24"/>
          <w:szCs w:val="24"/>
          <w:lang w:val="en-US"/>
        </w:rPr>
        <w:t>Short-term/long-term prognosis with or without betablockers in patients without heart failure and with preserved ejection fraction after acute myocardial infarction: a multicenter retrospective cohort study. BMC Cardiovas</w:t>
      </w:r>
      <w:r w:rsidR="009D5C3B" w:rsidRPr="009D5C3B">
        <w:rPr>
          <w:rFonts w:ascii="Times New Roman" w:hAnsi="Times New Roman" w:cs="Times New Roman"/>
          <w:sz w:val="24"/>
          <w:szCs w:val="24"/>
          <w:lang w:val="en-US"/>
        </w:rPr>
        <w:t xml:space="preserve">c Disord. 2022;22(1):193. </w:t>
      </w:r>
      <w:hyperlink r:id="rId319" w:history="1">
        <w:r w:rsidRPr="00D749BC">
          <w:rPr>
            <w:rStyle w:val="a6"/>
            <w:rFonts w:ascii="Times New Roman" w:hAnsi="Times New Roman" w:cs="Times New Roman"/>
            <w:sz w:val="24"/>
            <w:szCs w:val="24"/>
            <w:lang w:val="en-US"/>
          </w:rPr>
          <w:t>https://doi.org/10.1186/s12872-022-02631-8</w:t>
        </w:r>
      </w:hyperlink>
      <w:r w:rsidR="009D5C3B" w:rsidRPr="009D5C3B">
        <w:rPr>
          <w:rFonts w:ascii="Times New Roman" w:hAnsi="Times New Roman" w:cs="Times New Roman"/>
          <w:sz w:val="24"/>
          <w:szCs w:val="24"/>
          <w:lang w:val="en-US"/>
        </w:rPr>
        <w:t>.</w:t>
      </w:r>
    </w:p>
    <w:p w14:paraId="3B08B053" w14:textId="77777777" w:rsidR="00AF411E" w:rsidRPr="00F6333D" w:rsidRDefault="00AF411E" w:rsidP="00A419DB">
      <w:pPr>
        <w:tabs>
          <w:tab w:val="left" w:pos="786"/>
        </w:tabs>
        <w:suppressAutoHyphens/>
        <w:spacing w:after="60" w:line="360" w:lineRule="auto"/>
        <w:jc w:val="both"/>
        <w:rPr>
          <w:rFonts w:ascii="Times New Roman" w:hAnsi="Times New Roman" w:cs="Times New Roman"/>
          <w:sz w:val="24"/>
          <w:szCs w:val="24"/>
          <w:lang w:val="en-US"/>
        </w:rPr>
      </w:pPr>
      <w:r w:rsidRPr="00AF411E">
        <w:rPr>
          <w:rFonts w:ascii="Times New Roman" w:hAnsi="Times New Roman" w:cs="Times New Roman" w:hint="eastAsia"/>
          <w:sz w:val="24"/>
          <w:szCs w:val="24"/>
          <w:lang w:val="en-US"/>
        </w:rPr>
        <w:t xml:space="preserve">300. Wen XS, Luo R, Liu J, et al. Short-term/long-term prognosis with or without betablockers in patients without heart failure and with preserved ejection fraction after acute myocardial infarction: a multicenter retrospective cohort study. </w:t>
      </w:r>
      <w:r w:rsidRPr="00F6333D">
        <w:rPr>
          <w:rFonts w:ascii="Times New Roman" w:hAnsi="Times New Roman" w:cs="Times New Roman" w:hint="eastAsia"/>
          <w:sz w:val="24"/>
          <w:szCs w:val="24"/>
          <w:lang w:val="en-US"/>
        </w:rPr>
        <w:t>BMC Cardiovas</w:t>
      </w:r>
      <w:r w:rsidRPr="00F6333D">
        <w:rPr>
          <w:rFonts w:ascii="Times New Roman" w:hAnsi="Times New Roman" w:cs="Times New Roman"/>
          <w:sz w:val="24"/>
          <w:szCs w:val="24"/>
          <w:lang w:val="en-US"/>
        </w:rPr>
        <w:t>c Disord. 2022;22(1):193. https://doi.org/10.1186/s12872-022-02631-8.</w:t>
      </w:r>
    </w:p>
    <w:p w14:paraId="57613319" w14:textId="77777777" w:rsidR="009D5C3B" w:rsidRPr="00F52FCA" w:rsidRDefault="009D5C3B" w:rsidP="00A419DB">
      <w:pPr>
        <w:tabs>
          <w:tab w:val="left" w:pos="786"/>
        </w:tabs>
        <w:suppressAutoHyphens/>
        <w:spacing w:after="60" w:line="360" w:lineRule="auto"/>
        <w:jc w:val="both"/>
        <w:rPr>
          <w:rFonts w:ascii="Times New Roman" w:hAnsi="Times New Roman" w:cs="Times New Roman"/>
          <w:sz w:val="24"/>
          <w:szCs w:val="24"/>
          <w:lang w:val="fr-FR"/>
        </w:rPr>
      </w:pPr>
      <w:r w:rsidRPr="009D5C3B">
        <w:rPr>
          <w:rFonts w:ascii="Times New Roman" w:hAnsi="Times New Roman" w:cs="Times New Roman" w:hint="eastAsia"/>
          <w:sz w:val="24"/>
          <w:szCs w:val="24"/>
          <w:lang w:val="en-US"/>
        </w:rPr>
        <w:t xml:space="preserve">301. Won H, Suh Y, Kim GS, et al. Clinical Impact of Beta-Blockers in Patients with Myocardial Infarction from the Korean National Health Insurance Database. </w:t>
      </w:r>
      <w:r w:rsidRPr="00F52FCA">
        <w:rPr>
          <w:rFonts w:ascii="Times New Roman" w:hAnsi="Times New Roman" w:cs="Times New Roman" w:hint="eastAsia"/>
          <w:sz w:val="24"/>
          <w:szCs w:val="24"/>
          <w:lang w:val="fr-FR"/>
        </w:rPr>
        <w:t>Korean Circ J. 2020; 50(6):499-508. https://doi.org/10.4070/kcj.2019.0231.</w:t>
      </w:r>
    </w:p>
    <w:p w14:paraId="46F222D8"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302. Desta L, Khedri M, Jernberg T, et al. </w:t>
      </w:r>
      <w:r w:rsidRPr="009D5C3B">
        <w:rPr>
          <w:rFonts w:ascii="Times New Roman" w:hAnsi="Times New Roman" w:cs="Times New Roman" w:hint="eastAsia"/>
          <w:sz w:val="24"/>
          <w:szCs w:val="24"/>
          <w:lang w:val="en-US"/>
        </w:rPr>
        <w:t>Adherence to beta-blockers and long-term risk of heart failure and mortality after a myocardial infarction. ESC Heart Fail. 2021;8(1):344-55. https://doi.org/10.1002/ehf2.13079.</w:t>
      </w:r>
    </w:p>
    <w:p w14:paraId="522F8D5D" w14:textId="77777777" w:rsidR="009D5C3B" w:rsidRPr="00F52FCA" w:rsidRDefault="009D5C3B" w:rsidP="00A419DB">
      <w:pPr>
        <w:tabs>
          <w:tab w:val="left" w:pos="786"/>
        </w:tabs>
        <w:suppressAutoHyphens/>
        <w:spacing w:after="60" w:line="360" w:lineRule="auto"/>
        <w:jc w:val="both"/>
        <w:rPr>
          <w:rFonts w:ascii="Times New Roman" w:hAnsi="Times New Roman" w:cs="Times New Roman"/>
          <w:sz w:val="24"/>
          <w:szCs w:val="24"/>
          <w:lang w:val="fr-FR"/>
        </w:rPr>
      </w:pPr>
      <w:r w:rsidRPr="009D5C3B">
        <w:rPr>
          <w:rFonts w:ascii="Times New Roman" w:hAnsi="Times New Roman" w:cs="Times New Roman" w:hint="eastAsia"/>
          <w:sz w:val="24"/>
          <w:szCs w:val="24"/>
          <w:lang w:val="en-US"/>
        </w:rPr>
        <w:t xml:space="preserve">303. Song PS, Kim M, Seong SW, et al. Heart failure with mid-range ejection fraction and the effect of β-blockers after acute myocardial infarction. </w:t>
      </w:r>
      <w:r w:rsidRPr="00F52FCA">
        <w:rPr>
          <w:rFonts w:ascii="Times New Roman" w:hAnsi="Times New Roman" w:cs="Times New Roman" w:hint="eastAsia"/>
          <w:sz w:val="24"/>
          <w:szCs w:val="24"/>
          <w:lang w:val="fr-FR"/>
        </w:rPr>
        <w:t>Heart Vessels. 2021;36(12): 1848-55. https://doi.org/10.1007/s00380-021-01876-1.</w:t>
      </w:r>
    </w:p>
    <w:p w14:paraId="054EFAE9"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304. Velásquez-Rodríguez J, Bruña V, Vicent L, et al. </w:t>
      </w:r>
      <w:r w:rsidRPr="009D5C3B">
        <w:rPr>
          <w:rFonts w:ascii="Times New Roman" w:hAnsi="Times New Roman" w:cs="Times New Roman" w:hint="eastAsia"/>
          <w:sz w:val="24"/>
          <w:szCs w:val="24"/>
          <w:lang w:val="en-US"/>
        </w:rPr>
        <w:t>Influence of left ventricular systolic function on the long-term benefit of beta-blockers after ST-segment elevation myocardial infarction. Rev Port Cardiol (Engl Ed). 2021;40(4):285-90. https://doi.or</w:t>
      </w:r>
      <w:r w:rsidRPr="009D5C3B">
        <w:rPr>
          <w:rFonts w:ascii="Times New Roman" w:hAnsi="Times New Roman" w:cs="Times New Roman"/>
          <w:sz w:val="24"/>
          <w:szCs w:val="24"/>
          <w:lang w:val="en-US"/>
        </w:rPr>
        <w:t>g/10.1016/j.repc.2020.07.017.</w:t>
      </w:r>
    </w:p>
    <w:p w14:paraId="41FC731E"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305. Puymirat E, Riant E, Aissaoui N, et al. βblockers and mortality after myocardial infarction in patients without heart failure: ayesiand pro- spective cohort study. BMJ. 2016;354:i4801. https://doi.org/10.1136/bmj.i4801.</w:t>
      </w:r>
    </w:p>
    <w:p w14:paraId="0CD921C4"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lastRenderedPageBreak/>
        <w:t>306. Zeitouni M, Kerneis M, Lattuca B, et al. Do patients need lifelong β-blockers after an uncomplicated myocardial infarction? Am J Cardiovasc Drugs. 2019;19:431-8. https://doi.org/10.1007/s40256-019-00338-4.</w:t>
      </w:r>
    </w:p>
    <w:p w14:paraId="00F103D8"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307. Dargie HJ. Effect of carvedilol on outcome after myocardial infarction in patients with left-ventricular dysfunction: the CAPRICORN randomised trial. Lancet. 2001;357(9266): 1385-90.</w:t>
      </w:r>
    </w:p>
    <w:p w14:paraId="392D2C51"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308. Crea F, Deanfield J, Crean P, et al. Effects of verapamil in preventing early postinfarction angina and reinfarction. Am J Cardiol. 1985;1;55(8):900-4.</w:t>
      </w:r>
    </w:p>
    <w:p w14:paraId="1509F7C5"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309. Yusuf S, Held P, Furberg C. Update of effects of calcium antagonists in myocardial infarction or angina in light of the second Danish Verapamil Infarction Trial (DAVIT-II) and other recent studies. Am J Cardiol. 1991;67(15):1295-7.</w:t>
      </w:r>
    </w:p>
    <w:p w14:paraId="3A73056D"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310. Goldbourt U, Behar S, Reicher-Reiss H, et al. Early administration of nifedipine in suspected acute myocardial infarction. The secondary prevention reinfarction Israel nifedipine trial 2 study. Arch Intern Med. 1993;153(3):345-53.</w:t>
      </w:r>
    </w:p>
    <w:p w14:paraId="69A3FDAA"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311. ACE Inhibitor Myocardial Infarction Collaborative Group. Indications for ACE inhibitors in the early treatment of acute myocardial infarction: systematic overview of individual data from 100,000 patients in randomized trials. Circulation. 1998;97(22)</w:t>
      </w:r>
      <w:r w:rsidRPr="009D5C3B">
        <w:rPr>
          <w:rFonts w:ascii="Times New Roman" w:hAnsi="Times New Roman" w:cs="Times New Roman"/>
          <w:sz w:val="24"/>
          <w:szCs w:val="24"/>
          <w:lang w:val="en-US"/>
        </w:rPr>
        <w:t>:2202-12.</w:t>
      </w:r>
    </w:p>
    <w:p w14:paraId="53473F25" w14:textId="77777777" w:rsidR="00663059" w:rsidRPr="00F6333D"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312. Flather MD, Yusuf S, Køber L, et al. Long-term ACE-inhibitor therapy in patients with heart failure or left-ventricular dysfunction: a systematic overview of data from individual patients. ACE-Inhibitor Myocardial Infarction Collaborative Group. Lanc</w:t>
      </w:r>
      <w:r w:rsidRPr="009D5C3B">
        <w:rPr>
          <w:rFonts w:ascii="Times New Roman" w:hAnsi="Times New Roman" w:cs="Times New Roman"/>
          <w:sz w:val="24"/>
          <w:szCs w:val="24"/>
          <w:lang w:val="en-US"/>
        </w:rPr>
        <w:t>et. 2000;355(9215):1575-81.</w:t>
      </w:r>
    </w:p>
    <w:p w14:paraId="6F4E46DB"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313. Pfeffer MA, Greaves SC, Arnold JM, et al. Early versus delayed angiotensin-converting enzyme inhibition therapy in acute myocardial infarction. The healing and early afterload reducing therapy trial. Circulation. 1997;95(12):2643-51.</w:t>
      </w:r>
    </w:p>
    <w:p w14:paraId="29012649"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314. Pfeffer MA, McMurray JJ, Velazquez EJ, et al. Valsartan in Acute Myocardial Infarction Trial Investigators. Valsartan, captopril, or both in myocardial infarction complicated by heart failure, left ventricular dysfunction, or both. N Engl J Med. 2003</w:t>
      </w:r>
      <w:r w:rsidRPr="009D5C3B">
        <w:rPr>
          <w:rFonts w:ascii="Times New Roman" w:hAnsi="Times New Roman" w:cs="Times New Roman"/>
          <w:sz w:val="24"/>
          <w:szCs w:val="24"/>
          <w:lang w:val="en-US"/>
        </w:rPr>
        <w:t>;349(20):1893-906.</w:t>
      </w:r>
    </w:p>
    <w:p w14:paraId="2C26998F"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315. McMurray JJ, Packer M, Desai AS, et al.; on behalf of the PARADIGM-HF Investigators and Committees. Angiotensin-neprilysin inhibition versus enalapril in heart failure. N Engl J Med. 2014;371(11):993-1004.</w:t>
      </w:r>
    </w:p>
    <w:p w14:paraId="5FDDD106"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316. Berwanger O, Pfeffer M, Claggett D, et al. Sacubitril/valsartan versus ramipril for patients with acute myocardial infarction: win-ratio analysis of the PARADISE-MI trial. European Journal of Heart Failure. 2022. https://doi.org/10.1002/ejhf.2663.</w:t>
      </w:r>
    </w:p>
    <w:p w14:paraId="5BA8B75C"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545863">
        <w:rPr>
          <w:rFonts w:ascii="Times New Roman" w:hAnsi="Times New Roman" w:cs="Times New Roman" w:hint="eastAsia"/>
          <w:sz w:val="24"/>
          <w:szCs w:val="24"/>
          <w:lang w:val="en-US"/>
        </w:rPr>
        <w:t xml:space="preserve">317. Gu J, Wang Y, Wang CQ, Zhang JF. </w:t>
      </w:r>
      <w:r w:rsidRPr="009D5C3B">
        <w:rPr>
          <w:rFonts w:ascii="Times New Roman" w:hAnsi="Times New Roman" w:cs="Times New Roman" w:hint="eastAsia"/>
          <w:sz w:val="24"/>
          <w:szCs w:val="24"/>
          <w:lang w:val="en-US"/>
        </w:rPr>
        <w:t xml:space="preserve">The initial timing and dosage pattern of sacubitril/valsartan in patients with acute myocardial infarction undergoing percutaneous </w:t>
      </w:r>
      <w:r w:rsidRPr="009D5C3B">
        <w:rPr>
          <w:rFonts w:ascii="Times New Roman" w:hAnsi="Times New Roman" w:cs="Times New Roman" w:hint="eastAsia"/>
          <w:sz w:val="24"/>
          <w:szCs w:val="24"/>
          <w:lang w:val="en-US"/>
        </w:rPr>
        <w:lastRenderedPageBreak/>
        <w:t>coronary intervention. Eur J Intern Med. 2023:S0953-6205(23)00091-2. https://doi.org/1</w:t>
      </w:r>
      <w:r w:rsidRPr="009D5C3B">
        <w:rPr>
          <w:rFonts w:ascii="Times New Roman" w:hAnsi="Times New Roman" w:cs="Times New Roman"/>
          <w:sz w:val="24"/>
          <w:szCs w:val="24"/>
          <w:lang w:val="en-US"/>
        </w:rPr>
        <w:t>0.1016/j.ejim.2023.03.019.</w:t>
      </w:r>
    </w:p>
    <w:p w14:paraId="728F18A3"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318. Jering KS, Claggett B, Pfeffer MA, et al. Prospective ARNI vs. ACE inhibitor trial to DetermIne Superiority in reducing heart failure Events after Myocardial Infarction (PARADISE-MI): design and baseline characteristics. Eur J Heart Fail. 2021;23(6):</w:t>
      </w:r>
      <w:r w:rsidRPr="009D5C3B">
        <w:rPr>
          <w:rFonts w:ascii="Times New Roman" w:hAnsi="Times New Roman" w:cs="Times New Roman"/>
          <w:sz w:val="24"/>
          <w:szCs w:val="24"/>
          <w:lang w:val="en-US"/>
        </w:rPr>
        <w:t>1040-8. https://doi.org/10.1002/ejhf.2191.</w:t>
      </w:r>
    </w:p>
    <w:p w14:paraId="76B12BB5"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319. Lin G, Chen W, Wu M, et al. The value of sacubitril/valsartan in acute anterior wall ST-segment elevation myocardial infarction before emergency Percutaneous coronary intervention. Cardiology. 2022. https://doi.org/10.1159/000527357.</w:t>
      </w:r>
    </w:p>
    <w:p w14:paraId="05E6C0C2" w14:textId="77777777" w:rsidR="009D5C3B" w:rsidRPr="00F52FCA" w:rsidRDefault="009D5C3B" w:rsidP="00A419DB">
      <w:pPr>
        <w:tabs>
          <w:tab w:val="left" w:pos="786"/>
        </w:tabs>
        <w:suppressAutoHyphens/>
        <w:spacing w:after="60" w:line="360" w:lineRule="auto"/>
        <w:jc w:val="both"/>
        <w:rPr>
          <w:rFonts w:ascii="Times New Roman" w:hAnsi="Times New Roman" w:cs="Times New Roman"/>
          <w:sz w:val="24"/>
          <w:szCs w:val="24"/>
          <w:lang w:val="fr-FR"/>
        </w:rPr>
      </w:pPr>
      <w:r w:rsidRPr="00545863">
        <w:rPr>
          <w:rFonts w:ascii="Times New Roman" w:hAnsi="Times New Roman" w:cs="Times New Roman" w:hint="eastAsia"/>
          <w:sz w:val="24"/>
          <w:szCs w:val="24"/>
          <w:lang w:val="en-US"/>
        </w:rPr>
        <w:t xml:space="preserve">320. Mehran R, Steg PhG, Pfeffer MA, et al. </w:t>
      </w:r>
      <w:r w:rsidRPr="009D5C3B">
        <w:rPr>
          <w:rFonts w:ascii="Times New Roman" w:hAnsi="Times New Roman" w:cs="Times New Roman" w:hint="eastAsia"/>
          <w:sz w:val="24"/>
          <w:szCs w:val="24"/>
          <w:lang w:val="en-US"/>
        </w:rPr>
        <w:t xml:space="preserve">The Effects of Angiotensin Receptor-Neprilysin Inhibition on Major Coronary Events in Patients With Acute Myocardial Infarction: Insights From the PARADISE-MI Trial. </w:t>
      </w:r>
      <w:r w:rsidRPr="00F52FCA">
        <w:rPr>
          <w:rFonts w:ascii="Times New Roman" w:hAnsi="Times New Roman" w:cs="Times New Roman" w:hint="eastAsia"/>
          <w:sz w:val="24"/>
          <w:szCs w:val="24"/>
          <w:lang w:val="fr-FR"/>
        </w:rPr>
        <w:t>Circulation. 2022;146:1749-57. https://doi.or</w:t>
      </w:r>
      <w:r w:rsidRPr="00F52FCA">
        <w:rPr>
          <w:rFonts w:ascii="Times New Roman" w:hAnsi="Times New Roman" w:cs="Times New Roman"/>
          <w:sz w:val="24"/>
          <w:szCs w:val="24"/>
          <w:lang w:val="fr-FR"/>
        </w:rPr>
        <w:t>g/10.1161/CIRCULATIONAHA.122.060841.</w:t>
      </w:r>
    </w:p>
    <w:p w14:paraId="007D8BA7" w14:textId="77777777" w:rsidR="00663059" w:rsidRPr="00F52FCA" w:rsidRDefault="009D5C3B" w:rsidP="00A419DB">
      <w:pPr>
        <w:tabs>
          <w:tab w:val="left" w:pos="786"/>
        </w:tabs>
        <w:suppressAutoHyphens/>
        <w:spacing w:after="60" w:line="360" w:lineRule="auto"/>
        <w:jc w:val="both"/>
        <w:rPr>
          <w:rFonts w:ascii="Times New Roman" w:hAnsi="Times New Roman" w:cs="Times New Roman"/>
          <w:sz w:val="24"/>
          <w:szCs w:val="24"/>
          <w:lang w:val="fr-FR"/>
        </w:rPr>
      </w:pPr>
      <w:r w:rsidRPr="00F52FCA">
        <w:rPr>
          <w:rFonts w:ascii="Times New Roman" w:hAnsi="Times New Roman" w:cs="Times New Roman" w:hint="eastAsia"/>
          <w:sz w:val="24"/>
          <w:szCs w:val="24"/>
          <w:lang w:val="fr-FR"/>
        </w:rPr>
        <w:t xml:space="preserve">321. Pfeffer MA, Claggett B, Lewis EF, et al. </w:t>
      </w:r>
      <w:r w:rsidRPr="009D5C3B">
        <w:rPr>
          <w:rFonts w:ascii="Times New Roman" w:hAnsi="Times New Roman" w:cs="Times New Roman" w:hint="eastAsia"/>
          <w:sz w:val="24"/>
          <w:szCs w:val="24"/>
          <w:lang w:val="en-US"/>
        </w:rPr>
        <w:t xml:space="preserve">Impact of Sacubitril/Valsartan Versus Ramipril on Total Heart Failure Events in the PARADISE-MI Trial. </w:t>
      </w:r>
      <w:r w:rsidRPr="00F52FCA">
        <w:rPr>
          <w:rFonts w:ascii="Times New Roman" w:hAnsi="Times New Roman" w:cs="Times New Roman" w:hint="eastAsia"/>
          <w:sz w:val="24"/>
          <w:szCs w:val="24"/>
          <w:lang w:val="fr-FR"/>
        </w:rPr>
        <w:t xml:space="preserve">Circulation. 2022;145:87-9. </w:t>
      </w:r>
      <w:hyperlink r:id="rId320" w:history="1">
        <w:r w:rsidR="00663059" w:rsidRPr="00F52FCA">
          <w:rPr>
            <w:rStyle w:val="a6"/>
            <w:rFonts w:ascii="Times New Roman" w:hAnsi="Times New Roman" w:cs="Times New Roman" w:hint="eastAsia"/>
            <w:sz w:val="24"/>
            <w:szCs w:val="24"/>
            <w:lang w:val="fr-FR"/>
          </w:rPr>
          <w:t>https://doi.org/10.1161/CIRCULATIONAHA.121.057429</w:t>
        </w:r>
      </w:hyperlink>
      <w:r w:rsidRPr="00F52FCA">
        <w:rPr>
          <w:rFonts w:ascii="Times New Roman" w:hAnsi="Times New Roman" w:cs="Times New Roman" w:hint="eastAsia"/>
          <w:sz w:val="24"/>
          <w:szCs w:val="24"/>
          <w:lang w:val="fr-FR"/>
        </w:rPr>
        <w:t>.</w:t>
      </w:r>
    </w:p>
    <w:p w14:paraId="6B63297B"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322. Pfeffer MA, Claggett B, Lewis EF, et al. </w:t>
      </w:r>
      <w:r w:rsidRPr="009D5C3B">
        <w:rPr>
          <w:rFonts w:ascii="Times New Roman" w:hAnsi="Times New Roman" w:cs="Times New Roman" w:hint="eastAsia"/>
          <w:sz w:val="24"/>
          <w:szCs w:val="24"/>
          <w:lang w:val="en-US"/>
        </w:rPr>
        <w:t>Angiotensin Receptor-Neprilysin Inhibition in Acute Myocardial Infarction. N Engl J Med. 2021;385:1845-55. https://doi.org/10.1056/NEJMoa2104508.</w:t>
      </w:r>
    </w:p>
    <w:p w14:paraId="563B4D24"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323. Rezq A, Saad M, El Nozahi M. Comparison of the Efficacy and Safety of Sacubitril/Valsartan versus Ramipril in Patients With ST-Segment Elevation Myocardial Infarction. Am J Cardiol. 2021;143:7-13. https://doi.org/10.1016/j.amjcard.2020.12.037.</w:t>
      </w:r>
    </w:p>
    <w:p w14:paraId="3C0B5464" w14:textId="77777777" w:rsidR="009D5C3B" w:rsidRPr="00F52FCA" w:rsidRDefault="009D5C3B" w:rsidP="00A419DB">
      <w:pPr>
        <w:tabs>
          <w:tab w:val="left" w:pos="786"/>
        </w:tabs>
        <w:suppressAutoHyphens/>
        <w:spacing w:after="60" w:line="360" w:lineRule="auto"/>
        <w:jc w:val="both"/>
        <w:rPr>
          <w:rFonts w:ascii="Times New Roman" w:hAnsi="Times New Roman" w:cs="Times New Roman"/>
          <w:sz w:val="24"/>
          <w:szCs w:val="24"/>
          <w:lang w:val="fr-FR"/>
        </w:rPr>
      </w:pPr>
      <w:r w:rsidRPr="009D5C3B">
        <w:rPr>
          <w:rFonts w:ascii="Times New Roman" w:hAnsi="Times New Roman" w:cs="Times New Roman" w:hint="eastAsia"/>
          <w:sz w:val="24"/>
          <w:szCs w:val="24"/>
          <w:lang w:val="en-US"/>
        </w:rPr>
        <w:t xml:space="preserve">324. Shah AM, Claggett B, Prasad N, et al. Impact of Sacubitril/Valsartan Compared With Ramipril on Cardiac Structure and Function After Acute Myocardial Infarction: The PARADISE-MI Echocardiographic Substudy. </w:t>
      </w:r>
      <w:r w:rsidRPr="00F52FCA">
        <w:rPr>
          <w:rFonts w:ascii="Times New Roman" w:hAnsi="Times New Roman" w:cs="Times New Roman" w:hint="eastAsia"/>
          <w:sz w:val="24"/>
          <w:szCs w:val="24"/>
          <w:lang w:val="fr-FR"/>
        </w:rPr>
        <w:t>Circulation. 2022;146:1067-81. https://doi.or</w:t>
      </w:r>
      <w:r w:rsidRPr="00F52FCA">
        <w:rPr>
          <w:rFonts w:ascii="Times New Roman" w:hAnsi="Times New Roman" w:cs="Times New Roman"/>
          <w:sz w:val="24"/>
          <w:szCs w:val="24"/>
          <w:lang w:val="fr-FR"/>
        </w:rPr>
        <w:t>g/10.1161/CIRCULATIONAHA.122.059210.</w:t>
      </w:r>
    </w:p>
    <w:p w14:paraId="19B152E7"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325. Xiong B, Nie D, Qian J, et al. </w:t>
      </w:r>
      <w:r w:rsidRPr="009D5C3B">
        <w:rPr>
          <w:rFonts w:ascii="Times New Roman" w:hAnsi="Times New Roman" w:cs="Times New Roman" w:hint="eastAsia"/>
          <w:sz w:val="24"/>
          <w:szCs w:val="24"/>
          <w:lang w:val="en-US"/>
        </w:rPr>
        <w:t>The benefits of sacubitril-valsartan in patients with acute myocardial infarction: a systematic review and meta-analysis. ESC Heart Fail. 2021; 8(6):4852-62. https://doi.org/10.1002/ehf2.13677.</w:t>
      </w:r>
    </w:p>
    <w:p w14:paraId="42C621D6" w14:textId="77777777" w:rsidR="009D5C3B" w:rsidRPr="00F52FCA" w:rsidRDefault="009D5C3B" w:rsidP="00A419DB">
      <w:pPr>
        <w:tabs>
          <w:tab w:val="left" w:pos="786"/>
        </w:tabs>
        <w:suppressAutoHyphens/>
        <w:spacing w:after="60" w:line="360" w:lineRule="auto"/>
        <w:jc w:val="both"/>
        <w:rPr>
          <w:rFonts w:ascii="Times New Roman" w:hAnsi="Times New Roman" w:cs="Times New Roman"/>
          <w:sz w:val="24"/>
          <w:szCs w:val="24"/>
          <w:lang w:val="fr-FR"/>
        </w:rPr>
      </w:pPr>
      <w:r w:rsidRPr="009D5C3B">
        <w:rPr>
          <w:rFonts w:ascii="Times New Roman" w:hAnsi="Times New Roman" w:cs="Times New Roman" w:hint="eastAsia"/>
          <w:sz w:val="24"/>
          <w:szCs w:val="24"/>
          <w:lang w:val="en-US"/>
        </w:rPr>
        <w:t xml:space="preserve">326. Yang P, Han Y, Lian C, Wu X. Efficacy and safety of sacubitril/valsartan vs. valsartan in patients with acute myocardial infarction: A meta-analysis. </w:t>
      </w:r>
      <w:r w:rsidRPr="00F52FCA">
        <w:rPr>
          <w:rFonts w:ascii="Times New Roman" w:hAnsi="Times New Roman" w:cs="Times New Roman" w:hint="eastAsia"/>
          <w:sz w:val="24"/>
          <w:szCs w:val="24"/>
          <w:lang w:val="fr-FR"/>
        </w:rPr>
        <w:t>Front Cardiovasc Med. 2022;9:988117. https://doi.org/10.3389/fcvm.2022.988117.</w:t>
      </w:r>
    </w:p>
    <w:p w14:paraId="460CF83E"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lastRenderedPageBreak/>
        <w:t xml:space="preserve">327. Zhou X, Zhu H, Zheng Y, et al. </w:t>
      </w:r>
      <w:r w:rsidRPr="009D5C3B">
        <w:rPr>
          <w:rFonts w:ascii="Times New Roman" w:hAnsi="Times New Roman" w:cs="Times New Roman" w:hint="eastAsia"/>
          <w:sz w:val="24"/>
          <w:szCs w:val="24"/>
          <w:lang w:val="en-US"/>
        </w:rPr>
        <w:t>A systematic review and meta-analysis of sacubitrilvalsartan in the treatment of ventricular remodeling in patients with heart failure after acute myocardial infarction. Front Cardiovasc Med. 2022;9:953948. https://doi.</w:t>
      </w:r>
      <w:r w:rsidRPr="009D5C3B">
        <w:rPr>
          <w:rFonts w:ascii="Times New Roman" w:hAnsi="Times New Roman" w:cs="Times New Roman"/>
          <w:sz w:val="24"/>
          <w:szCs w:val="24"/>
          <w:lang w:val="en-US"/>
        </w:rPr>
        <w:t>org/10.3389/fcvm.2022.953948.</w:t>
      </w:r>
    </w:p>
    <w:p w14:paraId="7A9C32C5" w14:textId="77777777" w:rsidR="009D5C3B" w:rsidRPr="00F52FCA" w:rsidRDefault="009D5C3B" w:rsidP="00A419DB">
      <w:pPr>
        <w:tabs>
          <w:tab w:val="left" w:pos="786"/>
        </w:tabs>
        <w:suppressAutoHyphens/>
        <w:spacing w:after="60" w:line="360" w:lineRule="auto"/>
        <w:jc w:val="both"/>
        <w:rPr>
          <w:rFonts w:ascii="Times New Roman" w:hAnsi="Times New Roman" w:cs="Times New Roman"/>
          <w:sz w:val="24"/>
          <w:szCs w:val="24"/>
          <w:lang w:val="fr-FR"/>
        </w:rPr>
      </w:pPr>
      <w:r w:rsidRPr="009D5C3B">
        <w:rPr>
          <w:rFonts w:ascii="Times New Roman" w:hAnsi="Times New Roman" w:cs="Times New Roman" w:hint="eastAsia"/>
          <w:sz w:val="24"/>
          <w:szCs w:val="24"/>
          <w:lang w:val="en-US"/>
        </w:rPr>
        <w:t>328. Pitt B, Remme W, Zannad F, et al.; Eplerenone Post-Acute Myocardial Infarction Heart Failure Efficacy and Survival Study Investigators. Eplerenone, a selective aldosterone blocker, in patients with left ventricular dysfunction after myocardial infarc</w:t>
      </w:r>
      <w:r w:rsidRPr="009D5C3B">
        <w:rPr>
          <w:rFonts w:ascii="Times New Roman" w:hAnsi="Times New Roman" w:cs="Times New Roman"/>
          <w:sz w:val="24"/>
          <w:szCs w:val="24"/>
          <w:lang w:val="en-US"/>
        </w:rPr>
        <w:t xml:space="preserve">tion. </w:t>
      </w:r>
      <w:r w:rsidRPr="00F52FCA">
        <w:rPr>
          <w:rFonts w:ascii="Times New Roman" w:hAnsi="Times New Roman" w:cs="Times New Roman"/>
          <w:sz w:val="24"/>
          <w:szCs w:val="24"/>
          <w:lang w:val="fr-FR"/>
        </w:rPr>
        <w:t>N Engl J Med. 2003;348(14):1309-21.</w:t>
      </w:r>
    </w:p>
    <w:p w14:paraId="55549E02"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329. Montalescot G, Pitt B, Lopez de Sa E, et al., REMINDER Investigators. </w:t>
      </w:r>
      <w:r w:rsidRPr="009D5C3B">
        <w:rPr>
          <w:rFonts w:ascii="Times New Roman" w:hAnsi="Times New Roman" w:cs="Times New Roman" w:hint="eastAsia"/>
          <w:sz w:val="24"/>
          <w:szCs w:val="24"/>
          <w:lang w:val="en-US"/>
        </w:rPr>
        <w:t>Early eplerenone treatment in patients with acute ST-elevation myocardial infarction without heart failure: the Randomized Double-Blind Reminder Study. Eur Heart J. 2014;35(34):229</w:t>
      </w:r>
      <w:r w:rsidRPr="009D5C3B">
        <w:rPr>
          <w:rFonts w:ascii="Times New Roman" w:hAnsi="Times New Roman" w:cs="Times New Roman"/>
          <w:sz w:val="24"/>
          <w:szCs w:val="24"/>
          <w:lang w:val="en-US"/>
        </w:rPr>
        <w:t>5-302.</w:t>
      </w:r>
    </w:p>
    <w:p w14:paraId="2A3EA90A"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330. Dahal K, Hendrani A, Sharma SP, et al. Aldosterone antagonist therapy and mortality in patients with ST-segment elevation myocardial infarction without heart failure: a systematic review and meta-analysis. JAMA Intern Med. 2018;178(7):913-20. https:/</w:t>
      </w:r>
      <w:r w:rsidRPr="009D5C3B">
        <w:rPr>
          <w:rFonts w:ascii="Times New Roman" w:hAnsi="Times New Roman" w:cs="Times New Roman"/>
          <w:sz w:val="24"/>
          <w:szCs w:val="24"/>
          <w:lang w:val="en-US"/>
        </w:rPr>
        <w:t>/doi.org/10.1001/jamainternmed.2018.0850.</w:t>
      </w:r>
    </w:p>
    <w:p w14:paraId="40E7B734"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331. Beygui F, Van Belle E, Ecollan P, et al. Individual participant data analysis of two trials on aldosterone blockade in myocardial infarction. Heart. 2018;104:1843-9.</w:t>
      </w:r>
    </w:p>
    <w:p w14:paraId="146C262D"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332. Stenestrand U, Wallentin L, for the Swedish Register of Cardiac Intensive Care (RIKS-HIA). Early Statin Treatment Following Acute Myocardial Infarction and 1-Year Survival. JAMA. 2001;285(4):430-6. https://doi.org/10.1001/jama.285.4.430.</w:t>
      </w:r>
    </w:p>
    <w:p w14:paraId="14014F7D"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333. Aronow HD, Topol EJ, Roe MT, et al. Effect of lipid-lowering therapy on early mortality after acute coronary syndromes: an observational study. Lancet. 2001;357:1063-8.</w:t>
      </w:r>
    </w:p>
    <w:p w14:paraId="1153184C"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334. Giugliano RP, Antman EM, Thompson SL, et al. Lipid lowering drug therapy initiated during hospitalization for acute MI is associated with lower postdischarge 1-year mortality. J Am Coll Cardiol. 2001;37(suppl A):316A. Abstract.</w:t>
      </w:r>
    </w:p>
    <w:p w14:paraId="3BD7E3B1"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335. Fonarow GC, Wright RS, Spencer FA, et al. Effect of statin use within the first 24 hours of admission for acute myocardial infarction on early morbidity and mortality. Am J Cardiol. 2005;96:611-6.</w:t>
      </w:r>
    </w:p>
    <w:p w14:paraId="6446CD19"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336. Han X, Zhang Y, Yin L, et al. Statin in the treatment of patients with myocardial infarction: a meta-analysis. Medicine. 2018;97;12(2018):e0167. https://doi.org/10.1097/MD.0000000000010167.</w:t>
      </w:r>
    </w:p>
    <w:p w14:paraId="0B372315"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337. Navarese EP, Kowalewski M, Andreotti F, et al. Meta-analysis of time-related benefits of statin therapy in patients with acute coronary syndrome undergoing percutaneous coronary intervention. Am J Cardiol. 2014;113:1753-64. https://doi.org/10.1016/j.</w:t>
      </w:r>
      <w:r w:rsidRPr="009D5C3B">
        <w:rPr>
          <w:rFonts w:ascii="Times New Roman" w:hAnsi="Times New Roman" w:cs="Times New Roman"/>
          <w:sz w:val="24"/>
          <w:szCs w:val="24"/>
          <w:lang w:val="en-US"/>
        </w:rPr>
        <w:t>amjcard.2014.02.034.</w:t>
      </w:r>
    </w:p>
    <w:p w14:paraId="5D499ECA"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lastRenderedPageBreak/>
        <w:t>338. Nusca A, Melfi R, Patti G, Sciascio GD. Statin loading before percutaneous coronary intervention: proposed mechanisms and applications. Future Cardiol. 2010;6(5):579-89. https://doi.org/10.2217/fca.10.77.</w:t>
      </w:r>
    </w:p>
    <w:p w14:paraId="6C5D9421"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339. Winchester DE, Wen X, Xie L, Bavry AA. Evidence of pre-procedural statin therapy a meta-analysis of randomized trials. J Am Coll Cardiol. 2010;56:1099-109. https://doi.org/10.1016/j.jacc.2010.04.023.</w:t>
      </w:r>
    </w:p>
    <w:p w14:paraId="5D08B3A4" w14:textId="77777777" w:rsidR="00663059" w:rsidRPr="00663059"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 xml:space="preserve">340. Benjo AM, El-Hayek GE, Messerli F, et al. High dose statin loading prior to percutaneous coronary intervention decreases cardiovascular events: a meta-analysis of randomized controlled trials. Catheter Cardiovasc Interv. 2015;85:53-60. </w:t>
      </w:r>
      <w:hyperlink r:id="rId321" w:history="1">
        <w:r w:rsidR="00663059" w:rsidRPr="00D749BC">
          <w:rPr>
            <w:rStyle w:val="a6"/>
            <w:rFonts w:ascii="Times New Roman" w:hAnsi="Times New Roman" w:cs="Times New Roman" w:hint="eastAsia"/>
            <w:sz w:val="24"/>
            <w:szCs w:val="24"/>
            <w:lang w:val="en-US"/>
          </w:rPr>
          <w:t>https://doi.or</w:t>
        </w:r>
        <w:r w:rsidR="00663059" w:rsidRPr="00D749BC">
          <w:rPr>
            <w:rStyle w:val="a6"/>
            <w:rFonts w:ascii="Times New Roman" w:hAnsi="Times New Roman" w:cs="Times New Roman"/>
            <w:sz w:val="24"/>
            <w:szCs w:val="24"/>
            <w:lang w:val="en-US"/>
          </w:rPr>
          <w:t>g/10.1002/ccd.25302</w:t>
        </w:r>
      </w:hyperlink>
      <w:r w:rsidRPr="009D5C3B">
        <w:rPr>
          <w:rFonts w:ascii="Times New Roman" w:hAnsi="Times New Roman" w:cs="Times New Roman"/>
          <w:sz w:val="24"/>
          <w:szCs w:val="24"/>
          <w:lang w:val="en-US"/>
        </w:rPr>
        <w:t>.</w:t>
      </w:r>
    </w:p>
    <w:p w14:paraId="31E08BF2"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545863">
        <w:rPr>
          <w:rFonts w:ascii="Times New Roman" w:hAnsi="Times New Roman" w:cs="Times New Roman" w:hint="eastAsia"/>
          <w:sz w:val="24"/>
          <w:szCs w:val="24"/>
          <w:lang w:val="en-US"/>
        </w:rPr>
        <w:t xml:space="preserve">341. Yu XL, Zhang HJ, Ren SD, et al. </w:t>
      </w:r>
      <w:r w:rsidRPr="009D5C3B">
        <w:rPr>
          <w:rFonts w:ascii="Times New Roman" w:hAnsi="Times New Roman" w:cs="Times New Roman" w:hint="eastAsia"/>
          <w:sz w:val="24"/>
          <w:szCs w:val="24"/>
          <w:lang w:val="en-US"/>
        </w:rPr>
        <w:t>Effects of loading dose of atorvastatin before percutaneous coronary intervention on periprocedural myocardial injury. Coron Artery Dis. 2011;22:87-91. https://doi.org/10.1097/MCA.0b013e328341baee.</w:t>
      </w:r>
    </w:p>
    <w:p w14:paraId="0E6595F0"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342. Liu Y, Su Q, Li L. Efficacy of short-term high-dose atorvastatin pretreatment in patients with acute coronary syndrome undergoing percutaneous coronary intervention: a metaanalysis of nine randomized controlled trials. Clin Cardiol. 2013;36(12):E41-8</w:t>
      </w:r>
      <w:r w:rsidRPr="009D5C3B">
        <w:rPr>
          <w:rFonts w:ascii="Times New Roman" w:hAnsi="Times New Roman" w:cs="Times New Roman"/>
          <w:sz w:val="24"/>
          <w:szCs w:val="24"/>
          <w:lang w:val="en-US"/>
        </w:rPr>
        <w:t>.</w:t>
      </w:r>
    </w:p>
    <w:p w14:paraId="6A35D58D" w14:textId="77777777" w:rsidR="009D5C3B" w:rsidRPr="00F52FCA" w:rsidRDefault="009D5C3B" w:rsidP="00A419DB">
      <w:pPr>
        <w:tabs>
          <w:tab w:val="left" w:pos="786"/>
        </w:tabs>
        <w:suppressAutoHyphens/>
        <w:spacing w:after="60" w:line="360" w:lineRule="auto"/>
        <w:jc w:val="both"/>
        <w:rPr>
          <w:rFonts w:ascii="Times New Roman" w:hAnsi="Times New Roman" w:cs="Times New Roman"/>
          <w:sz w:val="24"/>
          <w:szCs w:val="24"/>
          <w:lang w:val="fr-FR"/>
        </w:rPr>
      </w:pPr>
      <w:r w:rsidRPr="009D5C3B">
        <w:rPr>
          <w:rFonts w:ascii="Times New Roman" w:hAnsi="Times New Roman" w:cs="Times New Roman" w:hint="eastAsia"/>
          <w:sz w:val="24"/>
          <w:szCs w:val="24"/>
          <w:lang w:val="en-US"/>
        </w:rPr>
        <w:t xml:space="preserve">343. Ma Y, Xiang C, Zhang B. Efficacy Evaluation of high-dose atorvastatin pretreatment in patients with acute coronary syndrome: a meta-analysis of randomized controlled trials. </w:t>
      </w:r>
      <w:r w:rsidRPr="00F52FCA">
        <w:rPr>
          <w:rFonts w:ascii="Times New Roman" w:hAnsi="Times New Roman" w:cs="Times New Roman" w:hint="eastAsia"/>
          <w:sz w:val="24"/>
          <w:szCs w:val="24"/>
          <w:lang w:val="fr-FR"/>
        </w:rPr>
        <w:t>Med Sci Monit. 2018;24:9354-63. https://doi.org/10.12659/MSM.912544.</w:t>
      </w:r>
    </w:p>
    <w:p w14:paraId="2E4E795C"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344. Ma M, Bu L, Shi L, et al. </w:t>
      </w:r>
      <w:r w:rsidRPr="009D5C3B">
        <w:rPr>
          <w:rFonts w:ascii="Times New Roman" w:hAnsi="Times New Roman" w:cs="Times New Roman" w:hint="eastAsia"/>
          <w:sz w:val="24"/>
          <w:szCs w:val="24"/>
          <w:lang w:val="en-US"/>
        </w:rPr>
        <w:t xml:space="preserve">Effect of loading dose of atorvastatin therapy prior to percutaneous coronary intervention in patients with acute coronary syndrome: a meta-analysis of six randomized controlled trials. Drug Design, Development and Therapy. </w:t>
      </w:r>
      <w:r w:rsidRPr="009D5C3B">
        <w:rPr>
          <w:rFonts w:ascii="Times New Roman" w:hAnsi="Times New Roman" w:cs="Times New Roman"/>
          <w:sz w:val="24"/>
          <w:szCs w:val="24"/>
          <w:lang w:val="en-US"/>
        </w:rPr>
        <w:t>2019;13: 1233-40.</w:t>
      </w:r>
    </w:p>
    <w:p w14:paraId="139290EC"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345. Cannon CP, Braunwald E, McCabe CH, et al. Pravastatin or Atorvastatin Evaluation and Infection Therapy-Thrombolysis in Myocardial Infarction 22 Investigators. Intensive versus moderate lipid lowering with statins after acute coronary syndromes. N Eng</w:t>
      </w:r>
      <w:r w:rsidRPr="009D5C3B">
        <w:rPr>
          <w:rFonts w:ascii="Times New Roman" w:hAnsi="Times New Roman" w:cs="Times New Roman"/>
          <w:sz w:val="24"/>
          <w:szCs w:val="24"/>
          <w:lang w:val="en-US"/>
        </w:rPr>
        <w:t>l J Med. 2004;350(15):1495-504.</w:t>
      </w:r>
    </w:p>
    <w:p w14:paraId="78CE60AF"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346. Cannon ChP, Blazing MA, Giugliano RP, et al.; for the IMPROVE-IT Investigators. Ezetimibe Added to Statin Therapy after Acute Coronary Syndromes. N Engl J Med. 2015;372: 2387-97.</w:t>
      </w:r>
    </w:p>
    <w:p w14:paraId="20600732"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347. Cholesterol Treatment Trialists' (CTT) Collaboration; Fulcher J, O'Connell R, Voysey M, et al. Efficacy and safety of LDL-lowering therapy among men and women: metaanalysis of individual data from 174,000 participants in 27 randomised trials. Lancet.</w:t>
      </w:r>
      <w:r w:rsidRPr="009D5C3B">
        <w:rPr>
          <w:rFonts w:ascii="Times New Roman" w:hAnsi="Times New Roman" w:cs="Times New Roman"/>
          <w:sz w:val="24"/>
          <w:szCs w:val="24"/>
          <w:lang w:val="en-US"/>
        </w:rPr>
        <w:t xml:space="preserve"> 2015;385(9976):1397-405. https://doi.org/10.1016/S0140-6736(14)61368-4.</w:t>
      </w:r>
    </w:p>
    <w:p w14:paraId="1F00D91D"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lastRenderedPageBreak/>
        <w:t>348. Schwartz GG, Steg PG, Szarek M, et al.; and ODYSSEY OUTCOMES Committees and Investigators. Alirocumab and cardiovascular outcomes after acute coronary syndrome. N Engl J Med. 2018;379:2097-107.</w:t>
      </w:r>
    </w:p>
    <w:p w14:paraId="7E96001A"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349. Sabatine MS, Giugliano RP, Keech AC, et al.; FOURIER Steering Committee and Investigators. Evolocumab and clinical outcomes in patients with cardiovascular disease. N Engl J Med. 2017;376(18):1713-22.</w:t>
      </w:r>
    </w:p>
    <w:p w14:paraId="5B8EEC17"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350. Schwartz GG, Steg G, Szarek M, et al.; for the ODYSSEY OUTCOMES Committees and Investigators. Alirocumab and Cardiovascular Outcomes after Acute Coronary Syndrome. N Engl J Med. 2018;379:2097-107.</w:t>
      </w:r>
    </w:p>
    <w:p w14:paraId="150417EF"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351. Jukema JW, Szarek M, Zijlstra LE, et al. </w:t>
      </w:r>
      <w:r w:rsidRPr="009D5C3B">
        <w:rPr>
          <w:rFonts w:ascii="Times New Roman" w:hAnsi="Times New Roman" w:cs="Times New Roman" w:hint="eastAsia"/>
          <w:sz w:val="24"/>
          <w:szCs w:val="24"/>
          <w:lang w:val="en-US"/>
        </w:rPr>
        <w:t>ODYSSEY OUTCOMES Committees and Investigators. Alirocumab in Patients WithPolyvascular Disease and Recent Acute Coronary Syndrome: ODYSSEY OUTCOMES Trial. J Am Coll Cardiol. 2019;74(9):1167-76. https://doi.or</w:t>
      </w:r>
      <w:r w:rsidRPr="009D5C3B">
        <w:rPr>
          <w:rFonts w:ascii="Times New Roman" w:hAnsi="Times New Roman" w:cs="Times New Roman"/>
          <w:sz w:val="24"/>
          <w:szCs w:val="24"/>
          <w:lang w:val="en-US"/>
        </w:rPr>
        <w:t>g/10.1016/j.jacc.2019.03.013.</w:t>
      </w:r>
    </w:p>
    <w:p w14:paraId="5916DCAD"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352. Mach F, Baigent C, Catapano AL, et al. 2019 ESC/EAS Guidelines for the management of dyslipidaemias: lipid modification to reduce cardiovascular risk. Eur Heart J. 2019. https://doi.org/10.1093/eurheartj/ehz455.</w:t>
      </w:r>
    </w:p>
    <w:p w14:paraId="5D1CC32B"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353. Koskinas KC, Windecker S, Pedrazzini G, et al. Evolocumab for early reduction of LDL cholesterol levels in patients with acute coronary syndromes (EVOPACS). J Am Coll Cardiol. 2019;74(20):2452-62. https://doi.org/10.1016/j.jacc.2019.08.010.</w:t>
      </w:r>
    </w:p>
    <w:p w14:paraId="33783F29"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354. Trankle CR, Wohlford G, Buckley LF, et al. Alirocumab in acute myocardial infarction: results from the Virginia commonwealth university alirocumab response trial (VCUAlirocRT). Journal of cardiovascular pharmacology. 2019;74(3):266-9. https://doi.org</w:t>
      </w:r>
      <w:r w:rsidRPr="009D5C3B">
        <w:rPr>
          <w:rFonts w:ascii="Times New Roman" w:hAnsi="Times New Roman" w:cs="Times New Roman"/>
          <w:sz w:val="24"/>
          <w:szCs w:val="24"/>
          <w:lang w:val="en-US"/>
        </w:rPr>
        <w:t>/10.1097/FJC.0000000000000706.</w:t>
      </w:r>
    </w:p>
    <w:p w14:paraId="271BC902" w14:textId="77777777" w:rsidR="009D5C3B" w:rsidRPr="00F52FCA" w:rsidRDefault="009D5C3B" w:rsidP="00A419DB">
      <w:pPr>
        <w:tabs>
          <w:tab w:val="left" w:pos="786"/>
        </w:tabs>
        <w:suppressAutoHyphens/>
        <w:spacing w:after="60" w:line="360" w:lineRule="auto"/>
        <w:jc w:val="both"/>
        <w:rPr>
          <w:rFonts w:ascii="Times New Roman" w:hAnsi="Times New Roman" w:cs="Times New Roman"/>
          <w:sz w:val="24"/>
          <w:szCs w:val="24"/>
          <w:lang w:val="fr-FR"/>
        </w:rPr>
      </w:pPr>
      <w:r w:rsidRPr="009D5C3B">
        <w:rPr>
          <w:rFonts w:ascii="Times New Roman" w:hAnsi="Times New Roman" w:cs="Times New Roman" w:hint="eastAsia"/>
          <w:sz w:val="24"/>
          <w:szCs w:val="24"/>
          <w:lang w:val="en-US"/>
        </w:rPr>
        <w:t>355. Mehta SR, Pare G, Lonn EM, et al. Effects of routine early treatment with PCSK9 inhibitors in patients undergoing primary percutaneous coronary intervention for ST-segment elevation myocardial infarction: a randomised, double-blind, sham-controlled t</w:t>
      </w:r>
      <w:r w:rsidRPr="009D5C3B">
        <w:rPr>
          <w:rFonts w:ascii="Times New Roman" w:hAnsi="Times New Roman" w:cs="Times New Roman"/>
          <w:sz w:val="24"/>
          <w:szCs w:val="24"/>
          <w:lang w:val="en-US"/>
        </w:rPr>
        <w:t xml:space="preserve">rial. </w:t>
      </w:r>
      <w:r w:rsidRPr="00F52FCA">
        <w:rPr>
          <w:rFonts w:ascii="Times New Roman" w:hAnsi="Times New Roman" w:cs="Times New Roman"/>
          <w:sz w:val="24"/>
          <w:szCs w:val="24"/>
          <w:lang w:val="fr-FR"/>
        </w:rPr>
        <w:t>EuroIntervention. 2022;18(11):e888-e896. https://doi.org/10.4244/EIJ-D-22-00735.</w:t>
      </w:r>
    </w:p>
    <w:p w14:paraId="6FFB25A5"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356. Räber L, Ueki Y, Otsuka T, et al. </w:t>
      </w:r>
      <w:r w:rsidRPr="009D5C3B">
        <w:rPr>
          <w:rFonts w:ascii="Times New Roman" w:hAnsi="Times New Roman" w:cs="Times New Roman" w:hint="eastAsia"/>
          <w:sz w:val="24"/>
          <w:szCs w:val="24"/>
          <w:lang w:val="en-US"/>
        </w:rPr>
        <w:t>Effect of Alirocumab Added to High-Intensity Statin Therapy on Coronary Atherosclerosis in Patients With Acute Myocardial Infarction: The PACMAN-AMI Randomized Clinical Trial. JAMA. 2022;327(18):1771-81. https://doi.</w:t>
      </w:r>
      <w:r w:rsidRPr="009D5C3B">
        <w:rPr>
          <w:rFonts w:ascii="Times New Roman" w:hAnsi="Times New Roman" w:cs="Times New Roman"/>
          <w:sz w:val="24"/>
          <w:szCs w:val="24"/>
          <w:lang w:val="en-US"/>
        </w:rPr>
        <w:t>org/10.1001/jama.2022.5218.</w:t>
      </w:r>
    </w:p>
    <w:p w14:paraId="10E01591"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lastRenderedPageBreak/>
        <w:t>357. Ray KK, Wright RS, Khaled D, et al.; ORION-10 and ORION-11 Investigators. Two Phase 3 Trials of Inclisiran in Patients with Elevated LDL Cholesterol. N Engl J Med. 2020;382(16):1507-19. https://doi.org/10.1056/NEJMoa1912387.</w:t>
      </w:r>
    </w:p>
    <w:p w14:paraId="7FA8216E"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358. Lee J, Egolum U, Parihar H, et al. Effect of Ezetimibe Added to High-Intensity Statin Therapy on Low-Density Lipoprotein Cholesterol Levels: A Meta-Analysis. Cardiol Res. 2021;12(2):98-108. https://doi.org/10.14740/cr1224.</w:t>
      </w:r>
    </w:p>
    <w:p w14:paraId="70177D48"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359. Wang X, Wen D, Chen Y, et al. PCSK9 inhibitors for secondary prevention in patients with cardiovascular diseases: a bayesian network meta-analysis. Cardiovasc Diabetol. 2022;21(1):107. https://doi.org/10.1186/s12933-022-01542-4.</w:t>
      </w:r>
    </w:p>
    <w:p w14:paraId="502E2AF7"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360. Ray KK, Reeskamp LF, Laufs U, et al. Combination lipid-lowering therapy as first-line strategy in very high-risk patients. Eur Heart J. 2022;43(8):830-3. https://doi.org/10.1093/eurheartj/ehab718.</w:t>
      </w:r>
    </w:p>
    <w:p w14:paraId="163330A8"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361. Burnett H, Fahrbach K, Cichewicz A, et al. Comparative efficacy of non-statin lipidlowering therapies in patients with hypercholesterolemia at increased cardiovascular risk: a network meta-analysis. Curr Med Res Opin. 2022;38(5):777-84. https://doi.o</w:t>
      </w:r>
      <w:r w:rsidRPr="009D5C3B">
        <w:rPr>
          <w:rFonts w:ascii="Times New Roman" w:hAnsi="Times New Roman" w:cs="Times New Roman"/>
          <w:sz w:val="24"/>
          <w:szCs w:val="24"/>
          <w:lang w:val="en-US"/>
        </w:rPr>
        <w:t>rg/10.1080/03007995.2022.2049164.</w:t>
      </w:r>
    </w:p>
    <w:p w14:paraId="44DE583A"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362. Malmberg K, Ryden L, Efendic S, et al. Randomized trial of insulin-glucose infusion followed by subcutaneous insulin treatment in diabetic patients with acute myocardial infarction (DIGAMI study): effects on mortality at 1 year. J Am Coll Cardiol. 19</w:t>
      </w:r>
      <w:r w:rsidRPr="009D5C3B">
        <w:rPr>
          <w:rFonts w:ascii="Times New Roman" w:hAnsi="Times New Roman" w:cs="Times New Roman"/>
          <w:sz w:val="24"/>
          <w:szCs w:val="24"/>
          <w:lang w:val="en-US"/>
        </w:rPr>
        <w:t>95;26:57-65.</w:t>
      </w:r>
    </w:p>
    <w:p w14:paraId="20EB6F94"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363. Malmberg K. Prospective randomised study of intensive insulin treatment on long term survival after acute myocardial infarction in patients with diabetes mellitus. DIGAMI (Diabetes Mellitus, Insulin Glucose Infusion in Acute Myocardial Infarction) St</w:t>
      </w:r>
      <w:r w:rsidRPr="009D5C3B">
        <w:rPr>
          <w:rFonts w:ascii="Times New Roman" w:hAnsi="Times New Roman" w:cs="Times New Roman"/>
          <w:sz w:val="24"/>
          <w:szCs w:val="24"/>
          <w:lang w:val="en-US"/>
        </w:rPr>
        <w:t>udy Group. BMJ. 1997;314:1512-5.</w:t>
      </w:r>
    </w:p>
    <w:p w14:paraId="032457B0" w14:textId="77777777" w:rsidR="009D5C3B" w:rsidRPr="00F52FCA" w:rsidRDefault="009D5C3B" w:rsidP="00A419DB">
      <w:pPr>
        <w:tabs>
          <w:tab w:val="left" w:pos="786"/>
        </w:tabs>
        <w:suppressAutoHyphens/>
        <w:spacing w:after="60" w:line="360" w:lineRule="auto"/>
        <w:jc w:val="both"/>
        <w:rPr>
          <w:rFonts w:ascii="Times New Roman" w:hAnsi="Times New Roman" w:cs="Times New Roman"/>
          <w:sz w:val="24"/>
          <w:szCs w:val="24"/>
          <w:lang w:val="fr-FR"/>
        </w:rPr>
      </w:pPr>
      <w:r w:rsidRPr="009D5C3B">
        <w:rPr>
          <w:rFonts w:ascii="Times New Roman" w:hAnsi="Times New Roman" w:cs="Times New Roman" w:hint="eastAsia"/>
          <w:sz w:val="24"/>
          <w:szCs w:val="24"/>
          <w:lang w:val="en-US"/>
        </w:rPr>
        <w:t>364. Ritsinger V, Malmberg K, Martensson A, et al. Intensified insulin-based glycaemic control after myocardial infarction: mortality during 20 year follow-up of the randomised Diabetes Mellitus Insulin Glucose Infusion in Acute Myocardial Infarction (DIG</w:t>
      </w:r>
      <w:r w:rsidRPr="009D5C3B">
        <w:rPr>
          <w:rFonts w:ascii="Times New Roman" w:hAnsi="Times New Roman" w:cs="Times New Roman"/>
          <w:sz w:val="24"/>
          <w:szCs w:val="24"/>
          <w:lang w:val="en-US"/>
        </w:rPr>
        <w:t xml:space="preserve">AMI 1) trial. </w:t>
      </w:r>
      <w:r w:rsidRPr="00F52FCA">
        <w:rPr>
          <w:rFonts w:ascii="Times New Roman" w:hAnsi="Times New Roman" w:cs="Times New Roman"/>
          <w:sz w:val="24"/>
          <w:szCs w:val="24"/>
          <w:lang w:val="fr-FR"/>
        </w:rPr>
        <w:t>Lancet Diabetes Endocrinol. 2014;2:627-33.</w:t>
      </w:r>
    </w:p>
    <w:p w14:paraId="2444A307"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365. Piepoli MF, Corrà U, Adamopoulos S, et al. </w:t>
      </w:r>
      <w:r w:rsidRPr="009D5C3B">
        <w:rPr>
          <w:rFonts w:ascii="Times New Roman" w:hAnsi="Times New Roman" w:cs="Times New Roman" w:hint="eastAsia"/>
          <w:sz w:val="24"/>
          <w:szCs w:val="24"/>
          <w:lang w:val="en-US"/>
        </w:rPr>
        <w:t>Secondary prevention in the clinical management of patients with cardiovascular diseases. Core components, standards and outcome measures for referral and delivery: A Policy Statement from the Cardiac Rehabi</w:t>
      </w:r>
      <w:r w:rsidRPr="009D5C3B">
        <w:rPr>
          <w:rFonts w:ascii="Times New Roman" w:hAnsi="Times New Roman" w:cs="Times New Roman"/>
          <w:sz w:val="24"/>
          <w:szCs w:val="24"/>
          <w:lang w:val="en-US"/>
        </w:rPr>
        <w:t>litation Section of the European Association for Cardiovascular Prevention &amp; Rehabilitation. Endorsed by the Committee for Practice Guidelines of the European Society of Cardiology. Eur J Prev Cardiol. 2014;21(6):664-81. https://doi.org/10.1177/2047487312449597.</w:t>
      </w:r>
    </w:p>
    <w:p w14:paraId="782EFDD6"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lastRenderedPageBreak/>
        <w:t>366. Gislason GH, Jacobsen S, Rasmussen JN, et al. Risk of death or reinfarction associated with the use of selective cyclooxygenase-2 inhibitors and nonselective nonsteroidal antiinflammatory drugs after acute myocardial infarction. Circulation. 2006;113</w:t>
      </w:r>
      <w:r w:rsidRPr="009D5C3B">
        <w:rPr>
          <w:rFonts w:ascii="Times New Roman" w:hAnsi="Times New Roman" w:cs="Times New Roman"/>
          <w:sz w:val="24"/>
          <w:szCs w:val="24"/>
          <w:lang w:val="en-US"/>
        </w:rPr>
        <w:t>:2906-13.</w:t>
      </w:r>
    </w:p>
    <w:p w14:paraId="3DCCF7B9"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367. Kearney PM, Baigent C, Godwin J, et al. Do selective cyclo-oxygenase-2 inhibitors and traditional non-steroidal anti-inflammatory drugs increase the risk of atherothrombosis? Meta-analysis of randomised trials. BMJ. 2006;332:1302-8.</w:t>
      </w:r>
    </w:p>
    <w:p w14:paraId="7B484D25"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368. Gibson CM, Pride YB, Aylward PE, et al. Association of non-steroidal anti-inflammatory drugs with outcomes in patients with ST-segment elevation myocardial infarction treated with fibrinolytic therapy: an ExTRACT-TIMI 25 analysis. J Thromb Thrombolys</w:t>
      </w:r>
      <w:r w:rsidRPr="009D5C3B">
        <w:rPr>
          <w:rFonts w:ascii="Times New Roman" w:hAnsi="Times New Roman" w:cs="Times New Roman"/>
          <w:sz w:val="24"/>
          <w:szCs w:val="24"/>
          <w:lang w:val="en-US"/>
        </w:rPr>
        <w:t>is. 2009;27(1):11-7. https://doi.org/10.1007/s11239-008-0264-4.</w:t>
      </w:r>
    </w:p>
    <w:p w14:paraId="1FC47596"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369. The Hypothermia after Cardiac Arrest Study Group. Mild therapeutic hypothermia to improve the neurologic outcome after cardiac arrest. N Engl J Med. 2002;346:549-6. https://doi.org/10.1056/NEJMoa012689.</w:t>
      </w:r>
    </w:p>
    <w:p w14:paraId="4EDFB9C2"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370. Bernard SA, Gray TW, Buist MD, et al. Treatment of comatose survivors of out-of-hospital cardiac arrest with induced hypothermia. N Engl J Med. 2002;346:557-63. https://doi.org/10.1056/NEJMoa003289.</w:t>
      </w:r>
    </w:p>
    <w:p w14:paraId="77E61F24" w14:textId="77777777" w:rsidR="009D5C3B" w:rsidRPr="00F52FCA" w:rsidRDefault="009D5C3B" w:rsidP="00A419DB">
      <w:pPr>
        <w:tabs>
          <w:tab w:val="left" w:pos="786"/>
        </w:tabs>
        <w:suppressAutoHyphens/>
        <w:spacing w:after="60" w:line="360" w:lineRule="auto"/>
        <w:jc w:val="both"/>
        <w:rPr>
          <w:rFonts w:ascii="Times New Roman" w:hAnsi="Times New Roman" w:cs="Times New Roman"/>
          <w:sz w:val="24"/>
          <w:szCs w:val="24"/>
          <w:lang w:val="fr-FR"/>
        </w:rPr>
      </w:pPr>
      <w:r w:rsidRPr="009D5C3B">
        <w:rPr>
          <w:rFonts w:ascii="Times New Roman" w:hAnsi="Times New Roman" w:cs="Times New Roman" w:hint="eastAsia"/>
          <w:sz w:val="24"/>
          <w:szCs w:val="24"/>
          <w:lang w:val="en-US"/>
        </w:rPr>
        <w:t xml:space="preserve">371. Belliard G, Catez E, Charron C, et al. Efficacy of therapeutic hypothermia after outof-hospital cardiac arrest due to ventricular fibrillation. </w:t>
      </w:r>
      <w:r w:rsidRPr="00F52FCA">
        <w:rPr>
          <w:rFonts w:ascii="Times New Roman" w:hAnsi="Times New Roman" w:cs="Times New Roman" w:hint="eastAsia"/>
          <w:sz w:val="24"/>
          <w:szCs w:val="24"/>
          <w:lang w:val="fr-FR"/>
        </w:rPr>
        <w:t>Resuscitation. 2007;75:252-9. https://doi.org/10.1016/j.resuscitation.2007.04.014.</w:t>
      </w:r>
    </w:p>
    <w:p w14:paraId="524595D9" w14:textId="77777777" w:rsidR="009D5C3B" w:rsidRPr="00F52FCA" w:rsidRDefault="009D5C3B" w:rsidP="00A419DB">
      <w:pPr>
        <w:tabs>
          <w:tab w:val="left" w:pos="786"/>
        </w:tabs>
        <w:suppressAutoHyphens/>
        <w:spacing w:after="60" w:line="360" w:lineRule="auto"/>
        <w:jc w:val="both"/>
        <w:rPr>
          <w:rFonts w:ascii="Times New Roman" w:hAnsi="Times New Roman" w:cs="Times New Roman"/>
          <w:sz w:val="24"/>
          <w:szCs w:val="24"/>
          <w:lang w:val="fr-FR"/>
        </w:rPr>
      </w:pPr>
      <w:r w:rsidRPr="00F52FCA">
        <w:rPr>
          <w:rFonts w:ascii="Times New Roman" w:hAnsi="Times New Roman" w:cs="Times New Roman"/>
          <w:sz w:val="24"/>
          <w:szCs w:val="24"/>
          <w:lang w:val="fr-FR"/>
        </w:rPr>
        <w:t xml:space="preserve">372. Nielsen N, Wetterslev J, Cronberg T, et al. </w:t>
      </w:r>
      <w:r w:rsidRPr="009D5C3B">
        <w:rPr>
          <w:rFonts w:ascii="Times New Roman" w:hAnsi="Times New Roman" w:cs="Times New Roman"/>
          <w:sz w:val="24"/>
          <w:szCs w:val="24"/>
          <w:lang w:val="en-US"/>
        </w:rPr>
        <w:t xml:space="preserve">Targeted temperature management at 33 C versus 36 C after cardiac arrest. </w:t>
      </w:r>
      <w:r w:rsidRPr="00F52FCA">
        <w:rPr>
          <w:rFonts w:ascii="Times New Roman" w:hAnsi="Times New Roman" w:cs="Times New Roman"/>
          <w:sz w:val="24"/>
          <w:szCs w:val="24"/>
          <w:lang w:val="fr-FR"/>
        </w:rPr>
        <w:t>N Engl J Med. 2013;369:2197-206. https://doi.org/10.1056/NEJMoa1310519.</w:t>
      </w:r>
    </w:p>
    <w:p w14:paraId="529283B7"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373. Dankiewicz J, Cronberg T, Lilja G, et al. </w:t>
      </w:r>
      <w:r w:rsidRPr="009D5C3B">
        <w:rPr>
          <w:rFonts w:ascii="Times New Roman" w:hAnsi="Times New Roman" w:cs="Times New Roman" w:hint="eastAsia"/>
          <w:sz w:val="24"/>
          <w:szCs w:val="24"/>
          <w:lang w:val="en-US"/>
        </w:rPr>
        <w:t>Hypothermia versus Normothermia after Out-of-Hospital Cardiac Arrest. N Engl J Med. 2021;384(24):2283-94. https://doi.org/10.1056/NEJMoa2100591.</w:t>
      </w:r>
    </w:p>
    <w:p w14:paraId="59D3F42C" w14:textId="77777777" w:rsidR="009D5C3B" w:rsidRPr="00F52FCA" w:rsidRDefault="009D5C3B" w:rsidP="00A419DB">
      <w:pPr>
        <w:tabs>
          <w:tab w:val="left" w:pos="786"/>
        </w:tabs>
        <w:suppressAutoHyphens/>
        <w:spacing w:after="60" w:line="360" w:lineRule="auto"/>
        <w:jc w:val="both"/>
        <w:rPr>
          <w:rFonts w:ascii="Times New Roman" w:hAnsi="Times New Roman" w:cs="Times New Roman"/>
          <w:sz w:val="24"/>
          <w:szCs w:val="24"/>
          <w:lang w:val="fr-FR"/>
        </w:rPr>
      </w:pPr>
      <w:r w:rsidRPr="009D5C3B">
        <w:rPr>
          <w:rFonts w:ascii="Times New Roman" w:hAnsi="Times New Roman" w:cs="Times New Roman" w:hint="eastAsia"/>
          <w:sz w:val="24"/>
          <w:szCs w:val="24"/>
          <w:lang w:val="en-US"/>
        </w:rPr>
        <w:t xml:space="preserve">374. Wolfrum S, Roedl K, Hanebutte A, et al. Temperature control after in-hospital cardiac arrest: a randomized clinical trial. </w:t>
      </w:r>
      <w:r w:rsidRPr="00F52FCA">
        <w:rPr>
          <w:rFonts w:ascii="Times New Roman" w:hAnsi="Times New Roman" w:cs="Times New Roman" w:hint="eastAsia"/>
          <w:sz w:val="24"/>
          <w:szCs w:val="24"/>
          <w:lang w:val="fr-FR"/>
        </w:rPr>
        <w:t>Circulation. 2022;146:1357-66. https://doi.org/10.1161/circulationaha.122.060106.</w:t>
      </w:r>
    </w:p>
    <w:p w14:paraId="334B1D05"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375. Vaahersalo J, Hiltunen P, Tiainen M, et al. </w:t>
      </w:r>
      <w:r w:rsidRPr="009D5C3B">
        <w:rPr>
          <w:rFonts w:ascii="Times New Roman" w:hAnsi="Times New Roman" w:cs="Times New Roman" w:hint="eastAsia"/>
          <w:sz w:val="24"/>
          <w:szCs w:val="24"/>
          <w:lang w:val="en-US"/>
        </w:rPr>
        <w:t>Therapeutic hypothermia after out-of-hospital cardiac arrest in Finnish intensive care units: the FINNRESUSCI study. Intensive Care Med. 2013;39:826-37. https://doi.org/10.1007/s00134-013-2868-1.</w:t>
      </w:r>
    </w:p>
    <w:p w14:paraId="63A504E8"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 xml:space="preserve">376. Okazaki T, Hifumi T, Kawakita K, Kuroda Y; Japanese Association for Acute Medicine outof-hospital cardiac arrest (JAAM-OHCA) registry. Targeted temperature management guided </w:t>
      </w:r>
      <w:r w:rsidRPr="009D5C3B">
        <w:rPr>
          <w:rFonts w:ascii="Times New Roman" w:hAnsi="Times New Roman" w:cs="Times New Roman" w:hint="eastAsia"/>
          <w:sz w:val="24"/>
          <w:szCs w:val="24"/>
          <w:lang w:val="en-US"/>
        </w:rPr>
        <w:lastRenderedPageBreak/>
        <w:t>by the severity of hyperlactatemia for out-of-hospital cardiac arrest patien</w:t>
      </w:r>
      <w:r w:rsidRPr="009D5C3B">
        <w:rPr>
          <w:rFonts w:ascii="Times New Roman" w:hAnsi="Times New Roman" w:cs="Times New Roman"/>
          <w:sz w:val="24"/>
          <w:szCs w:val="24"/>
          <w:lang w:val="en-US"/>
        </w:rPr>
        <w:t>ts: a post hoc analysis of a nationwide, multicenter prospective registry. Ann Intensive Care. 2019;9(1):127. https://doi.org/10.1186/s13613-019-0603-y.</w:t>
      </w:r>
    </w:p>
    <w:p w14:paraId="4CBA2C0C"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sz w:val="24"/>
          <w:szCs w:val="24"/>
          <w:lang w:val="en-US"/>
        </w:rPr>
        <w:t>377. Callaway CW, Coppler PJ, Faro J, et al. Association of Initial Illness Severity and Outcomes After Cardiac Arrest With Targeted Temperature Management at 36 C or 33 C. JAMA Netw Open. 2020;3(7):e208215. https://doi.org/10.1001/jamanetworkopen.2020.8215.</w:t>
      </w:r>
    </w:p>
    <w:p w14:paraId="1D389430"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378. Nishikimi M, Ogura T, Nishida K, et al. </w:t>
      </w:r>
      <w:r w:rsidRPr="009D5C3B">
        <w:rPr>
          <w:rFonts w:ascii="Times New Roman" w:hAnsi="Times New Roman" w:cs="Times New Roman" w:hint="eastAsia"/>
          <w:sz w:val="24"/>
          <w:szCs w:val="24"/>
          <w:lang w:val="en-US"/>
        </w:rPr>
        <w:t>Outcome Related to Level of Targeted Temperature Management in Postcardiac Arrest Syndrome of Low, Moderate, and High Severities: A Nationwide Multicenter Prospective Registry. Crit Care Med. 2021;49(8):e741-e7</w:t>
      </w:r>
      <w:r w:rsidRPr="009D5C3B">
        <w:rPr>
          <w:rFonts w:ascii="Times New Roman" w:hAnsi="Times New Roman" w:cs="Times New Roman"/>
          <w:sz w:val="24"/>
          <w:szCs w:val="24"/>
          <w:lang w:val="en-US"/>
        </w:rPr>
        <w:t>50. https://doi.org/10.1097/CCM.0000000000005025.</w:t>
      </w:r>
    </w:p>
    <w:p w14:paraId="1E99C863"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379. Lascarrou JB, Merdji H, Le Gouge A, et al. Targeted Temperature Management for Cardiac Arrest with Nonshockable Rhythm. N Engl J Med. 2019;381(24):2327-37. https://doi.org/10.1056/NEJMoa190666.</w:t>
      </w:r>
    </w:p>
    <w:p w14:paraId="0CA9345E" w14:textId="77777777" w:rsidR="009D5C3B" w:rsidRPr="00F52FCA" w:rsidRDefault="009D5C3B" w:rsidP="00A419DB">
      <w:pPr>
        <w:tabs>
          <w:tab w:val="left" w:pos="786"/>
        </w:tabs>
        <w:suppressAutoHyphens/>
        <w:spacing w:after="60" w:line="360" w:lineRule="auto"/>
        <w:jc w:val="both"/>
        <w:rPr>
          <w:rFonts w:ascii="Times New Roman" w:hAnsi="Times New Roman" w:cs="Times New Roman"/>
          <w:sz w:val="24"/>
          <w:szCs w:val="24"/>
          <w:lang w:val="fr-FR"/>
        </w:rPr>
      </w:pPr>
      <w:r w:rsidRPr="009D5C3B">
        <w:rPr>
          <w:rFonts w:ascii="Times New Roman" w:hAnsi="Times New Roman" w:cs="Times New Roman" w:hint="eastAsia"/>
          <w:sz w:val="24"/>
          <w:szCs w:val="24"/>
          <w:lang w:val="en-US"/>
        </w:rPr>
        <w:t xml:space="preserve">380. Perkins GD, Graesner JT, Semeraro F, et al. European Resuscitation Council Guidelines 2021: executive summary. </w:t>
      </w:r>
      <w:r w:rsidRPr="00F52FCA">
        <w:rPr>
          <w:rFonts w:ascii="Times New Roman" w:hAnsi="Times New Roman" w:cs="Times New Roman" w:hint="eastAsia"/>
          <w:sz w:val="24"/>
          <w:szCs w:val="24"/>
          <w:lang w:val="fr-FR"/>
        </w:rPr>
        <w:t>Resuscitation. 2021;161:1-60. https://doi.org/10.1016/j.resuscitation.2021.02.003.</w:t>
      </w:r>
    </w:p>
    <w:p w14:paraId="524AA8AE" w14:textId="77777777" w:rsidR="009D5C3B" w:rsidRPr="00F52FCA" w:rsidRDefault="009D5C3B" w:rsidP="00A419DB">
      <w:pPr>
        <w:tabs>
          <w:tab w:val="left" w:pos="786"/>
        </w:tabs>
        <w:suppressAutoHyphens/>
        <w:spacing w:after="60" w:line="360" w:lineRule="auto"/>
        <w:jc w:val="both"/>
        <w:rPr>
          <w:rFonts w:ascii="Times New Roman" w:hAnsi="Times New Roman" w:cs="Times New Roman"/>
          <w:sz w:val="24"/>
          <w:szCs w:val="24"/>
          <w:lang w:val="fr-FR"/>
        </w:rPr>
      </w:pPr>
      <w:r w:rsidRPr="00F52FCA">
        <w:rPr>
          <w:rFonts w:ascii="Times New Roman" w:hAnsi="Times New Roman" w:cs="Times New Roman" w:hint="eastAsia"/>
          <w:sz w:val="24"/>
          <w:szCs w:val="24"/>
          <w:lang w:val="fr-FR"/>
        </w:rPr>
        <w:t xml:space="preserve">381. Nolan JP, Sandroni C, Andersen LW, et al. </w:t>
      </w:r>
      <w:r w:rsidRPr="009D5C3B">
        <w:rPr>
          <w:rFonts w:ascii="Times New Roman" w:hAnsi="Times New Roman" w:cs="Times New Roman" w:hint="eastAsia"/>
          <w:sz w:val="24"/>
          <w:szCs w:val="24"/>
          <w:lang w:val="en-US"/>
        </w:rPr>
        <w:t xml:space="preserve">ERC-ESICM guidelines on temperature control after cardiac arrest in adults. </w:t>
      </w:r>
      <w:r w:rsidRPr="00F52FCA">
        <w:rPr>
          <w:rFonts w:ascii="Times New Roman" w:hAnsi="Times New Roman" w:cs="Times New Roman" w:hint="eastAsia"/>
          <w:sz w:val="24"/>
          <w:szCs w:val="24"/>
          <w:lang w:val="fr-FR"/>
        </w:rPr>
        <w:t>Resuscitation. 2022;172:229-36. https://doi.org/10.1016/j.resuscitation.2022.01.009.</w:t>
      </w:r>
    </w:p>
    <w:p w14:paraId="1535ED56"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382. Hassager C, Schmidt H, Møller JE, et al. </w:t>
      </w:r>
      <w:r w:rsidRPr="009D5C3B">
        <w:rPr>
          <w:rFonts w:ascii="Times New Roman" w:hAnsi="Times New Roman" w:cs="Times New Roman" w:hint="eastAsia"/>
          <w:sz w:val="24"/>
          <w:szCs w:val="24"/>
          <w:lang w:val="en-US"/>
        </w:rPr>
        <w:t>Duration of device-based fever prevention after cardiac arrest. N Engl J Med. 2023;388:888-97. https://doi.org/10.1056/NEJMoa2212528.</w:t>
      </w:r>
    </w:p>
    <w:p w14:paraId="50DEB2B7"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383. Bonnefoy-Cudraz E, Bueno H, Casella G, et al. Editor's Choice - acute cardiovascular care association position paper on intensive cardiovascular care units: an update on their definition, structure, organisation and function. Eur Heart J Acute Cardio</w:t>
      </w:r>
      <w:r w:rsidRPr="009D5C3B">
        <w:rPr>
          <w:rFonts w:ascii="Times New Roman" w:hAnsi="Times New Roman" w:cs="Times New Roman"/>
          <w:sz w:val="24"/>
          <w:szCs w:val="24"/>
          <w:lang w:val="en-US"/>
        </w:rPr>
        <w:t>vasc Care. 2018;7:80-95. https://doi.org/10.1177/2048872617724269.</w:t>
      </w:r>
    </w:p>
    <w:p w14:paraId="0A7AF259"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384. Khot UN, Jia G, Moliterno DJ, et al. Prognostic importance of physical examination for heart failure in non-ST-elevation acute coronary syndromes: the enduring value of Killip classification. JAMA. 2003;290(16):2174-81.</w:t>
      </w:r>
    </w:p>
    <w:p w14:paraId="29AFE7F9"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385. Masip J, Peacock WF, Price S, et al.; Acute Heart Failure Study Group of the Acute Cardiovascular Care Association and the Committee on Acute Heart Failure of the Heart Failure Association of the European Society of Cardiology. Indications and practi</w:t>
      </w:r>
      <w:r w:rsidRPr="009D5C3B">
        <w:rPr>
          <w:rFonts w:ascii="Times New Roman" w:hAnsi="Times New Roman" w:cs="Times New Roman"/>
          <w:sz w:val="24"/>
          <w:szCs w:val="24"/>
          <w:lang w:val="en-US"/>
        </w:rPr>
        <w:t>cal approach to non-invasive ventilation in acute heart failure. Eur Heart J. 2018;39:1725.</w:t>
      </w:r>
    </w:p>
    <w:p w14:paraId="5C62F24E"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lastRenderedPageBreak/>
        <w:t>386. Weng CL, Zhao YT, Liu QH, et al. Meta-analysis: non-invasive ventilation in acute cardiogenic pulmonary edema. Ann Intern Med. 2010;152(9):590-600.</w:t>
      </w:r>
    </w:p>
    <w:p w14:paraId="5AF672AD"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387. Gray A, Goodacre S, Newby DE, et al.; 3CPO Trialists. Noninvasive ventilation in acute cardiogenic pulmonary edema. N Engl J Med. 2008;359(2):142-51.</w:t>
      </w:r>
    </w:p>
    <w:p w14:paraId="3B9A369B"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388. McDonagh TA, Metra M, Adamo M, et al. 2021 ESC Guidelines for the diagnosis and treatment of acute and chronic heart failure. Eur Heart J. 2021;42(36):3599-726. https://doi.org/10.1093/eurheartj/ehab368.</w:t>
      </w:r>
    </w:p>
    <w:p w14:paraId="262DB765"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389. Mullens W, Damman K, Harjola VP, et al. The use of diuretics in heart failure with congestion - a position statement from the Heart Failure Association of the European Society of Cardiology. Eur J Heart Fail. 2019;21:137-55. https://doi.org/10.1002/e</w:t>
      </w:r>
      <w:r w:rsidRPr="009D5C3B">
        <w:rPr>
          <w:rFonts w:ascii="Times New Roman" w:hAnsi="Times New Roman" w:cs="Times New Roman"/>
          <w:sz w:val="24"/>
          <w:szCs w:val="24"/>
          <w:lang w:val="en-US"/>
        </w:rPr>
        <w:t>jhf.1369.</w:t>
      </w:r>
    </w:p>
    <w:p w14:paraId="42E1646D"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390. Publication Committee for the VMAC Investigators (Vasodilatation in the Management of Acute CHF). Intravenous nesiritide vs nitroglycerin for treatment of decompensated congestive heart failure: a randomized controlled trial. JAMA. 2002;287:15311540.</w:t>
      </w:r>
    </w:p>
    <w:p w14:paraId="5BD66F0E"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391. Cotter G, Metzkor E, Kaluski E, et al. Randomised trial of high-dose isosorbide dinitrate plus low-dose furosemide versus high-dose furosemide plus low-dose isosorbide dinitrate in severe pulmonary oedema. Lancet. 1998;351:389393.</w:t>
      </w:r>
    </w:p>
    <w:p w14:paraId="4C6F5489"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392. Levy P, Compton S, Welch R, et al. Treatment of severe decompensated heart failure with high-dose intravenous nitroglycerin: a feasibility and outcome analysis. Ann Emerg Med. 2007;50:144152.</w:t>
      </w:r>
    </w:p>
    <w:p w14:paraId="660AED8D"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393. Kozhuharov N, Goudev A, Flores D, et al. Effect of a strategy of comprehensive vasodilation vs usual care on mortality and heart failure rehospitalization among patients with acute heart failure: the GALACTIC randomized clinical trial. JAMA. 2019;322</w:t>
      </w:r>
      <w:r w:rsidRPr="009D5C3B">
        <w:rPr>
          <w:rFonts w:ascii="Times New Roman" w:hAnsi="Times New Roman" w:cs="Times New Roman"/>
          <w:sz w:val="24"/>
          <w:szCs w:val="24"/>
          <w:lang w:val="en-US"/>
        </w:rPr>
        <w:t>: 22922302.</w:t>
      </w:r>
    </w:p>
    <w:p w14:paraId="4C4815A2"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394. Freund Y, Cachanado M, Delannoy Q, et al. Effect of an emergency department care bundle on 30-day hospital discharge and survival among elderly patients with acute heart failure: the ELISABETH randomized clinical trial. JAMA. 2020;324:19481956.</w:t>
      </w:r>
    </w:p>
    <w:p w14:paraId="0472D8C6"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395. Peacock WF, Hollander JE, Diercks DB, et al. Morphine and outcomes in acute decompensated heart failure: an ADHERE analysis. Emerg Med J. 2008;25:205209.</w:t>
      </w:r>
    </w:p>
    <w:p w14:paraId="44F2CD24"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396. Gil V, Dominguez-Rodriguez A, Masip J, et al. Morphine use in the treatment of acute cardiogenic pulmonary edema and its effects on patient outcome: a systematic review. Curr Heart Fail Rep. 2019;16:8188.</w:t>
      </w:r>
    </w:p>
    <w:p w14:paraId="31B4B42C"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397. Miro O, Gil V, Martin-Sanchez FJ, et al.; ICA-SEMES Research Group. Morphine use in the ED and outcomes of patients with acute heart failure: a propensity score-matching analysis based on the EAHFE registry. Chest. 2017;152:821832.</w:t>
      </w:r>
    </w:p>
    <w:p w14:paraId="7C70CA82" w14:textId="77777777" w:rsidR="009D5C3B" w:rsidRPr="009D5C3B"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lastRenderedPageBreak/>
        <w:t>398. Caspi O, Naami R, Halfin E, Aronson D. Adverse dose-dependent effects of morphine therapy in acute heart failure. Int J Cardiol. 2019;293:131136.</w:t>
      </w:r>
    </w:p>
    <w:p w14:paraId="0E15C4DB" w14:textId="77777777" w:rsidR="006C5EED" w:rsidRPr="006C5EED" w:rsidRDefault="009D5C3B" w:rsidP="00A419DB">
      <w:pPr>
        <w:tabs>
          <w:tab w:val="left" w:pos="786"/>
        </w:tabs>
        <w:suppressAutoHyphens/>
        <w:spacing w:after="60" w:line="360" w:lineRule="auto"/>
        <w:jc w:val="both"/>
        <w:rPr>
          <w:rFonts w:ascii="Times New Roman" w:hAnsi="Times New Roman" w:cs="Times New Roman"/>
          <w:sz w:val="24"/>
          <w:szCs w:val="24"/>
          <w:lang w:val="en-US"/>
        </w:rPr>
      </w:pPr>
      <w:r w:rsidRPr="009D5C3B">
        <w:rPr>
          <w:rFonts w:ascii="Times New Roman" w:hAnsi="Times New Roman" w:cs="Times New Roman" w:hint="eastAsia"/>
          <w:sz w:val="24"/>
          <w:szCs w:val="24"/>
          <w:lang w:val="en-US"/>
        </w:rPr>
        <w:t>399. Bueno H, Betriu A, Heras M, et al. Primary angioplasty vs. fibrinolysis in very old patients with acute myocardial infarction: TRIANA (TRatamiento del Infarto Agudo de miocardioeNAncianos) randomized trial and pooled analysis with previous studies.</w:t>
      </w:r>
      <w:r w:rsidRPr="009D5C3B">
        <w:rPr>
          <w:rFonts w:ascii="Times New Roman" w:hAnsi="Times New Roman" w:cs="Times New Roman"/>
          <w:sz w:val="24"/>
          <w:szCs w:val="24"/>
          <w:lang w:val="en-US"/>
        </w:rPr>
        <w:t>Eur Heart J. 2011;32:51-60. https://doi.org/10.1093/eurheartj/ehq375.</w:t>
      </w:r>
      <w:r w:rsidR="006C5EED" w:rsidRPr="006C5EED">
        <w:rPr>
          <w:rFonts w:ascii="Times New Roman" w:hAnsi="Times New Roman" w:cs="Times New Roman" w:hint="eastAsia"/>
          <w:sz w:val="24"/>
          <w:szCs w:val="24"/>
          <w:lang w:val="en-US"/>
        </w:rPr>
        <w:t>400. Santiago de Araújo Pio C, Marzolini S, Pakosh M, Grace SL. Effect of cardiac rehabilitation dose on mortality and morbidity: a systematic review and meta-regression analysis. Mayo Clin Proc. 2017;92:1644-59. https://doi.org/10.1016/j.mayocp.2017.07.0</w:t>
      </w:r>
      <w:r w:rsidR="006C5EED" w:rsidRPr="006C5EED">
        <w:rPr>
          <w:rFonts w:ascii="Times New Roman" w:hAnsi="Times New Roman" w:cs="Times New Roman"/>
          <w:sz w:val="24"/>
          <w:szCs w:val="24"/>
          <w:lang w:val="en-US"/>
        </w:rPr>
        <w:t>19.</w:t>
      </w:r>
    </w:p>
    <w:p w14:paraId="742DC120" w14:textId="77777777" w:rsidR="006C5EED" w:rsidRPr="00F52FCA" w:rsidRDefault="006C5EED" w:rsidP="00A419DB">
      <w:pPr>
        <w:tabs>
          <w:tab w:val="left" w:pos="786"/>
        </w:tabs>
        <w:suppressAutoHyphens/>
        <w:spacing w:after="60" w:line="360" w:lineRule="auto"/>
        <w:jc w:val="both"/>
        <w:rPr>
          <w:rFonts w:ascii="Times New Roman" w:hAnsi="Times New Roman" w:cs="Times New Roman"/>
          <w:sz w:val="24"/>
          <w:szCs w:val="24"/>
          <w:lang w:val="fr-FR"/>
        </w:rPr>
      </w:pPr>
      <w:r w:rsidRPr="006C5EED">
        <w:rPr>
          <w:rFonts w:ascii="Times New Roman" w:hAnsi="Times New Roman" w:cs="Times New Roman" w:hint="eastAsia"/>
          <w:sz w:val="24"/>
          <w:szCs w:val="24"/>
          <w:lang w:val="en-US"/>
        </w:rPr>
        <w:t xml:space="preserve">↑401. Anderson L, Sharp GA, Norton RJ, et al. Home-based versus centre-based cardiac rehabilitation. </w:t>
      </w:r>
      <w:r w:rsidRPr="00F52FCA">
        <w:rPr>
          <w:rFonts w:ascii="Times New Roman" w:hAnsi="Times New Roman" w:cs="Times New Roman" w:hint="eastAsia"/>
          <w:sz w:val="24"/>
          <w:szCs w:val="24"/>
          <w:lang w:val="fr-FR"/>
        </w:rPr>
        <w:t>Cochrane Database Syst Rev. 2017;6:CD007130. https://doi.org/10.1002/14651858.CD007130.pub4.</w:t>
      </w:r>
    </w:p>
    <w:p w14:paraId="1A56D1FA" w14:textId="77777777" w:rsidR="006C5EED" w:rsidRPr="006C5EED" w:rsidRDefault="006C5EED"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402. Naidu SS, Baran DA, Jentzer JC, et al. </w:t>
      </w:r>
      <w:r w:rsidRPr="006C5EED">
        <w:rPr>
          <w:rFonts w:ascii="Times New Roman" w:hAnsi="Times New Roman" w:cs="Times New Roman" w:hint="eastAsia"/>
          <w:sz w:val="24"/>
          <w:szCs w:val="24"/>
          <w:lang w:val="en-US"/>
        </w:rPr>
        <w:t>SCAI SHOCK Stage Classification Expert Consensus Update: A Review and Incorporation of Validation Studies: This statement was endorsed by the American College of Cardiology (ACC), American College of Emergency P</w:t>
      </w:r>
      <w:r w:rsidRPr="006C5EED">
        <w:rPr>
          <w:rFonts w:ascii="Times New Roman" w:hAnsi="Times New Roman" w:cs="Times New Roman"/>
          <w:sz w:val="24"/>
          <w:szCs w:val="24"/>
          <w:lang w:val="en-US"/>
        </w:rPr>
        <w:t>hysicians (ACEP), American Heart Association (AHA), European Society of Cardiology (ESC) Association for Acute Cardiovascular Care (ACVC), International Society for Heart and Lung Transplantation (ISHLT), Society of Critical Care Medicine (SCCM), and Society of Thoracic Surgeons (STS) in December 2021. J Am Coll Cardiol. 2022;79(9):933-46. https://doi.org/10.1016/j.jacc.2022.01.018.</w:t>
      </w:r>
    </w:p>
    <w:p w14:paraId="0FC22649" w14:textId="77777777" w:rsidR="006C5EED" w:rsidRPr="006C5EED" w:rsidRDefault="006C5EED" w:rsidP="00A419DB">
      <w:pPr>
        <w:tabs>
          <w:tab w:val="left" w:pos="786"/>
        </w:tabs>
        <w:suppressAutoHyphens/>
        <w:spacing w:after="60" w:line="360" w:lineRule="auto"/>
        <w:jc w:val="both"/>
        <w:rPr>
          <w:rFonts w:ascii="Times New Roman" w:hAnsi="Times New Roman" w:cs="Times New Roman"/>
          <w:sz w:val="24"/>
          <w:szCs w:val="24"/>
          <w:lang w:val="en-US"/>
        </w:rPr>
      </w:pPr>
      <w:r w:rsidRPr="006C5EED">
        <w:rPr>
          <w:rFonts w:ascii="Times New Roman" w:hAnsi="Times New Roman" w:cs="Times New Roman" w:hint="eastAsia"/>
          <w:sz w:val="24"/>
          <w:szCs w:val="24"/>
          <w:lang w:val="en-US"/>
        </w:rPr>
        <w:t>403. Neumann FJ, Sousa-Uva M, Ahlsson A, et al. 2018 ESC/EACTS Guidelines on myocardial revascularization. Eur Heart J. 2019;40:87-165. https://doi.org/10.1093/eurheartj/ehy394.</w:t>
      </w:r>
    </w:p>
    <w:p w14:paraId="2643766B" w14:textId="77777777" w:rsidR="006C5EED" w:rsidRPr="006C5EED" w:rsidRDefault="006C5EED" w:rsidP="00A419DB">
      <w:pPr>
        <w:tabs>
          <w:tab w:val="left" w:pos="786"/>
        </w:tabs>
        <w:suppressAutoHyphens/>
        <w:spacing w:after="60" w:line="360" w:lineRule="auto"/>
        <w:jc w:val="both"/>
        <w:rPr>
          <w:rFonts w:ascii="Times New Roman" w:hAnsi="Times New Roman" w:cs="Times New Roman"/>
          <w:sz w:val="24"/>
          <w:szCs w:val="24"/>
          <w:lang w:val="en-US"/>
        </w:rPr>
      </w:pPr>
      <w:r w:rsidRPr="00545863">
        <w:rPr>
          <w:rFonts w:ascii="Times New Roman" w:hAnsi="Times New Roman" w:cs="Times New Roman" w:hint="eastAsia"/>
          <w:sz w:val="24"/>
          <w:szCs w:val="24"/>
          <w:lang w:val="en-US"/>
        </w:rPr>
        <w:t xml:space="preserve">404. Hochman JS, Sleeper LA, Webb JG, et al. </w:t>
      </w:r>
      <w:r w:rsidRPr="006C5EED">
        <w:rPr>
          <w:rFonts w:ascii="Times New Roman" w:hAnsi="Times New Roman" w:cs="Times New Roman" w:hint="eastAsia"/>
          <w:sz w:val="24"/>
          <w:szCs w:val="24"/>
          <w:lang w:val="en-US"/>
        </w:rPr>
        <w:t>Early revascularization and long-term survival in cardiogenic shock complicating acute myocardial infarction. JAMA. 2006;295:2511-5.</w:t>
      </w:r>
    </w:p>
    <w:p w14:paraId="0522ADAF" w14:textId="77777777" w:rsidR="006C5EED" w:rsidRPr="006C5EED" w:rsidRDefault="006C5EED" w:rsidP="00A419DB">
      <w:pPr>
        <w:tabs>
          <w:tab w:val="left" w:pos="786"/>
        </w:tabs>
        <w:suppressAutoHyphens/>
        <w:spacing w:after="60" w:line="360" w:lineRule="auto"/>
        <w:jc w:val="both"/>
        <w:rPr>
          <w:rFonts w:ascii="Times New Roman" w:hAnsi="Times New Roman" w:cs="Times New Roman"/>
          <w:sz w:val="24"/>
          <w:szCs w:val="24"/>
          <w:lang w:val="en-US"/>
        </w:rPr>
      </w:pPr>
      <w:r w:rsidRPr="006C5EED">
        <w:rPr>
          <w:rFonts w:ascii="Times New Roman" w:hAnsi="Times New Roman" w:cs="Times New Roman" w:hint="eastAsia"/>
          <w:sz w:val="24"/>
          <w:szCs w:val="24"/>
          <w:lang w:val="en-US"/>
        </w:rPr>
        <w:t>405. Maack C, Eschenhagen T, Hamdani N, et al. Treatments targeting inotropy. Eur Heart J. 2019;40:36263644.</w:t>
      </w:r>
    </w:p>
    <w:p w14:paraId="1E6DB8A4" w14:textId="77777777" w:rsidR="006C5EED" w:rsidRPr="00F52FCA" w:rsidRDefault="006C5EED" w:rsidP="00A419DB">
      <w:pPr>
        <w:tabs>
          <w:tab w:val="left" w:pos="786"/>
        </w:tabs>
        <w:suppressAutoHyphens/>
        <w:spacing w:after="60" w:line="360" w:lineRule="auto"/>
        <w:jc w:val="both"/>
        <w:rPr>
          <w:rFonts w:ascii="Times New Roman" w:hAnsi="Times New Roman" w:cs="Times New Roman"/>
          <w:sz w:val="24"/>
          <w:szCs w:val="24"/>
          <w:lang w:val="fr-FR"/>
        </w:rPr>
      </w:pPr>
      <w:r w:rsidRPr="006C5EED">
        <w:rPr>
          <w:rFonts w:ascii="Times New Roman" w:hAnsi="Times New Roman" w:cs="Times New Roman" w:hint="eastAsia"/>
          <w:sz w:val="24"/>
          <w:szCs w:val="24"/>
          <w:lang w:val="en-US"/>
        </w:rPr>
        <w:t>406. Mebazaa A, Yilmaz MB, Levy P, et al. Recommendations on pre-hospital &amp; early hospital management of acute heart failure: a consensus paper from the Heart Failure Association of the European Society of Cardiology, the European Society of Emergency Med</w:t>
      </w:r>
      <w:r w:rsidRPr="006C5EED">
        <w:rPr>
          <w:rFonts w:ascii="Times New Roman" w:hAnsi="Times New Roman" w:cs="Times New Roman"/>
          <w:sz w:val="24"/>
          <w:szCs w:val="24"/>
          <w:lang w:val="en-US"/>
        </w:rPr>
        <w:t xml:space="preserve">icine and the Society of Academic Emergency Medicine. </w:t>
      </w:r>
      <w:r w:rsidRPr="00F52FCA">
        <w:rPr>
          <w:rFonts w:ascii="Times New Roman" w:hAnsi="Times New Roman" w:cs="Times New Roman"/>
          <w:sz w:val="24"/>
          <w:szCs w:val="24"/>
          <w:lang w:val="fr-FR"/>
        </w:rPr>
        <w:t>Eur J Heart Fail. 2015;17:544558.</w:t>
      </w:r>
    </w:p>
    <w:p w14:paraId="7251298B" w14:textId="77777777" w:rsidR="006C5EED" w:rsidRPr="00F52FCA" w:rsidRDefault="006C5EED" w:rsidP="00A419DB">
      <w:pPr>
        <w:tabs>
          <w:tab w:val="left" w:pos="786"/>
        </w:tabs>
        <w:suppressAutoHyphens/>
        <w:spacing w:after="60" w:line="360" w:lineRule="auto"/>
        <w:jc w:val="both"/>
        <w:rPr>
          <w:rFonts w:ascii="Times New Roman" w:hAnsi="Times New Roman" w:cs="Times New Roman"/>
          <w:sz w:val="24"/>
          <w:szCs w:val="24"/>
          <w:lang w:val="fr-FR"/>
        </w:rPr>
      </w:pPr>
      <w:r w:rsidRPr="00F52FCA">
        <w:rPr>
          <w:rFonts w:ascii="Times New Roman" w:hAnsi="Times New Roman" w:cs="Times New Roman" w:hint="eastAsia"/>
          <w:sz w:val="24"/>
          <w:szCs w:val="24"/>
          <w:lang w:val="fr-FR"/>
        </w:rPr>
        <w:t xml:space="preserve">407. Mebazaa A, Motiejunaite J, Gayat E, et al. </w:t>
      </w:r>
      <w:r w:rsidRPr="006C5EED">
        <w:rPr>
          <w:rFonts w:ascii="Times New Roman" w:hAnsi="Times New Roman" w:cs="Times New Roman" w:hint="eastAsia"/>
          <w:sz w:val="24"/>
          <w:szCs w:val="24"/>
          <w:lang w:val="en-US"/>
        </w:rPr>
        <w:t xml:space="preserve">ESC Heart Failure Long-Term Registry Investigators. Long-term safety of intravenous cardiovascular agents in acute heart failure: results </w:t>
      </w:r>
      <w:r w:rsidRPr="006C5EED">
        <w:rPr>
          <w:rFonts w:ascii="Times New Roman" w:hAnsi="Times New Roman" w:cs="Times New Roman" w:hint="eastAsia"/>
          <w:sz w:val="24"/>
          <w:szCs w:val="24"/>
          <w:lang w:val="en-US"/>
        </w:rPr>
        <w:lastRenderedPageBreak/>
        <w:t>from the European Society of Cardiology heart failure long-term regis</w:t>
      </w:r>
      <w:r w:rsidRPr="006C5EED">
        <w:rPr>
          <w:rFonts w:ascii="Times New Roman" w:hAnsi="Times New Roman" w:cs="Times New Roman"/>
          <w:sz w:val="24"/>
          <w:szCs w:val="24"/>
          <w:lang w:val="en-US"/>
        </w:rPr>
        <w:t xml:space="preserve">try. </w:t>
      </w:r>
      <w:r w:rsidRPr="00F52FCA">
        <w:rPr>
          <w:rFonts w:ascii="Times New Roman" w:hAnsi="Times New Roman" w:cs="Times New Roman"/>
          <w:sz w:val="24"/>
          <w:szCs w:val="24"/>
          <w:lang w:val="fr-FR"/>
        </w:rPr>
        <w:t>Eur J Heart Fail. 2018;20:332341.</w:t>
      </w:r>
    </w:p>
    <w:p w14:paraId="2EB39BA7" w14:textId="77777777" w:rsidR="006C5EED" w:rsidRPr="006C5EED" w:rsidRDefault="006C5EED"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408. De Backer D, Biston P, Devriendt J, et al. </w:t>
      </w:r>
      <w:r w:rsidRPr="006C5EED">
        <w:rPr>
          <w:rFonts w:ascii="Times New Roman" w:hAnsi="Times New Roman" w:cs="Times New Roman" w:hint="eastAsia"/>
          <w:sz w:val="24"/>
          <w:szCs w:val="24"/>
          <w:lang w:val="en-US"/>
        </w:rPr>
        <w:t>SOAP II Investigators. Comparison of dopamine and norepinephrine in the treatment of shock. N Engl J Med. 2010;362(9):779-89.</w:t>
      </w:r>
    </w:p>
    <w:p w14:paraId="3B672DB6" w14:textId="77777777" w:rsidR="006C5EED" w:rsidRPr="006C5EED" w:rsidRDefault="006C5EED" w:rsidP="00A419DB">
      <w:pPr>
        <w:tabs>
          <w:tab w:val="left" w:pos="786"/>
        </w:tabs>
        <w:suppressAutoHyphens/>
        <w:spacing w:after="60" w:line="360" w:lineRule="auto"/>
        <w:jc w:val="both"/>
        <w:rPr>
          <w:rFonts w:ascii="Times New Roman" w:hAnsi="Times New Roman" w:cs="Times New Roman"/>
          <w:sz w:val="24"/>
          <w:szCs w:val="24"/>
          <w:lang w:val="en-US"/>
        </w:rPr>
      </w:pPr>
      <w:r w:rsidRPr="006C5EED">
        <w:rPr>
          <w:rFonts w:ascii="Times New Roman" w:hAnsi="Times New Roman" w:cs="Times New Roman" w:hint="eastAsia"/>
          <w:sz w:val="24"/>
          <w:szCs w:val="24"/>
          <w:lang w:val="en-US"/>
        </w:rPr>
        <w:t>409. Levy B, Clere-Jehl R, Legras A, et al. Collaborators. Epinephrine versus norepinephrine for cardiogenic shock after acute myocardial infarction. J Am Coll Cardiol. 2018;72:173182.</w:t>
      </w:r>
    </w:p>
    <w:p w14:paraId="00516302" w14:textId="77777777" w:rsidR="006C5EED" w:rsidRPr="006C5EED" w:rsidRDefault="006C5EED" w:rsidP="00A419DB">
      <w:pPr>
        <w:tabs>
          <w:tab w:val="left" w:pos="786"/>
        </w:tabs>
        <w:suppressAutoHyphens/>
        <w:spacing w:after="60" w:line="360" w:lineRule="auto"/>
        <w:jc w:val="both"/>
        <w:rPr>
          <w:rFonts w:ascii="Times New Roman" w:hAnsi="Times New Roman" w:cs="Times New Roman"/>
          <w:sz w:val="24"/>
          <w:szCs w:val="24"/>
          <w:lang w:val="en-US"/>
        </w:rPr>
      </w:pPr>
      <w:r w:rsidRPr="006C5EED">
        <w:rPr>
          <w:rFonts w:ascii="Times New Roman" w:hAnsi="Times New Roman" w:cs="Times New Roman" w:hint="eastAsia"/>
          <w:sz w:val="24"/>
          <w:szCs w:val="24"/>
          <w:lang w:val="en-US"/>
        </w:rPr>
        <w:t>410. Leopold V, Gayat E, Pirracchio R, et al. Epinephrine and short-term survival in cardiogenic shock: an individual data meta-analysis of 2583 patients. Intensive Care Med. 2018;44:847856.</w:t>
      </w:r>
    </w:p>
    <w:p w14:paraId="4D4FE691" w14:textId="77777777" w:rsidR="006C5EED" w:rsidRPr="006C5EED" w:rsidRDefault="006C5EED" w:rsidP="00A419DB">
      <w:pPr>
        <w:tabs>
          <w:tab w:val="left" w:pos="786"/>
        </w:tabs>
        <w:suppressAutoHyphens/>
        <w:spacing w:after="60" w:line="360" w:lineRule="auto"/>
        <w:jc w:val="both"/>
        <w:rPr>
          <w:rFonts w:ascii="Times New Roman" w:hAnsi="Times New Roman" w:cs="Times New Roman"/>
          <w:sz w:val="24"/>
          <w:szCs w:val="24"/>
          <w:lang w:val="en-US"/>
        </w:rPr>
      </w:pPr>
      <w:r w:rsidRPr="006C5EED">
        <w:rPr>
          <w:rFonts w:ascii="Times New Roman" w:hAnsi="Times New Roman" w:cs="Times New Roman" w:hint="eastAsia"/>
          <w:sz w:val="24"/>
          <w:szCs w:val="24"/>
          <w:lang w:val="en-US"/>
        </w:rPr>
        <w:t>411. Kim Y, Shapero K, Ahn SS, et al. Outcomes of mechanical circulatory support for acute myocardial infarction complicated by cardiogenic shock. Catheter Cardiovasc Interv. 2022;99:658-63. https://doi.org/10.1002/ccd.29834.</w:t>
      </w:r>
    </w:p>
    <w:p w14:paraId="0D4D3447" w14:textId="77777777" w:rsidR="006C5EED" w:rsidRPr="006C5EED" w:rsidRDefault="006C5EED" w:rsidP="00A419DB">
      <w:pPr>
        <w:tabs>
          <w:tab w:val="left" w:pos="786"/>
        </w:tabs>
        <w:suppressAutoHyphens/>
        <w:spacing w:after="60" w:line="360" w:lineRule="auto"/>
        <w:jc w:val="both"/>
        <w:rPr>
          <w:rFonts w:ascii="Times New Roman" w:hAnsi="Times New Roman" w:cs="Times New Roman"/>
          <w:sz w:val="24"/>
          <w:szCs w:val="24"/>
          <w:lang w:val="en-US"/>
        </w:rPr>
      </w:pPr>
      <w:r w:rsidRPr="006C5EED">
        <w:rPr>
          <w:rFonts w:ascii="Times New Roman" w:hAnsi="Times New Roman" w:cs="Times New Roman" w:hint="eastAsia"/>
          <w:sz w:val="24"/>
          <w:szCs w:val="24"/>
          <w:lang w:val="en-US"/>
        </w:rPr>
        <w:t>412. Ostadal P, Rokyta R, Karasek J, et al. Extracorporeal membrane oxygenation in the therapy of cardiogenic shock: results of the ECMO-CS randomized clinical trial. Circulation. 2022;147:454-64. https://doi.org/10.1161/circulationaha.122.062949.</w:t>
      </w:r>
    </w:p>
    <w:p w14:paraId="65DB435C" w14:textId="77777777" w:rsidR="006C5EED" w:rsidRPr="006C5EED" w:rsidRDefault="006C5EED" w:rsidP="00A419DB">
      <w:pPr>
        <w:tabs>
          <w:tab w:val="left" w:pos="786"/>
        </w:tabs>
        <w:suppressAutoHyphens/>
        <w:spacing w:after="60" w:line="360" w:lineRule="auto"/>
        <w:jc w:val="both"/>
        <w:rPr>
          <w:rFonts w:ascii="Times New Roman" w:hAnsi="Times New Roman" w:cs="Times New Roman"/>
          <w:sz w:val="24"/>
          <w:szCs w:val="24"/>
          <w:lang w:val="en-US"/>
        </w:rPr>
      </w:pPr>
      <w:r w:rsidRPr="006C5EED">
        <w:rPr>
          <w:rFonts w:ascii="Times New Roman" w:hAnsi="Times New Roman" w:cs="Times New Roman" w:hint="eastAsia"/>
          <w:sz w:val="24"/>
          <w:szCs w:val="24"/>
          <w:lang w:val="en-US"/>
        </w:rPr>
        <w:t>413. Thiele H, Zeymer U, Neumann FJ, et al. Intraaortic balloon support for myocardial infarction with cardiogenic shock. N Engl J Med. 2012;367:1287-96. https://doi.org/10.1056/NEJMoa1208410.</w:t>
      </w:r>
    </w:p>
    <w:p w14:paraId="27B409C6" w14:textId="77777777" w:rsidR="006C5EED" w:rsidRPr="00F52FCA" w:rsidRDefault="006C5EED" w:rsidP="00A419DB">
      <w:pPr>
        <w:tabs>
          <w:tab w:val="left" w:pos="786"/>
        </w:tabs>
        <w:suppressAutoHyphens/>
        <w:spacing w:after="60" w:line="360" w:lineRule="auto"/>
        <w:jc w:val="both"/>
        <w:rPr>
          <w:rFonts w:ascii="Times New Roman" w:hAnsi="Times New Roman" w:cs="Times New Roman"/>
          <w:sz w:val="24"/>
          <w:szCs w:val="24"/>
          <w:lang w:val="fr-FR"/>
        </w:rPr>
      </w:pPr>
      <w:r w:rsidRPr="006C5EED">
        <w:rPr>
          <w:rFonts w:ascii="Times New Roman" w:hAnsi="Times New Roman" w:cs="Times New Roman" w:hint="eastAsia"/>
          <w:sz w:val="24"/>
          <w:szCs w:val="24"/>
          <w:lang w:val="en-US"/>
        </w:rPr>
        <w:t xml:space="preserve">414. Thiele H, Zeymer U, Neumann FJ, et al. Intra-aortic balloon counterpulsation in acute myocardial infarction complicated by cardiogenic shock (IABP-SHOCK II): final 12 month results of a randomised, openlabel trial. </w:t>
      </w:r>
      <w:r w:rsidRPr="00F52FCA">
        <w:rPr>
          <w:rFonts w:ascii="Times New Roman" w:hAnsi="Times New Roman" w:cs="Times New Roman" w:hint="eastAsia"/>
          <w:sz w:val="24"/>
          <w:szCs w:val="24"/>
          <w:lang w:val="fr-FR"/>
        </w:rPr>
        <w:t>Lancet. 2013;382:1638-45. https://d</w:t>
      </w:r>
      <w:r w:rsidRPr="00F52FCA">
        <w:rPr>
          <w:rFonts w:ascii="Times New Roman" w:hAnsi="Times New Roman" w:cs="Times New Roman"/>
          <w:sz w:val="24"/>
          <w:szCs w:val="24"/>
          <w:lang w:val="fr-FR"/>
        </w:rPr>
        <w:t>oi.org/10.1016/s0140-6736(13)61783-3.</w:t>
      </w:r>
    </w:p>
    <w:p w14:paraId="40E7B33E" w14:textId="77777777" w:rsidR="006C5EED" w:rsidRPr="006C5EED" w:rsidRDefault="006C5EED"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415. Unverzagt S, Buerke M, de Waha A, et al. </w:t>
      </w:r>
      <w:r w:rsidRPr="006C5EED">
        <w:rPr>
          <w:rFonts w:ascii="Times New Roman" w:hAnsi="Times New Roman" w:cs="Times New Roman" w:hint="eastAsia"/>
          <w:sz w:val="24"/>
          <w:szCs w:val="24"/>
          <w:lang w:val="en-US"/>
        </w:rPr>
        <w:t>Intra-aortic balloon pump counterpulsation (IABP) for myocardial infarction complicated by cardiogenic shock. Cochrane Database Syst Rev. 2015;2015:Cd007398. https://doi.org/10.1002/14651858.CD007398.pub3.</w:t>
      </w:r>
    </w:p>
    <w:p w14:paraId="13D421D9" w14:textId="77777777" w:rsidR="006C5EED" w:rsidRPr="00F52FCA" w:rsidRDefault="006C5EED" w:rsidP="00A419DB">
      <w:pPr>
        <w:tabs>
          <w:tab w:val="left" w:pos="786"/>
        </w:tabs>
        <w:suppressAutoHyphens/>
        <w:spacing w:after="60" w:line="360" w:lineRule="auto"/>
        <w:jc w:val="both"/>
        <w:rPr>
          <w:rFonts w:ascii="Times New Roman" w:hAnsi="Times New Roman" w:cs="Times New Roman"/>
          <w:sz w:val="24"/>
          <w:szCs w:val="24"/>
          <w:lang w:val="fr-FR"/>
        </w:rPr>
      </w:pPr>
      <w:r w:rsidRPr="006C5EED">
        <w:rPr>
          <w:rFonts w:ascii="Times New Roman" w:hAnsi="Times New Roman" w:cs="Times New Roman" w:hint="eastAsia"/>
          <w:sz w:val="24"/>
          <w:szCs w:val="24"/>
          <w:lang w:val="en-US"/>
        </w:rPr>
        <w:t xml:space="preserve">416. Thiele H, Zeymer U, Thelemann N, et al. Intraaortic balloon pump in cardiogenic shock complicating acute myocardial infarction: long-term 6-year outcome of the randomized IABP-SHOCK II trial. </w:t>
      </w:r>
      <w:r w:rsidRPr="00F52FCA">
        <w:rPr>
          <w:rFonts w:ascii="Times New Roman" w:hAnsi="Times New Roman" w:cs="Times New Roman" w:hint="eastAsia"/>
          <w:sz w:val="24"/>
          <w:szCs w:val="24"/>
          <w:lang w:val="fr-FR"/>
        </w:rPr>
        <w:t>Circulation. 2018;139:395-403. https://doi.org/10.1161/cir</w:t>
      </w:r>
      <w:r w:rsidRPr="00F52FCA">
        <w:rPr>
          <w:rFonts w:ascii="Times New Roman" w:hAnsi="Times New Roman" w:cs="Times New Roman"/>
          <w:sz w:val="24"/>
          <w:szCs w:val="24"/>
          <w:lang w:val="fr-FR"/>
        </w:rPr>
        <w:t>culationaha.118.038201.</w:t>
      </w:r>
    </w:p>
    <w:p w14:paraId="4C2350E2" w14:textId="77777777" w:rsidR="006C5EED" w:rsidRPr="006C5EED" w:rsidRDefault="006C5EED"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417. Chioncel O, Parissis J, Mebazaa A, et al. </w:t>
      </w:r>
      <w:r w:rsidRPr="006C5EED">
        <w:rPr>
          <w:rFonts w:ascii="Times New Roman" w:hAnsi="Times New Roman" w:cs="Times New Roman" w:hint="eastAsia"/>
          <w:sz w:val="24"/>
          <w:szCs w:val="24"/>
          <w:lang w:val="en-US"/>
        </w:rPr>
        <w:t>Epidemiology, pathophysiology and contemporary management of cardiogenic shock - a position statement from the Heart Failure Association of the European Society of Cardiology. Eur J Heart Fail. 2020;22:131513</w:t>
      </w:r>
      <w:r w:rsidRPr="006C5EED">
        <w:rPr>
          <w:rFonts w:ascii="Times New Roman" w:hAnsi="Times New Roman" w:cs="Times New Roman"/>
          <w:sz w:val="24"/>
          <w:szCs w:val="24"/>
          <w:lang w:val="en-US"/>
        </w:rPr>
        <w:t>41.</w:t>
      </w:r>
    </w:p>
    <w:p w14:paraId="01E2B9C9" w14:textId="77777777" w:rsidR="006C5EED" w:rsidRPr="006C5EED" w:rsidRDefault="006C5EED" w:rsidP="00A419DB">
      <w:pPr>
        <w:tabs>
          <w:tab w:val="left" w:pos="786"/>
        </w:tabs>
        <w:suppressAutoHyphens/>
        <w:spacing w:after="60" w:line="360" w:lineRule="auto"/>
        <w:jc w:val="both"/>
        <w:rPr>
          <w:rFonts w:ascii="Times New Roman" w:hAnsi="Times New Roman" w:cs="Times New Roman"/>
          <w:sz w:val="24"/>
          <w:szCs w:val="24"/>
          <w:lang w:val="en-US"/>
        </w:rPr>
      </w:pPr>
      <w:r w:rsidRPr="006C5EED">
        <w:rPr>
          <w:rFonts w:ascii="Times New Roman" w:hAnsi="Times New Roman" w:cs="Times New Roman" w:hint="eastAsia"/>
          <w:sz w:val="24"/>
          <w:szCs w:val="24"/>
          <w:lang w:val="en-US"/>
        </w:rPr>
        <w:t xml:space="preserve">418. Dumas F, Cariou A, Manzo-Silberman S, et al. Immediate percutaneous coronary intervention is associated with better survival after out-of-hospital cardiac arrest: insights from </w:t>
      </w:r>
      <w:r w:rsidRPr="006C5EED">
        <w:rPr>
          <w:rFonts w:ascii="Times New Roman" w:hAnsi="Times New Roman" w:cs="Times New Roman" w:hint="eastAsia"/>
          <w:sz w:val="24"/>
          <w:szCs w:val="24"/>
          <w:lang w:val="en-US"/>
        </w:rPr>
        <w:lastRenderedPageBreak/>
        <w:t>the PROCAT (Parisian Region Out of hospital Cardiac ArresT) registry. Cir</w:t>
      </w:r>
      <w:r w:rsidRPr="006C5EED">
        <w:rPr>
          <w:rFonts w:ascii="Times New Roman" w:hAnsi="Times New Roman" w:cs="Times New Roman"/>
          <w:sz w:val="24"/>
          <w:szCs w:val="24"/>
          <w:lang w:val="en-US"/>
        </w:rPr>
        <w:t>c Cardiovasc Interv. 2010;3(3):200-7.</w:t>
      </w:r>
    </w:p>
    <w:p w14:paraId="71FDF2AA" w14:textId="77777777" w:rsidR="006C5EED" w:rsidRPr="006C5EED" w:rsidRDefault="006C5EED" w:rsidP="00A419DB">
      <w:pPr>
        <w:tabs>
          <w:tab w:val="left" w:pos="786"/>
        </w:tabs>
        <w:suppressAutoHyphens/>
        <w:spacing w:after="60" w:line="360" w:lineRule="auto"/>
        <w:jc w:val="both"/>
        <w:rPr>
          <w:rFonts w:ascii="Times New Roman" w:hAnsi="Times New Roman" w:cs="Times New Roman"/>
          <w:sz w:val="24"/>
          <w:szCs w:val="24"/>
          <w:lang w:val="en-US"/>
        </w:rPr>
      </w:pPr>
      <w:r w:rsidRPr="006C5EED">
        <w:rPr>
          <w:rFonts w:ascii="Times New Roman" w:hAnsi="Times New Roman" w:cs="Times New Roman" w:hint="eastAsia"/>
          <w:sz w:val="24"/>
          <w:szCs w:val="24"/>
          <w:lang w:val="en-US"/>
        </w:rPr>
        <w:t>419. Spaulding CM, Joly LM, Rosenberg A, et al. Immediate coronary angiography in survivors of out-of-hospital cardiac arrest. N Engl J Med. 1997;336:1629-33. https://doi.org/10.1056/nejm199706053362302.</w:t>
      </w:r>
    </w:p>
    <w:p w14:paraId="365348C4" w14:textId="77777777" w:rsidR="006C5EED" w:rsidRPr="006C5EED" w:rsidRDefault="006C5EED" w:rsidP="00A419DB">
      <w:pPr>
        <w:tabs>
          <w:tab w:val="left" w:pos="786"/>
        </w:tabs>
        <w:suppressAutoHyphens/>
        <w:spacing w:after="60" w:line="360" w:lineRule="auto"/>
        <w:jc w:val="both"/>
        <w:rPr>
          <w:rFonts w:ascii="Times New Roman" w:hAnsi="Times New Roman" w:cs="Times New Roman"/>
          <w:sz w:val="24"/>
          <w:szCs w:val="24"/>
          <w:lang w:val="en-US"/>
        </w:rPr>
      </w:pPr>
      <w:r w:rsidRPr="006C5EED">
        <w:rPr>
          <w:rFonts w:ascii="Times New Roman" w:hAnsi="Times New Roman" w:cs="Times New Roman" w:hint="eastAsia"/>
          <w:sz w:val="24"/>
          <w:szCs w:val="24"/>
          <w:lang w:val="en-US"/>
        </w:rPr>
        <w:t>420. Zeppenfeld K, Tfelt-Hansen J, de Riva M, et al. 2022 ESC Guidelines for the management of patients with ventricular arrhythmias and the prevention of sudden cardiac death Developed by the task force for the management of patients with ventricular arr</w:t>
      </w:r>
      <w:r w:rsidRPr="006C5EED">
        <w:rPr>
          <w:rFonts w:ascii="Times New Roman" w:hAnsi="Times New Roman" w:cs="Times New Roman"/>
          <w:sz w:val="24"/>
          <w:szCs w:val="24"/>
          <w:lang w:val="en-US"/>
        </w:rPr>
        <w:t>hythmias and the prevention of sudden cardiac death of the European Society of Cardiology (ESC) Endorsed by the Association for European Paediatric and Congenital Cardiology (AEPC). European Heart Journal. 2022;43:3997-4126.</w:t>
      </w:r>
    </w:p>
    <w:p w14:paraId="341B4C10" w14:textId="77777777" w:rsidR="006C5EED" w:rsidRPr="00F52FCA" w:rsidRDefault="006C5EED" w:rsidP="00A419DB">
      <w:pPr>
        <w:tabs>
          <w:tab w:val="left" w:pos="786"/>
        </w:tabs>
        <w:suppressAutoHyphens/>
        <w:spacing w:after="60" w:line="360" w:lineRule="auto"/>
        <w:jc w:val="both"/>
        <w:rPr>
          <w:rFonts w:ascii="Times New Roman" w:hAnsi="Times New Roman" w:cs="Times New Roman"/>
          <w:sz w:val="24"/>
          <w:szCs w:val="24"/>
          <w:lang w:val="fr-FR"/>
        </w:rPr>
      </w:pPr>
      <w:r w:rsidRPr="006C5EED">
        <w:rPr>
          <w:rFonts w:ascii="Times New Roman" w:hAnsi="Times New Roman" w:cs="Times New Roman" w:hint="eastAsia"/>
          <w:sz w:val="24"/>
          <w:szCs w:val="24"/>
          <w:lang w:val="en-US"/>
        </w:rPr>
        <w:t xml:space="preserve">421. Nademanee K, Taylor R, Bailey WE, et al. Treating electrical storm: sympathetic blockade versus advanced cardiac life support-guided therapy. </w:t>
      </w:r>
      <w:r w:rsidRPr="00F52FCA">
        <w:rPr>
          <w:rFonts w:ascii="Times New Roman" w:hAnsi="Times New Roman" w:cs="Times New Roman" w:hint="eastAsia"/>
          <w:sz w:val="24"/>
          <w:szCs w:val="24"/>
          <w:lang w:val="fr-FR"/>
        </w:rPr>
        <w:t>Circulation. 2000;102:742-7. https://doi.org/10.1161/01.cir.102.7.742.</w:t>
      </w:r>
    </w:p>
    <w:p w14:paraId="1641D8E2" w14:textId="77777777" w:rsidR="006C5EED" w:rsidRPr="006C5EED" w:rsidRDefault="006C5EED"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422. Kudenchuk PJ, Cobb LA, Copass MK, et al. </w:t>
      </w:r>
      <w:r w:rsidRPr="006C5EED">
        <w:rPr>
          <w:rFonts w:ascii="Times New Roman" w:hAnsi="Times New Roman" w:cs="Times New Roman" w:hint="eastAsia"/>
          <w:sz w:val="24"/>
          <w:szCs w:val="24"/>
          <w:lang w:val="en-US"/>
        </w:rPr>
        <w:t>Amiodarone for resuscitation after out-ofhospital cardiac arrest due to ventricular fibrillation. N Engl J Med. 1999;341:871-8. https://doi.org/10.1056/nejm199909163411203.</w:t>
      </w:r>
    </w:p>
    <w:p w14:paraId="772A0C1F" w14:textId="77777777" w:rsidR="006C5EED" w:rsidRPr="006C5EED" w:rsidRDefault="006C5EED" w:rsidP="00A419DB">
      <w:pPr>
        <w:tabs>
          <w:tab w:val="left" w:pos="786"/>
        </w:tabs>
        <w:suppressAutoHyphens/>
        <w:spacing w:after="60" w:line="360" w:lineRule="auto"/>
        <w:jc w:val="both"/>
        <w:rPr>
          <w:rFonts w:ascii="Times New Roman" w:hAnsi="Times New Roman" w:cs="Times New Roman"/>
          <w:sz w:val="24"/>
          <w:szCs w:val="24"/>
          <w:lang w:val="en-US"/>
        </w:rPr>
      </w:pPr>
      <w:r w:rsidRPr="006C5EED">
        <w:rPr>
          <w:rFonts w:ascii="Times New Roman" w:hAnsi="Times New Roman" w:cs="Times New Roman" w:hint="eastAsia"/>
          <w:sz w:val="24"/>
          <w:szCs w:val="24"/>
          <w:lang w:val="en-US"/>
        </w:rPr>
        <w:t>423. Levine JH, Massumi A, Scheinman MM, et al. Intravenous amiodarone for recurrent sustained hypotensive ventricular tachyarrhythmias. J Am Coll Cardiol. 1996;27:67-75. https://doi.org/10.1016/0735-1097(95)00427-0.</w:t>
      </w:r>
    </w:p>
    <w:p w14:paraId="2320000B" w14:textId="77777777" w:rsidR="006C5EED" w:rsidRPr="006C5EED" w:rsidRDefault="006C5EED" w:rsidP="00A419DB">
      <w:pPr>
        <w:tabs>
          <w:tab w:val="left" w:pos="786"/>
        </w:tabs>
        <w:suppressAutoHyphens/>
        <w:spacing w:after="60" w:line="360" w:lineRule="auto"/>
        <w:jc w:val="both"/>
        <w:rPr>
          <w:rFonts w:ascii="Times New Roman" w:hAnsi="Times New Roman" w:cs="Times New Roman"/>
          <w:sz w:val="24"/>
          <w:szCs w:val="24"/>
          <w:lang w:val="en-US"/>
        </w:rPr>
      </w:pPr>
      <w:r w:rsidRPr="006C5EED">
        <w:rPr>
          <w:rFonts w:ascii="Times New Roman" w:hAnsi="Times New Roman" w:cs="Times New Roman" w:hint="eastAsia"/>
          <w:sz w:val="24"/>
          <w:szCs w:val="24"/>
          <w:lang w:val="en-US"/>
        </w:rPr>
        <w:t>424. Jacobsen RM, Jabbari R, Glinge C, et al. Potassium disturbances and risk of ventricular fibrillation among patients with ST-segment-elevation myocardial infarction. J Am Heart Assoc. 2020;9:e014160.</w:t>
      </w:r>
    </w:p>
    <w:p w14:paraId="1DAE665D" w14:textId="77777777" w:rsidR="006C5EED" w:rsidRPr="006C5EED" w:rsidRDefault="006C5EED" w:rsidP="00A419DB">
      <w:pPr>
        <w:tabs>
          <w:tab w:val="left" w:pos="786"/>
        </w:tabs>
        <w:suppressAutoHyphens/>
        <w:spacing w:after="60" w:line="360" w:lineRule="auto"/>
        <w:jc w:val="both"/>
        <w:rPr>
          <w:rFonts w:ascii="Times New Roman" w:hAnsi="Times New Roman" w:cs="Times New Roman"/>
          <w:sz w:val="24"/>
          <w:szCs w:val="24"/>
          <w:lang w:val="en-US"/>
        </w:rPr>
      </w:pPr>
      <w:r w:rsidRPr="006C5EED">
        <w:rPr>
          <w:rFonts w:ascii="Times New Roman" w:hAnsi="Times New Roman" w:cs="Times New Roman" w:hint="eastAsia"/>
          <w:sz w:val="24"/>
          <w:szCs w:val="24"/>
          <w:lang w:val="en-US"/>
        </w:rPr>
        <w:t>425. Moss AJ, Zareba W, Hall WJ, et al. Multicenter Automatic Defibrillator Implantation Trial II Investigators. Prophylactic implantation of a defibrillator in patients with myocardial infarction and reduced ejection fraction. N Engl J Med. 2002;346(12):</w:t>
      </w:r>
      <w:r w:rsidRPr="006C5EED">
        <w:rPr>
          <w:rFonts w:ascii="Times New Roman" w:hAnsi="Times New Roman" w:cs="Times New Roman"/>
          <w:sz w:val="24"/>
          <w:szCs w:val="24"/>
          <w:lang w:val="en-US"/>
        </w:rPr>
        <w:t>877-83.</w:t>
      </w:r>
    </w:p>
    <w:p w14:paraId="4699B262" w14:textId="77777777" w:rsidR="006C5EED" w:rsidRPr="006C5EED" w:rsidRDefault="006C5EED" w:rsidP="00A419DB">
      <w:pPr>
        <w:tabs>
          <w:tab w:val="left" w:pos="786"/>
        </w:tabs>
        <w:suppressAutoHyphens/>
        <w:spacing w:after="60" w:line="360" w:lineRule="auto"/>
        <w:jc w:val="both"/>
        <w:rPr>
          <w:rFonts w:ascii="Times New Roman" w:hAnsi="Times New Roman" w:cs="Times New Roman"/>
          <w:sz w:val="24"/>
          <w:szCs w:val="24"/>
          <w:lang w:val="en-US"/>
        </w:rPr>
      </w:pPr>
      <w:r w:rsidRPr="006C5EED">
        <w:rPr>
          <w:rFonts w:ascii="Times New Roman" w:hAnsi="Times New Roman" w:cs="Times New Roman" w:hint="eastAsia"/>
          <w:sz w:val="24"/>
          <w:szCs w:val="24"/>
          <w:lang w:val="en-US"/>
        </w:rPr>
        <w:t>426. Bardy GH, Lee KL, Mark DB, et al. Sudden Cardiac Death in Heart Failure Trial Investigators. Amiodarone or an implantable cardioverter-defibrillator for congestive heart failure. N Engl J Med. 2005;352(3):225-37.</w:t>
      </w:r>
    </w:p>
    <w:p w14:paraId="115D4713" w14:textId="77777777" w:rsidR="006C5EED" w:rsidRPr="006C5EED" w:rsidRDefault="006C5EED" w:rsidP="00A419DB">
      <w:pPr>
        <w:tabs>
          <w:tab w:val="left" w:pos="786"/>
        </w:tabs>
        <w:suppressAutoHyphens/>
        <w:spacing w:after="60" w:line="360" w:lineRule="auto"/>
        <w:jc w:val="both"/>
        <w:rPr>
          <w:rFonts w:ascii="Times New Roman" w:hAnsi="Times New Roman" w:cs="Times New Roman"/>
          <w:sz w:val="24"/>
          <w:szCs w:val="24"/>
          <w:lang w:val="en-US"/>
        </w:rPr>
      </w:pPr>
      <w:r w:rsidRPr="006C5EED">
        <w:rPr>
          <w:rFonts w:ascii="Times New Roman" w:hAnsi="Times New Roman" w:cs="Times New Roman" w:hint="eastAsia"/>
          <w:sz w:val="24"/>
          <w:szCs w:val="24"/>
          <w:lang w:val="en-US"/>
        </w:rPr>
        <w:t xml:space="preserve">427. Hess PL, Laird A, Edwards R, et al. Survival benefit of primary prevention implantable cardioverter-defibrillator therapy after myocardial infarction: does time to implant matter? A metaanalysis using patient-level data from 4 clinical trials. Heart </w:t>
      </w:r>
      <w:r w:rsidRPr="006C5EED">
        <w:rPr>
          <w:rFonts w:ascii="Times New Roman" w:hAnsi="Times New Roman" w:cs="Times New Roman"/>
          <w:sz w:val="24"/>
          <w:szCs w:val="24"/>
          <w:lang w:val="en-US"/>
        </w:rPr>
        <w:t>Rhythm. 2013;10(6):828-35.</w:t>
      </w:r>
    </w:p>
    <w:p w14:paraId="427C65D7" w14:textId="77777777" w:rsidR="006C5EED" w:rsidRPr="006C5EED" w:rsidRDefault="006C5EED" w:rsidP="00A419DB">
      <w:pPr>
        <w:tabs>
          <w:tab w:val="left" w:pos="786"/>
        </w:tabs>
        <w:suppressAutoHyphens/>
        <w:spacing w:after="60" w:line="360" w:lineRule="auto"/>
        <w:jc w:val="both"/>
        <w:rPr>
          <w:rFonts w:ascii="Times New Roman" w:hAnsi="Times New Roman" w:cs="Times New Roman"/>
          <w:sz w:val="24"/>
          <w:szCs w:val="24"/>
          <w:lang w:val="en-US"/>
        </w:rPr>
      </w:pPr>
      <w:r w:rsidRPr="006C5EED">
        <w:rPr>
          <w:rFonts w:ascii="Times New Roman" w:hAnsi="Times New Roman" w:cs="Times New Roman" w:hint="eastAsia"/>
          <w:sz w:val="24"/>
          <w:szCs w:val="24"/>
          <w:lang w:val="en-US"/>
        </w:rPr>
        <w:lastRenderedPageBreak/>
        <w:t>428. Deedwania PC, Singh BN, Ellenbogen K, et al. Spontaneous conversion and maintenance of sinus rhythm by amiodarone in patients with heart failure and atrial fibrillation: observations from the veterans affairs Congestive Heart failure Survival Trial o</w:t>
      </w:r>
      <w:r w:rsidRPr="006C5EED">
        <w:rPr>
          <w:rFonts w:ascii="Times New Roman" w:hAnsi="Times New Roman" w:cs="Times New Roman"/>
          <w:sz w:val="24"/>
          <w:szCs w:val="24"/>
          <w:lang w:val="en-US"/>
        </w:rPr>
        <w:t>f Antiarrhythmic Therapy (CHF-STAT). Circulation. 1998;98:2574-9. https://doi.org/10.1161/01.cir.98.23.2574.</w:t>
      </w:r>
    </w:p>
    <w:p w14:paraId="395BBCF3" w14:textId="77777777" w:rsidR="009B7337" w:rsidRPr="009B7337" w:rsidRDefault="006C5EED" w:rsidP="00A419DB">
      <w:pPr>
        <w:tabs>
          <w:tab w:val="left" w:pos="786"/>
        </w:tabs>
        <w:suppressAutoHyphens/>
        <w:spacing w:after="60" w:line="360" w:lineRule="auto"/>
        <w:jc w:val="both"/>
        <w:rPr>
          <w:rFonts w:ascii="Times New Roman" w:hAnsi="Times New Roman" w:cs="Times New Roman"/>
          <w:sz w:val="24"/>
          <w:szCs w:val="24"/>
          <w:lang w:val="en-US"/>
        </w:rPr>
      </w:pPr>
      <w:r w:rsidRPr="006C5EED">
        <w:rPr>
          <w:rFonts w:ascii="Times New Roman" w:hAnsi="Times New Roman" w:cs="Times New Roman" w:hint="eastAsia"/>
          <w:sz w:val="24"/>
          <w:szCs w:val="24"/>
          <w:lang w:val="en-US"/>
        </w:rPr>
        <w:t>429. Hofmann R, Steinwender C, Kammler J, et al. Intravenous amiodarone bolus for treatment of atrial fibrillation in patients with advanced congestive heart failure or cardiogenic shock. Wien Klin Wochenschr. 2004;116:744-9. https://doi.org/10.1007/s0050</w:t>
      </w:r>
      <w:r w:rsidRPr="006C5EED">
        <w:rPr>
          <w:rFonts w:ascii="Times New Roman" w:hAnsi="Times New Roman" w:cs="Times New Roman"/>
          <w:sz w:val="24"/>
          <w:szCs w:val="24"/>
          <w:lang w:val="en-US"/>
        </w:rPr>
        <w:t>8-004-0264-0.</w:t>
      </w:r>
      <w:r w:rsidR="009B7337" w:rsidRPr="009B7337">
        <w:rPr>
          <w:rFonts w:ascii="Times New Roman" w:hAnsi="Times New Roman" w:cs="Times New Roman" w:hint="eastAsia"/>
          <w:sz w:val="24"/>
          <w:szCs w:val="24"/>
          <w:lang w:val="en-US"/>
        </w:rPr>
        <w:t>430. Hindricks G, Potpara T, Dagres N, et al. 2020 ESC Guidelines for the diagnosis and management of atrial fibrillation developed in collaboration with the European Association for Cardio-Thoracic Surgery (EACTS) The Task Force for the diagnosis and man</w:t>
      </w:r>
      <w:r w:rsidR="009B7337" w:rsidRPr="009B7337">
        <w:rPr>
          <w:rFonts w:ascii="Times New Roman" w:hAnsi="Times New Roman" w:cs="Times New Roman"/>
          <w:sz w:val="24"/>
          <w:szCs w:val="24"/>
          <w:lang w:val="en-US"/>
        </w:rPr>
        <w:t>agement of atrial fibrillation of the European Society of Cardiology (ESC). European Heart Journal. 2020;42:373-498.</w:t>
      </w:r>
    </w:p>
    <w:p w14:paraId="0F6C99EF" w14:textId="77777777" w:rsidR="009B7337" w:rsidRPr="009B7337" w:rsidRDefault="009B7337" w:rsidP="00A419DB">
      <w:pPr>
        <w:tabs>
          <w:tab w:val="left" w:pos="786"/>
        </w:tabs>
        <w:suppressAutoHyphens/>
        <w:spacing w:after="60" w:line="360" w:lineRule="auto"/>
        <w:jc w:val="both"/>
        <w:rPr>
          <w:rFonts w:ascii="Times New Roman" w:hAnsi="Times New Roman" w:cs="Times New Roman"/>
          <w:sz w:val="24"/>
          <w:szCs w:val="24"/>
          <w:lang w:val="en-US"/>
        </w:rPr>
      </w:pPr>
      <w:r w:rsidRPr="009B7337">
        <w:rPr>
          <w:rFonts w:ascii="Times New Roman" w:hAnsi="Times New Roman" w:cs="Times New Roman" w:hint="eastAsia"/>
          <w:sz w:val="24"/>
          <w:szCs w:val="24"/>
          <w:lang w:val="en-US"/>
        </w:rPr>
        <w:t>431. Hou ZY, Chang MS, Chen CY, et al. Acute treatment of recent-onset atrial fibrillation and flutter with a tailored dosing regimen of intravenous amiodarone: a randomized, digoxincontrolled study. Eur Heart J. 1995;16:521-8.</w:t>
      </w:r>
    </w:p>
    <w:p w14:paraId="545A2FA1" w14:textId="77777777" w:rsidR="009B7337" w:rsidRPr="009B7337" w:rsidRDefault="009B7337" w:rsidP="00A419DB">
      <w:pPr>
        <w:tabs>
          <w:tab w:val="left" w:pos="786"/>
        </w:tabs>
        <w:suppressAutoHyphens/>
        <w:spacing w:after="60" w:line="360" w:lineRule="auto"/>
        <w:jc w:val="both"/>
        <w:rPr>
          <w:rFonts w:ascii="Times New Roman" w:hAnsi="Times New Roman" w:cs="Times New Roman"/>
          <w:sz w:val="24"/>
          <w:szCs w:val="24"/>
          <w:lang w:val="en-US"/>
        </w:rPr>
      </w:pPr>
      <w:r w:rsidRPr="009B7337">
        <w:rPr>
          <w:rFonts w:ascii="Times New Roman" w:hAnsi="Times New Roman" w:cs="Times New Roman" w:hint="eastAsia"/>
          <w:sz w:val="24"/>
          <w:szCs w:val="24"/>
          <w:lang w:val="en-US"/>
        </w:rPr>
        <w:t>432. Segal JB, McNamara RL, Miller MR, et al. The evidence regarding the drugs used for ventricular rate control. J Fam Pract. 2000;49:47-59.</w:t>
      </w:r>
    </w:p>
    <w:p w14:paraId="22E20A1C" w14:textId="77777777" w:rsidR="009B7337" w:rsidRPr="009B7337" w:rsidRDefault="009B7337" w:rsidP="00A419DB">
      <w:pPr>
        <w:tabs>
          <w:tab w:val="left" w:pos="786"/>
        </w:tabs>
        <w:suppressAutoHyphens/>
        <w:spacing w:after="60" w:line="360" w:lineRule="auto"/>
        <w:jc w:val="both"/>
        <w:rPr>
          <w:rFonts w:ascii="Times New Roman" w:hAnsi="Times New Roman" w:cs="Times New Roman"/>
          <w:sz w:val="24"/>
          <w:szCs w:val="24"/>
          <w:lang w:val="en-US"/>
        </w:rPr>
      </w:pPr>
      <w:r w:rsidRPr="009B7337">
        <w:rPr>
          <w:rFonts w:ascii="Times New Roman" w:hAnsi="Times New Roman" w:cs="Times New Roman" w:hint="eastAsia"/>
          <w:sz w:val="24"/>
          <w:szCs w:val="24"/>
          <w:lang w:val="en-US"/>
        </w:rPr>
        <w:t>433. Schmitt J, Duray G, Gersh BJ, Hohnloser SH. Atrial fibrillation in acute myocardial infarction: a systematic review of the incidence, clinical features and prognostic implications. Eur Heart J. 2009;30:1038-45. https://doi.org/10.1093/eurheartj/ehn57</w:t>
      </w:r>
      <w:r w:rsidRPr="009B7337">
        <w:rPr>
          <w:rFonts w:ascii="Times New Roman" w:hAnsi="Times New Roman" w:cs="Times New Roman"/>
          <w:sz w:val="24"/>
          <w:szCs w:val="24"/>
          <w:lang w:val="en-US"/>
        </w:rPr>
        <w:t>9.</w:t>
      </w:r>
    </w:p>
    <w:p w14:paraId="54AA86BF" w14:textId="77777777" w:rsidR="009B7337" w:rsidRPr="009B7337" w:rsidRDefault="009B7337" w:rsidP="00A419DB">
      <w:pPr>
        <w:tabs>
          <w:tab w:val="left" w:pos="786"/>
        </w:tabs>
        <w:suppressAutoHyphens/>
        <w:spacing w:after="60" w:line="360" w:lineRule="auto"/>
        <w:jc w:val="both"/>
        <w:rPr>
          <w:rFonts w:ascii="Times New Roman" w:hAnsi="Times New Roman" w:cs="Times New Roman"/>
          <w:sz w:val="24"/>
          <w:szCs w:val="24"/>
          <w:lang w:val="en-US"/>
        </w:rPr>
      </w:pPr>
      <w:r w:rsidRPr="009B7337">
        <w:rPr>
          <w:rFonts w:ascii="Times New Roman" w:hAnsi="Times New Roman" w:cs="Times New Roman" w:hint="eastAsia"/>
          <w:sz w:val="24"/>
          <w:szCs w:val="24"/>
          <w:lang w:val="en-US"/>
        </w:rPr>
        <w:t>434. Batra G, Svennblad B, Held C, et al. All types of atrial fibrillation in the setting of myocardial infarction are associated with impaired outcome. Heart. 2016;102:926-33. https://doi.org/10.1136/heartjnl-2015-308678.</w:t>
      </w:r>
    </w:p>
    <w:p w14:paraId="2D003E88" w14:textId="77777777" w:rsidR="009B7337" w:rsidRPr="009B7337" w:rsidRDefault="009B7337" w:rsidP="00A419DB">
      <w:pPr>
        <w:tabs>
          <w:tab w:val="left" w:pos="786"/>
        </w:tabs>
        <w:suppressAutoHyphens/>
        <w:spacing w:after="60" w:line="360" w:lineRule="auto"/>
        <w:jc w:val="both"/>
        <w:rPr>
          <w:rFonts w:ascii="Times New Roman" w:hAnsi="Times New Roman" w:cs="Times New Roman"/>
          <w:sz w:val="24"/>
          <w:szCs w:val="24"/>
          <w:lang w:val="en-US"/>
        </w:rPr>
      </w:pPr>
      <w:r w:rsidRPr="009B7337">
        <w:rPr>
          <w:rFonts w:ascii="Times New Roman" w:hAnsi="Times New Roman" w:cs="Times New Roman" w:hint="eastAsia"/>
          <w:sz w:val="24"/>
          <w:szCs w:val="24"/>
          <w:lang w:val="en-US"/>
        </w:rPr>
        <w:t>435. Siu CW, Jim MH, Ho HH, et al. Transient atrial fibrillation complicating acute inferior myocardial infarction: implications for future risk of ischemic stroke. Chest. 2007;132:44-9. https://doi.org/10.1378/chest.06-2733.</w:t>
      </w:r>
    </w:p>
    <w:p w14:paraId="7D6BA585" w14:textId="77777777" w:rsidR="009B7337" w:rsidRPr="009B7337" w:rsidRDefault="009B7337" w:rsidP="00A419DB">
      <w:pPr>
        <w:tabs>
          <w:tab w:val="left" w:pos="786"/>
        </w:tabs>
        <w:suppressAutoHyphens/>
        <w:spacing w:after="60" w:line="360" w:lineRule="auto"/>
        <w:jc w:val="both"/>
        <w:rPr>
          <w:rFonts w:ascii="Times New Roman" w:hAnsi="Times New Roman" w:cs="Times New Roman"/>
          <w:sz w:val="24"/>
          <w:szCs w:val="24"/>
          <w:lang w:val="en-US"/>
        </w:rPr>
      </w:pPr>
      <w:r w:rsidRPr="009B7337">
        <w:rPr>
          <w:rFonts w:ascii="Times New Roman" w:hAnsi="Times New Roman" w:cs="Times New Roman" w:hint="eastAsia"/>
          <w:sz w:val="24"/>
          <w:szCs w:val="24"/>
          <w:lang w:val="en-US"/>
        </w:rPr>
        <w:t>436. Feigl D, Ashkenazy J, Kishon Y. Early and late atrioventricular block in acute inferior myocardial infarction. J Am Coll Cardiol. 1984;4:35-8. https://doi.org/10.1016/s0735-1097(84)80315-0.</w:t>
      </w:r>
    </w:p>
    <w:p w14:paraId="25B9CF69" w14:textId="77777777" w:rsidR="009B7337" w:rsidRPr="009B7337" w:rsidRDefault="009B7337" w:rsidP="00A419DB">
      <w:pPr>
        <w:tabs>
          <w:tab w:val="left" w:pos="786"/>
        </w:tabs>
        <w:suppressAutoHyphens/>
        <w:spacing w:after="60" w:line="360" w:lineRule="auto"/>
        <w:jc w:val="both"/>
        <w:rPr>
          <w:rFonts w:ascii="Times New Roman" w:hAnsi="Times New Roman" w:cs="Times New Roman"/>
          <w:sz w:val="24"/>
          <w:szCs w:val="24"/>
          <w:lang w:val="en-US"/>
        </w:rPr>
      </w:pPr>
      <w:r w:rsidRPr="009B7337">
        <w:rPr>
          <w:rFonts w:ascii="Times New Roman" w:hAnsi="Times New Roman" w:cs="Times New Roman" w:hint="eastAsia"/>
          <w:sz w:val="24"/>
          <w:szCs w:val="24"/>
          <w:lang w:val="en-US"/>
        </w:rPr>
        <w:t>437. Brady WJ, Swart G, DeBehnke DJ, et al. The efficacy of atropine in the treatment of hemodynamically unstable bradycardia and atrioventricular block: prehospital and emergency department considerations. Resuscitation. 1999;41:47-55. https://doi.org/10</w:t>
      </w:r>
      <w:r w:rsidRPr="009B7337">
        <w:rPr>
          <w:rFonts w:ascii="Times New Roman" w:hAnsi="Times New Roman" w:cs="Times New Roman"/>
          <w:sz w:val="24"/>
          <w:szCs w:val="24"/>
          <w:lang w:val="en-US"/>
        </w:rPr>
        <w:t>.1016/s0300-9572(99)00032-5.</w:t>
      </w:r>
    </w:p>
    <w:p w14:paraId="6456BECB" w14:textId="77777777" w:rsidR="009B7337" w:rsidRPr="009B7337" w:rsidRDefault="009B7337" w:rsidP="00A419DB">
      <w:pPr>
        <w:tabs>
          <w:tab w:val="left" w:pos="786"/>
        </w:tabs>
        <w:suppressAutoHyphens/>
        <w:spacing w:after="60" w:line="360" w:lineRule="auto"/>
        <w:jc w:val="both"/>
        <w:rPr>
          <w:rFonts w:ascii="Times New Roman" w:hAnsi="Times New Roman" w:cs="Times New Roman"/>
          <w:sz w:val="24"/>
          <w:szCs w:val="24"/>
          <w:lang w:val="en-US"/>
        </w:rPr>
      </w:pPr>
      <w:r w:rsidRPr="009B7337">
        <w:rPr>
          <w:rFonts w:ascii="Times New Roman" w:hAnsi="Times New Roman" w:cs="Times New Roman" w:hint="eastAsia"/>
          <w:sz w:val="24"/>
          <w:szCs w:val="24"/>
          <w:lang w:val="en-US"/>
        </w:rPr>
        <w:lastRenderedPageBreak/>
        <w:t>438. Glikson M, Nielsen JC, Kronborg MB, et al. 2021 ESC Guidelines on cardiac pacing and cardiac resynchronization therapy Developed by the Task Force on cardiac pacing and cardiac resynchronization therapy of the European Society of Cardiology (ESC) Wit</w:t>
      </w:r>
      <w:r w:rsidRPr="009B7337">
        <w:rPr>
          <w:rFonts w:ascii="Times New Roman" w:hAnsi="Times New Roman" w:cs="Times New Roman"/>
          <w:sz w:val="24"/>
          <w:szCs w:val="24"/>
          <w:lang w:val="en-US"/>
        </w:rPr>
        <w:t>h the special contribution of the European Heart Rhythm Association (EHRA). European Heart Journal. 2021;42(35):3427-520. https://doi.org/10.1093/eurheartj/ehab364.</w:t>
      </w:r>
    </w:p>
    <w:p w14:paraId="6EE24ECE" w14:textId="77777777" w:rsidR="009B7337" w:rsidRPr="009B7337" w:rsidRDefault="009B7337" w:rsidP="00A419DB">
      <w:pPr>
        <w:tabs>
          <w:tab w:val="left" w:pos="786"/>
        </w:tabs>
        <w:suppressAutoHyphens/>
        <w:spacing w:after="60" w:line="360" w:lineRule="auto"/>
        <w:jc w:val="both"/>
        <w:rPr>
          <w:rFonts w:ascii="Times New Roman" w:hAnsi="Times New Roman" w:cs="Times New Roman"/>
          <w:sz w:val="24"/>
          <w:szCs w:val="24"/>
          <w:lang w:val="en-US"/>
        </w:rPr>
      </w:pPr>
      <w:r w:rsidRPr="009B7337">
        <w:rPr>
          <w:rFonts w:ascii="Times New Roman" w:hAnsi="Times New Roman" w:cs="Times New Roman" w:hint="eastAsia"/>
          <w:sz w:val="24"/>
          <w:szCs w:val="24"/>
          <w:lang w:val="en-US"/>
        </w:rPr>
        <w:t>439. Singh SM, FitzGerald G, Yan AT, et al. High-grade atrioventricular block in acute coronary syndromes: insights from the Global Registry of Acute Coronary Events. European Heart Journal. 2015;36:976-83. https://doi.org/10.1093/eurheartj/ehu357.</w:t>
      </w:r>
    </w:p>
    <w:p w14:paraId="7AF6259A" w14:textId="77777777" w:rsidR="009B7337" w:rsidRPr="00F52FCA" w:rsidRDefault="009B7337" w:rsidP="00A419DB">
      <w:pPr>
        <w:tabs>
          <w:tab w:val="left" w:pos="786"/>
        </w:tabs>
        <w:suppressAutoHyphens/>
        <w:spacing w:after="60" w:line="360" w:lineRule="auto"/>
        <w:jc w:val="both"/>
        <w:rPr>
          <w:rFonts w:ascii="Times New Roman" w:hAnsi="Times New Roman" w:cs="Times New Roman"/>
          <w:sz w:val="24"/>
          <w:szCs w:val="24"/>
          <w:lang w:val="fr-FR"/>
        </w:rPr>
      </w:pPr>
      <w:r w:rsidRPr="009B7337">
        <w:rPr>
          <w:rFonts w:ascii="Times New Roman" w:hAnsi="Times New Roman" w:cs="Times New Roman" w:hint="eastAsia"/>
          <w:sz w:val="24"/>
          <w:szCs w:val="24"/>
          <w:lang w:val="en-US"/>
        </w:rPr>
        <w:t xml:space="preserve">440. Gang UJ, Hvelplund A, Pedersen S, et al. High-degree atrioventricular block complicating ST-segment elevation myocardial infarction in the era of primary percutaneous coronary intervention. </w:t>
      </w:r>
      <w:r w:rsidRPr="00F52FCA">
        <w:rPr>
          <w:rFonts w:ascii="Times New Roman" w:hAnsi="Times New Roman" w:cs="Times New Roman" w:hint="eastAsia"/>
          <w:sz w:val="24"/>
          <w:szCs w:val="24"/>
          <w:lang w:val="fr-FR"/>
        </w:rPr>
        <w:t>Europace. 2012;14:1639-45. https://doi.org/10.1093/europace/</w:t>
      </w:r>
      <w:r w:rsidRPr="00F52FCA">
        <w:rPr>
          <w:rFonts w:ascii="Times New Roman" w:hAnsi="Times New Roman" w:cs="Times New Roman"/>
          <w:sz w:val="24"/>
          <w:szCs w:val="24"/>
          <w:lang w:val="fr-FR"/>
        </w:rPr>
        <w:t>eus161.</w:t>
      </w:r>
    </w:p>
    <w:p w14:paraId="500D6D05" w14:textId="77777777" w:rsidR="009B7337" w:rsidRPr="009B7337" w:rsidRDefault="009B7337"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441. Matteucci M, Fina D, Jiritano F, et al. </w:t>
      </w:r>
      <w:r w:rsidRPr="009B7337">
        <w:rPr>
          <w:rFonts w:ascii="Times New Roman" w:hAnsi="Times New Roman" w:cs="Times New Roman" w:hint="eastAsia"/>
          <w:sz w:val="24"/>
          <w:szCs w:val="24"/>
          <w:lang w:val="en-US"/>
        </w:rPr>
        <w:t>The use of extracorporeal membrane oxygenation in the setting of postinfarction mechanical complications: outcome analysis of the Extracorporeal Life Support Organization Registry. Interact Cardiovasc Thorac Su</w:t>
      </w:r>
      <w:r w:rsidRPr="009B7337">
        <w:rPr>
          <w:rFonts w:ascii="Times New Roman" w:hAnsi="Times New Roman" w:cs="Times New Roman"/>
          <w:sz w:val="24"/>
          <w:szCs w:val="24"/>
          <w:lang w:val="en-US"/>
        </w:rPr>
        <w:t>rg. 2020;31:369-74. https://doi.org/10.1093/icvts/ivaa108.</w:t>
      </w:r>
    </w:p>
    <w:p w14:paraId="2E1C3E32" w14:textId="77777777" w:rsidR="009B7337" w:rsidRPr="009B7337" w:rsidRDefault="009B7337" w:rsidP="00A419DB">
      <w:pPr>
        <w:tabs>
          <w:tab w:val="left" w:pos="786"/>
        </w:tabs>
        <w:suppressAutoHyphens/>
        <w:spacing w:after="60" w:line="360" w:lineRule="auto"/>
        <w:jc w:val="both"/>
        <w:rPr>
          <w:rFonts w:ascii="Times New Roman" w:hAnsi="Times New Roman" w:cs="Times New Roman"/>
          <w:sz w:val="24"/>
          <w:szCs w:val="24"/>
          <w:lang w:val="en-US"/>
        </w:rPr>
      </w:pPr>
      <w:r w:rsidRPr="009B7337">
        <w:rPr>
          <w:rFonts w:ascii="Times New Roman" w:hAnsi="Times New Roman" w:cs="Times New Roman" w:hint="eastAsia"/>
          <w:sz w:val="24"/>
          <w:szCs w:val="24"/>
          <w:lang w:val="en-US"/>
        </w:rPr>
        <w:t>442. Damluji AA, van Diepen S, Katz JN, et al. Mechanical complications of acute myocardial infarction: a scientific statement from the American Heart Association. Circulation. 2021;144:e16-e35. https://doi.org/10.1161/cir.0000000000000985.</w:t>
      </w:r>
    </w:p>
    <w:p w14:paraId="0C8AD4CA" w14:textId="77777777" w:rsidR="009B7337" w:rsidRPr="009B7337" w:rsidRDefault="009B7337" w:rsidP="00A419DB">
      <w:pPr>
        <w:tabs>
          <w:tab w:val="left" w:pos="786"/>
        </w:tabs>
        <w:suppressAutoHyphens/>
        <w:spacing w:after="60" w:line="360" w:lineRule="auto"/>
        <w:jc w:val="both"/>
        <w:rPr>
          <w:rFonts w:ascii="Times New Roman" w:hAnsi="Times New Roman" w:cs="Times New Roman"/>
          <w:sz w:val="24"/>
          <w:szCs w:val="24"/>
          <w:lang w:val="en-US"/>
        </w:rPr>
      </w:pPr>
      <w:r w:rsidRPr="009B7337">
        <w:rPr>
          <w:rFonts w:ascii="Times New Roman" w:hAnsi="Times New Roman" w:cs="Times New Roman" w:hint="eastAsia"/>
          <w:sz w:val="24"/>
          <w:szCs w:val="24"/>
          <w:lang w:val="en-US"/>
        </w:rPr>
        <w:t>443. Gong FF, Vaitenas I, Malaisrie SC, Maganti K. Mechanical complications of acute myocardial infarction: a review. JAMA Cardiol. 2021;6:341-9. https://doi.org/10.1001/jamacardio.2020.3690.</w:t>
      </w:r>
    </w:p>
    <w:p w14:paraId="45120DF1" w14:textId="77777777" w:rsidR="009B7337" w:rsidRPr="009B7337" w:rsidRDefault="009B7337" w:rsidP="00A419DB">
      <w:pPr>
        <w:tabs>
          <w:tab w:val="left" w:pos="786"/>
        </w:tabs>
        <w:suppressAutoHyphens/>
        <w:spacing w:after="60" w:line="360" w:lineRule="auto"/>
        <w:jc w:val="both"/>
        <w:rPr>
          <w:rFonts w:ascii="Times New Roman" w:hAnsi="Times New Roman" w:cs="Times New Roman"/>
          <w:sz w:val="24"/>
          <w:szCs w:val="24"/>
          <w:lang w:val="en-US"/>
        </w:rPr>
      </w:pPr>
      <w:r w:rsidRPr="009B7337">
        <w:rPr>
          <w:rFonts w:ascii="Times New Roman" w:hAnsi="Times New Roman" w:cs="Times New Roman" w:hint="eastAsia"/>
          <w:sz w:val="24"/>
          <w:szCs w:val="24"/>
          <w:lang w:val="en-US"/>
        </w:rPr>
        <w:t>444. Haddadin S, Milano AD, Faggian G, et al. Surgical treatment of postinfarction left ventricular free wall rupture. J Card Surg. 2009;24:624-31.</w:t>
      </w:r>
    </w:p>
    <w:p w14:paraId="60ADB81B" w14:textId="77777777" w:rsidR="009B7337" w:rsidRPr="009B7337" w:rsidRDefault="009B7337" w:rsidP="00A419DB">
      <w:pPr>
        <w:tabs>
          <w:tab w:val="left" w:pos="786"/>
        </w:tabs>
        <w:suppressAutoHyphens/>
        <w:spacing w:after="60" w:line="360" w:lineRule="auto"/>
        <w:jc w:val="both"/>
        <w:rPr>
          <w:rFonts w:ascii="Times New Roman" w:hAnsi="Times New Roman" w:cs="Times New Roman"/>
          <w:sz w:val="24"/>
          <w:szCs w:val="24"/>
          <w:lang w:val="en-US"/>
        </w:rPr>
      </w:pPr>
      <w:r w:rsidRPr="009B7337">
        <w:rPr>
          <w:rFonts w:ascii="Times New Roman" w:hAnsi="Times New Roman" w:cs="Times New Roman" w:hint="eastAsia"/>
          <w:sz w:val="24"/>
          <w:szCs w:val="24"/>
          <w:lang w:val="en-US"/>
        </w:rPr>
        <w:t>445. Alerhand S, Adrian RJ, Long B, Avila J. Pericardial tamponade: A comprehensive emergency medicine and echocardiography review. Am J Emerg Med. 2022;58:159-74. https://doi.org/10.1016/j.ajem.2022.05.001.</w:t>
      </w:r>
    </w:p>
    <w:p w14:paraId="037CD0AF" w14:textId="77777777" w:rsidR="009B7337" w:rsidRPr="009B7337" w:rsidRDefault="009B7337" w:rsidP="00A419DB">
      <w:pPr>
        <w:tabs>
          <w:tab w:val="left" w:pos="786"/>
        </w:tabs>
        <w:suppressAutoHyphens/>
        <w:spacing w:after="60" w:line="360" w:lineRule="auto"/>
        <w:jc w:val="both"/>
        <w:rPr>
          <w:rFonts w:ascii="Times New Roman" w:hAnsi="Times New Roman" w:cs="Times New Roman"/>
          <w:sz w:val="24"/>
          <w:szCs w:val="24"/>
          <w:lang w:val="en-US"/>
        </w:rPr>
      </w:pPr>
      <w:r w:rsidRPr="009B7337">
        <w:rPr>
          <w:rFonts w:ascii="Times New Roman" w:hAnsi="Times New Roman" w:cs="Times New Roman" w:hint="eastAsia"/>
          <w:sz w:val="24"/>
          <w:szCs w:val="24"/>
          <w:lang w:val="en-US"/>
        </w:rPr>
        <w:t>446. Ronco D, Matteucci M, Ravaux JM, et al. Mechanical circulatory support as a bridge to definitive treatment in post-infarction ventricular septal rupture. JACC Cardiovasc Interv. 2021;14:1053-66. https://doi.org/10.1016/j.jcin.2021.02.046.</w:t>
      </w:r>
    </w:p>
    <w:p w14:paraId="665E7A20" w14:textId="77777777" w:rsidR="009B7337" w:rsidRPr="009B7337" w:rsidRDefault="001B4373" w:rsidP="00A419DB">
      <w:pPr>
        <w:tabs>
          <w:tab w:val="left" w:pos="786"/>
        </w:tabs>
        <w:suppressAutoHyphens/>
        <w:spacing w:after="60" w:line="360" w:lineRule="auto"/>
        <w:jc w:val="both"/>
        <w:rPr>
          <w:rFonts w:ascii="Times New Roman" w:hAnsi="Times New Roman" w:cs="Times New Roman"/>
          <w:sz w:val="24"/>
          <w:szCs w:val="24"/>
          <w:lang w:val="en-US"/>
        </w:rPr>
      </w:pPr>
      <w:r w:rsidRPr="001B4373">
        <w:rPr>
          <w:rFonts w:ascii="Times New Roman" w:hAnsi="Times New Roman" w:cs="Times New Roman"/>
          <w:sz w:val="24"/>
          <w:szCs w:val="24"/>
          <w:lang w:val="en-US"/>
        </w:rPr>
        <w:t>4</w:t>
      </w:r>
      <w:r w:rsidR="009B7337" w:rsidRPr="009B7337">
        <w:rPr>
          <w:rFonts w:ascii="Times New Roman" w:hAnsi="Times New Roman" w:cs="Times New Roman" w:hint="eastAsia"/>
          <w:sz w:val="24"/>
          <w:szCs w:val="24"/>
          <w:lang w:val="en-US"/>
        </w:rPr>
        <w:t>47. Fasol R, Lakew F, Wetter S. Mitral repair in patients with a ruptured papillary muscle. Am Heart J. 2000;139:549-54.</w:t>
      </w:r>
    </w:p>
    <w:p w14:paraId="51801270" w14:textId="77777777" w:rsidR="009B7337" w:rsidRPr="009B7337" w:rsidRDefault="009B7337" w:rsidP="00A419DB">
      <w:pPr>
        <w:tabs>
          <w:tab w:val="left" w:pos="786"/>
        </w:tabs>
        <w:suppressAutoHyphens/>
        <w:spacing w:after="60" w:line="360" w:lineRule="auto"/>
        <w:jc w:val="both"/>
        <w:rPr>
          <w:rFonts w:ascii="Times New Roman" w:hAnsi="Times New Roman" w:cs="Times New Roman"/>
          <w:sz w:val="24"/>
          <w:szCs w:val="24"/>
          <w:lang w:val="en-US"/>
        </w:rPr>
      </w:pPr>
      <w:r w:rsidRPr="009B7337">
        <w:rPr>
          <w:rFonts w:ascii="Times New Roman" w:hAnsi="Times New Roman" w:cs="Times New Roman" w:hint="eastAsia"/>
          <w:sz w:val="24"/>
          <w:szCs w:val="24"/>
          <w:lang w:val="en-US"/>
        </w:rPr>
        <w:t>448. Alajaji WA, Akl EA, Farha A, et al. Surgical versus medical management of patients with acute ischemic mitral regurgitation: a systematic review. BMC Res Notes. 2015;8:712.</w:t>
      </w:r>
    </w:p>
    <w:p w14:paraId="39503359" w14:textId="77777777" w:rsidR="009B7337" w:rsidRPr="009B7337" w:rsidRDefault="009B7337" w:rsidP="00A419DB">
      <w:pPr>
        <w:tabs>
          <w:tab w:val="left" w:pos="786"/>
        </w:tabs>
        <w:suppressAutoHyphens/>
        <w:spacing w:after="60" w:line="360" w:lineRule="auto"/>
        <w:jc w:val="both"/>
        <w:rPr>
          <w:rFonts w:ascii="Times New Roman" w:hAnsi="Times New Roman" w:cs="Times New Roman"/>
          <w:sz w:val="24"/>
          <w:szCs w:val="24"/>
          <w:lang w:val="en-US"/>
        </w:rPr>
      </w:pPr>
      <w:r w:rsidRPr="009B7337">
        <w:rPr>
          <w:rFonts w:ascii="Times New Roman" w:hAnsi="Times New Roman" w:cs="Times New Roman" w:hint="eastAsia"/>
          <w:sz w:val="24"/>
          <w:szCs w:val="24"/>
          <w:lang w:val="en-US"/>
        </w:rPr>
        <w:lastRenderedPageBreak/>
        <w:t>449. Kilic A, Sultan I, Chu D, et al. Mitral valve surgery for papillary muscle rupture: outcomes in 1342 patients from the society of thoracic surgeons database. Ann Thorac Surg. 2020;110:1975-81. https://doi.org/10.1016/j.athoracsur.2020.03.097.</w:t>
      </w:r>
    </w:p>
    <w:p w14:paraId="54CE9CF2" w14:textId="77777777" w:rsidR="009B7337" w:rsidRPr="009B7337" w:rsidRDefault="009B7337" w:rsidP="00A419DB">
      <w:pPr>
        <w:tabs>
          <w:tab w:val="left" w:pos="786"/>
        </w:tabs>
        <w:suppressAutoHyphens/>
        <w:spacing w:after="60" w:line="360" w:lineRule="auto"/>
        <w:jc w:val="both"/>
        <w:rPr>
          <w:rFonts w:ascii="Times New Roman" w:hAnsi="Times New Roman" w:cs="Times New Roman"/>
          <w:sz w:val="24"/>
          <w:szCs w:val="24"/>
          <w:lang w:val="en-US"/>
        </w:rPr>
      </w:pPr>
      <w:r w:rsidRPr="009B7337">
        <w:rPr>
          <w:rFonts w:ascii="Times New Roman" w:hAnsi="Times New Roman" w:cs="Times New Roman" w:hint="eastAsia"/>
          <w:sz w:val="24"/>
          <w:szCs w:val="24"/>
          <w:lang w:val="en-US"/>
        </w:rPr>
        <w:t>450. Valle JA, Miyasaka RL, Carroll JD. Acute mitral regurgitation secondary to papillary muscle tear: is transcatheter edge-to-edge mitral valve repair a new paradigm? Circ Cardiovasc Interv. 2017;10:e005050. https://doi.org/10.1161/circinterventions.117</w:t>
      </w:r>
      <w:r w:rsidRPr="009B7337">
        <w:rPr>
          <w:rFonts w:ascii="Times New Roman" w:hAnsi="Times New Roman" w:cs="Times New Roman"/>
          <w:sz w:val="24"/>
          <w:szCs w:val="24"/>
          <w:lang w:val="en-US"/>
        </w:rPr>
        <w:t>.005050.</w:t>
      </w:r>
    </w:p>
    <w:p w14:paraId="1567D1EC" w14:textId="77777777" w:rsidR="009B7337" w:rsidRPr="009B7337" w:rsidRDefault="009B7337" w:rsidP="00A419DB">
      <w:pPr>
        <w:tabs>
          <w:tab w:val="left" w:pos="786"/>
        </w:tabs>
        <w:suppressAutoHyphens/>
        <w:spacing w:after="60" w:line="360" w:lineRule="auto"/>
        <w:jc w:val="both"/>
        <w:rPr>
          <w:rFonts w:ascii="Times New Roman" w:hAnsi="Times New Roman" w:cs="Times New Roman"/>
          <w:sz w:val="24"/>
          <w:szCs w:val="24"/>
          <w:lang w:val="en-US"/>
        </w:rPr>
      </w:pPr>
      <w:r w:rsidRPr="009B7337">
        <w:rPr>
          <w:rFonts w:ascii="Times New Roman" w:hAnsi="Times New Roman" w:cs="Times New Roman" w:hint="eastAsia"/>
          <w:sz w:val="24"/>
          <w:szCs w:val="24"/>
          <w:lang w:val="en-US"/>
        </w:rPr>
        <w:t>451. Adler Y, Charron P, Imazio M, et al. 2015 ESC Guidelines for the diagnosis and management of pericardial diseases: the Task Force for the diagnosis and management of pericardial diseases of the European Society of Cardiology (ESC) endorsed by: the Eu</w:t>
      </w:r>
      <w:r w:rsidRPr="009B7337">
        <w:rPr>
          <w:rFonts w:ascii="Times New Roman" w:hAnsi="Times New Roman" w:cs="Times New Roman"/>
          <w:sz w:val="24"/>
          <w:szCs w:val="24"/>
          <w:lang w:val="en-US"/>
        </w:rPr>
        <w:t>ropean Association for Cardio-Thoracic Surgery (EACTS). Eur Heart J. 2015;36:2921-64. https://doi.org/10.1093/eurheartj/ehv318.</w:t>
      </w:r>
    </w:p>
    <w:p w14:paraId="4AED14B0" w14:textId="77777777" w:rsidR="009B7337" w:rsidRPr="009B7337" w:rsidRDefault="009B7337" w:rsidP="00A419DB">
      <w:pPr>
        <w:tabs>
          <w:tab w:val="left" w:pos="786"/>
        </w:tabs>
        <w:suppressAutoHyphens/>
        <w:spacing w:after="60" w:line="360" w:lineRule="auto"/>
        <w:jc w:val="both"/>
        <w:rPr>
          <w:rFonts w:ascii="Times New Roman" w:hAnsi="Times New Roman" w:cs="Times New Roman"/>
          <w:sz w:val="24"/>
          <w:szCs w:val="24"/>
          <w:lang w:val="en-US"/>
        </w:rPr>
      </w:pPr>
      <w:r w:rsidRPr="009B7337">
        <w:rPr>
          <w:rFonts w:ascii="Times New Roman" w:hAnsi="Times New Roman" w:cs="Times New Roman" w:hint="eastAsia"/>
          <w:sz w:val="24"/>
          <w:szCs w:val="24"/>
          <w:lang w:val="en-US"/>
        </w:rPr>
        <w:t>452. Gevaert SA, Halvorsen S, Sinnaeve PR, et al. Evaluation and management of cancer patients presenting with acute cardiovascular disease: a Consensus Document of the Acute CardioVascular Care (ACVC) association and the ESC Council of Cardio-OncologyPar</w:t>
      </w:r>
      <w:r w:rsidRPr="009B7337">
        <w:rPr>
          <w:rFonts w:ascii="Times New Roman" w:hAnsi="Times New Roman" w:cs="Times New Roman"/>
          <w:sz w:val="24"/>
          <w:szCs w:val="24"/>
          <w:lang w:val="en-US"/>
        </w:rPr>
        <w:t>t 1: acute coronary syndromes and acute pericardial diseases. Eur Heart J Acute Cardiovasc Care. 2021;10:947-59. https://doi.org/10.1093/ehjacc/zuab056.</w:t>
      </w:r>
    </w:p>
    <w:p w14:paraId="043F887F" w14:textId="77777777" w:rsidR="009B7337" w:rsidRPr="009B7337" w:rsidRDefault="009B7337"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453. Verma BR, Montane B, Chetrit M, et al. </w:t>
      </w:r>
      <w:r w:rsidRPr="009B7337">
        <w:rPr>
          <w:rFonts w:ascii="Times New Roman" w:hAnsi="Times New Roman" w:cs="Times New Roman" w:hint="eastAsia"/>
          <w:sz w:val="24"/>
          <w:szCs w:val="24"/>
          <w:lang w:val="en-US"/>
        </w:rPr>
        <w:t>Pericarditis and post-cardiac injury syndrome as a sequelae of acute myocardial infarction. Curr Cardiol Rep. 2020;22:127. https://doi.org/10.1007/s11886-020-01371-5.</w:t>
      </w:r>
    </w:p>
    <w:p w14:paraId="14641A79" w14:textId="77777777" w:rsidR="009B7337" w:rsidRPr="009B7337" w:rsidRDefault="009B7337" w:rsidP="00A419DB">
      <w:pPr>
        <w:tabs>
          <w:tab w:val="left" w:pos="786"/>
        </w:tabs>
        <w:suppressAutoHyphens/>
        <w:spacing w:after="60" w:line="360" w:lineRule="auto"/>
        <w:jc w:val="both"/>
        <w:rPr>
          <w:rFonts w:ascii="Times New Roman" w:hAnsi="Times New Roman" w:cs="Times New Roman"/>
          <w:sz w:val="24"/>
          <w:szCs w:val="24"/>
          <w:lang w:val="en-US"/>
        </w:rPr>
      </w:pPr>
      <w:r w:rsidRPr="009B7337">
        <w:rPr>
          <w:rFonts w:ascii="Times New Roman" w:hAnsi="Times New Roman" w:cs="Times New Roman" w:hint="eastAsia"/>
          <w:sz w:val="24"/>
          <w:szCs w:val="24"/>
          <w:lang w:val="en-US"/>
        </w:rPr>
        <w:t>454. Abdelnabi M, Saleh Y, Fareed A, et al. Comparative study of oral anticoagulation in left ventricular thrombi (no-LVT trial). J Am Coll Cardiol. 2021;77:1590-2. https://doi.org/10.1016/j.jacc.2021.01.049.</w:t>
      </w:r>
    </w:p>
    <w:p w14:paraId="5F585F7C" w14:textId="77777777" w:rsidR="009B7337" w:rsidRPr="009B7337" w:rsidRDefault="009B7337" w:rsidP="00A419DB">
      <w:pPr>
        <w:tabs>
          <w:tab w:val="left" w:pos="786"/>
        </w:tabs>
        <w:suppressAutoHyphens/>
        <w:spacing w:after="60" w:line="360" w:lineRule="auto"/>
        <w:jc w:val="both"/>
        <w:rPr>
          <w:rFonts w:ascii="Times New Roman" w:hAnsi="Times New Roman" w:cs="Times New Roman"/>
          <w:sz w:val="24"/>
          <w:szCs w:val="24"/>
          <w:lang w:val="en-US"/>
        </w:rPr>
      </w:pPr>
      <w:r w:rsidRPr="009B7337">
        <w:rPr>
          <w:rFonts w:ascii="Times New Roman" w:hAnsi="Times New Roman" w:cs="Times New Roman" w:hint="eastAsia"/>
          <w:sz w:val="24"/>
          <w:szCs w:val="24"/>
          <w:lang w:val="en-US"/>
        </w:rPr>
        <w:t>455. Lopez-Sendon J, Coma-Canella I, Alcasena S, et al. Electrocardiographic findings in acute right ventricular infarction: sensitivity and specificity of electrocardiographic alterations in right precordial leads V4R, V3R, V1, V2, and V3. J Am Coll Card</w:t>
      </w:r>
      <w:r w:rsidRPr="009B7337">
        <w:rPr>
          <w:rFonts w:ascii="Times New Roman" w:hAnsi="Times New Roman" w:cs="Times New Roman"/>
          <w:sz w:val="24"/>
          <w:szCs w:val="24"/>
          <w:lang w:val="en-US"/>
        </w:rPr>
        <w:t>iol. 1985;6:1273-9. https://doi.org/10.1016/s0735-1097(85)80213.</w:t>
      </w:r>
    </w:p>
    <w:p w14:paraId="5C53F57B" w14:textId="77777777" w:rsidR="009B7337" w:rsidRPr="009B7337" w:rsidRDefault="009B7337" w:rsidP="00A419DB">
      <w:pPr>
        <w:tabs>
          <w:tab w:val="left" w:pos="786"/>
        </w:tabs>
        <w:suppressAutoHyphens/>
        <w:spacing w:after="60" w:line="360" w:lineRule="auto"/>
        <w:jc w:val="both"/>
        <w:rPr>
          <w:rFonts w:ascii="Times New Roman" w:hAnsi="Times New Roman" w:cs="Times New Roman"/>
          <w:sz w:val="24"/>
          <w:szCs w:val="24"/>
          <w:lang w:val="en-US"/>
        </w:rPr>
      </w:pPr>
      <w:r w:rsidRPr="009B7337">
        <w:rPr>
          <w:rFonts w:ascii="Times New Roman" w:hAnsi="Times New Roman" w:cs="Times New Roman" w:hint="eastAsia"/>
          <w:sz w:val="24"/>
          <w:szCs w:val="24"/>
          <w:lang w:val="en-US"/>
        </w:rPr>
        <w:t>456. Kosuge M, Kimura K, Ishikawa T, et al. Implications of the absence of ST-segment elevation in lead V4R in patients who have inferior wall acute myocardial infarction with right ventricular involvement. Clin Cardiol. 2001;24:225-30. https://doi.org/10</w:t>
      </w:r>
      <w:r w:rsidRPr="009B7337">
        <w:rPr>
          <w:rFonts w:ascii="Times New Roman" w:hAnsi="Times New Roman" w:cs="Times New Roman"/>
          <w:sz w:val="24"/>
          <w:szCs w:val="24"/>
          <w:lang w:val="en-US"/>
        </w:rPr>
        <w:t>.1002/clc.4960240310.</w:t>
      </w:r>
    </w:p>
    <w:p w14:paraId="1BFD5CEE" w14:textId="77777777" w:rsidR="009B7337" w:rsidRPr="009B7337" w:rsidRDefault="009B7337" w:rsidP="00A419DB">
      <w:pPr>
        <w:tabs>
          <w:tab w:val="left" w:pos="786"/>
        </w:tabs>
        <w:suppressAutoHyphens/>
        <w:spacing w:after="60" w:line="360" w:lineRule="auto"/>
        <w:jc w:val="both"/>
        <w:rPr>
          <w:rFonts w:ascii="Times New Roman" w:hAnsi="Times New Roman" w:cs="Times New Roman"/>
          <w:sz w:val="24"/>
          <w:szCs w:val="24"/>
          <w:lang w:val="en-US"/>
        </w:rPr>
      </w:pPr>
      <w:r w:rsidRPr="009B7337">
        <w:rPr>
          <w:rFonts w:ascii="Times New Roman" w:hAnsi="Times New Roman" w:cs="Times New Roman" w:hint="eastAsia"/>
          <w:sz w:val="24"/>
          <w:szCs w:val="24"/>
          <w:lang w:val="en-US"/>
        </w:rPr>
        <w:t>457. Dou Q, Wang W, Wang H, et al. Prognostic value of frailty in elderly patients with acute coronary syndrome: a systematic review and meta-analysis. BMC Geriatr. 2019;19(1): 222. https://doi.org/10.1186/s12877-019-1242-8.</w:t>
      </w:r>
    </w:p>
    <w:p w14:paraId="61E2E9DB" w14:textId="77777777" w:rsidR="009B7337" w:rsidRPr="009B7337" w:rsidRDefault="009B7337" w:rsidP="00A419DB">
      <w:pPr>
        <w:tabs>
          <w:tab w:val="left" w:pos="786"/>
        </w:tabs>
        <w:suppressAutoHyphens/>
        <w:spacing w:after="60" w:line="360" w:lineRule="auto"/>
        <w:jc w:val="both"/>
        <w:rPr>
          <w:rFonts w:ascii="Times New Roman" w:hAnsi="Times New Roman" w:cs="Times New Roman"/>
          <w:sz w:val="24"/>
          <w:szCs w:val="24"/>
          <w:lang w:val="en-US"/>
        </w:rPr>
      </w:pPr>
      <w:r w:rsidRPr="009B7337">
        <w:rPr>
          <w:rFonts w:ascii="Times New Roman" w:hAnsi="Times New Roman" w:cs="Times New Roman" w:hint="eastAsia"/>
          <w:sz w:val="24"/>
          <w:szCs w:val="24"/>
          <w:lang w:val="en-US"/>
        </w:rPr>
        <w:lastRenderedPageBreak/>
        <w:t>458. Man C, Xiang S, Fan Y. Frailty for predicting all-cause mortality in elderly acute coronary syndrome patients: A meta-analysis. Ageing Res Rev. 2019;52:1-6. https://doi.org/10.1016/j.arr.2019.03.003.</w:t>
      </w:r>
    </w:p>
    <w:p w14:paraId="593256C4" w14:textId="77777777" w:rsidR="009B7337" w:rsidRPr="009B7337" w:rsidRDefault="009B7337" w:rsidP="00A419DB">
      <w:pPr>
        <w:tabs>
          <w:tab w:val="left" w:pos="786"/>
        </w:tabs>
        <w:suppressAutoHyphens/>
        <w:spacing w:after="60" w:line="360" w:lineRule="auto"/>
        <w:jc w:val="both"/>
        <w:rPr>
          <w:rFonts w:ascii="Times New Roman" w:hAnsi="Times New Roman" w:cs="Times New Roman"/>
          <w:sz w:val="24"/>
          <w:szCs w:val="24"/>
          <w:lang w:val="en-US"/>
        </w:rPr>
      </w:pPr>
      <w:r w:rsidRPr="009B7337">
        <w:rPr>
          <w:rFonts w:ascii="Times New Roman" w:hAnsi="Times New Roman" w:cs="Times New Roman" w:hint="eastAsia"/>
          <w:sz w:val="24"/>
          <w:szCs w:val="24"/>
          <w:lang w:val="en-US"/>
        </w:rPr>
        <w:t>459. Reiter M, Twerenbold R, Reichlin T, et al. Early diagnosis of acute myocardial infarction in the elderly using more sensitive cardiac troponin assays. Eur Heart J. 2011;32:1379-89. https://doi.org/10.1093/eurheartj/ehr033.</w:t>
      </w:r>
    </w:p>
    <w:p w14:paraId="7B377FBB" w14:textId="77777777" w:rsidR="009B7337" w:rsidRPr="009B7337" w:rsidRDefault="009B7337" w:rsidP="00A419DB">
      <w:pPr>
        <w:tabs>
          <w:tab w:val="left" w:pos="786"/>
        </w:tabs>
        <w:suppressAutoHyphens/>
        <w:spacing w:after="60" w:line="360" w:lineRule="auto"/>
        <w:jc w:val="both"/>
        <w:rPr>
          <w:rFonts w:ascii="Times New Roman" w:hAnsi="Times New Roman" w:cs="Times New Roman"/>
          <w:sz w:val="24"/>
          <w:szCs w:val="24"/>
          <w:lang w:val="en-US"/>
        </w:rPr>
      </w:pPr>
      <w:r w:rsidRPr="009B7337">
        <w:rPr>
          <w:rFonts w:ascii="Times New Roman" w:hAnsi="Times New Roman" w:cs="Times New Roman" w:hint="eastAsia"/>
          <w:sz w:val="24"/>
          <w:szCs w:val="24"/>
          <w:lang w:val="en-US"/>
        </w:rPr>
        <w:t>460. Cholesterol Treatment Trialists' Collaboration. Efficacy and safety of statin therapy in older people: a meta-analysis of individual participant data from 28 randomised controlled trials. Lancet. 2019;393:407-15. https://doi.org/10.1016/s0140-6736(18</w:t>
      </w:r>
      <w:r w:rsidRPr="009B7337">
        <w:rPr>
          <w:rFonts w:ascii="Times New Roman" w:hAnsi="Times New Roman" w:cs="Times New Roman"/>
          <w:sz w:val="24"/>
          <w:szCs w:val="24"/>
          <w:lang w:val="en-US"/>
        </w:rPr>
        <w:t>)31942-1.</w:t>
      </w:r>
    </w:p>
    <w:p w14:paraId="1B2C23AB" w14:textId="77777777" w:rsidR="009B7337" w:rsidRPr="00F52FCA" w:rsidRDefault="009B7337" w:rsidP="00A419DB">
      <w:pPr>
        <w:tabs>
          <w:tab w:val="left" w:pos="786"/>
        </w:tabs>
        <w:suppressAutoHyphens/>
        <w:spacing w:after="60" w:line="360" w:lineRule="auto"/>
        <w:jc w:val="both"/>
        <w:rPr>
          <w:rFonts w:ascii="Times New Roman" w:hAnsi="Times New Roman" w:cs="Times New Roman"/>
          <w:sz w:val="24"/>
          <w:szCs w:val="24"/>
          <w:lang w:val="fr-FR"/>
        </w:rPr>
      </w:pPr>
      <w:r w:rsidRPr="009B7337">
        <w:rPr>
          <w:rFonts w:ascii="Times New Roman" w:hAnsi="Times New Roman" w:cs="Times New Roman" w:hint="eastAsia"/>
          <w:sz w:val="24"/>
          <w:szCs w:val="24"/>
          <w:lang w:val="en-US"/>
        </w:rPr>
        <w:t xml:space="preserve">461. Bach RG, Cannon CP, Giugliano RP, et al. Effect of simvastatin-ezetimibe compared with simvastatin monotherapy after acute coronary syndrome among patients 75 years or older: a secondary analysis of a randomized clinical trial. </w:t>
      </w:r>
      <w:r w:rsidRPr="00F52FCA">
        <w:rPr>
          <w:rFonts w:ascii="Times New Roman" w:hAnsi="Times New Roman" w:cs="Times New Roman" w:hint="eastAsia"/>
          <w:sz w:val="24"/>
          <w:szCs w:val="24"/>
          <w:lang w:val="fr-FR"/>
        </w:rPr>
        <w:t>JAMA Cardiol. 2019;4:8</w:t>
      </w:r>
      <w:r w:rsidRPr="00F52FCA">
        <w:rPr>
          <w:rFonts w:ascii="Times New Roman" w:hAnsi="Times New Roman" w:cs="Times New Roman"/>
          <w:sz w:val="24"/>
          <w:szCs w:val="24"/>
          <w:lang w:val="fr-FR"/>
        </w:rPr>
        <w:t>46-54. https://doi.org/10.1001/jamacardio.2019.23.</w:t>
      </w:r>
    </w:p>
    <w:p w14:paraId="07611EFB" w14:textId="77777777" w:rsidR="009B7337" w:rsidRPr="009B7337" w:rsidRDefault="009B7337"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462. Savonitto S, Ferri LA, Piatti L, et al. </w:t>
      </w:r>
      <w:r w:rsidRPr="009B7337">
        <w:rPr>
          <w:rFonts w:ascii="Times New Roman" w:hAnsi="Times New Roman" w:cs="Times New Roman" w:hint="eastAsia"/>
          <w:sz w:val="24"/>
          <w:szCs w:val="24"/>
          <w:lang w:val="en-US"/>
        </w:rPr>
        <w:t>Comparison of reduced-dose prasugrel and standard-dose clopidogrel in elderly patients with acute coronary syndromes undergoing early percutaneous revascularization. Circulation. 2018;137:2435-45. https://doi.o</w:t>
      </w:r>
      <w:r w:rsidRPr="009B7337">
        <w:rPr>
          <w:rFonts w:ascii="Times New Roman" w:hAnsi="Times New Roman" w:cs="Times New Roman"/>
          <w:sz w:val="24"/>
          <w:szCs w:val="24"/>
          <w:lang w:val="en-US"/>
        </w:rPr>
        <w:t>rg/10.1161/circulationaha.117.032180.</w:t>
      </w:r>
    </w:p>
    <w:p w14:paraId="33EE3E14" w14:textId="77777777" w:rsidR="009B7337" w:rsidRPr="00F52FCA" w:rsidRDefault="009B7337" w:rsidP="00A419DB">
      <w:pPr>
        <w:tabs>
          <w:tab w:val="left" w:pos="786"/>
        </w:tabs>
        <w:suppressAutoHyphens/>
        <w:spacing w:after="60" w:line="360" w:lineRule="auto"/>
        <w:jc w:val="both"/>
        <w:rPr>
          <w:rFonts w:ascii="Times New Roman" w:hAnsi="Times New Roman" w:cs="Times New Roman"/>
          <w:sz w:val="24"/>
          <w:szCs w:val="24"/>
          <w:lang w:val="fr-FR"/>
        </w:rPr>
      </w:pPr>
      <w:r w:rsidRPr="009B7337">
        <w:rPr>
          <w:rFonts w:ascii="Times New Roman" w:hAnsi="Times New Roman" w:cs="Times New Roman" w:hint="eastAsia"/>
          <w:sz w:val="24"/>
          <w:szCs w:val="24"/>
          <w:lang w:val="en-US"/>
        </w:rPr>
        <w:t xml:space="preserve">463. Roe MT, Armstrong PW, Fox KA, et al. Prasugrel versus clopidogrel for acute coronary syndromes without revascularization. </w:t>
      </w:r>
      <w:r w:rsidRPr="00F52FCA">
        <w:rPr>
          <w:rFonts w:ascii="Times New Roman" w:hAnsi="Times New Roman" w:cs="Times New Roman" w:hint="eastAsia"/>
          <w:sz w:val="24"/>
          <w:szCs w:val="24"/>
          <w:lang w:val="fr-FR"/>
        </w:rPr>
        <w:t>N Engl J Med. 2012;367:1297-309. https://doi.org/10.1056/NEJMoa1205512.</w:t>
      </w:r>
    </w:p>
    <w:p w14:paraId="55D05643" w14:textId="77777777" w:rsidR="009B7337" w:rsidRPr="009B7337" w:rsidRDefault="009B7337"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464. Xu W, Cai Y, Liu H, et al. </w:t>
      </w:r>
      <w:r w:rsidRPr="009B7337">
        <w:rPr>
          <w:rFonts w:ascii="Times New Roman" w:hAnsi="Times New Roman" w:cs="Times New Roman" w:hint="eastAsia"/>
          <w:sz w:val="24"/>
          <w:szCs w:val="24"/>
          <w:lang w:val="en-US"/>
        </w:rPr>
        <w:t>Frailty as a predictor of all-cause mortality and readmission in older patients with acute coronary syndrome: A systematic review and meta-analysis. Wien Klin Wochenschr. 2020;132(11-12):301-9. https://doi.org/10.1007/s0050</w:t>
      </w:r>
      <w:r w:rsidRPr="009B7337">
        <w:rPr>
          <w:rFonts w:ascii="Times New Roman" w:hAnsi="Times New Roman" w:cs="Times New Roman"/>
          <w:sz w:val="24"/>
          <w:szCs w:val="24"/>
          <w:lang w:val="en-US"/>
        </w:rPr>
        <w:t>8-020-01650-9.</w:t>
      </w:r>
    </w:p>
    <w:p w14:paraId="348A2FBE" w14:textId="77777777" w:rsidR="009B7337" w:rsidRPr="009B7337" w:rsidRDefault="009B7337" w:rsidP="00A419DB">
      <w:pPr>
        <w:tabs>
          <w:tab w:val="left" w:pos="786"/>
        </w:tabs>
        <w:suppressAutoHyphens/>
        <w:spacing w:after="60" w:line="360" w:lineRule="auto"/>
        <w:jc w:val="both"/>
        <w:rPr>
          <w:rFonts w:ascii="Times New Roman" w:hAnsi="Times New Roman" w:cs="Times New Roman"/>
          <w:sz w:val="24"/>
          <w:szCs w:val="24"/>
          <w:lang w:val="en-US"/>
        </w:rPr>
      </w:pPr>
      <w:r w:rsidRPr="009B7337">
        <w:rPr>
          <w:rFonts w:ascii="Times New Roman" w:hAnsi="Times New Roman" w:cs="Times New Roman" w:hint="eastAsia"/>
          <w:sz w:val="24"/>
          <w:szCs w:val="24"/>
          <w:lang w:val="en-US"/>
        </w:rPr>
        <w:t>465. Damluji AA, Forman DE, Wang TY, et al.; American Heart Association Cardiovascular Disease in Older Populations Committee of the Council on Clinical Cardiology and Council on Cardiovascular and Stroke Nursing; Council on Cardiovascular Radiology and I</w:t>
      </w:r>
      <w:r w:rsidRPr="009B7337">
        <w:rPr>
          <w:rFonts w:ascii="Times New Roman" w:hAnsi="Times New Roman" w:cs="Times New Roman"/>
          <w:sz w:val="24"/>
          <w:szCs w:val="24"/>
          <w:lang w:val="en-US"/>
        </w:rPr>
        <w:t>ntervention; and Council on Lifestyle and Cardiometabolic Health. Management of Acute Coronary Syndrome in the Older Adult Population: A Scientific Statement From the American Heart Association. Circulation. 2023;147(3):e32-e62. https://doi.org/10.1161/CIR.0000000000001112.</w:t>
      </w:r>
    </w:p>
    <w:p w14:paraId="345658FA" w14:textId="77777777" w:rsidR="009B7337" w:rsidRPr="009B7337" w:rsidRDefault="009B7337" w:rsidP="00A419DB">
      <w:pPr>
        <w:tabs>
          <w:tab w:val="left" w:pos="786"/>
        </w:tabs>
        <w:suppressAutoHyphens/>
        <w:spacing w:after="60" w:line="360" w:lineRule="auto"/>
        <w:jc w:val="both"/>
        <w:rPr>
          <w:rFonts w:ascii="Times New Roman" w:hAnsi="Times New Roman" w:cs="Times New Roman"/>
          <w:sz w:val="24"/>
          <w:szCs w:val="24"/>
          <w:lang w:val="en-US"/>
        </w:rPr>
      </w:pPr>
      <w:r w:rsidRPr="009B7337">
        <w:rPr>
          <w:rFonts w:ascii="Times New Roman" w:hAnsi="Times New Roman" w:cs="Times New Roman" w:hint="eastAsia"/>
          <w:sz w:val="24"/>
          <w:szCs w:val="24"/>
          <w:lang w:val="en-US"/>
        </w:rPr>
        <w:t>466. Richter D, Guasti L, Walker D, et al. Frailty in cardiology: definition, assessment and clinical implications for general cardiology. A consensus document of the Council for Cardiology Practice (CCP), Association for Acute Cardio Vascular Care (ACVC)</w:t>
      </w:r>
      <w:r w:rsidRPr="009B7337">
        <w:rPr>
          <w:rFonts w:ascii="Times New Roman" w:hAnsi="Times New Roman" w:cs="Times New Roman"/>
          <w:sz w:val="24"/>
          <w:szCs w:val="24"/>
          <w:lang w:val="en-US"/>
        </w:rPr>
        <w:t xml:space="preserve">, Association of Cardiovascular Nursing and Allied Professions (ACNAP), European Association of Preventive </w:t>
      </w:r>
      <w:r w:rsidRPr="009B7337">
        <w:rPr>
          <w:rFonts w:ascii="Times New Roman" w:hAnsi="Times New Roman" w:cs="Times New Roman"/>
          <w:sz w:val="24"/>
          <w:szCs w:val="24"/>
          <w:lang w:val="en-US"/>
        </w:rPr>
        <w:lastRenderedPageBreak/>
        <w:t>Cardiology (EAPC), European Heart Rhythm Association (EHRA), Council on Valvular Heart Diseases (VHD), Council on Hypertension (CHT), Council of CardioOncology (CCO), Working Group (WG) Aorta and Peripheral Vascular Diseases, WG e-Cardiology, WG Thrombosis, of the European Society of Cardiology, European Primary Care Cardiology Society (EPCCS). Eur J Prev Cardiol. 2022;29:216-27. https://doi.org/10.1093/eurjpc/zwaa167.</w:t>
      </w:r>
    </w:p>
    <w:p w14:paraId="6FA03733" w14:textId="77777777" w:rsidR="009B7337" w:rsidRPr="009B7337" w:rsidRDefault="009B7337" w:rsidP="00A419DB">
      <w:pPr>
        <w:tabs>
          <w:tab w:val="left" w:pos="786"/>
        </w:tabs>
        <w:suppressAutoHyphens/>
        <w:spacing w:after="60" w:line="360" w:lineRule="auto"/>
        <w:jc w:val="both"/>
        <w:rPr>
          <w:rFonts w:ascii="Times New Roman" w:hAnsi="Times New Roman" w:cs="Times New Roman"/>
          <w:sz w:val="24"/>
          <w:szCs w:val="24"/>
          <w:lang w:val="en-US"/>
        </w:rPr>
      </w:pPr>
      <w:r w:rsidRPr="009B7337">
        <w:rPr>
          <w:rFonts w:ascii="Times New Roman" w:hAnsi="Times New Roman" w:cs="Times New Roman" w:hint="eastAsia"/>
          <w:sz w:val="24"/>
          <w:szCs w:val="24"/>
          <w:lang w:val="en-US"/>
        </w:rPr>
        <w:t xml:space="preserve">467. Ambrosetti M, Abreu A, Corrà U, et al. Secondary prevention through comprehensive cardiovascular rehabilitation: From knowledge to implementation. 2020 update. A position paper from the Secondary Prevention and Rehabilitation Section of the European </w:t>
      </w:r>
      <w:r w:rsidRPr="009B7337">
        <w:rPr>
          <w:rFonts w:ascii="Times New Roman" w:hAnsi="Times New Roman" w:cs="Times New Roman"/>
          <w:sz w:val="24"/>
          <w:szCs w:val="24"/>
          <w:lang w:val="en-US"/>
        </w:rPr>
        <w:t>Association of Preventive Cardiology. Eur J Prev Cardiol. 2021;28(5):460-95. https://doi.org/10.1177/2047487320913379.</w:t>
      </w:r>
    </w:p>
    <w:p w14:paraId="70728B32" w14:textId="77777777" w:rsidR="009B7337" w:rsidRPr="009B7337" w:rsidRDefault="009B7337" w:rsidP="00A419DB">
      <w:pPr>
        <w:tabs>
          <w:tab w:val="left" w:pos="786"/>
        </w:tabs>
        <w:suppressAutoHyphens/>
        <w:spacing w:after="60" w:line="360" w:lineRule="auto"/>
        <w:jc w:val="both"/>
        <w:rPr>
          <w:rFonts w:ascii="Times New Roman" w:hAnsi="Times New Roman" w:cs="Times New Roman"/>
          <w:sz w:val="24"/>
          <w:szCs w:val="24"/>
          <w:lang w:val="en-US"/>
        </w:rPr>
      </w:pPr>
      <w:r w:rsidRPr="009B7337">
        <w:rPr>
          <w:rFonts w:ascii="Times New Roman" w:hAnsi="Times New Roman" w:cs="Times New Roman" w:hint="eastAsia"/>
          <w:sz w:val="24"/>
          <w:szCs w:val="24"/>
          <w:lang w:val="en-US"/>
        </w:rPr>
        <w:t xml:space="preserve">468. Salzwedel A, Jensen K, Rauch B, et al. Effectiveness of comprehensive cardiac rehabilitation in coronary artery disease patients treated according to contemporary evidence based medicine: update of the Cardiac Rehabilitation Outcome Study (CROS-II). </w:t>
      </w:r>
      <w:r w:rsidRPr="009B7337">
        <w:rPr>
          <w:rFonts w:ascii="Times New Roman" w:hAnsi="Times New Roman" w:cs="Times New Roman"/>
          <w:sz w:val="24"/>
          <w:szCs w:val="24"/>
          <w:lang w:val="en-US"/>
        </w:rPr>
        <w:t>Eur J Prev Cardiol. 2020;27:1756-74. https://doi.org/10.1177/2047487320905719.</w:t>
      </w:r>
    </w:p>
    <w:p w14:paraId="7552FE1D" w14:textId="77777777" w:rsidR="0085341D" w:rsidRPr="0085341D" w:rsidRDefault="009B7337" w:rsidP="00A419DB">
      <w:pPr>
        <w:tabs>
          <w:tab w:val="left" w:pos="786"/>
        </w:tabs>
        <w:suppressAutoHyphens/>
        <w:spacing w:after="60" w:line="360" w:lineRule="auto"/>
        <w:jc w:val="both"/>
        <w:rPr>
          <w:rFonts w:ascii="Times New Roman" w:hAnsi="Times New Roman" w:cs="Times New Roman"/>
          <w:sz w:val="24"/>
          <w:szCs w:val="24"/>
          <w:lang w:val="en-US"/>
        </w:rPr>
      </w:pPr>
      <w:r w:rsidRPr="009B7337">
        <w:rPr>
          <w:rFonts w:ascii="Times New Roman" w:hAnsi="Times New Roman" w:cs="Times New Roman" w:hint="eastAsia"/>
          <w:sz w:val="24"/>
          <w:szCs w:val="24"/>
          <w:lang w:val="en-US"/>
        </w:rPr>
        <w:t>469. van Halewijn G, Deckers J, Tay HY, et al. Lessons from contemporary trials of cardiovascular prevention and rehabilitation: a systematic review and meta-analysis. Int</w:t>
      </w:r>
      <w:r w:rsidRPr="00545863">
        <w:rPr>
          <w:rFonts w:ascii="Times New Roman" w:hAnsi="Times New Roman" w:cs="Times New Roman" w:hint="eastAsia"/>
          <w:sz w:val="24"/>
          <w:szCs w:val="24"/>
        </w:rPr>
        <w:t xml:space="preserve"> </w:t>
      </w:r>
      <w:r w:rsidRPr="009B7337">
        <w:rPr>
          <w:rFonts w:ascii="Times New Roman" w:hAnsi="Times New Roman" w:cs="Times New Roman" w:hint="eastAsia"/>
          <w:sz w:val="24"/>
          <w:szCs w:val="24"/>
          <w:lang w:val="en-US"/>
        </w:rPr>
        <w:t>J</w:t>
      </w:r>
      <w:r w:rsidRPr="00545863">
        <w:rPr>
          <w:rFonts w:ascii="Times New Roman" w:hAnsi="Times New Roman" w:cs="Times New Roman" w:hint="eastAsia"/>
          <w:sz w:val="24"/>
          <w:szCs w:val="24"/>
        </w:rPr>
        <w:t xml:space="preserve"> </w:t>
      </w:r>
      <w:r w:rsidRPr="009B7337">
        <w:rPr>
          <w:rFonts w:ascii="Times New Roman" w:hAnsi="Times New Roman" w:cs="Times New Roman" w:hint="eastAsia"/>
          <w:sz w:val="24"/>
          <w:szCs w:val="24"/>
          <w:lang w:val="en-US"/>
        </w:rPr>
        <w:t>Cardiol</w:t>
      </w:r>
      <w:r w:rsidRPr="00545863">
        <w:rPr>
          <w:rFonts w:ascii="Times New Roman" w:hAnsi="Times New Roman" w:cs="Times New Roman" w:hint="eastAsia"/>
          <w:sz w:val="24"/>
          <w:szCs w:val="24"/>
        </w:rPr>
        <w:t xml:space="preserve">. 2017;232:294-303. </w:t>
      </w:r>
      <w:r w:rsidRPr="009B7337">
        <w:rPr>
          <w:rFonts w:ascii="Times New Roman" w:hAnsi="Times New Roman" w:cs="Times New Roman" w:hint="eastAsia"/>
          <w:sz w:val="24"/>
          <w:szCs w:val="24"/>
          <w:lang w:val="en-US"/>
        </w:rPr>
        <w:t>https</w:t>
      </w:r>
      <w:r w:rsidRPr="00545863">
        <w:rPr>
          <w:rFonts w:ascii="Times New Roman" w:hAnsi="Times New Roman" w:cs="Times New Roman" w:hint="eastAsia"/>
          <w:sz w:val="24"/>
          <w:szCs w:val="24"/>
        </w:rPr>
        <w:t>://</w:t>
      </w:r>
      <w:r w:rsidRPr="009B7337">
        <w:rPr>
          <w:rFonts w:ascii="Times New Roman" w:hAnsi="Times New Roman" w:cs="Times New Roman" w:hint="eastAsia"/>
          <w:sz w:val="24"/>
          <w:szCs w:val="24"/>
          <w:lang w:val="en-US"/>
        </w:rPr>
        <w:t>doi</w:t>
      </w:r>
      <w:r w:rsidRPr="00545863">
        <w:rPr>
          <w:rFonts w:ascii="Times New Roman" w:hAnsi="Times New Roman" w:cs="Times New Roman" w:hint="eastAsia"/>
          <w:sz w:val="24"/>
          <w:szCs w:val="24"/>
        </w:rPr>
        <w:t>.</w:t>
      </w:r>
      <w:r w:rsidRPr="009B7337">
        <w:rPr>
          <w:rFonts w:ascii="Times New Roman" w:hAnsi="Times New Roman" w:cs="Times New Roman" w:hint="eastAsia"/>
          <w:sz w:val="24"/>
          <w:szCs w:val="24"/>
          <w:lang w:val="en-US"/>
        </w:rPr>
        <w:t>org</w:t>
      </w:r>
      <w:r w:rsidRPr="00545863">
        <w:rPr>
          <w:rFonts w:ascii="Times New Roman" w:hAnsi="Times New Roman" w:cs="Times New Roman" w:hint="eastAsia"/>
          <w:sz w:val="24"/>
          <w:szCs w:val="24"/>
        </w:rPr>
        <w:t>/10.1016/</w:t>
      </w:r>
      <w:r w:rsidRPr="009B7337">
        <w:rPr>
          <w:rFonts w:ascii="Times New Roman" w:hAnsi="Times New Roman" w:cs="Times New Roman" w:hint="eastAsia"/>
          <w:sz w:val="24"/>
          <w:szCs w:val="24"/>
          <w:lang w:val="en-US"/>
        </w:rPr>
        <w:t>j</w:t>
      </w:r>
      <w:r w:rsidRPr="00545863">
        <w:rPr>
          <w:rFonts w:ascii="Times New Roman" w:hAnsi="Times New Roman" w:cs="Times New Roman" w:hint="eastAsia"/>
          <w:sz w:val="24"/>
          <w:szCs w:val="24"/>
        </w:rPr>
        <w:t>.</w:t>
      </w:r>
      <w:r w:rsidRPr="009B7337">
        <w:rPr>
          <w:rFonts w:ascii="Times New Roman" w:hAnsi="Times New Roman" w:cs="Times New Roman" w:hint="eastAsia"/>
          <w:sz w:val="24"/>
          <w:szCs w:val="24"/>
          <w:lang w:val="en-US"/>
        </w:rPr>
        <w:t>ijcard</w:t>
      </w:r>
      <w:r w:rsidRPr="00545863">
        <w:rPr>
          <w:rFonts w:ascii="Times New Roman" w:hAnsi="Times New Roman" w:cs="Times New Roman" w:hint="eastAsia"/>
          <w:sz w:val="24"/>
          <w:szCs w:val="24"/>
        </w:rPr>
        <w:t>.2016.12.125.</w:t>
      </w:r>
      <w:r w:rsidR="0085341D" w:rsidRPr="00545863">
        <w:rPr>
          <w:rFonts w:ascii="Times New Roman" w:hAnsi="Times New Roman" w:cs="Times New Roman"/>
          <w:sz w:val="24"/>
          <w:szCs w:val="24"/>
        </w:rPr>
        <w:t xml:space="preserve">470. </w:t>
      </w:r>
      <w:r w:rsidR="0085341D" w:rsidRPr="0085341D">
        <w:rPr>
          <w:rFonts w:ascii="Times New Roman" w:hAnsi="Times New Roman" w:cs="Times New Roman"/>
          <w:sz w:val="24"/>
          <w:szCs w:val="24"/>
        </w:rPr>
        <w:t>Аронов Д. М., Красницкий В. Б., Бубнова М. Г. и др. Влияние физических тренировок на физическую работоспособность, гемодинамику, липиды крови, клиническое течение и прогноз у больных ишемической болезнью сердца после острых коронарных событий при комплексной реабилитации и вторичной профилактике на амбулаторно-поликлиническом этапе (Российское кооперативное исследование). Кардиология</w:t>
      </w:r>
      <w:r w:rsidR="0085341D" w:rsidRPr="0085341D">
        <w:rPr>
          <w:rFonts w:ascii="Times New Roman" w:hAnsi="Times New Roman" w:cs="Times New Roman"/>
          <w:sz w:val="24"/>
          <w:szCs w:val="24"/>
          <w:lang w:val="en-US"/>
        </w:rPr>
        <w:t>. 2009;(3):49-56.</w:t>
      </w:r>
    </w:p>
    <w:p w14:paraId="0BEB8F9B" w14:textId="77777777" w:rsidR="00DC531A" w:rsidRPr="00DC531A" w:rsidRDefault="00DC531A" w:rsidP="00A419DB">
      <w:pPr>
        <w:tabs>
          <w:tab w:val="left" w:pos="786"/>
        </w:tabs>
        <w:suppressAutoHyphens/>
        <w:spacing w:after="60" w:line="360" w:lineRule="auto"/>
        <w:jc w:val="both"/>
        <w:rPr>
          <w:rFonts w:ascii="Times New Roman" w:hAnsi="Times New Roman" w:cs="Times New Roman"/>
          <w:sz w:val="24"/>
          <w:szCs w:val="24"/>
          <w:lang w:val="en-US"/>
        </w:rPr>
      </w:pPr>
      <w:r w:rsidRPr="00DC531A">
        <w:rPr>
          <w:rFonts w:ascii="Times New Roman" w:hAnsi="Times New Roman" w:cs="Times New Roman" w:hint="eastAsia"/>
          <w:sz w:val="24"/>
          <w:szCs w:val="24"/>
          <w:lang w:val="en-US"/>
        </w:rPr>
        <w:t>471. Frederix I, Vanhees L, Dendale P, Goetschalckx K. A review of telerehabilitation for cardiac patients. J Telemed Telecare. 2015;21:45-53. https://doi.org/10.1177/1357633x14562732.</w:t>
      </w:r>
    </w:p>
    <w:p w14:paraId="66F0E487" w14:textId="77777777" w:rsidR="00DC531A" w:rsidRPr="00F52FCA" w:rsidRDefault="00DC531A" w:rsidP="00A419DB">
      <w:pPr>
        <w:tabs>
          <w:tab w:val="left" w:pos="786"/>
        </w:tabs>
        <w:suppressAutoHyphens/>
        <w:spacing w:after="60" w:line="360" w:lineRule="auto"/>
        <w:jc w:val="both"/>
        <w:rPr>
          <w:rFonts w:ascii="Times New Roman" w:hAnsi="Times New Roman" w:cs="Times New Roman"/>
          <w:sz w:val="24"/>
          <w:szCs w:val="24"/>
          <w:lang w:val="fr-FR"/>
        </w:rPr>
      </w:pPr>
      <w:r w:rsidRPr="00DC531A">
        <w:rPr>
          <w:rFonts w:ascii="Times New Roman" w:hAnsi="Times New Roman" w:cs="Times New Roman" w:hint="eastAsia"/>
          <w:sz w:val="24"/>
          <w:szCs w:val="24"/>
          <w:lang w:val="en-US"/>
        </w:rPr>
        <w:t xml:space="preserve">472. Thomas RJ, Beatty AL, Beckle TM, et al. Home-based cardiac rehabilitation: a scientific statement from the American Association of Cardiovascular and Pulmonary Rehabilitation, the American Heart Association, and the American College of Cardiology. </w:t>
      </w:r>
      <w:r w:rsidRPr="00F52FCA">
        <w:rPr>
          <w:rFonts w:ascii="Times New Roman" w:hAnsi="Times New Roman" w:cs="Times New Roman" w:hint="eastAsia"/>
          <w:sz w:val="24"/>
          <w:szCs w:val="24"/>
          <w:lang w:val="fr-FR"/>
        </w:rPr>
        <w:t>Ci</w:t>
      </w:r>
      <w:r w:rsidRPr="00F52FCA">
        <w:rPr>
          <w:rFonts w:ascii="Times New Roman" w:hAnsi="Times New Roman" w:cs="Times New Roman"/>
          <w:sz w:val="24"/>
          <w:szCs w:val="24"/>
          <w:lang w:val="fr-FR"/>
        </w:rPr>
        <w:t>rculation. 2019;140:e69-e89. https://doi.org/10.1161/CIR.0000000000000663.</w:t>
      </w:r>
    </w:p>
    <w:p w14:paraId="427C0A3A" w14:textId="77777777" w:rsidR="00DC531A" w:rsidRPr="00DC531A" w:rsidRDefault="00DC531A"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473. Moulson N, Bewick D, Selway T, et al. </w:t>
      </w:r>
      <w:r w:rsidRPr="00DC531A">
        <w:rPr>
          <w:rFonts w:ascii="Times New Roman" w:hAnsi="Times New Roman" w:cs="Times New Roman" w:hint="eastAsia"/>
          <w:sz w:val="24"/>
          <w:szCs w:val="24"/>
          <w:lang w:val="en-US"/>
        </w:rPr>
        <w:t>Cardiac Rehabilitation During the COVID-19 Era: Guidance on Implementing Virtual Care. Can J Cardiol. 2020;36(8):1317-21. https://doi.org/10.1016/j.cjca.2020.06.006.</w:t>
      </w:r>
    </w:p>
    <w:p w14:paraId="2BA11E3A" w14:textId="77777777" w:rsidR="00DC531A" w:rsidRPr="00DC531A" w:rsidRDefault="00DC531A" w:rsidP="00A419DB">
      <w:pPr>
        <w:tabs>
          <w:tab w:val="left" w:pos="786"/>
        </w:tabs>
        <w:suppressAutoHyphens/>
        <w:spacing w:after="60" w:line="360" w:lineRule="auto"/>
        <w:jc w:val="both"/>
        <w:rPr>
          <w:rFonts w:ascii="Times New Roman" w:hAnsi="Times New Roman" w:cs="Times New Roman"/>
          <w:sz w:val="24"/>
          <w:szCs w:val="24"/>
          <w:lang w:val="en-US"/>
        </w:rPr>
      </w:pPr>
      <w:r w:rsidRPr="00DC531A">
        <w:rPr>
          <w:rFonts w:ascii="Times New Roman" w:hAnsi="Times New Roman" w:cs="Times New Roman" w:hint="eastAsia"/>
          <w:sz w:val="24"/>
          <w:szCs w:val="24"/>
          <w:lang w:val="en-US"/>
        </w:rPr>
        <w:t xml:space="preserve">474. Abreu A, Frederix I, Dendale P, et al. Standardization and quality improvement of secondary prevention through cardiovascular rehabilitation programmes in Europe: the avenue towards </w:t>
      </w:r>
      <w:r w:rsidRPr="00DC531A">
        <w:rPr>
          <w:rFonts w:ascii="Times New Roman" w:hAnsi="Times New Roman" w:cs="Times New Roman" w:hint="eastAsia"/>
          <w:sz w:val="24"/>
          <w:szCs w:val="24"/>
          <w:lang w:val="en-US"/>
        </w:rPr>
        <w:lastRenderedPageBreak/>
        <w:t xml:space="preserve">EAPC accreditation programme: a position statement of the Secondary </w:t>
      </w:r>
      <w:r w:rsidRPr="00DC531A">
        <w:rPr>
          <w:rFonts w:ascii="Times New Roman" w:hAnsi="Times New Roman" w:cs="Times New Roman"/>
          <w:sz w:val="24"/>
          <w:szCs w:val="24"/>
          <w:lang w:val="en-US"/>
        </w:rPr>
        <w:t>Prevention and Rehabilitation Section of the European Association of Preventive Cardiology (EAPC). Eur J Prev Cardiol. 2020;28:496-509. https://doi.org/10.1177/2047487320924912.</w:t>
      </w:r>
    </w:p>
    <w:p w14:paraId="5F1151AA" w14:textId="77777777" w:rsidR="00DC531A" w:rsidRPr="00DC531A" w:rsidRDefault="00DC531A" w:rsidP="00A419DB">
      <w:pPr>
        <w:tabs>
          <w:tab w:val="left" w:pos="786"/>
        </w:tabs>
        <w:suppressAutoHyphens/>
        <w:spacing w:after="60" w:line="360" w:lineRule="auto"/>
        <w:jc w:val="both"/>
        <w:rPr>
          <w:rFonts w:ascii="Times New Roman" w:hAnsi="Times New Roman" w:cs="Times New Roman"/>
          <w:sz w:val="24"/>
          <w:szCs w:val="24"/>
          <w:lang w:val="en-US"/>
        </w:rPr>
      </w:pPr>
      <w:r w:rsidRPr="00DC531A">
        <w:rPr>
          <w:rFonts w:ascii="Times New Roman" w:hAnsi="Times New Roman" w:cs="Times New Roman" w:hint="eastAsia"/>
          <w:sz w:val="24"/>
          <w:szCs w:val="24"/>
          <w:lang w:val="en-US"/>
        </w:rPr>
        <w:t>475. Dibben G, Faulkner J, Oldridge N, et al. Exercise-based cardiac rehabilitation for coronary heart disease. Cochrane Database Syst Rev. 2021;11:Cd001800. https://doi.org/10.1002/14651858.CD001800.pub4.</w:t>
      </w:r>
    </w:p>
    <w:p w14:paraId="3676C23F" w14:textId="77777777" w:rsidR="005A7C2B" w:rsidRPr="005A7C2B" w:rsidRDefault="005A7C2B" w:rsidP="00A419DB">
      <w:pPr>
        <w:tabs>
          <w:tab w:val="left" w:pos="786"/>
        </w:tabs>
        <w:suppressAutoHyphens/>
        <w:spacing w:after="60" w:line="360" w:lineRule="auto"/>
        <w:jc w:val="both"/>
        <w:rPr>
          <w:rFonts w:ascii="Times New Roman" w:hAnsi="Times New Roman" w:cs="Times New Roman"/>
          <w:sz w:val="24"/>
          <w:szCs w:val="24"/>
        </w:rPr>
      </w:pPr>
      <w:r w:rsidRPr="00545863">
        <w:rPr>
          <w:rFonts w:ascii="Times New Roman" w:hAnsi="Times New Roman" w:cs="Times New Roman"/>
          <w:sz w:val="24"/>
          <w:szCs w:val="24"/>
          <w:lang w:val="en-US"/>
        </w:rPr>
        <w:t xml:space="preserve">476. </w:t>
      </w:r>
      <w:r w:rsidRPr="005A7C2B">
        <w:rPr>
          <w:rFonts w:ascii="Times New Roman" w:hAnsi="Times New Roman" w:cs="Times New Roman"/>
          <w:sz w:val="24"/>
          <w:szCs w:val="24"/>
        </w:rPr>
        <w:t>Иванова</w:t>
      </w:r>
      <w:r w:rsidRPr="00545863">
        <w:rPr>
          <w:rFonts w:ascii="Times New Roman" w:hAnsi="Times New Roman" w:cs="Times New Roman"/>
          <w:sz w:val="24"/>
          <w:szCs w:val="24"/>
          <w:lang w:val="en-US"/>
        </w:rPr>
        <w:t xml:space="preserve"> </w:t>
      </w:r>
      <w:r w:rsidRPr="005A7C2B">
        <w:rPr>
          <w:rFonts w:ascii="Times New Roman" w:hAnsi="Times New Roman" w:cs="Times New Roman"/>
          <w:sz w:val="24"/>
          <w:szCs w:val="24"/>
        </w:rPr>
        <w:t>Г</w:t>
      </w:r>
      <w:r w:rsidRPr="00545863">
        <w:rPr>
          <w:rFonts w:ascii="Times New Roman" w:hAnsi="Times New Roman" w:cs="Times New Roman"/>
          <w:sz w:val="24"/>
          <w:szCs w:val="24"/>
          <w:lang w:val="en-US"/>
        </w:rPr>
        <w:t>.</w:t>
      </w:r>
      <w:r w:rsidRPr="005A7C2B">
        <w:rPr>
          <w:rFonts w:ascii="Times New Roman" w:hAnsi="Times New Roman" w:cs="Times New Roman"/>
          <w:sz w:val="24"/>
          <w:szCs w:val="24"/>
        </w:rPr>
        <w:t>Е</w:t>
      </w:r>
      <w:r w:rsidRPr="00545863">
        <w:rPr>
          <w:rFonts w:ascii="Times New Roman" w:hAnsi="Times New Roman" w:cs="Times New Roman"/>
          <w:sz w:val="24"/>
          <w:szCs w:val="24"/>
          <w:lang w:val="en-US"/>
        </w:rPr>
        <w:t xml:space="preserve">., </w:t>
      </w:r>
      <w:r w:rsidRPr="005A7C2B">
        <w:rPr>
          <w:rFonts w:ascii="Times New Roman" w:hAnsi="Times New Roman" w:cs="Times New Roman"/>
          <w:sz w:val="24"/>
          <w:szCs w:val="24"/>
        </w:rPr>
        <w:t>Мельникова</w:t>
      </w:r>
      <w:r w:rsidRPr="00545863">
        <w:rPr>
          <w:rFonts w:ascii="Times New Roman" w:hAnsi="Times New Roman" w:cs="Times New Roman"/>
          <w:sz w:val="24"/>
          <w:szCs w:val="24"/>
          <w:lang w:val="en-US"/>
        </w:rPr>
        <w:t xml:space="preserve"> </w:t>
      </w:r>
      <w:r w:rsidRPr="005A7C2B">
        <w:rPr>
          <w:rFonts w:ascii="Times New Roman" w:hAnsi="Times New Roman" w:cs="Times New Roman"/>
          <w:sz w:val="24"/>
          <w:szCs w:val="24"/>
        </w:rPr>
        <w:t>Е</w:t>
      </w:r>
      <w:r w:rsidRPr="00545863">
        <w:rPr>
          <w:rFonts w:ascii="Times New Roman" w:hAnsi="Times New Roman" w:cs="Times New Roman"/>
          <w:sz w:val="24"/>
          <w:szCs w:val="24"/>
          <w:lang w:val="en-US"/>
        </w:rPr>
        <w:t>.</w:t>
      </w:r>
      <w:r w:rsidRPr="005A7C2B">
        <w:rPr>
          <w:rFonts w:ascii="Times New Roman" w:hAnsi="Times New Roman" w:cs="Times New Roman"/>
          <w:sz w:val="24"/>
          <w:szCs w:val="24"/>
        </w:rPr>
        <w:t>В</w:t>
      </w:r>
      <w:r w:rsidRPr="00545863">
        <w:rPr>
          <w:rFonts w:ascii="Times New Roman" w:hAnsi="Times New Roman" w:cs="Times New Roman"/>
          <w:sz w:val="24"/>
          <w:szCs w:val="24"/>
          <w:lang w:val="en-US"/>
        </w:rPr>
        <w:t xml:space="preserve">., </w:t>
      </w:r>
      <w:r w:rsidRPr="005A7C2B">
        <w:rPr>
          <w:rFonts w:ascii="Times New Roman" w:hAnsi="Times New Roman" w:cs="Times New Roman"/>
          <w:sz w:val="24"/>
          <w:szCs w:val="24"/>
        </w:rPr>
        <w:t>Шмонин</w:t>
      </w:r>
      <w:r w:rsidRPr="00545863">
        <w:rPr>
          <w:rFonts w:ascii="Times New Roman" w:hAnsi="Times New Roman" w:cs="Times New Roman"/>
          <w:sz w:val="24"/>
          <w:szCs w:val="24"/>
          <w:lang w:val="en-US"/>
        </w:rPr>
        <w:t xml:space="preserve"> </w:t>
      </w:r>
      <w:r w:rsidRPr="005A7C2B">
        <w:rPr>
          <w:rFonts w:ascii="Times New Roman" w:hAnsi="Times New Roman" w:cs="Times New Roman"/>
          <w:sz w:val="24"/>
          <w:szCs w:val="24"/>
        </w:rPr>
        <w:t>А</w:t>
      </w:r>
      <w:r w:rsidRPr="00545863">
        <w:rPr>
          <w:rFonts w:ascii="Times New Roman" w:hAnsi="Times New Roman" w:cs="Times New Roman"/>
          <w:sz w:val="24"/>
          <w:szCs w:val="24"/>
          <w:lang w:val="en-US"/>
        </w:rPr>
        <w:t>.</w:t>
      </w:r>
      <w:r w:rsidRPr="005A7C2B">
        <w:rPr>
          <w:rFonts w:ascii="Times New Roman" w:hAnsi="Times New Roman" w:cs="Times New Roman"/>
          <w:sz w:val="24"/>
          <w:szCs w:val="24"/>
        </w:rPr>
        <w:t>А</w:t>
      </w:r>
      <w:r w:rsidRPr="00545863">
        <w:rPr>
          <w:rFonts w:ascii="Times New Roman" w:hAnsi="Times New Roman" w:cs="Times New Roman"/>
          <w:sz w:val="24"/>
          <w:szCs w:val="24"/>
          <w:lang w:val="en-US"/>
        </w:rPr>
        <w:t xml:space="preserve">. </w:t>
      </w:r>
      <w:r w:rsidRPr="005A7C2B">
        <w:rPr>
          <w:rFonts w:ascii="Times New Roman" w:hAnsi="Times New Roman" w:cs="Times New Roman"/>
          <w:sz w:val="24"/>
          <w:szCs w:val="24"/>
        </w:rPr>
        <w:t>и</w:t>
      </w:r>
      <w:r w:rsidRPr="00545863">
        <w:rPr>
          <w:rFonts w:ascii="Times New Roman" w:hAnsi="Times New Roman" w:cs="Times New Roman"/>
          <w:sz w:val="24"/>
          <w:szCs w:val="24"/>
          <w:lang w:val="en-US"/>
        </w:rPr>
        <w:t xml:space="preserve"> </w:t>
      </w:r>
      <w:r w:rsidRPr="005A7C2B">
        <w:rPr>
          <w:rFonts w:ascii="Times New Roman" w:hAnsi="Times New Roman" w:cs="Times New Roman"/>
          <w:sz w:val="24"/>
          <w:szCs w:val="24"/>
        </w:rPr>
        <w:t>др</w:t>
      </w:r>
      <w:r w:rsidRPr="00545863">
        <w:rPr>
          <w:rFonts w:ascii="Times New Roman" w:hAnsi="Times New Roman" w:cs="Times New Roman"/>
          <w:sz w:val="24"/>
          <w:szCs w:val="24"/>
          <w:lang w:val="en-US"/>
        </w:rPr>
        <w:t xml:space="preserve">. </w:t>
      </w:r>
      <w:r w:rsidRPr="005A7C2B">
        <w:rPr>
          <w:rFonts w:ascii="Times New Roman" w:hAnsi="Times New Roman" w:cs="Times New Roman"/>
          <w:sz w:val="24"/>
          <w:szCs w:val="24"/>
        </w:rPr>
        <w:t>Применение международной классификации функционирования в процессе медицинской реабилитации. Вестник восстановительной медицины. 2018;(6):2-77.</w:t>
      </w:r>
    </w:p>
    <w:p w14:paraId="0506BC6A" w14:textId="77777777" w:rsidR="005A7C2B" w:rsidRPr="005A7C2B" w:rsidRDefault="005A7C2B" w:rsidP="00A419DB">
      <w:pPr>
        <w:tabs>
          <w:tab w:val="left" w:pos="786"/>
        </w:tabs>
        <w:suppressAutoHyphens/>
        <w:spacing w:after="60" w:line="360" w:lineRule="auto"/>
        <w:jc w:val="both"/>
        <w:rPr>
          <w:rFonts w:ascii="Times New Roman" w:hAnsi="Times New Roman" w:cs="Times New Roman"/>
          <w:sz w:val="24"/>
          <w:szCs w:val="24"/>
        </w:rPr>
      </w:pPr>
      <w:r w:rsidRPr="005A7C2B">
        <w:rPr>
          <w:rFonts w:ascii="Times New Roman" w:hAnsi="Times New Roman" w:cs="Times New Roman"/>
          <w:sz w:val="24"/>
          <w:szCs w:val="24"/>
        </w:rPr>
        <w:t>477. Бубнова М. Г., Аронов Д. М. Кардиореабилитация: этапы, принципы и международная классификация функционирования. Профилактическая медицина. 2020:23(5):40-9. </w:t>
      </w:r>
      <w:hyperlink r:id="rId322" w:tgtFrame="blank" w:history="1">
        <w:r w:rsidRPr="005A7C2B">
          <w:rPr>
            <w:rStyle w:val="a6"/>
            <w:rFonts w:ascii="Times New Roman" w:hAnsi="Times New Roman" w:cs="Times New Roman"/>
            <w:sz w:val="24"/>
            <w:szCs w:val="24"/>
          </w:rPr>
          <w:t>https://doi.org/10.17116/profmed20202305140.</w:t>
        </w:r>
      </w:hyperlink>
    </w:p>
    <w:p w14:paraId="6E76D398" w14:textId="77777777" w:rsidR="00DC531A" w:rsidRPr="00DC531A" w:rsidRDefault="00DC531A" w:rsidP="00A419DB">
      <w:pPr>
        <w:tabs>
          <w:tab w:val="left" w:pos="786"/>
        </w:tabs>
        <w:suppressAutoHyphens/>
        <w:spacing w:after="60" w:line="360" w:lineRule="auto"/>
        <w:jc w:val="both"/>
        <w:rPr>
          <w:rFonts w:ascii="Times New Roman" w:hAnsi="Times New Roman" w:cs="Times New Roman"/>
          <w:sz w:val="24"/>
          <w:szCs w:val="24"/>
          <w:lang w:val="en-US"/>
        </w:rPr>
      </w:pPr>
      <w:r w:rsidRPr="00A44531">
        <w:rPr>
          <w:rFonts w:ascii="Times New Roman" w:hAnsi="Times New Roman" w:cs="Times New Roman" w:hint="eastAsia"/>
          <w:sz w:val="24"/>
          <w:szCs w:val="24"/>
        </w:rPr>
        <w:t xml:space="preserve">478. </w:t>
      </w:r>
      <w:r w:rsidRPr="005A7C2B">
        <w:rPr>
          <w:rFonts w:ascii="Times New Roman" w:hAnsi="Times New Roman" w:cs="Times New Roman" w:hint="eastAsia"/>
          <w:sz w:val="24"/>
          <w:szCs w:val="24"/>
          <w:lang w:val="en-US"/>
        </w:rPr>
        <w:t>GuazziM</w:t>
      </w:r>
      <w:r w:rsidRPr="00A44531">
        <w:rPr>
          <w:rFonts w:ascii="Times New Roman" w:hAnsi="Times New Roman" w:cs="Times New Roman" w:hint="eastAsia"/>
          <w:sz w:val="24"/>
          <w:szCs w:val="24"/>
        </w:rPr>
        <w:t xml:space="preserve">, </w:t>
      </w:r>
      <w:r w:rsidRPr="005A7C2B">
        <w:rPr>
          <w:rFonts w:ascii="Times New Roman" w:hAnsi="Times New Roman" w:cs="Times New Roman" w:hint="eastAsia"/>
          <w:sz w:val="24"/>
          <w:szCs w:val="24"/>
          <w:lang w:val="en-US"/>
        </w:rPr>
        <w:t>AdamsV</w:t>
      </w:r>
      <w:r w:rsidRPr="00A44531">
        <w:rPr>
          <w:rFonts w:ascii="Times New Roman" w:hAnsi="Times New Roman" w:cs="Times New Roman" w:hint="eastAsia"/>
          <w:sz w:val="24"/>
          <w:szCs w:val="24"/>
        </w:rPr>
        <w:t xml:space="preserve">, </w:t>
      </w:r>
      <w:r w:rsidRPr="005A7C2B">
        <w:rPr>
          <w:rFonts w:ascii="Times New Roman" w:hAnsi="Times New Roman" w:cs="Times New Roman" w:hint="eastAsia"/>
          <w:sz w:val="24"/>
          <w:szCs w:val="24"/>
          <w:lang w:val="en-US"/>
        </w:rPr>
        <w:t>ConraadsV</w:t>
      </w:r>
      <w:r w:rsidRPr="00A44531">
        <w:rPr>
          <w:rFonts w:ascii="Times New Roman" w:hAnsi="Times New Roman" w:cs="Times New Roman" w:hint="eastAsia"/>
          <w:sz w:val="24"/>
          <w:szCs w:val="24"/>
        </w:rPr>
        <w:t xml:space="preserve">, </w:t>
      </w:r>
      <w:r w:rsidRPr="005A7C2B">
        <w:rPr>
          <w:rFonts w:ascii="Times New Roman" w:hAnsi="Times New Roman" w:cs="Times New Roman" w:hint="eastAsia"/>
          <w:sz w:val="24"/>
          <w:szCs w:val="24"/>
          <w:lang w:val="en-US"/>
        </w:rPr>
        <w:t>etal</w:t>
      </w:r>
      <w:r w:rsidRPr="00A44531">
        <w:rPr>
          <w:rFonts w:ascii="Times New Roman" w:hAnsi="Times New Roman" w:cs="Times New Roman" w:hint="eastAsia"/>
          <w:sz w:val="24"/>
          <w:szCs w:val="24"/>
        </w:rPr>
        <w:t xml:space="preserve">. </w:t>
      </w:r>
      <w:r w:rsidRPr="00DC531A">
        <w:rPr>
          <w:rFonts w:ascii="Times New Roman" w:hAnsi="Times New Roman" w:cs="Times New Roman" w:hint="eastAsia"/>
          <w:sz w:val="24"/>
          <w:szCs w:val="24"/>
          <w:lang w:val="en-US"/>
        </w:rPr>
        <w:t>European Association for Cardiovascular Prevention &amp; Rehabilitation; American Heart Association. EACPR/AHA Scientific Statement. Clinical recommendations for cardiopulmonary exercise testing data assessment in sp</w:t>
      </w:r>
      <w:r w:rsidRPr="00DC531A">
        <w:rPr>
          <w:rFonts w:ascii="Times New Roman" w:hAnsi="Times New Roman" w:cs="Times New Roman"/>
          <w:sz w:val="24"/>
          <w:szCs w:val="24"/>
          <w:lang w:val="en-US"/>
        </w:rPr>
        <w:t>ecific patient populations. Circulation. 2012;126(18):2261-74. https://doi.org/10.1161/CIR.0b013e31826fb946.</w:t>
      </w:r>
    </w:p>
    <w:p w14:paraId="5FA06B0C" w14:textId="77777777" w:rsidR="00DC531A" w:rsidRPr="00DC531A" w:rsidRDefault="00DC531A" w:rsidP="00A419DB">
      <w:pPr>
        <w:tabs>
          <w:tab w:val="left" w:pos="786"/>
        </w:tabs>
        <w:suppressAutoHyphens/>
        <w:spacing w:after="60" w:line="360" w:lineRule="auto"/>
        <w:jc w:val="both"/>
        <w:rPr>
          <w:rFonts w:ascii="Times New Roman" w:hAnsi="Times New Roman" w:cs="Times New Roman"/>
          <w:sz w:val="24"/>
          <w:szCs w:val="24"/>
          <w:lang w:val="en-US"/>
        </w:rPr>
      </w:pPr>
      <w:r w:rsidRPr="00DC531A">
        <w:rPr>
          <w:rFonts w:ascii="Times New Roman" w:hAnsi="Times New Roman" w:cs="Times New Roman" w:hint="eastAsia"/>
          <w:sz w:val="24"/>
          <w:szCs w:val="24"/>
          <w:lang w:val="en-US"/>
        </w:rPr>
        <w:t xml:space="preserve">479. Fletcher GF, Ades PA, Kligfield P, et al.; American Heart Association Exercise, Cardiac Rehabilitation, and Prevention Committee of the Council on Clinical Cardiology, Council on Nutrition, Physical Activity and Metabolism, Council on Cardiovascular </w:t>
      </w:r>
      <w:r w:rsidRPr="00DC531A">
        <w:rPr>
          <w:rFonts w:ascii="Times New Roman" w:hAnsi="Times New Roman" w:cs="Times New Roman"/>
          <w:sz w:val="24"/>
          <w:szCs w:val="24"/>
          <w:lang w:val="en-US"/>
        </w:rPr>
        <w:t>and Stroke Nursing, and Council on Epidemiology and Prevention. Exercise standards for testing and training: a scientific statement from the American Heart Association. Circulation. 2013;128(8):873-934. https://doi.org/10.1161/CIR.0b013e31829b5b44.</w:t>
      </w:r>
    </w:p>
    <w:p w14:paraId="28379CE1" w14:textId="77777777" w:rsidR="00DC531A" w:rsidRPr="00DC531A" w:rsidRDefault="00DC531A" w:rsidP="00A419DB">
      <w:pPr>
        <w:tabs>
          <w:tab w:val="left" w:pos="786"/>
        </w:tabs>
        <w:suppressAutoHyphens/>
        <w:spacing w:after="60" w:line="360" w:lineRule="auto"/>
        <w:jc w:val="both"/>
        <w:rPr>
          <w:rFonts w:ascii="Times New Roman" w:hAnsi="Times New Roman" w:cs="Times New Roman"/>
          <w:sz w:val="24"/>
          <w:szCs w:val="24"/>
          <w:lang w:val="en-US"/>
        </w:rPr>
      </w:pPr>
      <w:r w:rsidRPr="00DC531A">
        <w:rPr>
          <w:rFonts w:ascii="Times New Roman" w:hAnsi="Times New Roman" w:cs="Times New Roman" w:hint="eastAsia"/>
          <w:sz w:val="24"/>
          <w:szCs w:val="24"/>
          <w:lang w:val="en-US"/>
        </w:rPr>
        <w:t>480. Long L, Anderson L, He J, et al. Exercise-based cardiac rehabilitation for stable angina: Systematic review and meta-analysis. Open Heart. 2019;6:e000989.</w:t>
      </w:r>
    </w:p>
    <w:p w14:paraId="788A1E54" w14:textId="77777777" w:rsidR="00DC531A" w:rsidRPr="00F6333D" w:rsidRDefault="00DC531A" w:rsidP="00A419DB">
      <w:pPr>
        <w:tabs>
          <w:tab w:val="left" w:pos="786"/>
        </w:tabs>
        <w:suppressAutoHyphens/>
        <w:spacing w:after="60" w:line="360" w:lineRule="auto"/>
        <w:jc w:val="both"/>
        <w:rPr>
          <w:rFonts w:ascii="Times New Roman" w:hAnsi="Times New Roman" w:cs="Times New Roman"/>
          <w:sz w:val="24"/>
          <w:szCs w:val="24"/>
          <w:lang w:val="en-US"/>
        </w:rPr>
      </w:pPr>
      <w:r w:rsidRPr="00DC531A">
        <w:rPr>
          <w:rFonts w:ascii="Times New Roman" w:hAnsi="Times New Roman" w:cs="Times New Roman" w:hint="eastAsia"/>
          <w:sz w:val="24"/>
          <w:szCs w:val="24"/>
          <w:lang w:val="en-US"/>
        </w:rPr>
        <w:t xml:space="preserve">481. Fidalgo ASF, Farinatti P, Borges JP, et al. Institutional Guidelines for Resistance Exercise Training in Cardiovascular Disease: A Systematic Review. </w:t>
      </w:r>
      <w:r w:rsidRPr="00F6333D">
        <w:rPr>
          <w:rFonts w:ascii="Times New Roman" w:hAnsi="Times New Roman" w:cs="Times New Roman" w:hint="eastAsia"/>
          <w:sz w:val="24"/>
          <w:szCs w:val="24"/>
          <w:lang w:val="en-US"/>
        </w:rPr>
        <w:t>Sports Med. 2019;49:463-75.</w:t>
      </w:r>
    </w:p>
    <w:p w14:paraId="65BA7E5D" w14:textId="77777777" w:rsidR="00DC531A" w:rsidRPr="00DC531A" w:rsidRDefault="00DC531A" w:rsidP="00A419DB">
      <w:pPr>
        <w:tabs>
          <w:tab w:val="left" w:pos="786"/>
        </w:tabs>
        <w:suppressAutoHyphens/>
        <w:spacing w:after="60" w:line="360" w:lineRule="auto"/>
        <w:jc w:val="both"/>
        <w:rPr>
          <w:rFonts w:ascii="Times New Roman" w:hAnsi="Times New Roman" w:cs="Times New Roman"/>
          <w:sz w:val="24"/>
          <w:szCs w:val="24"/>
        </w:rPr>
      </w:pPr>
      <w:r w:rsidRPr="00DC531A">
        <w:rPr>
          <w:rFonts w:ascii="Times New Roman" w:hAnsi="Times New Roman" w:cs="Times New Roman" w:hint="eastAsia"/>
          <w:sz w:val="24"/>
          <w:szCs w:val="24"/>
          <w:lang w:val="en-US"/>
        </w:rPr>
        <w:t xml:space="preserve">482. Lawler PR, Filion KB, Eisenberg MJ. Efficacy of exercise-based cardiac rehabilitation postmyocardial infarction: A systematic review and meta-analysis of randomized controlled trials. </w:t>
      </w:r>
      <w:r w:rsidRPr="00DC531A">
        <w:rPr>
          <w:rFonts w:ascii="Times New Roman" w:hAnsi="Times New Roman" w:cs="Times New Roman" w:hint="eastAsia"/>
          <w:sz w:val="24"/>
          <w:szCs w:val="24"/>
        </w:rPr>
        <w:t>Am Heart J. 2011;162:571-84.</w:t>
      </w:r>
      <w:r w:rsidRPr="00DC531A">
        <w:rPr>
          <w:rFonts w:ascii="Times New Roman" w:hAnsi="Times New Roman" w:cs="Times New Roman"/>
          <w:sz w:val="24"/>
          <w:szCs w:val="24"/>
        </w:rPr>
        <w:t>483. Аронов Д. М., Бубнова М. Г., Барбараш О. Л. и др. Острый инфаркт миокарда с подъемом сегмента ST электрокардиограммы: реабилитация и вторичная профилактика. Российский кардиологический журнал. 2015;(1):6-52. </w:t>
      </w:r>
      <w:hyperlink r:id="rId323" w:tgtFrame="blank" w:history="1">
        <w:r w:rsidRPr="00DC531A">
          <w:rPr>
            <w:rStyle w:val="a6"/>
            <w:rFonts w:ascii="Times New Roman" w:hAnsi="Times New Roman" w:cs="Times New Roman"/>
            <w:sz w:val="24"/>
            <w:szCs w:val="24"/>
          </w:rPr>
          <w:t>https://doi.org/10.15829/1560-4071-2015-1-6-52.</w:t>
        </w:r>
      </w:hyperlink>
    </w:p>
    <w:p w14:paraId="3E8EADBF" w14:textId="77777777" w:rsidR="00A05B1B" w:rsidRPr="00A05B1B" w:rsidRDefault="00A05B1B" w:rsidP="00A419DB">
      <w:pPr>
        <w:tabs>
          <w:tab w:val="left" w:pos="786"/>
        </w:tabs>
        <w:suppressAutoHyphens/>
        <w:spacing w:after="60" w:line="360" w:lineRule="auto"/>
        <w:jc w:val="both"/>
        <w:rPr>
          <w:rFonts w:ascii="Times New Roman" w:hAnsi="Times New Roman" w:cs="Times New Roman"/>
          <w:sz w:val="24"/>
          <w:szCs w:val="24"/>
        </w:rPr>
      </w:pPr>
      <w:r w:rsidRPr="00A05B1B">
        <w:rPr>
          <w:rFonts w:ascii="Times New Roman" w:hAnsi="Times New Roman" w:cs="Times New Roman"/>
          <w:sz w:val="24"/>
          <w:szCs w:val="24"/>
        </w:rPr>
        <w:lastRenderedPageBreak/>
        <w:t>52. https://doi.org/10.15829/1560-4071-2015-1-6-52.</w:t>
      </w:r>
    </w:p>
    <w:p w14:paraId="02AC4AD0" w14:textId="77777777" w:rsidR="00DC531A" w:rsidRPr="00F52FCA" w:rsidRDefault="00DC531A" w:rsidP="00A419DB">
      <w:pPr>
        <w:tabs>
          <w:tab w:val="left" w:pos="786"/>
        </w:tabs>
        <w:suppressAutoHyphens/>
        <w:spacing w:after="60" w:line="360" w:lineRule="auto"/>
        <w:jc w:val="both"/>
        <w:rPr>
          <w:rFonts w:ascii="Times New Roman" w:hAnsi="Times New Roman" w:cs="Times New Roman"/>
          <w:sz w:val="24"/>
          <w:szCs w:val="24"/>
          <w:lang w:val="fr-FR"/>
        </w:rPr>
      </w:pPr>
      <w:r w:rsidRPr="00DC531A">
        <w:rPr>
          <w:rFonts w:ascii="Times New Roman" w:hAnsi="Times New Roman" w:cs="Times New Roman"/>
          <w:sz w:val="24"/>
          <w:szCs w:val="24"/>
        </w:rPr>
        <w:t>484. Бубнова М. Г., Аронов Д. М., Красницкий В. Б. и др. Программа домашних физических тренировок после острого коронарного синдрома и/или эндоваскулярного вмешательства на коронарных артериях: эффективность и проблема мотивации больных. Терапевтический</w:t>
      </w:r>
      <w:r w:rsidRPr="00F52FCA">
        <w:rPr>
          <w:rFonts w:ascii="Times New Roman" w:hAnsi="Times New Roman" w:cs="Times New Roman"/>
          <w:sz w:val="24"/>
          <w:szCs w:val="24"/>
          <w:lang w:val="fr-FR"/>
        </w:rPr>
        <w:t xml:space="preserve"> </w:t>
      </w:r>
      <w:r w:rsidRPr="00DC531A">
        <w:rPr>
          <w:rFonts w:ascii="Times New Roman" w:hAnsi="Times New Roman" w:cs="Times New Roman"/>
          <w:sz w:val="24"/>
          <w:szCs w:val="24"/>
        </w:rPr>
        <w:t>Архив</w:t>
      </w:r>
      <w:r w:rsidRPr="00F52FCA">
        <w:rPr>
          <w:rFonts w:ascii="Times New Roman" w:hAnsi="Times New Roman" w:cs="Times New Roman"/>
          <w:sz w:val="24"/>
          <w:szCs w:val="24"/>
          <w:lang w:val="fr-FR"/>
        </w:rPr>
        <w:t>. 2014;86(1):23-32.</w:t>
      </w:r>
    </w:p>
    <w:p w14:paraId="26BEB98C" w14:textId="77777777" w:rsidR="00DC531A" w:rsidRPr="00DC531A" w:rsidRDefault="00DC531A"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485. Hansen D, Bonné K, Alders T, et al. </w:t>
      </w:r>
      <w:r w:rsidRPr="00DC531A">
        <w:rPr>
          <w:rFonts w:ascii="Times New Roman" w:hAnsi="Times New Roman" w:cs="Times New Roman" w:hint="eastAsia"/>
          <w:sz w:val="24"/>
          <w:szCs w:val="24"/>
          <w:lang w:val="en-US"/>
        </w:rPr>
        <w:t>Exercise training intensity determination in cardiovascular rehabilitation: Should the guidelines be reconsidered? Eur J Prev Cardiol. 2019; 26(18):1921-8. https://doi.org/10.1177/2047487319859450.</w:t>
      </w:r>
    </w:p>
    <w:p w14:paraId="7DE0FB3C" w14:textId="77777777" w:rsidR="00DC531A" w:rsidRPr="00DC531A" w:rsidRDefault="00DC531A" w:rsidP="00A419DB">
      <w:pPr>
        <w:tabs>
          <w:tab w:val="left" w:pos="786"/>
        </w:tabs>
        <w:suppressAutoHyphens/>
        <w:spacing w:after="60" w:line="360" w:lineRule="auto"/>
        <w:jc w:val="both"/>
        <w:rPr>
          <w:rFonts w:ascii="Times New Roman" w:hAnsi="Times New Roman" w:cs="Times New Roman"/>
          <w:sz w:val="24"/>
          <w:szCs w:val="24"/>
          <w:lang w:val="en-US"/>
        </w:rPr>
      </w:pPr>
      <w:r w:rsidRPr="00DC531A">
        <w:rPr>
          <w:rFonts w:ascii="Times New Roman" w:hAnsi="Times New Roman" w:cs="Times New Roman" w:hint="eastAsia"/>
          <w:sz w:val="24"/>
          <w:szCs w:val="24"/>
          <w:lang w:val="en-US"/>
        </w:rPr>
        <w:t>486. Borg G. Psychophysical scaling with applications in physical work and the perception of exertion. Scand J Work Environ Health. 1990;16(Suppl 1):55-8.</w:t>
      </w:r>
    </w:p>
    <w:p w14:paraId="3B1339AA" w14:textId="77777777" w:rsidR="00DC531A" w:rsidRPr="00DC531A" w:rsidRDefault="00DC531A" w:rsidP="00A419DB">
      <w:pPr>
        <w:tabs>
          <w:tab w:val="left" w:pos="786"/>
        </w:tabs>
        <w:suppressAutoHyphens/>
        <w:spacing w:after="60" w:line="360" w:lineRule="auto"/>
        <w:jc w:val="both"/>
        <w:rPr>
          <w:rFonts w:ascii="Times New Roman" w:hAnsi="Times New Roman" w:cs="Times New Roman"/>
          <w:sz w:val="24"/>
          <w:szCs w:val="24"/>
          <w:lang w:val="en-US"/>
        </w:rPr>
      </w:pPr>
      <w:r w:rsidRPr="00DC531A">
        <w:rPr>
          <w:rFonts w:ascii="Times New Roman" w:hAnsi="Times New Roman" w:cs="Times New Roman" w:hint="eastAsia"/>
          <w:sz w:val="24"/>
          <w:szCs w:val="24"/>
          <w:lang w:val="en-US"/>
        </w:rPr>
        <w:t>487. Hannan AL, Hing W, Simas V, et al. High-intensity interval training versus moderateintensity continuous training within cardiac rehabilitation: a systematic review and metaanalysis. Open Access J Sports Med. 2018;9:1-17. https://doi.org/10.2147/OAJSM</w:t>
      </w:r>
      <w:r w:rsidRPr="00DC531A">
        <w:rPr>
          <w:rFonts w:ascii="Times New Roman" w:hAnsi="Times New Roman" w:cs="Times New Roman"/>
          <w:sz w:val="24"/>
          <w:szCs w:val="24"/>
          <w:lang w:val="en-US"/>
        </w:rPr>
        <w:t>.S150596.</w:t>
      </w:r>
    </w:p>
    <w:p w14:paraId="6B97F4D0" w14:textId="77777777" w:rsidR="00DC531A" w:rsidRPr="00F52FCA" w:rsidRDefault="00DC531A" w:rsidP="00A419DB">
      <w:pPr>
        <w:tabs>
          <w:tab w:val="left" w:pos="786"/>
        </w:tabs>
        <w:suppressAutoHyphens/>
        <w:spacing w:after="60" w:line="360" w:lineRule="auto"/>
        <w:jc w:val="both"/>
        <w:rPr>
          <w:rFonts w:ascii="Times New Roman" w:hAnsi="Times New Roman" w:cs="Times New Roman"/>
          <w:sz w:val="24"/>
          <w:szCs w:val="24"/>
          <w:lang w:val="fr-FR"/>
        </w:rPr>
      </w:pPr>
      <w:r w:rsidRPr="00F52FCA">
        <w:rPr>
          <w:rFonts w:ascii="Times New Roman" w:hAnsi="Times New Roman" w:cs="Times New Roman" w:hint="eastAsia"/>
          <w:sz w:val="24"/>
          <w:szCs w:val="24"/>
          <w:lang w:val="fr-FR"/>
        </w:rPr>
        <w:t xml:space="preserve">488. Conraads VM, Pattyn N, De Maeyer C, et al. </w:t>
      </w:r>
      <w:r w:rsidRPr="00DC531A">
        <w:rPr>
          <w:rFonts w:ascii="Times New Roman" w:hAnsi="Times New Roman" w:cs="Times New Roman" w:hint="eastAsia"/>
          <w:sz w:val="24"/>
          <w:szCs w:val="24"/>
          <w:lang w:val="en-US"/>
        </w:rPr>
        <w:t xml:space="preserve">Aerobic interval training and continuous training equally improve aerobic exercise capacity in patients with coronary artery disease: the SAINTEX-CAD study. </w:t>
      </w:r>
      <w:r w:rsidRPr="00F52FCA">
        <w:rPr>
          <w:rFonts w:ascii="Times New Roman" w:hAnsi="Times New Roman" w:cs="Times New Roman" w:hint="eastAsia"/>
          <w:sz w:val="24"/>
          <w:szCs w:val="24"/>
          <w:lang w:val="fr-FR"/>
        </w:rPr>
        <w:t>Int J Cardiol. 2015;179:203-10. https://doi.org/10</w:t>
      </w:r>
      <w:r w:rsidRPr="00F52FCA">
        <w:rPr>
          <w:rFonts w:ascii="Times New Roman" w:hAnsi="Times New Roman" w:cs="Times New Roman"/>
          <w:sz w:val="24"/>
          <w:szCs w:val="24"/>
          <w:lang w:val="fr-FR"/>
        </w:rPr>
        <w:t>.1016/j.ijcard.2014.10.155.</w:t>
      </w:r>
    </w:p>
    <w:p w14:paraId="3F97C965" w14:textId="77777777" w:rsidR="00DC531A" w:rsidRPr="00F52FCA" w:rsidRDefault="00DC531A" w:rsidP="00A419DB">
      <w:pPr>
        <w:tabs>
          <w:tab w:val="left" w:pos="786"/>
        </w:tabs>
        <w:suppressAutoHyphens/>
        <w:spacing w:after="60" w:line="360" w:lineRule="auto"/>
        <w:jc w:val="both"/>
        <w:rPr>
          <w:rFonts w:ascii="Times New Roman" w:hAnsi="Times New Roman" w:cs="Times New Roman"/>
          <w:sz w:val="24"/>
          <w:szCs w:val="24"/>
          <w:lang w:val="fr-FR"/>
        </w:rPr>
      </w:pPr>
      <w:r w:rsidRPr="00F52FCA">
        <w:rPr>
          <w:rFonts w:ascii="Times New Roman" w:hAnsi="Times New Roman" w:cs="Times New Roman" w:hint="eastAsia"/>
          <w:sz w:val="24"/>
          <w:szCs w:val="24"/>
          <w:lang w:val="fr-FR"/>
        </w:rPr>
        <w:t xml:space="preserve">489. Pattyn N, Vanhees L, Cornelissen VA, et al. </w:t>
      </w:r>
      <w:r w:rsidRPr="00DC531A">
        <w:rPr>
          <w:rFonts w:ascii="Times New Roman" w:hAnsi="Times New Roman" w:cs="Times New Roman" w:hint="eastAsia"/>
          <w:sz w:val="24"/>
          <w:szCs w:val="24"/>
          <w:lang w:val="en-US"/>
        </w:rPr>
        <w:t xml:space="preserve">The long-term effects of a randomized trial comparing aerobic interval versus continuous training in coronary artery disease patients: 1-year data from the SAINTEX-CAD study. </w:t>
      </w:r>
      <w:r w:rsidRPr="00F52FCA">
        <w:rPr>
          <w:rFonts w:ascii="Times New Roman" w:hAnsi="Times New Roman" w:cs="Times New Roman" w:hint="eastAsia"/>
          <w:sz w:val="24"/>
          <w:szCs w:val="24"/>
          <w:lang w:val="fr-FR"/>
        </w:rPr>
        <w:t>Eur J Prev Cardiol. 2016;23(11)</w:t>
      </w:r>
      <w:r w:rsidRPr="00F52FCA">
        <w:rPr>
          <w:rFonts w:ascii="Times New Roman" w:hAnsi="Times New Roman" w:cs="Times New Roman"/>
          <w:sz w:val="24"/>
          <w:szCs w:val="24"/>
          <w:lang w:val="fr-FR"/>
        </w:rPr>
        <w:t>:1154-64. https://doi.org/10.1177/2047487316631200.</w:t>
      </w:r>
    </w:p>
    <w:p w14:paraId="3D160F05" w14:textId="77777777" w:rsidR="008C61CC" w:rsidRPr="008C61CC" w:rsidRDefault="00DC531A" w:rsidP="00A419DB">
      <w:pPr>
        <w:tabs>
          <w:tab w:val="left" w:pos="786"/>
        </w:tabs>
        <w:suppressAutoHyphens/>
        <w:spacing w:after="60" w:line="360" w:lineRule="auto"/>
        <w:jc w:val="both"/>
        <w:rPr>
          <w:rFonts w:ascii="Times New Roman" w:hAnsi="Times New Roman" w:cs="Times New Roman"/>
          <w:sz w:val="24"/>
          <w:szCs w:val="24"/>
        </w:rPr>
      </w:pPr>
      <w:r w:rsidRPr="00F52FCA">
        <w:rPr>
          <w:rFonts w:ascii="Times New Roman" w:hAnsi="Times New Roman" w:cs="Times New Roman" w:hint="eastAsia"/>
          <w:sz w:val="24"/>
          <w:szCs w:val="24"/>
          <w:lang w:val="fr-FR"/>
        </w:rPr>
        <w:t xml:space="preserve">490. Sommaruga M, Angelino E, Della Porta P, et al. </w:t>
      </w:r>
      <w:r w:rsidRPr="00DC531A">
        <w:rPr>
          <w:rFonts w:ascii="Times New Roman" w:hAnsi="Times New Roman" w:cs="Times New Roman" w:hint="eastAsia"/>
          <w:sz w:val="24"/>
          <w:szCs w:val="24"/>
          <w:lang w:val="en-US"/>
        </w:rPr>
        <w:t xml:space="preserve">Best practice in psychological activities in cardiovascular prevention and rehabilitation: Position Paper. </w:t>
      </w:r>
      <w:r w:rsidRPr="00F6333D">
        <w:rPr>
          <w:rFonts w:ascii="Times New Roman" w:hAnsi="Times New Roman" w:cs="Times New Roman" w:hint="eastAsia"/>
          <w:sz w:val="24"/>
          <w:szCs w:val="24"/>
          <w:lang w:val="en-US"/>
        </w:rPr>
        <w:t>Monaldi Arch Chest Dis. 2018;88:966. https://doi.org/10.4081/monaldi.2018.966.</w:t>
      </w:r>
      <w:r w:rsidR="008C61CC" w:rsidRPr="008C61CC">
        <w:rPr>
          <w:rFonts w:ascii="Times New Roman" w:hAnsi="Times New Roman" w:cs="Times New Roman" w:hint="eastAsia"/>
          <w:sz w:val="24"/>
          <w:szCs w:val="24"/>
          <w:lang w:val="en-US"/>
        </w:rPr>
        <w:t>491. Pogosova N, Saner H, Pedersen SS, et al.; Cardiac Rehabilitation Section of the European Association of Cardiovascular Prevention and Rehabilitation of the European Society of Cardiology. Psychosocial aspects in cardiac rehabilitation: From theory to</w:t>
      </w:r>
      <w:r w:rsidR="008C61CC" w:rsidRPr="008C61CC">
        <w:rPr>
          <w:rFonts w:ascii="Times New Roman" w:hAnsi="Times New Roman" w:cs="Times New Roman"/>
          <w:sz w:val="24"/>
          <w:szCs w:val="24"/>
          <w:lang w:val="en-US"/>
        </w:rPr>
        <w:t xml:space="preserve"> practice. A position paper from the Cardiac Rehabilitation Section of the European Association of Cardiovascular Prevention and Rehabilitation of the European Society of Cardiology. EurJPrevCardiol</w:t>
      </w:r>
      <w:r w:rsidR="008C61CC" w:rsidRPr="008C61CC">
        <w:rPr>
          <w:rFonts w:ascii="Times New Roman" w:hAnsi="Times New Roman" w:cs="Times New Roman"/>
          <w:sz w:val="24"/>
          <w:szCs w:val="24"/>
        </w:rPr>
        <w:t xml:space="preserve">. 2015;22(10):1290-306. </w:t>
      </w:r>
      <w:r w:rsidR="008C61CC" w:rsidRPr="008C61CC">
        <w:rPr>
          <w:rFonts w:ascii="Times New Roman" w:hAnsi="Times New Roman" w:cs="Times New Roman"/>
          <w:sz w:val="24"/>
          <w:szCs w:val="24"/>
          <w:lang w:val="en-US"/>
        </w:rPr>
        <w:t>https</w:t>
      </w:r>
      <w:r w:rsidR="008C61CC" w:rsidRPr="008C61CC">
        <w:rPr>
          <w:rFonts w:ascii="Times New Roman" w:hAnsi="Times New Roman" w:cs="Times New Roman"/>
          <w:sz w:val="24"/>
          <w:szCs w:val="24"/>
        </w:rPr>
        <w:t>://</w:t>
      </w:r>
      <w:r w:rsidR="008C61CC" w:rsidRPr="008C61CC">
        <w:rPr>
          <w:rFonts w:ascii="Times New Roman" w:hAnsi="Times New Roman" w:cs="Times New Roman"/>
          <w:sz w:val="24"/>
          <w:szCs w:val="24"/>
          <w:lang w:val="en-US"/>
        </w:rPr>
        <w:t>doi</w:t>
      </w:r>
      <w:r w:rsidR="008C61CC" w:rsidRPr="008C61CC">
        <w:rPr>
          <w:rFonts w:ascii="Times New Roman" w:hAnsi="Times New Roman" w:cs="Times New Roman"/>
          <w:sz w:val="24"/>
          <w:szCs w:val="24"/>
        </w:rPr>
        <w:t>.</w:t>
      </w:r>
      <w:r w:rsidR="008C61CC" w:rsidRPr="008C61CC">
        <w:rPr>
          <w:rFonts w:ascii="Times New Roman" w:hAnsi="Times New Roman" w:cs="Times New Roman"/>
          <w:sz w:val="24"/>
          <w:szCs w:val="24"/>
          <w:lang w:val="en-US"/>
        </w:rPr>
        <w:t>org</w:t>
      </w:r>
      <w:r w:rsidR="008C61CC" w:rsidRPr="008C61CC">
        <w:rPr>
          <w:rFonts w:ascii="Times New Roman" w:hAnsi="Times New Roman" w:cs="Times New Roman"/>
          <w:sz w:val="24"/>
          <w:szCs w:val="24"/>
        </w:rPr>
        <w:t>/10.1177/2047487314543075.</w:t>
      </w:r>
    </w:p>
    <w:p w14:paraId="124AF8CD" w14:textId="77777777" w:rsidR="008C61CC" w:rsidRPr="008C61CC" w:rsidRDefault="008C61CC" w:rsidP="00A419DB">
      <w:pPr>
        <w:tabs>
          <w:tab w:val="left" w:pos="786"/>
        </w:tabs>
        <w:suppressAutoHyphens/>
        <w:spacing w:after="60" w:line="360" w:lineRule="auto"/>
        <w:jc w:val="both"/>
        <w:rPr>
          <w:rFonts w:ascii="Times New Roman" w:hAnsi="Times New Roman" w:cs="Times New Roman"/>
          <w:sz w:val="24"/>
          <w:szCs w:val="24"/>
        </w:rPr>
      </w:pPr>
      <w:r w:rsidRPr="008C61CC">
        <w:rPr>
          <w:rFonts w:ascii="Times New Roman" w:hAnsi="Times New Roman" w:cs="Times New Roman"/>
          <w:sz w:val="24"/>
          <w:szCs w:val="24"/>
        </w:rPr>
        <w:lastRenderedPageBreak/>
        <w:t>492. Бойцов С. А., Погосова Н. В., Бадтиева В. А. и др. Кардиоваскулярная профилактика 2022. Российские национальные рекомендации. Российский кардиологический журнал. 2023;28(5):5452.</w:t>
      </w:r>
    </w:p>
    <w:p w14:paraId="61379CF9" w14:textId="77777777" w:rsidR="008C61CC" w:rsidRPr="008C61CC" w:rsidRDefault="008C61CC" w:rsidP="00A419DB">
      <w:pPr>
        <w:tabs>
          <w:tab w:val="left" w:pos="786"/>
        </w:tabs>
        <w:suppressAutoHyphens/>
        <w:spacing w:after="60" w:line="360" w:lineRule="auto"/>
        <w:jc w:val="both"/>
        <w:rPr>
          <w:rFonts w:ascii="Times New Roman" w:hAnsi="Times New Roman" w:cs="Times New Roman"/>
          <w:sz w:val="24"/>
          <w:szCs w:val="24"/>
          <w:lang w:val="en-US"/>
        </w:rPr>
      </w:pPr>
      <w:r w:rsidRPr="00545863">
        <w:rPr>
          <w:rFonts w:ascii="Times New Roman" w:hAnsi="Times New Roman" w:cs="Times New Roman" w:hint="eastAsia"/>
          <w:sz w:val="24"/>
          <w:szCs w:val="24"/>
        </w:rPr>
        <w:t xml:space="preserve">493. </w:t>
      </w:r>
      <w:r w:rsidRPr="008C61CC">
        <w:rPr>
          <w:rFonts w:ascii="Times New Roman" w:hAnsi="Times New Roman" w:cs="Times New Roman" w:hint="eastAsia"/>
          <w:sz w:val="24"/>
          <w:szCs w:val="24"/>
          <w:lang w:val="en-US"/>
        </w:rPr>
        <w:t>Aldcroft</w:t>
      </w:r>
      <w:r w:rsidRPr="00545863">
        <w:rPr>
          <w:rFonts w:ascii="Times New Roman" w:hAnsi="Times New Roman" w:cs="Times New Roman" w:hint="eastAsia"/>
          <w:sz w:val="24"/>
          <w:szCs w:val="24"/>
        </w:rPr>
        <w:t xml:space="preserve"> </w:t>
      </w:r>
      <w:r w:rsidRPr="008C61CC">
        <w:rPr>
          <w:rFonts w:ascii="Times New Roman" w:hAnsi="Times New Roman" w:cs="Times New Roman" w:hint="eastAsia"/>
          <w:sz w:val="24"/>
          <w:szCs w:val="24"/>
          <w:lang w:val="en-US"/>
        </w:rPr>
        <w:t>SA</w:t>
      </w:r>
      <w:r w:rsidRPr="00545863">
        <w:rPr>
          <w:rFonts w:ascii="Times New Roman" w:hAnsi="Times New Roman" w:cs="Times New Roman" w:hint="eastAsia"/>
          <w:sz w:val="24"/>
          <w:szCs w:val="24"/>
        </w:rPr>
        <w:t xml:space="preserve">, </w:t>
      </w:r>
      <w:r w:rsidRPr="008C61CC">
        <w:rPr>
          <w:rFonts w:ascii="Times New Roman" w:hAnsi="Times New Roman" w:cs="Times New Roman" w:hint="eastAsia"/>
          <w:sz w:val="24"/>
          <w:szCs w:val="24"/>
          <w:lang w:val="en-US"/>
        </w:rPr>
        <w:t>Taylor</w:t>
      </w:r>
      <w:r w:rsidRPr="00545863">
        <w:rPr>
          <w:rFonts w:ascii="Times New Roman" w:hAnsi="Times New Roman" w:cs="Times New Roman" w:hint="eastAsia"/>
          <w:sz w:val="24"/>
          <w:szCs w:val="24"/>
        </w:rPr>
        <w:t xml:space="preserve"> </w:t>
      </w:r>
      <w:r w:rsidRPr="008C61CC">
        <w:rPr>
          <w:rFonts w:ascii="Times New Roman" w:hAnsi="Times New Roman" w:cs="Times New Roman" w:hint="eastAsia"/>
          <w:sz w:val="24"/>
          <w:szCs w:val="24"/>
          <w:lang w:val="en-US"/>
        </w:rPr>
        <w:t>NF</w:t>
      </w:r>
      <w:r w:rsidRPr="00545863">
        <w:rPr>
          <w:rFonts w:ascii="Times New Roman" w:hAnsi="Times New Roman" w:cs="Times New Roman" w:hint="eastAsia"/>
          <w:sz w:val="24"/>
          <w:szCs w:val="24"/>
        </w:rPr>
        <w:t xml:space="preserve">, </w:t>
      </w:r>
      <w:r w:rsidRPr="008C61CC">
        <w:rPr>
          <w:rFonts w:ascii="Times New Roman" w:hAnsi="Times New Roman" w:cs="Times New Roman" w:hint="eastAsia"/>
          <w:sz w:val="24"/>
          <w:szCs w:val="24"/>
          <w:lang w:val="en-US"/>
        </w:rPr>
        <w:t>Blackstock</w:t>
      </w:r>
      <w:r w:rsidRPr="00545863">
        <w:rPr>
          <w:rFonts w:ascii="Times New Roman" w:hAnsi="Times New Roman" w:cs="Times New Roman" w:hint="eastAsia"/>
          <w:sz w:val="24"/>
          <w:szCs w:val="24"/>
        </w:rPr>
        <w:t xml:space="preserve"> </w:t>
      </w:r>
      <w:r w:rsidRPr="008C61CC">
        <w:rPr>
          <w:rFonts w:ascii="Times New Roman" w:hAnsi="Times New Roman" w:cs="Times New Roman" w:hint="eastAsia"/>
          <w:sz w:val="24"/>
          <w:szCs w:val="24"/>
          <w:lang w:val="en-US"/>
        </w:rPr>
        <w:t>FC</w:t>
      </w:r>
      <w:r w:rsidRPr="00545863">
        <w:rPr>
          <w:rFonts w:ascii="Times New Roman" w:hAnsi="Times New Roman" w:cs="Times New Roman" w:hint="eastAsia"/>
          <w:sz w:val="24"/>
          <w:szCs w:val="24"/>
        </w:rPr>
        <w:t xml:space="preserve">, </w:t>
      </w:r>
      <w:r w:rsidRPr="008C61CC">
        <w:rPr>
          <w:rFonts w:ascii="Times New Roman" w:hAnsi="Times New Roman" w:cs="Times New Roman" w:hint="eastAsia"/>
          <w:sz w:val="24"/>
          <w:szCs w:val="24"/>
          <w:lang w:val="en-US"/>
        </w:rPr>
        <w:t>O</w:t>
      </w:r>
      <w:r w:rsidRPr="00545863">
        <w:rPr>
          <w:rFonts w:ascii="Times New Roman" w:hAnsi="Times New Roman" w:cs="Times New Roman" w:hint="eastAsia"/>
          <w:sz w:val="24"/>
          <w:szCs w:val="24"/>
        </w:rPr>
        <w:t>'</w:t>
      </w:r>
      <w:r w:rsidRPr="008C61CC">
        <w:rPr>
          <w:rFonts w:ascii="Times New Roman" w:hAnsi="Times New Roman" w:cs="Times New Roman" w:hint="eastAsia"/>
          <w:sz w:val="24"/>
          <w:szCs w:val="24"/>
          <w:lang w:val="en-US"/>
        </w:rPr>
        <w:t>Halloran</w:t>
      </w:r>
      <w:r w:rsidRPr="00545863">
        <w:rPr>
          <w:rFonts w:ascii="Times New Roman" w:hAnsi="Times New Roman" w:cs="Times New Roman" w:hint="eastAsia"/>
          <w:sz w:val="24"/>
          <w:szCs w:val="24"/>
        </w:rPr>
        <w:t xml:space="preserve"> </w:t>
      </w:r>
      <w:r w:rsidRPr="008C61CC">
        <w:rPr>
          <w:rFonts w:ascii="Times New Roman" w:hAnsi="Times New Roman" w:cs="Times New Roman" w:hint="eastAsia"/>
          <w:sz w:val="24"/>
          <w:szCs w:val="24"/>
          <w:lang w:val="en-US"/>
        </w:rPr>
        <w:t>PD</w:t>
      </w:r>
      <w:r w:rsidRPr="00545863">
        <w:rPr>
          <w:rFonts w:ascii="Times New Roman" w:hAnsi="Times New Roman" w:cs="Times New Roman" w:hint="eastAsia"/>
          <w:sz w:val="24"/>
          <w:szCs w:val="24"/>
        </w:rPr>
        <w:t xml:space="preserve">. </w:t>
      </w:r>
      <w:r w:rsidRPr="008C61CC">
        <w:rPr>
          <w:rFonts w:ascii="Times New Roman" w:hAnsi="Times New Roman" w:cs="Times New Roman" w:hint="eastAsia"/>
          <w:sz w:val="24"/>
          <w:szCs w:val="24"/>
          <w:lang w:val="en-US"/>
        </w:rPr>
        <w:t>Psychoeducational rehabilitation for health behavior change in coronary artery disease: a systematic review of controlled trials. J CardiopulmRehabil Prev. 2011;31:273-81.</w:t>
      </w:r>
    </w:p>
    <w:p w14:paraId="2D8DE7C1" w14:textId="77777777" w:rsidR="008C61CC" w:rsidRPr="008C61CC" w:rsidRDefault="008C61CC" w:rsidP="00A419DB">
      <w:pPr>
        <w:tabs>
          <w:tab w:val="left" w:pos="786"/>
        </w:tabs>
        <w:suppressAutoHyphens/>
        <w:spacing w:after="60" w:line="360" w:lineRule="auto"/>
        <w:jc w:val="both"/>
        <w:rPr>
          <w:rFonts w:ascii="Times New Roman" w:hAnsi="Times New Roman" w:cs="Times New Roman"/>
          <w:sz w:val="24"/>
          <w:szCs w:val="24"/>
          <w:lang w:val="en-US"/>
        </w:rPr>
      </w:pPr>
      <w:r w:rsidRPr="008C61CC">
        <w:rPr>
          <w:rFonts w:ascii="Times New Roman" w:hAnsi="Times New Roman" w:cs="Times New Roman" w:hint="eastAsia"/>
          <w:sz w:val="24"/>
          <w:szCs w:val="24"/>
          <w:lang w:val="en-US"/>
        </w:rPr>
        <w:t>494. Rutledge T, Redwine LS, Linke SE, Mills PJ. A meta-analysis of mental health treatments and cardiac rehabilitation for improving clinical outcomes and depression among patients with coronary heart disease. Psychosom Med. 2013;75:335-49.</w:t>
      </w:r>
    </w:p>
    <w:p w14:paraId="3800B526" w14:textId="77777777" w:rsidR="007F47D1" w:rsidRPr="007F47D1" w:rsidRDefault="008C61CC" w:rsidP="00A419DB">
      <w:pPr>
        <w:tabs>
          <w:tab w:val="left" w:pos="786"/>
        </w:tabs>
        <w:suppressAutoHyphens/>
        <w:spacing w:after="60" w:line="360" w:lineRule="auto"/>
        <w:jc w:val="both"/>
        <w:rPr>
          <w:rFonts w:ascii="Times New Roman" w:hAnsi="Times New Roman" w:cs="Times New Roman"/>
          <w:sz w:val="24"/>
          <w:szCs w:val="24"/>
          <w:lang w:val="en-US"/>
        </w:rPr>
      </w:pPr>
      <w:r w:rsidRPr="008C61CC">
        <w:rPr>
          <w:rFonts w:ascii="Times New Roman" w:hAnsi="Times New Roman" w:cs="Times New Roman" w:hint="eastAsia"/>
          <w:sz w:val="24"/>
          <w:szCs w:val="24"/>
          <w:lang w:val="en-US"/>
        </w:rPr>
        <w:t>495. Ambrosetti M, Abreu A, Cornelissen V, et al. Delphi consensus recommendations on how to provide cardiovascular rehabilitation in the COVID-19 era. Eur J Prev Cardiol. 2021;28(5):541-57. https://doi.org/10.1093/eurjpc/zwaa080.</w:t>
      </w:r>
      <w:r w:rsidR="007F47D1" w:rsidRPr="007F47D1">
        <w:rPr>
          <w:rFonts w:ascii="Times New Roman" w:hAnsi="Times New Roman" w:cs="Times New Roman" w:hint="eastAsia"/>
          <w:sz w:val="24"/>
          <w:szCs w:val="24"/>
          <w:lang w:val="en-US"/>
        </w:rPr>
        <w:t>496. Visseren FLJ, Mach F, Smulders YM, et al. 2021 ESC Guidelines on cardiovascular disease prevention in clinical practice. Eur Heart J. 2021;42(34):3227-337.https://doi.org/10.1093/eurheartj/ehab484.</w:t>
      </w:r>
    </w:p>
    <w:p w14:paraId="0E324B13" w14:textId="77777777" w:rsidR="007F47D1" w:rsidRPr="007F47D1" w:rsidRDefault="007F47D1" w:rsidP="00A419DB">
      <w:pPr>
        <w:tabs>
          <w:tab w:val="left" w:pos="786"/>
        </w:tabs>
        <w:suppressAutoHyphens/>
        <w:spacing w:after="60" w:line="360" w:lineRule="auto"/>
        <w:jc w:val="both"/>
        <w:rPr>
          <w:rFonts w:ascii="Times New Roman" w:hAnsi="Times New Roman" w:cs="Times New Roman"/>
          <w:sz w:val="24"/>
          <w:szCs w:val="24"/>
          <w:lang w:val="en-US"/>
        </w:rPr>
      </w:pPr>
      <w:r w:rsidRPr="007F47D1">
        <w:rPr>
          <w:rFonts w:ascii="Times New Roman" w:hAnsi="Times New Roman" w:cs="Times New Roman" w:hint="eastAsia"/>
          <w:sz w:val="24"/>
          <w:szCs w:val="24"/>
          <w:lang w:val="en-US"/>
        </w:rPr>
        <w:t>497. Hartmann-Boyce J, Chepkin SC, Ye W, et al. Nicotine replacement therapy versus control for smoking cessation. Cochrane Database Syst Rev. 2018;5:CD000146. https://doi.org/10.1002/14651858.CD000146.pub5.</w:t>
      </w:r>
    </w:p>
    <w:p w14:paraId="3A76CA54" w14:textId="77777777" w:rsidR="007F47D1" w:rsidRPr="007F47D1" w:rsidRDefault="007F47D1" w:rsidP="00A419DB">
      <w:pPr>
        <w:tabs>
          <w:tab w:val="left" w:pos="786"/>
        </w:tabs>
        <w:suppressAutoHyphens/>
        <w:spacing w:after="60" w:line="360" w:lineRule="auto"/>
        <w:jc w:val="both"/>
        <w:rPr>
          <w:rFonts w:ascii="Times New Roman" w:hAnsi="Times New Roman" w:cs="Times New Roman"/>
          <w:sz w:val="24"/>
          <w:szCs w:val="24"/>
          <w:lang w:val="en-US"/>
        </w:rPr>
      </w:pPr>
      <w:r w:rsidRPr="007F47D1">
        <w:rPr>
          <w:rFonts w:ascii="Times New Roman" w:hAnsi="Times New Roman" w:cs="Times New Roman" w:hint="eastAsia"/>
          <w:sz w:val="24"/>
          <w:szCs w:val="24"/>
          <w:lang w:val="en-US"/>
        </w:rPr>
        <w:t>498. Howes S, Hartmann-Boyce J, Livingstone-Banks J, et al. Antidepressants for smoking cessation. Cochrane Database Syst Rev. 2020;4:CD000031.https://doi.org/10.1002/14651858.CD000031.pub5.</w:t>
      </w:r>
    </w:p>
    <w:p w14:paraId="7A3CDBB8" w14:textId="77777777" w:rsidR="007F47D1" w:rsidRPr="00F52FCA" w:rsidRDefault="007F47D1" w:rsidP="00A419DB">
      <w:pPr>
        <w:tabs>
          <w:tab w:val="left" w:pos="786"/>
        </w:tabs>
        <w:suppressAutoHyphens/>
        <w:spacing w:after="60" w:line="360" w:lineRule="auto"/>
        <w:jc w:val="both"/>
        <w:rPr>
          <w:rFonts w:ascii="Times New Roman" w:hAnsi="Times New Roman" w:cs="Times New Roman"/>
          <w:sz w:val="24"/>
          <w:szCs w:val="24"/>
          <w:lang w:val="fr-FR"/>
        </w:rPr>
      </w:pPr>
      <w:r w:rsidRPr="007F47D1">
        <w:rPr>
          <w:rFonts w:ascii="Times New Roman" w:hAnsi="Times New Roman" w:cs="Times New Roman" w:hint="eastAsia"/>
          <w:sz w:val="24"/>
          <w:szCs w:val="24"/>
          <w:lang w:val="en-US"/>
        </w:rPr>
        <w:t xml:space="preserve">499. Cahill K, Lindson-Hawley N, Thomas KH, et al. Nicotine receptor partial agonists for smoking cessation. </w:t>
      </w:r>
      <w:r w:rsidRPr="00F52FCA">
        <w:rPr>
          <w:rFonts w:ascii="Times New Roman" w:hAnsi="Times New Roman" w:cs="Times New Roman" w:hint="eastAsia"/>
          <w:sz w:val="24"/>
          <w:szCs w:val="24"/>
          <w:lang w:val="fr-FR"/>
        </w:rPr>
        <w:t>Cochrane Database Syst Rev. 2016;2016:CD006103. https://doi.org/10.1002/14651858.CD006103.pub7.</w:t>
      </w:r>
    </w:p>
    <w:p w14:paraId="0BC60E91" w14:textId="77777777" w:rsidR="00A05B1B" w:rsidRPr="00F52FCA" w:rsidRDefault="007F47D1" w:rsidP="00A419DB">
      <w:pPr>
        <w:tabs>
          <w:tab w:val="left" w:pos="786"/>
        </w:tabs>
        <w:suppressAutoHyphens/>
        <w:spacing w:after="60" w:line="360" w:lineRule="auto"/>
        <w:jc w:val="both"/>
        <w:rPr>
          <w:rFonts w:ascii="Times New Roman" w:hAnsi="Times New Roman" w:cs="Times New Roman"/>
          <w:sz w:val="24"/>
          <w:szCs w:val="24"/>
          <w:lang w:val="fr-FR"/>
        </w:rPr>
      </w:pPr>
      <w:r w:rsidRPr="00F52FCA">
        <w:rPr>
          <w:rFonts w:ascii="Times New Roman" w:hAnsi="Times New Roman" w:cs="Times New Roman"/>
          <w:sz w:val="24"/>
          <w:szCs w:val="24"/>
          <w:lang w:val="fr-FR"/>
        </w:rPr>
        <w:t>5</w:t>
      </w:r>
      <w:r w:rsidRPr="00F52FCA">
        <w:rPr>
          <w:rFonts w:ascii="Times New Roman" w:hAnsi="Times New Roman" w:cs="Times New Roman" w:hint="eastAsia"/>
          <w:sz w:val="24"/>
          <w:szCs w:val="24"/>
          <w:lang w:val="fr-FR"/>
        </w:rPr>
        <w:t xml:space="preserve">00. Delgado-Lista J, Alcala-Diaz JF, Torres-Peña JD, et al. </w:t>
      </w:r>
      <w:r w:rsidRPr="007F47D1">
        <w:rPr>
          <w:rFonts w:ascii="Times New Roman" w:hAnsi="Times New Roman" w:cs="Times New Roman" w:hint="eastAsia"/>
          <w:sz w:val="24"/>
          <w:szCs w:val="24"/>
          <w:lang w:val="en-US"/>
        </w:rPr>
        <w:t xml:space="preserve">Long-term secondary prevention of cardiovascular disease with a Mediterranean diet and a low-fat diet (CORDIOPREV): a randomised controlled trial. </w:t>
      </w:r>
      <w:r w:rsidRPr="00F52FCA">
        <w:rPr>
          <w:rFonts w:ascii="Times New Roman" w:hAnsi="Times New Roman" w:cs="Times New Roman" w:hint="eastAsia"/>
          <w:sz w:val="24"/>
          <w:szCs w:val="24"/>
          <w:lang w:val="fr-FR"/>
        </w:rPr>
        <w:t>Lancet. 2022;399:1876-85. https://doi.org/10.10</w:t>
      </w:r>
      <w:r w:rsidRPr="00F52FCA">
        <w:rPr>
          <w:rFonts w:ascii="Times New Roman" w:hAnsi="Times New Roman" w:cs="Times New Roman"/>
          <w:sz w:val="24"/>
          <w:szCs w:val="24"/>
          <w:lang w:val="fr-FR"/>
        </w:rPr>
        <w:t>16/s0140-6736(22)00122-2.</w:t>
      </w:r>
    </w:p>
    <w:p w14:paraId="482999BB" w14:textId="77777777" w:rsidR="006F0D35" w:rsidRPr="00F52FCA" w:rsidRDefault="006F0D35" w:rsidP="00A419DB">
      <w:pPr>
        <w:tabs>
          <w:tab w:val="left" w:pos="786"/>
        </w:tabs>
        <w:suppressAutoHyphens/>
        <w:spacing w:after="60" w:line="360" w:lineRule="auto"/>
        <w:jc w:val="both"/>
        <w:rPr>
          <w:rFonts w:ascii="Times New Roman" w:hAnsi="Times New Roman" w:cs="Times New Roman"/>
          <w:sz w:val="24"/>
          <w:szCs w:val="24"/>
          <w:lang w:val="fr-FR"/>
        </w:rPr>
      </w:pPr>
      <w:r w:rsidRPr="00F52FCA">
        <w:rPr>
          <w:rFonts w:ascii="Times New Roman" w:hAnsi="Times New Roman" w:cs="Times New Roman" w:hint="eastAsia"/>
          <w:sz w:val="24"/>
          <w:szCs w:val="24"/>
          <w:lang w:val="fr-FR"/>
        </w:rPr>
        <w:t xml:space="preserve">501. de Lorgeril M, Salen P, Martin JL, et al. </w:t>
      </w:r>
      <w:r w:rsidRPr="006F0D35">
        <w:rPr>
          <w:rFonts w:ascii="Times New Roman" w:hAnsi="Times New Roman" w:cs="Times New Roman" w:hint="eastAsia"/>
          <w:sz w:val="24"/>
          <w:szCs w:val="24"/>
          <w:lang w:val="en-US"/>
        </w:rPr>
        <w:t>Mediterranean diet, traditional risk factors, and the rate of cardiovascular complications after myocardial infarction: final report of the Lyon Diet Heart Study. Circulation. 1999;99:779-85. https://doi.org/</w:t>
      </w:r>
      <w:r w:rsidRPr="006F0D35">
        <w:rPr>
          <w:rFonts w:ascii="Times New Roman" w:hAnsi="Times New Roman" w:cs="Times New Roman"/>
          <w:sz w:val="24"/>
          <w:szCs w:val="24"/>
          <w:lang w:val="en-US"/>
        </w:rPr>
        <w:t>10.1161/01.cir.99.6.779.</w:t>
      </w:r>
      <w:r w:rsidRPr="006F0D35">
        <w:rPr>
          <w:rFonts w:ascii="Times New Roman" w:hAnsi="Times New Roman" w:cs="Times New Roman" w:hint="eastAsia"/>
          <w:sz w:val="24"/>
          <w:szCs w:val="24"/>
          <w:lang w:val="en-US"/>
        </w:rPr>
        <w:t xml:space="preserve">502. Ekelund U, Tarp J, Steene-Johannessen J, et al. Dose-response associations between accelerometry measured physical activity andsedentary time and all cause mortality: systematic review and harmonisedmeta-analysis. </w:t>
      </w:r>
      <w:r w:rsidRPr="00F52FCA">
        <w:rPr>
          <w:rFonts w:ascii="Times New Roman" w:hAnsi="Times New Roman" w:cs="Times New Roman" w:hint="eastAsia"/>
          <w:sz w:val="24"/>
          <w:szCs w:val="24"/>
          <w:lang w:val="fr-FR"/>
        </w:rPr>
        <w:t xml:space="preserve">BMJ. 2019;366:l4570. </w:t>
      </w:r>
      <w:hyperlink r:id="rId324" w:history="1">
        <w:r w:rsidRPr="00F52FCA">
          <w:rPr>
            <w:rStyle w:val="a6"/>
            <w:rFonts w:ascii="Times New Roman" w:hAnsi="Times New Roman" w:cs="Times New Roman" w:hint="eastAsia"/>
            <w:sz w:val="24"/>
            <w:szCs w:val="24"/>
            <w:lang w:val="fr-FR"/>
          </w:rPr>
          <w:t>https://doi.org</w:t>
        </w:r>
        <w:r w:rsidRPr="00F52FCA">
          <w:rPr>
            <w:rStyle w:val="a6"/>
            <w:rFonts w:ascii="Times New Roman" w:hAnsi="Times New Roman" w:cs="Times New Roman"/>
            <w:sz w:val="24"/>
            <w:szCs w:val="24"/>
            <w:lang w:val="fr-FR"/>
          </w:rPr>
          <w:t>/10.1136/bmj.l4570</w:t>
        </w:r>
      </w:hyperlink>
      <w:r w:rsidRPr="00F52FCA">
        <w:rPr>
          <w:rFonts w:ascii="Times New Roman" w:hAnsi="Times New Roman" w:cs="Times New Roman"/>
          <w:sz w:val="24"/>
          <w:szCs w:val="24"/>
          <w:lang w:val="fr-FR"/>
        </w:rPr>
        <w:t>.</w:t>
      </w:r>
    </w:p>
    <w:p w14:paraId="7EFB7897" w14:textId="77777777" w:rsidR="00A05B1B" w:rsidRPr="00F52FCA" w:rsidRDefault="00A05B1B" w:rsidP="00A419DB">
      <w:pPr>
        <w:tabs>
          <w:tab w:val="left" w:pos="786"/>
        </w:tabs>
        <w:suppressAutoHyphens/>
        <w:spacing w:after="60" w:line="360" w:lineRule="auto"/>
        <w:jc w:val="both"/>
        <w:rPr>
          <w:rFonts w:ascii="Times New Roman" w:hAnsi="Times New Roman" w:cs="Times New Roman"/>
          <w:sz w:val="24"/>
          <w:szCs w:val="24"/>
          <w:lang w:val="fr-FR"/>
        </w:rPr>
      </w:pPr>
      <w:r w:rsidRPr="00F52FCA">
        <w:rPr>
          <w:rFonts w:ascii="Times New Roman" w:hAnsi="Times New Roman" w:cs="Times New Roman" w:hint="eastAsia"/>
          <w:sz w:val="24"/>
          <w:szCs w:val="24"/>
          <w:lang w:val="fr-FR"/>
        </w:rPr>
        <w:lastRenderedPageBreak/>
        <w:t xml:space="preserve">503. Patterson R, McNamara E, Tainio M, et al. </w:t>
      </w:r>
      <w:r w:rsidRPr="00A05B1B">
        <w:rPr>
          <w:rFonts w:ascii="Times New Roman" w:hAnsi="Times New Roman" w:cs="Times New Roman" w:hint="eastAsia"/>
          <w:sz w:val="24"/>
          <w:szCs w:val="24"/>
          <w:lang w:val="en-US"/>
        </w:rPr>
        <w:t>Sedentarybehaviour and risk of</w:t>
      </w:r>
      <w:r w:rsidRPr="00A05B1B">
        <w:rPr>
          <w:rFonts w:ascii="Times New Roman" w:hAnsi="Times New Roman" w:cs="Times New Roman"/>
          <w:sz w:val="24"/>
          <w:szCs w:val="24"/>
          <w:lang w:val="en-US"/>
        </w:rPr>
        <w:t xml:space="preserve">all-cause, cardiovascular and cancer mortality, and incident type 2 diabetes: asystematic review and dose response meta-analysis. </w:t>
      </w:r>
      <w:r w:rsidRPr="00F52FCA">
        <w:rPr>
          <w:rFonts w:ascii="Times New Roman" w:hAnsi="Times New Roman" w:cs="Times New Roman"/>
          <w:sz w:val="24"/>
          <w:szCs w:val="24"/>
          <w:lang w:val="fr-FR"/>
        </w:rPr>
        <w:t>Eur J Epidemiol.2018;33:811-29. https://doi.org/10.1007/s10654-018-0380-1.</w:t>
      </w:r>
    </w:p>
    <w:p w14:paraId="104E3B02" w14:textId="77777777" w:rsidR="00A05B1B" w:rsidRPr="00A05B1B" w:rsidRDefault="00A05B1B"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504. Holmes MV, Dale CE, Zuccolo L, et al. </w:t>
      </w:r>
      <w:r w:rsidRPr="00A05B1B">
        <w:rPr>
          <w:rFonts w:ascii="Times New Roman" w:hAnsi="Times New Roman" w:cs="Times New Roman" w:hint="eastAsia"/>
          <w:sz w:val="24"/>
          <w:szCs w:val="24"/>
          <w:lang w:val="en-US"/>
        </w:rPr>
        <w:t>Association between alcohol and</w:t>
      </w:r>
      <w:r w:rsidRPr="00A05B1B">
        <w:rPr>
          <w:rFonts w:ascii="Times New Roman" w:hAnsi="Times New Roman" w:cs="Times New Roman"/>
          <w:sz w:val="24"/>
          <w:szCs w:val="24"/>
          <w:lang w:val="en-US"/>
        </w:rPr>
        <w:t>cardiovascular disease: Mendelian randomisation analysis based on individualparticipant data. BMJ. 2014;349:g4164. https://doi.org/10.1136/bmj.g4164.</w:t>
      </w:r>
    </w:p>
    <w:p w14:paraId="243A82D6" w14:textId="77777777" w:rsidR="00A05B1B" w:rsidRPr="00A05B1B" w:rsidRDefault="00A05B1B" w:rsidP="00A419DB">
      <w:pPr>
        <w:tabs>
          <w:tab w:val="left" w:pos="786"/>
        </w:tabs>
        <w:suppressAutoHyphens/>
        <w:spacing w:after="60" w:line="360" w:lineRule="auto"/>
        <w:jc w:val="both"/>
        <w:rPr>
          <w:rFonts w:ascii="Times New Roman" w:hAnsi="Times New Roman" w:cs="Times New Roman"/>
          <w:sz w:val="24"/>
          <w:szCs w:val="24"/>
          <w:lang w:val="en-US"/>
        </w:rPr>
      </w:pPr>
      <w:r w:rsidRPr="00A05B1B">
        <w:rPr>
          <w:rFonts w:ascii="Times New Roman" w:hAnsi="Times New Roman" w:cs="Times New Roman" w:hint="eastAsia"/>
          <w:sz w:val="24"/>
          <w:szCs w:val="24"/>
          <w:lang w:val="en-US"/>
        </w:rPr>
        <w:t>505. Thomopoulos C, Parati G, Zanchetti A. Effects of blood pressure lowering</w:t>
      </w:r>
      <w:r w:rsidRPr="00A05B1B">
        <w:rPr>
          <w:rFonts w:ascii="Times New Roman" w:hAnsi="Times New Roman" w:cs="Times New Roman"/>
          <w:sz w:val="24"/>
          <w:szCs w:val="24"/>
          <w:lang w:val="en-US"/>
        </w:rPr>
        <w:t>on outcome incidence in hypertension. 1. Overview, meta-analyses, andmetaregression analyses of randomized trials. J Hypertens. 2014;32:2285-95.</w:t>
      </w:r>
    </w:p>
    <w:p w14:paraId="73BA0DAD" w14:textId="77777777" w:rsidR="00A05B1B" w:rsidRPr="00A05B1B" w:rsidRDefault="00A05B1B" w:rsidP="00A419DB">
      <w:pPr>
        <w:tabs>
          <w:tab w:val="left" w:pos="786"/>
        </w:tabs>
        <w:suppressAutoHyphens/>
        <w:spacing w:after="60" w:line="360" w:lineRule="auto"/>
        <w:jc w:val="both"/>
        <w:rPr>
          <w:rFonts w:ascii="Times New Roman" w:hAnsi="Times New Roman" w:cs="Times New Roman"/>
          <w:sz w:val="24"/>
          <w:szCs w:val="24"/>
          <w:lang w:val="en-US"/>
        </w:rPr>
      </w:pPr>
      <w:r w:rsidRPr="00A05B1B">
        <w:rPr>
          <w:rFonts w:ascii="Times New Roman" w:hAnsi="Times New Roman" w:cs="Times New Roman" w:hint="eastAsia"/>
          <w:sz w:val="24"/>
          <w:szCs w:val="24"/>
          <w:lang w:val="en-US"/>
        </w:rPr>
        <w:t>506. SPRINT Research Group, Wright JT, Jr, Williamson JD, Whelton PK, et al.</w:t>
      </w:r>
      <w:r w:rsidRPr="00A05B1B">
        <w:rPr>
          <w:rFonts w:ascii="Times New Roman" w:hAnsi="Times New Roman" w:cs="Times New Roman"/>
          <w:sz w:val="24"/>
          <w:szCs w:val="24"/>
          <w:lang w:val="en-US"/>
        </w:rPr>
        <w:t>A randomized trial of intensive versus standard blood-pressure control. N Engl JMed. 2015;373:2103-16.</w:t>
      </w:r>
    </w:p>
    <w:p w14:paraId="43ABA00E" w14:textId="77777777" w:rsidR="00A05B1B" w:rsidRPr="00A05B1B" w:rsidRDefault="00A05B1B" w:rsidP="00A419DB">
      <w:pPr>
        <w:tabs>
          <w:tab w:val="left" w:pos="786"/>
        </w:tabs>
        <w:suppressAutoHyphens/>
        <w:spacing w:after="60" w:line="360" w:lineRule="auto"/>
        <w:jc w:val="both"/>
        <w:rPr>
          <w:rFonts w:ascii="Times New Roman" w:hAnsi="Times New Roman" w:cs="Times New Roman"/>
          <w:sz w:val="24"/>
          <w:szCs w:val="24"/>
          <w:lang w:val="en-US"/>
        </w:rPr>
      </w:pPr>
      <w:r w:rsidRPr="00A05B1B">
        <w:rPr>
          <w:rFonts w:ascii="Times New Roman" w:hAnsi="Times New Roman" w:cs="Times New Roman" w:hint="eastAsia"/>
          <w:sz w:val="24"/>
          <w:szCs w:val="24"/>
          <w:lang w:val="en-US"/>
        </w:rPr>
        <w:t>507. Ettehad D, Emdin CA, Kiran A, et al. Blood pressure lowering for</w:t>
      </w:r>
      <w:r w:rsidRPr="00A05B1B">
        <w:rPr>
          <w:rFonts w:ascii="Times New Roman" w:hAnsi="Times New Roman" w:cs="Times New Roman"/>
          <w:sz w:val="24"/>
          <w:szCs w:val="24"/>
          <w:lang w:val="en-US"/>
        </w:rPr>
        <w:t>prevention of cardiovascular disease and death: a systematic review and meta-analysis. Lancet. 2016;387: 957-67.</w:t>
      </w:r>
    </w:p>
    <w:p w14:paraId="2A281CD1" w14:textId="77777777" w:rsidR="00A05B1B" w:rsidRPr="00A05B1B" w:rsidRDefault="00A05B1B" w:rsidP="00A419DB">
      <w:pPr>
        <w:tabs>
          <w:tab w:val="left" w:pos="786"/>
        </w:tabs>
        <w:suppressAutoHyphens/>
        <w:spacing w:after="60" w:line="360" w:lineRule="auto"/>
        <w:jc w:val="both"/>
        <w:rPr>
          <w:rFonts w:ascii="Times New Roman" w:hAnsi="Times New Roman" w:cs="Times New Roman"/>
          <w:sz w:val="24"/>
          <w:szCs w:val="24"/>
          <w:lang w:val="en-US"/>
        </w:rPr>
      </w:pPr>
      <w:r w:rsidRPr="00A05B1B">
        <w:rPr>
          <w:rFonts w:ascii="Times New Roman" w:hAnsi="Times New Roman" w:cs="Times New Roman" w:hint="eastAsia"/>
          <w:sz w:val="24"/>
          <w:szCs w:val="24"/>
          <w:lang w:val="en-US"/>
        </w:rPr>
        <w:t>508. Fox KM. Efficacy of perindopril in reduction of cardiovascular events</w:t>
      </w:r>
      <w:r w:rsidRPr="00A05B1B">
        <w:rPr>
          <w:rFonts w:ascii="Times New Roman" w:hAnsi="Times New Roman" w:cs="Times New Roman"/>
          <w:sz w:val="24"/>
          <w:szCs w:val="24"/>
          <w:lang w:val="en-US"/>
        </w:rPr>
        <w:t>among patients with stable coronary artery disease: randomised, double-blind,placebo-controlled, multicentre trial (the EUROPA study). Lancet. 2003;362:782-8. https://doi.org/10.1016/s0140-6736(03)14286-9.</w:t>
      </w:r>
    </w:p>
    <w:p w14:paraId="5FE64EB2" w14:textId="77777777" w:rsidR="00A05B1B" w:rsidRPr="00A05B1B" w:rsidRDefault="00A05B1B" w:rsidP="00A419DB">
      <w:pPr>
        <w:tabs>
          <w:tab w:val="left" w:pos="786"/>
        </w:tabs>
        <w:suppressAutoHyphens/>
        <w:spacing w:after="60" w:line="360" w:lineRule="auto"/>
        <w:jc w:val="both"/>
        <w:rPr>
          <w:rFonts w:ascii="Times New Roman" w:hAnsi="Times New Roman" w:cs="Times New Roman"/>
          <w:sz w:val="24"/>
          <w:szCs w:val="24"/>
          <w:lang w:val="en-US"/>
        </w:rPr>
      </w:pPr>
      <w:r w:rsidRPr="00A05B1B">
        <w:rPr>
          <w:rFonts w:ascii="Times New Roman" w:hAnsi="Times New Roman" w:cs="Times New Roman" w:hint="eastAsia"/>
          <w:sz w:val="24"/>
          <w:szCs w:val="24"/>
          <w:lang w:val="en-US"/>
        </w:rPr>
        <w:t>509. Yusuf S, Sleight P, Pogue Bosch J, et al. Effects of an angiotensin-</w:t>
      </w:r>
      <w:r w:rsidRPr="00A05B1B">
        <w:rPr>
          <w:rFonts w:ascii="Times New Roman" w:hAnsi="Times New Roman" w:cs="Times New Roman"/>
          <w:sz w:val="24"/>
          <w:szCs w:val="24"/>
          <w:lang w:val="en-US"/>
        </w:rPr>
        <w:t>converting-enzyme inhibitor, ramipril, on cardiovascular events in high-riskpatients. N Engl J Med. 2000;342:145-53. https://doi.org/10.1056/nejm200001203420301.</w:t>
      </w:r>
    </w:p>
    <w:p w14:paraId="2165FB87" w14:textId="77777777" w:rsidR="00A05B1B" w:rsidRPr="00A05B1B" w:rsidRDefault="00A05B1B" w:rsidP="00A419DB">
      <w:pPr>
        <w:tabs>
          <w:tab w:val="left" w:pos="786"/>
        </w:tabs>
        <w:suppressAutoHyphens/>
        <w:spacing w:after="60" w:line="360" w:lineRule="auto"/>
        <w:jc w:val="both"/>
        <w:rPr>
          <w:rFonts w:ascii="Times New Roman" w:hAnsi="Times New Roman" w:cs="Times New Roman"/>
          <w:sz w:val="24"/>
          <w:szCs w:val="24"/>
          <w:lang w:val="en-US"/>
        </w:rPr>
      </w:pPr>
      <w:r w:rsidRPr="00A05B1B">
        <w:rPr>
          <w:rFonts w:ascii="Times New Roman" w:hAnsi="Times New Roman" w:cs="Times New Roman" w:hint="eastAsia"/>
          <w:sz w:val="24"/>
          <w:szCs w:val="24"/>
          <w:lang w:val="en-US"/>
        </w:rPr>
        <w:t>510. UK Prospective Diabetes Study (UKPDS) Group. Intensive Blood-Glucose</w:t>
      </w:r>
      <w:r w:rsidRPr="00A05B1B">
        <w:rPr>
          <w:rFonts w:ascii="Times New Roman" w:hAnsi="Times New Roman" w:cs="Times New Roman"/>
          <w:sz w:val="24"/>
          <w:szCs w:val="24"/>
          <w:lang w:val="en-US"/>
        </w:rPr>
        <w:t>Control WithSulphonylureas or Insulin Compared With Conventional Treatmentand Risk of Complications in Patients With Type 2 Diabetes (UKPDS 33). UKProspective Diabetes Study (UKPDS) Group. Lancet. 1998;352:837-53.</w:t>
      </w:r>
    </w:p>
    <w:p w14:paraId="606F1CFE" w14:textId="77777777" w:rsidR="00A05B1B" w:rsidRPr="00F52FCA" w:rsidRDefault="00A05B1B" w:rsidP="00A419DB">
      <w:pPr>
        <w:tabs>
          <w:tab w:val="left" w:pos="786"/>
        </w:tabs>
        <w:suppressAutoHyphens/>
        <w:spacing w:after="60" w:line="360" w:lineRule="auto"/>
        <w:jc w:val="both"/>
        <w:rPr>
          <w:rFonts w:ascii="Times New Roman" w:hAnsi="Times New Roman" w:cs="Times New Roman"/>
          <w:sz w:val="24"/>
          <w:szCs w:val="24"/>
          <w:lang w:val="fr-FR"/>
        </w:rPr>
      </w:pPr>
      <w:r w:rsidRPr="00A05B1B">
        <w:rPr>
          <w:rFonts w:ascii="Times New Roman" w:hAnsi="Times New Roman" w:cs="Times New Roman" w:hint="eastAsia"/>
          <w:sz w:val="24"/>
          <w:szCs w:val="24"/>
          <w:lang w:val="en-US"/>
        </w:rPr>
        <w:t>511. Skyler JS, Bergenstal R, Bonow RO, et al. Intensive Glycemic Control and</w:t>
      </w:r>
      <w:r w:rsidRPr="00A05B1B">
        <w:rPr>
          <w:rFonts w:ascii="Times New Roman" w:hAnsi="Times New Roman" w:cs="Times New Roman"/>
          <w:sz w:val="24"/>
          <w:szCs w:val="24"/>
          <w:lang w:val="en-US"/>
        </w:rPr>
        <w:t xml:space="preserve">the Prevention of Cardiovascular Events: Implications of the ACCORD,ADVANCE, and VA Diabetes Trials. </w:t>
      </w:r>
      <w:r w:rsidRPr="00F52FCA">
        <w:rPr>
          <w:rFonts w:ascii="Times New Roman" w:hAnsi="Times New Roman" w:cs="Times New Roman"/>
          <w:sz w:val="24"/>
          <w:szCs w:val="24"/>
          <w:lang w:val="fr-FR"/>
        </w:rPr>
        <w:t>Diabetes Care. 2009;32:187-92.</w:t>
      </w:r>
    </w:p>
    <w:p w14:paraId="21B829E5" w14:textId="77777777" w:rsidR="00A05B1B" w:rsidRPr="00A05B1B" w:rsidRDefault="00A05B1B"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512. Fröbert O, Götberg M, Erlinge D, et al. </w:t>
      </w:r>
      <w:r w:rsidRPr="00A05B1B">
        <w:rPr>
          <w:rFonts w:ascii="Times New Roman" w:hAnsi="Times New Roman" w:cs="Times New Roman" w:hint="eastAsia"/>
          <w:sz w:val="24"/>
          <w:szCs w:val="24"/>
          <w:lang w:val="en-US"/>
        </w:rPr>
        <w:t>Influenza vaccination after</w:t>
      </w:r>
    </w:p>
    <w:p w14:paraId="312C0611" w14:textId="77777777" w:rsidR="00A05B1B" w:rsidRPr="00A05B1B" w:rsidRDefault="00A05B1B" w:rsidP="00A419DB">
      <w:pPr>
        <w:tabs>
          <w:tab w:val="left" w:pos="786"/>
        </w:tabs>
        <w:suppressAutoHyphens/>
        <w:spacing w:after="60" w:line="360" w:lineRule="auto"/>
        <w:jc w:val="both"/>
        <w:rPr>
          <w:rFonts w:ascii="Times New Roman" w:hAnsi="Times New Roman" w:cs="Times New Roman"/>
          <w:sz w:val="24"/>
          <w:szCs w:val="24"/>
          <w:lang w:val="en-US"/>
        </w:rPr>
      </w:pPr>
      <w:r w:rsidRPr="00A05B1B">
        <w:rPr>
          <w:rFonts w:ascii="Times New Roman" w:hAnsi="Times New Roman" w:cs="Times New Roman"/>
          <w:sz w:val="24"/>
          <w:szCs w:val="24"/>
          <w:lang w:val="en-US"/>
        </w:rPr>
        <w:t>myocardial infarction: a randomized, double-blind, placebo-controlled, multicentertrial. Circulation. 2021; 144:1476-84.</w:t>
      </w:r>
    </w:p>
    <w:p w14:paraId="00F185C8" w14:textId="77777777" w:rsidR="00A05B1B" w:rsidRPr="00A05B1B" w:rsidRDefault="00A05B1B" w:rsidP="00A419DB">
      <w:pPr>
        <w:tabs>
          <w:tab w:val="left" w:pos="786"/>
        </w:tabs>
        <w:suppressAutoHyphens/>
        <w:spacing w:after="60" w:line="360" w:lineRule="auto"/>
        <w:jc w:val="both"/>
        <w:rPr>
          <w:rFonts w:ascii="Times New Roman" w:hAnsi="Times New Roman" w:cs="Times New Roman"/>
          <w:sz w:val="24"/>
          <w:szCs w:val="24"/>
          <w:lang w:val="en-US"/>
        </w:rPr>
      </w:pPr>
      <w:r w:rsidRPr="00545863">
        <w:rPr>
          <w:rFonts w:ascii="Times New Roman" w:hAnsi="Times New Roman" w:cs="Times New Roman" w:hint="eastAsia"/>
          <w:sz w:val="24"/>
          <w:szCs w:val="24"/>
          <w:lang w:val="en-US"/>
        </w:rPr>
        <w:lastRenderedPageBreak/>
        <w:t xml:space="preserve">513. Yedlapati SH, Khan SU, Talluri S, et al. </w:t>
      </w:r>
      <w:r w:rsidRPr="00A05B1B">
        <w:rPr>
          <w:rFonts w:ascii="Times New Roman" w:hAnsi="Times New Roman" w:cs="Times New Roman" w:hint="eastAsia"/>
          <w:sz w:val="24"/>
          <w:szCs w:val="24"/>
          <w:lang w:val="en-US"/>
        </w:rPr>
        <w:t>Effects of influenza vaccine on</w:t>
      </w:r>
      <w:r w:rsidRPr="00A05B1B">
        <w:rPr>
          <w:rFonts w:ascii="Times New Roman" w:hAnsi="Times New Roman" w:cs="Times New Roman"/>
          <w:sz w:val="24"/>
          <w:szCs w:val="24"/>
          <w:lang w:val="en-US"/>
        </w:rPr>
        <w:t>mortality and cardiovascular outcomes in patients with cardiovascular disease: asystematic review and meta-analysis. J Am Heart Assoc.2021;10:e019636. https://doi.org/10.1161/jaha.120.019636.</w:t>
      </w:r>
    </w:p>
    <w:p w14:paraId="4CA607B2" w14:textId="77777777" w:rsidR="00A05B1B" w:rsidRPr="00A05B1B" w:rsidRDefault="00A05B1B" w:rsidP="00A419DB">
      <w:pPr>
        <w:tabs>
          <w:tab w:val="left" w:pos="786"/>
        </w:tabs>
        <w:suppressAutoHyphens/>
        <w:spacing w:after="60" w:line="360" w:lineRule="auto"/>
        <w:jc w:val="both"/>
        <w:rPr>
          <w:rFonts w:ascii="Times New Roman" w:hAnsi="Times New Roman" w:cs="Times New Roman"/>
          <w:sz w:val="24"/>
          <w:szCs w:val="24"/>
          <w:lang w:val="en-US"/>
        </w:rPr>
      </w:pPr>
      <w:r w:rsidRPr="00A05B1B">
        <w:rPr>
          <w:rFonts w:ascii="Times New Roman" w:hAnsi="Times New Roman" w:cs="Times New Roman" w:hint="eastAsia"/>
          <w:sz w:val="24"/>
          <w:szCs w:val="24"/>
          <w:lang w:val="en-US"/>
        </w:rPr>
        <w:t>514. Fonseca HAR, Furtado RHM, Zimerman A, et al. Influenza vaccination</w:t>
      </w:r>
      <w:r w:rsidRPr="00A05B1B">
        <w:rPr>
          <w:rFonts w:ascii="Times New Roman" w:hAnsi="Times New Roman" w:cs="Times New Roman"/>
          <w:sz w:val="24"/>
          <w:szCs w:val="24"/>
          <w:lang w:val="en-US"/>
        </w:rPr>
        <w:t>strategy in acute coronary syndromes: the VIP-ACS trial. Eur Heart J.2022;43(41):4378</w:t>
      </w:r>
      <w:r w:rsidR="002F6845" w:rsidRPr="00F52FCA">
        <w:rPr>
          <w:rFonts w:ascii="Times New Roman" w:hAnsi="Times New Roman" w:cs="Times New Roman"/>
          <w:sz w:val="24"/>
          <w:szCs w:val="24"/>
          <w:lang w:val="en-US"/>
        </w:rPr>
        <w:t>-</w:t>
      </w:r>
      <w:r w:rsidRPr="00A05B1B">
        <w:rPr>
          <w:rFonts w:ascii="Times New Roman" w:hAnsi="Times New Roman" w:cs="Times New Roman"/>
          <w:sz w:val="24"/>
          <w:szCs w:val="24"/>
          <w:lang w:val="en-US"/>
        </w:rPr>
        <w:t>88. https://doi.org/10.1093/eurheartj/ehac472.</w:t>
      </w:r>
    </w:p>
    <w:p w14:paraId="188220CB" w14:textId="77777777" w:rsidR="00A05B1B" w:rsidRPr="00A05B1B" w:rsidRDefault="00A05B1B" w:rsidP="00A419DB">
      <w:pPr>
        <w:tabs>
          <w:tab w:val="left" w:pos="786"/>
        </w:tabs>
        <w:suppressAutoHyphens/>
        <w:spacing w:after="60" w:line="360" w:lineRule="auto"/>
        <w:jc w:val="both"/>
        <w:rPr>
          <w:rFonts w:ascii="Times New Roman" w:hAnsi="Times New Roman" w:cs="Times New Roman"/>
          <w:sz w:val="24"/>
          <w:szCs w:val="24"/>
          <w:lang w:val="en-US"/>
        </w:rPr>
      </w:pPr>
      <w:r w:rsidRPr="00A05B1B">
        <w:rPr>
          <w:rFonts w:ascii="Times New Roman" w:hAnsi="Times New Roman" w:cs="Times New Roman" w:hint="eastAsia"/>
          <w:sz w:val="24"/>
          <w:szCs w:val="24"/>
          <w:lang w:val="en-US"/>
        </w:rPr>
        <w:t xml:space="preserve">515. Tardif JC, Kouz S, Waters DD, et al. Efficacy </w:t>
      </w:r>
      <w:r w:rsidRPr="00A05B1B">
        <w:rPr>
          <w:rFonts w:ascii="Times New Roman" w:hAnsi="Times New Roman" w:cs="Times New Roman" w:hint="eastAsia"/>
          <w:sz w:val="24"/>
          <w:szCs w:val="24"/>
        </w:rPr>
        <w:t>а</w:t>
      </w:r>
      <w:r w:rsidRPr="00A05B1B">
        <w:rPr>
          <w:rFonts w:ascii="Times New Roman" w:hAnsi="Times New Roman" w:cs="Times New Roman" w:hint="eastAsia"/>
          <w:sz w:val="24"/>
          <w:szCs w:val="24"/>
          <w:lang w:val="en-US"/>
        </w:rPr>
        <w:t>nd safety of low-dose</w:t>
      </w:r>
      <w:r w:rsidRPr="00A05B1B">
        <w:rPr>
          <w:rFonts w:ascii="Times New Roman" w:hAnsi="Times New Roman" w:cs="Times New Roman"/>
          <w:sz w:val="24"/>
          <w:szCs w:val="24"/>
          <w:lang w:val="en-US"/>
        </w:rPr>
        <w:t>colchicine after myocardial infarction. N Engl J Med. 2019;381:2497-505. https://doi.org/10.1056/NEJMoa1912388.</w:t>
      </w:r>
    </w:p>
    <w:p w14:paraId="5330C49E" w14:textId="77777777" w:rsidR="00A05B1B" w:rsidRPr="00A05B1B" w:rsidRDefault="00A05B1B" w:rsidP="00A419DB">
      <w:pPr>
        <w:tabs>
          <w:tab w:val="left" w:pos="786"/>
        </w:tabs>
        <w:suppressAutoHyphens/>
        <w:spacing w:after="60" w:line="360" w:lineRule="auto"/>
        <w:jc w:val="both"/>
        <w:rPr>
          <w:rFonts w:ascii="Times New Roman" w:hAnsi="Times New Roman" w:cs="Times New Roman"/>
          <w:sz w:val="24"/>
          <w:szCs w:val="24"/>
          <w:lang w:val="en-US"/>
        </w:rPr>
      </w:pPr>
      <w:r w:rsidRPr="00A05B1B">
        <w:rPr>
          <w:rFonts w:ascii="Times New Roman" w:hAnsi="Times New Roman" w:cs="Times New Roman" w:hint="eastAsia"/>
          <w:sz w:val="24"/>
          <w:szCs w:val="24"/>
          <w:lang w:val="en-US"/>
        </w:rPr>
        <w:t>516. Nidorf SM, Fiolet ATL, Mosterd A, et al. Colchicine in patients with chronic</w:t>
      </w:r>
      <w:r w:rsidRPr="00A05B1B">
        <w:rPr>
          <w:rFonts w:ascii="Times New Roman" w:hAnsi="Times New Roman" w:cs="Times New Roman"/>
          <w:sz w:val="24"/>
          <w:szCs w:val="24"/>
          <w:lang w:val="en-US"/>
        </w:rPr>
        <w:t>coronary disease. N Engl J Med. 2020;383:1838-47. https://doi.org/10.1056/NEJMoa2021372.</w:t>
      </w:r>
    </w:p>
    <w:p w14:paraId="10F3B612" w14:textId="77777777" w:rsidR="00A05B1B" w:rsidRPr="00A05B1B" w:rsidRDefault="00A05B1B" w:rsidP="00A419DB">
      <w:pPr>
        <w:tabs>
          <w:tab w:val="left" w:pos="786"/>
        </w:tabs>
        <w:suppressAutoHyphens/>
        <w:spacing w:after="60" w:line="360" w:lineRule="auto"/>
        <w:jc w:val="both"/>
        <w:rPr>
          <w:rFonts w:ascii="Times New Roman" w:hAnsi="Times New Roman" w:cs="Times New Roman"/>
          <w:sz w:val="24"/>
          <w:szCs w:val="24"/>
          <w:lang w:val="en-US"/>
        </w:rPr>
      </w:pPr>
      <w:r w:rsidRPr="00A05B1B">
        <w:rPr>
          <w:rFonts w:ascii="Times New Roman" w:hAnsi="Times New Roman" w:cs="Times New Roman" w:hint="eastAsia"/>
          <w:sz w:val="24"/>
          <w:szCs w:val="24"/>
          <w:lang w:val="en-US"/>
        </w:rPr>
        <w:t>517. Thom S, Poulter N, Field J, et al.; UMPIRE Collaborative Group. Effects of</w:t>
      </w:r>
      <w:r w:rsidRPr="00A05B1B">
        <w:rPr>
          <w:rFonts w:ascii="Times New Roman" w:hAnsi="Times New Roman" w:cs="Times New Roman"/>
          <w:sz w:val="24"/>
          <w:szCs w:val="24"/>
          <w:lang w:val="en-US"/>
        </w:rPr>
        <w:t>a fixed-dose combination strategy on adherence and risk factors in patients withor at high risk of CVD: the UMPIRE randomized clinical trial. JAMA.2013;310:918-29.</w:t>
      </w:r>
    </w:p>
    <w:p w14:paraId="709C8DC1" w14:textId="77777777" w:rsidR="00A05B1B" w:rsidRPr="00A05B1B" w:rsidRDefault="00A05B1B" w:rsidP="00A419DB">
      <w:pPr>
        <w:tabs>
          <w:tab w:val="left" w:pos="786"/>
        </w:tabs>
        <w:suppressAutoHyphens/>
        <w:spacing w:after="60" w:line="360" w:lineRule="auto"/>
        <w:jc w:val="both"/>
        <w:rPr>
          <w:rFonts w:ascii="Times New Roman" w:hAnsi="Times New Roman" w:cs="Times New Roman"/>
          <w:sz w:val="24"/>
          <w:szCs w:val="24"/>
          <w:lang w:val="en-US"/>
        </w:rPr>
      </w:pPr>
      <w:r w:rsidRPr="00545863">
        <w:rPr>
          <w:rFonts w:ascii="Times New Roman" w:hAnsi="Times New Roman" w:cs="Times New Roman" w:hint="eastAsia"/>
          <w:sz w:val="24"/>
          <w:szCs w:val="24"/>
          <w:lang w:val="en-US"/>
        </w:rPr>
        <w:t xml:space="preserve">518. Castellano JM, Sanz G, Penalvo JL, et al. </w:t>
      </w:r>
      <w:r w:rsidRPr="00A05B1B">
        <w:rPr>
          <w:rFonts w:ascii="Times New Roman" w:hAnsi="Times New Roman" w:cs="Times New Roman" w:hint="eastAsia"/>
          <w:sz w:val="24"/>
          <w:szCs w:val="24"/>
          <w:lang w:val="en-US"/>
        </w:rPr>
        <w:t>A polypill strategy to improve</w:t>
      </w:r>
      <w:r w:rsidRPr="00A05B1B">
        <w:rPr>
          <w:rFonts w:ascii="Times New Roman" w:hAnsi="Times New Roman" w:cs="Times New Roman"/>
          <w:sz w:val="24"/>
          <w:szCs w:val="24"/>
          <w:lang w:val="en-US"/>
        </w:rPr>
        <w:t>adherence: results from the FOCUS project. J Am Coll Cardiol. 2014;64:2071-82.</w:t>
      </w:r>
    </w:p>
    <w:p w14:paraId="40F70E50" w14:textId="77777777" w:rsidR="00A05B1B" w:rsidRPr="00A05B1B" w:rsidRDefault="00A05B1B" w:rsidP="00A419DB">
      <w:pPr>
        <w:tabs>
          <w:tab w:val="left" w:pos="786"/>
        </w:tabs>
        <w:suppressAutoHyphens/>
        <w:spacing w:after="60" w:line="360" w:lineRule="auto"/>
        <w:jc w:val="both"/>
        <w:rPr>
          <w:rFonts w:ascii="Times New Roman" w:hAnsi="Times New Roman" w:cs="Times New Roman"/>
          <w:sz w:val="24"/>
          <w:szCs w:val="24"/>
          <w:lang w:val="en-US"/>
        </w:rPr>
      </w:pPr>
      <w:r w:rsidRPr="00A05B1B">
        <w:rPr>
          <w:rFonts w:ascii="Times New Roman" w:hAnsi="Times New Roman" w:cs="Times New Roman" w:hint="eastAsia"/>
          <w:sz w:val="24"/>
          <w:szCs w:val="24"/>
          <w:lang w:val="en-US"/>
        </w:rPr>
        <w:t>519. Astin F, Stephenson J, Probyn J, et al. Cardiologists&amp;#39; and patients&amp;#39; views</w:t>
      </w:r>
      <w:r w:rsidRPr="00A05B1B">
        <w:rPr>
          <w:rFonts w:ascii="Times New Roman" w:hAnsi="Times New Roman" w:cs="Times New Roman"/>
          <w:sz w:val="24"/>
          <w:szCs w:val="24"/>
          <w:lang w:val="en-US"/>
        </w:rPr>
        <w:t>about the informed consent process and their understanding of the anticipatedtreatment benefits of coronary angioplasty: a survey study. Eur J CardiovascNurs. 2020;19:2608. https://doi.org/10.1177/1474515119879050.</w:t>
      </w:r>
    </w:p>
    <w:p w14:paraId="60ECEDCD" w14:textId="77777777" w:rsidR="00A05B1B" w:rsidRPr="00A05B1B" w:rsidRDefault="00A05B1B" w:rsidP="00A419DB">
      <w:pPr>
        <w:tabs>
          <w:tab w:val="left" w:pos="786"/>
        </w:tabs>
        <w:suppressAutoHyphens/>
        <w:spacing w:after="60" w:line="360" w:lineRule="auto"/>
        <w:jc w:val="both"/>
        <w:rPr>
          <w:rFonts w:ascii="Times New Roman" w:hAnsi="Times New Roman" w:cs="Times New Roman"/>
          <w:sz w:val="24"/>
          <w:szCs w:val="24"/>
          <w:lang w:val="en-US"/>
        </w:rPr>
      </w:pPr>
      <w:r w:rsidRPr="00A05B1B">
        <w:rPr>
          <w:rFonts w:ascii="Times New Roman" w:hAnsi="Times New Roman" w:cs="Times New Roman" w:hint="eastAsia"/>
          <w:sz w:val="24"/>
          <w:szCs w:val="24"/>
          <w:lang w:val="en-US"/>
        </w:rPr>
        <w:t>520. Scott JT, Thompson DR. Assessing the information needs of post-</w:t>
      </w:r>
      <w:r w:rsidRPr="00A05B1B">
        <w:rPr>
          <w:rFonts w:ascii="Times New Roman" w:hAnsi="Times New Roman" w:cs="Times New Roman"/>
          <w:sz w:val="24"/>
          <w:szCs w:val="24"/>
          <w:lang w:val="en-US"/>
        </w:rPr>
        <w:t>myocardial infarction patients: a systematic review. Patient Educ Couns.2003;50:167-77. https://doi.org/10.1016/s0738-3991(02)00126-x.</w:t>
      </w:r>
    </w:p>
    <w:p w14:paraId="7C6BAA09" w14:textId="77777777" w:rsidR="00A05B1B" w:rsidRPr="00A05B1B" w:rsidRDefault="00A05B1B" w:rsidP="00A419DB">
      <w:pPr>
        <w:tabs>
          <w:tab w:val="left" w:pos="786"/>
        </w:tabs>
        <w:suppressAutoHyphens/>
        <w:spacing w:after="60" w:line="360" w:lineRule="auto"/>
        <w:jc w:val="both"/>
        <w:rPr>
          <w:rFonts w:ascii="Times New Roman" w:hAnsi="Times New Roman" w:cs="Times New Roman"/>
          <w:sz w:val="24"/>
          <w:szCs w:val="24"/>
          <w:lang w:val="en-US"/>
        </w:rPr>
      </w:pPr>
      <w:r w:rsidRPr="00545863">
        <w:rPr>
          <w:rFonts w:ascii="Times New Roman" w:hAnsi="Times New Roman" w:cs="Times New Roman" w:hint="eastAsia"/>
          <w:sz w:val="24"/>
          <w:szCs w:val="24"/>
          <w:lang w:val="en-US"/>
        </w:rPr>
        <w:t xml:space="preserve">521. Slater DK, Hlatky MA, Mark DB, et al. </w:t>
      </w:r>
      <w:r w:rsidRPr="00A05B1B">
        <w:rPr>
          <w:rFonts w:ascii="Times New Roman" w:hAnsi="Times New Roman" w:cs="Times New Roman" w:hint="eastAsia"/>
          <w:sz w:val="24"/>
          <w:szCs w:val="24"/>
          <w:lang w:val="en-US"/>
        </w:rPr>
        <w:t>Outcome in suspected acute</w:t>
      </w:r>
      <w:r w:rsidRPr="00A05B1B">
        <w:rPr>
          <w:rFonts w:ascii="Times New Roman" w:hAnsi="Times New Roman" w:cs="Times New Roman"/>
          <w:sz w:val="24"/>
          <w:szCs w:val="24"/>
          <w:lang w:val="en-US"/>
        </w:rPr>
        <w:t>myocardial infarction with normal or minimally abnormal admissionelectrocardiographic findings. Am Journal Cardiol. 1987;60:766-70.</w:t>
      </w:r>
    </w:p>
    <w:p w14:paraId="49670FEF" w14:textId="77777777" w:rsidR="00A05B1B" w:rsidRPr="00A05B1B" w:rsidRDefault="00A05B1B" w:rsidP="00A419DB">
      <w:pPr>
        <w:tabs>
          <w:tab w:val="left" w:pos="786"/>
        </w:tabs>
        <w:suppressAutoHyphens/>
        <w:spacing w:after="60" w:line="360" w:lineRule="auto"/>
        <w:jc w:val="both"/>
        <w:rPr>
          <w:rFonts w:ascii="Times New Roman" w:hAnsi="Times New Roman" w:cs="Times New Roman"/>
          <w:sz w:val="24"/>
          <w:szCs w:val="24"/>
          <w:lang w:val="en-US"/>
        </w:rPr>
      </w:pPr>
      <w:r w:rsidRPr="00A05B1B">
        <w:rPr>
          <w:rFonts w:ascii="Times New Roman" w:hAnsi="Times New Roman" w:cs="Times New Roman" w:hint="eastAsia"/>
          <w:sz w:val="24"/>
          <w:szCs w:val="24"/>
          <w:lang w:val="en-US"/>
        </w:rPr>
        <w:t>522. Lev EI, Battler A, Behar S, et al. Frequency, characteristics, and outcome</w:t>
      </w:r>
      <w:r w:rsidRPr="00A05B1B">
        <w:rPr>
          <w:rFonts w:ascii="Times New Roman" w:hAnsi="Times New Roman" w:cs="Times New Roman"/>
          <w:sz w:val="24"/>
          <w:szCs w:val="24"/>
          <w:lang w:val="en-US"/>
        </w:rPr>
        <w:t>of patients hospitalized with acute coronary syndromes with undeterminedelectrocardiographic patterns. American Journal Cardiol. 2003;91:224-7.</w:t>
      </w:r>
    </w:p>
    <w:p w14:paraId="11DB16A0" w14:textId="77777777" w:rsidR="00A05B1B" w:rsidRPr="002F18FA" w:rsidRDefault="00A05B1B" w:rsidP="00A419DB">
      <w:pPr>
        <w:tabs>
          <w:tab w:val="left" w:pos="786"/>
        </w:tabs>
        <w:suppressAutoHyphens/>
        <w:spacing w:after="60" w:line="360" w:lineRule="auto"/>
        <w:jc w:val="both"/>
        <w:rPr>
          <w:rFonts w:ascii="Times New Roman" w:hAnsi="Times New Roman" w:cs="Times New Roman"/>
          <w:sz w:val="24"/>
          <w:szCs w:val="24"/>
          <w:lang w:val="en-US"/>
        </w:rPr>
      </w:pPr>
      <w:r w:rsidRPr="00A05B1B">
        <w:rPr>
          <w:rFonts w:ascii="Times New Roman" w:hAnsi="Times New Roman" w:cs="Times New Roman" w:hint="eastAsia"/>
          <w:sz w:val="24"/>
          <w:szCs w:val="24"/>
          <w:lang w:val="en-US"/>
        </w:rPr>
        <w:t>523. Ganovska E, Arrigo M, Helanova K, et al. Natriuretic peptides in addition to</w:t>
      </w:r>
      <w:r w:rsidRPr="00A05B1B">
        <w:rPr>
          <w:rFonts w:ascii="Times New Roman" w:hAnsi="Times New Roman" w:cs="Times New Roman"/>
          <w:sz w:val="24"/>
          <w:szCs w:val="24"/>
          <w:lang w:val="en-US"/>
        </w:rPr>
        <w:t>Zwolle score to enhance safe and early discharge after acute myocardialinfarction: a prospective observational cohort study. Int J Cardiol. 2016;215:527-31.</w:t>
      </w:r>
    </w:p>
    <w:p w14:paraId="1CFFA097" w14:textId="77777777" w:rsidR="00A05B1B" w:rsidRPr="00A05B1B" w:rsidRDefault="00A05B1B" w:rsidP="00A419DB">
      <w:pPr>
        <w:tabs>
          <w:tab w:val="left" w:pos="786"/>
        </w:tabs>
        <w:suppressAutoHyphens/>
        <w:spacing w:after="60" w:line="360" w:lineRule="auto"/>
        <w:jc w:val="both"/>
        <w:rPr>
          <w:rFonts w:ascii="Times New Roman" w:hAnsi="Times New Roman" w:cs="Times New Roman"/>
          <w:sz w:val="24"/>
          <w:szCs w:val="24"/>
          <w:lang w:val="en-US"/>
        </w:rPr>
      </w:pPr>
      <w:r w:rsidRPr="00A05B1B">
        <w:rPr>
          <w:rFonts w:ascii="Times New Roman" w:hAnsi="Times New Roman" w:cs="Times New Roman" w:hint="eastAsia"/>
          <w:sz w:val="24"/>
          <w:szCs w:val="24"/>
          <w:lang w:val="en-US"/>
        </w:rPr>
        <w:lastRenderedPageBreak/>
        <w:t>524. Schellings DA, Adiyaman A, Giannitsis E, et al. Early discharge after</w:t>
      </w:r>
      <w:r w:rsidRPr="00A05B1B">
        <w:rPr>
          <w:rFonts w:ascii="Times New Roman" w:hAnsi="Times New Roman" w:cs="Times New Roman"/>
          <w:sz w:val="24"/>
          <w:szCs w:val="24"/>
          <w:lang w:val="en-US"/>
        </w:rPr>
        <w:t>primary percutaneous coronary intervention: the added value of N-terminal pro-brain natriuretic peptide to the Zwolle Risk Score. J Am Heart Assoc.2014;3(6):e001089.</w:t>
      </w:r>
    </w:p>
    <w:p w14:paraId="15C077A2" w14:textId="77777777" w:rsidR="002D4651" w:rsidRPr="00F52FCA" w:rsidRDefault="00A05B1B" w:rsidP="00A419DB">
      <w:pPr>
        <w:tabs>
          <w:tab w:val="left" w:pos="786"/>
        </w:tabs>
        <w:suppressAutoHyphens/>
        <w:spacing w:after="60" w:line="360" w:lineRule="auto"/>
        <w:jc w:val="both"/>
        <w:rPr>
          <w:rFonts w:ascii="Times New Roman" w:hAnsi="Times New Roman" w:cs="Times New Roman"/>
          <w:sz w:val="24"/>
          <w:szCs w:val="24"/>
          <w:lang w:val="fr-FR"/>
        </w:rPr>
      </w:pPr>
      <w:r w:rsidRPr="00A05B1B">
        <w:rPr>
          <w:rFonts w:ascii="Times New Roman" w:hAnsi="Times New Roman" w:cs="Times New Roman" w:hint="eastAsia"/>
          <w:sz w:val="24"/>
          <w:szCs w:val="24"/>
          <w:lang w:val="en-US"/>
        </w:rPr>
        <w:t>525. Tralhão A, Ferreira AM, Madeira S, et al. Applicability of the Zwolle risk</w:t>
      </w:r>
      <w:r w:rsidRPr="00A05B1B">
        <w:rPr>
          <w:rFonts w:ascii="Times New Roman" w:hAnsi="Times New Roman" w:cs="Times New Roman"/>
          <w:sz w:val="24"/>
          <w:szCs w:val="24"/>
          <w:lang w:val="en-US"/>
        </w:rPr>
        <w:t xml:space="preserve">score for safe early discharge after primary percutaneous coronary interventionin ST segment elevation myocardial infarction. </w:t>
      </w:r>
      <w:r w:rsidRPr="00F52FCA">
        <w:rPr>
          <w:rFonts w:ascii="Times New Roman" w:hAnsi="Times New Roman" w:cs="Times New Roman"/>
          <w:sz w:val="24"/>
          <w:szCs w:val="24"/>
          <w:lang w:val="fr-FR"/>
        </w:rPr>
        <w:t>Rev Port Cardiol. 2015;34(9):535</w:t>
      </w:r>
      <w:r w:rsidR="002D4651" w:rsidRPr="00F52FCA">
        <w:rPr>
          <w:rFonts w:ascii="Times New Roman" w:hAnsi="Times New Roman" w:cs="Times New Roman"/>
          <w:sz w:val="24"/>
          <w:szCs w:val="24"/>
          <w:lang w:val="fr-FR"/>
        </w:rPr>
        <w:t>-</w:t>
      </w:r>
      <w:r w:rsidRPr="00F52FCA">
        <w:rPr>
          <w:rFonts w:ascii="Times New Roman" w:hAnsi="Times New Roman" w:cs="Times New Roman"/>
          <w:sz w:val="24"/>
          <w:szCs w:val="24"/>
          <w:lang w:val="fr-FR"/>
        </w:rPr>
        <w:t>41. </w:t>
      </w:r>
      <w:hyperlink r:id="rId325" w:history="1">
        <w:r w:rsidR="002D4651" w:rsidRPr="00F52FCA">
          <w:rPr>
            <w:rStyle w:val="a6"/>
            <w:rFonts w:ascii="Times New Roman" w:hAnsi="Times New Roman" w:cs="Times New Roman"/>
            <w:sz w:val="24"/>
            <w:szCs w:val="24"/>
            <w:lang w:val="fr-FR"/>
          </w:rPr>
          <w:t>https://doi.org/10.1016/j.repc.2015.04.006</w:t>
        </w:r>
      </w:hyperlink>
      <w:r w:rsidRPr="00F52FCA">
        <w:rPr>
          <w:rFonts w:ascii="Times New Roman" w:hAnsi="Times New Roman" w:cs="Times New Roman"/>
          <w:sz w:val="24"/>
          <w:szCs w:val="24"/>
          <w:lang w:val="fr-FR"/>
        </w:rPr>
        <w:t>.</w:t>
      </w:r>
    </w:p>
    <w:p w14:paraId="13BA2CDD" w14:textId="77777777" w:rsidR="00A05B1B" w:rsidRPr="00F52FCA" w:rsidRDefault="00A05B1B" w:rsidP="00A419DB">
      <w:pPr>
        <w:tabs>
          <w:tab w:val="left" w:pos="786"/>
        </w:tabs>
        <w:suppressAutoHyphens/>
        <w:spacing w:after="60" w:line="360" w:lineRule="auto"/>
        <w:jc w:val="both"/>
        <w:rPr>
          <w:rFonts w:ascii="Times New Roman" w:hAnsi="Times New Roman" w:cs="Times New Roman"/>
          <w:sz w:val="24"/>
          <w:szCs w:val="24"/>
          <w:lang w:val="fr-FR"/>
        </w:rPr>
      </w:pPr>
      <w:r w:rsidRPr="00F52FCA">
        <w:rPr>
          <w:rFonts w:ascii="Times New Roman" w:hAnsi="Times New Roman" w:cs="Times New Roman" w:hint="eastAsia"/>
          <w:sz w:val="24"/>
          <w:szCs w:val="24"/>
          <w:lang w:val="fr-FR"/>
        </w:rPr>
        <w:t xml:space="preserve">526. Grines CL, Marsalese DL, Brodie B, et al. </w:t>
      </w:r>
      <w:r w:rsidRPr="002D4651">
        <w:rPr>
          <w:rFonts w:ascii="Times New Roman" w:hAnsi="Times New Roman" w:cs="Times New Roman" w:hint="eastAsia"/>
          <w:sz w:val="24"/>
          <w:szCs w:val="24"/>
          <w:lang w:val="en-US"/>
        </w:rPr>
        <w:t>Safety and costeffectiveness of</w:t>
      </w:r>
      <w:r w:rsidRPr="00A05B1B">
        <w:rPr>
          <w:rFonts w:ascii="Times New Roman" w:hAnsi="Times New Roman" w:cs="Times New Roman"/>
          <w:sz w:val="24"/>
          <w:szCs w:val="24"/>
          <w:lang w:val="en-US"/>
        </w:rPr>
        <w:t xml:space="preserve">early discharge after primary angioplasty in low-risk patients with acutemyocardial infarction. PAMI-II Investigators. Primary Angioplasty in MyocardialInfarction. J Am Coll Cardiol. </w:t>
      </w:r>
      <w:r w:rsidRPr="00F52FCA">
        <w:rPr>
          <w:rFonts w:ascii="Times New Roman" w:hAnsi="Times New Roman" w:cs="Times New Roman"/>
          <w:sz w:val="24"/>
          <w:szCs w:val="24"/>
          <w:lang w:val="fr-FR"/>
        </w:rPr>
        <w:t>1998; 31:967-72.</w:t>
      </w:r>
    </w:p>
    <w:p w14:paraId="6857D7CD" w14:textId="77777777" w:rsidR="00A05B1B" w:rsidRPr="00A05B1B" w:rsidRDefault="00A05B1B" w:rsidP="00A419DB">
      <w:pPr>
        <w:tabs>
          <w:tab w:val="left" w:pos="786"/>
        </w:tabs>
        <w:suppressAutoHyphens/>
        <w:spacing w:after="60" w:line="360" w:lineRule="auto"/>
        <w:jc w:val="both"/>
        <w:rPr>
          <w:rFonts w:ascii="Times New Roman" w:hAnsi="Times New Roman" w:cs="Times New Roman"/>
          <w:sz w:val="24"/>
          <w:szCs w:val="24"/>
          <w:lang w:val="en-US"/>
        </w:rPr>
      </w:pPr>
      <w:r w:rsidRPr="00F52FCA">
        <w:rPr>
          <w:rFonts w:ascii="Times New Roman" w:hAnsi="Times New Roman" w:cs="Times New Roman" w:hint="eastAsia"/>
          <w:sz w:val="24"/>
          <w:szCs w:val="24"/>
          <w:lang w:val="fr-FR"/>
        </w:rPr>
        <w:t xml:space="preserve">527. Beygui F, Cayla G, Roule V, et al.; ALBATROSS Investigators. </w:t>
      </w:r>
      <w:r w:rsidRPr="00A05B1B">
        <w:rPr>
          <w:rFonts w:ascii="Times New Roman" w:hAnsi="Times New Roman" w:cs="Times New Roman" w:hint="eastAsia"/>
          <w:sz w:val="24"/>
          <w:szCs w:val="24"/>
          <w:lang w:val="en-US"/>
        </w:rPr>
        <w:t>Early</w:t>
      </w:r>
      <w:r w:rsidRPr="00A05B1B">
        <w:rPr>
          <w:rFonts w:ascii="Times New Roman" w:hAnsi="Times New Roman" w:cs="Times New Roman"/>
          <w:sz w:val="24"/>
          <w:szCs w:val="24"/>
          <w:lang w:val="en-US"/>
        </w:rPr>
        <w:t>Aldosterone Blockade in Acute Myocardial Infarction: The ALBATROSSRandomized Clinical Trial. J Am Coll Cardiol. 2016;67(16):1917-27. https://doi.org/10.1016/j.jacc.2016.02.033.</w:t>
      </w:r>
    </w:p>
    <w:p w14:paraId="22067F55" w14:textId="49E993D8" w:rsidR="00A05B1B" w:rsidRPr="00A44531" w:rsidRDefault="00A05B1B" w:rsidP="00A419DB">
      <w:pPr>
        <w:tabs>
          <w:tab w:val="left" w:pos="786"/>
        </w:tabs>
        <w:suppressAutoHyphens/>
        <w:spacing w:after="60" w:line="360" w:lineRule="auto"/>
        <w:jc w:val="both"/>
        <w:rPr>
          <w:rFonts w:ascii="Times New Roman" w:hAnsi="Times New Roman" w:cs="Times New Roman"/>
          <w:sz w:val="24"/>
          <w:szCs w:val="24"/>
          <w:lang w:val="en-US"/>
        </w:rPr>
      </w:pPr>
      <w:r w:rsidRPr="00A05B1B">
        <w:rPr>
          <w:rFonts w:ascii="Times New Roman" w:hAnsi="Times New Roman" w:cs="Times New Roman" w:hint="eastAsia"/>
          <w:sz w:val="24"/>
          <w:szCs w:val="24"/>
          <w:lang w:val="en-US"/>
        </w:rPr>
        <w:t>528. Xu Y, Qiu Z, Yang R, et al. Efficacy of mineralocorticoid receptor</w:t>
      </w:r>
      <w:r w:rsidRPr="00A05B1B">
        <w:rPr>
          <w:rFonts w:ascii="Times New Roman" w:hAnsi="Times New Roman" w:cs="Times New Roman"/>
          <w:sz w:val="24"/>
          <w:szCs w:val="24"/>
          <w:lang w:val="en-US"/>
        </w:rPr>
        <w:t>antagonists in postmyocardial infarction patients with or without left ventriculardysfunction. A metaanalysis of randomized controlled trials. Medicine.2018;97:51(e13690). https://doi.org/10.1097/MD.0000000000013690.</w:t>
      </w:r>
    </w:p>
    <w:p w14:paraId="6E4F9394" w14:textId="6C51D88D" w:rsidR="00A05B1B" w:rsidRPr="000C2EC4" w:rsidRDefault="000C2EC4" w:rsidP="00A419DB">
      <w:pPr>
        <w:tabs>
          <w:tab w:val="left" w:pos="786"/>
        </w:tabs>
        <w:suppressAutoHyphens/>
        <w:spacing w:after="60" w:line="360" w:lineRule="auto"/>
        <w:jc w:val="both"/>
        <w:rPr>
          <w:rFonts w:ascii="Times New Roman" w:hAnsi="Times New Roman" w:cs="Times New Roman"/>
          <w:sz w:val="24"/>
          <w:szCs w:val="24"/>
          <w:lang w:val="en-US"/>
        </w:rPr>
      </w:pPr>
      <w:r w:rsidRPr="000C2EC4">
        <w:rPr>
          <w:rFonts w:ascii="Times New Roman" w:hAnsi="Times New Roman" w:cs="Times New Roman"/>
          <w:sz w:val="24"/>
          <w:szCs w:val="24"/>
        </w:rPr>
        <w:t>Д</w:t>
      </w:r>
      <w:r w:rsidR="004D24A6" w:rsidRPr="000C2EC4">
        <w:rPr>
          <w:rFonts w:ascii="Times New Roman" w:hAnsi="Times New Roman" w:cs="Times New Roman"/>
          <w:sz w:val="24"/>
          <w:szCs w:val="24"/>
        </w:rPr>
        <w:t>ля</w:t>
      </w:r>
      <w:r w:rsidRPr="00A44531">
        <w:rPr>
          <w:rFonts w:ascii="Times New Roman" w:hAnsi="Times New Roman" w:cs="Times New Roman"/>
          <w:sz w:val="24"/>
          <w:szCs w:val="24"/>
          <w:lang w:val="en-US"/>
        </w:rPr>
        <w:t xml:space="preserve"> </w:t>
      </w:r>
      <w:r w:rsidR="00A05B1B" w:rsidRPr="000C2EC4">
        <w:rPr>
          <w:rFonts w:ascii="Times New Roman" w:hAnsi="Times New Roman" w:cs="Times New Roman"/>
          <w:sz w:val="24"/>
          <w:szCs w:val="24"/>
        </w:rPr>
        <w:t>цитирования</w:t>
      </w:r>
      <w:r w:rsidR="00A05B1B" w:rsidRPr="000C2EC4">
        <w:rPr>
          <w:rFonts w:ascii="Times New Roman" w:hAnsi="Times New Roman" w:cs="Times New Roman"/>
          <w:sz w:val="24"/>
          <w:szCs w:val="24"/>
          <w:lang w:val="en-US"/>
        </w:rPr>
        <w:t>:</w:t>
      </w:r>
    </w:p>
    <w:p w14:paraId="7DDD7B57" w14:textId="77777777" w:rsidR="00E05788" w:rsidRPr="00E05788" w:rsidRDefault="00376C2E" w:rsidP="00A419DB">
      <w:pPr>
        <w:tabs>
          <w:tab w:val="left" w:pos="786"/>
        </w:tabs>
        <w:suppressAutoHyphens/>
        <w:spacing w:after="60" w:line="360" w:lineRule="auto"/>
        <w:jc w:val="both"/>
        <w:rPr>
          <w:rFonts w:ascii="Times New Roman" w:hAnsi="Times New Roman" w:cs="Times New Roman"/>
          <w:sz w:val="24"/>
          <w:szCs w:val="24"/>
        </w:rPr>
      </w:pPr>
      <w:r w:rsidRPr="00376C2E">
        <w:rPr>
          <w:rFonts w:ascii="Times New Roman" w:hAnsi="Times New Roman" w:cs="Times New Roman"/>
          <w:sz w:val="24"/>
          <w:szCs w:val="24"/>
        </w:rPr>
        <w:t>Аверков</w:t>
      </w:r>
      <w:r w:rsidRPr="00F6333D">
        <w:rPr>
          <w:rFonts w:ascii="Times New Roman" w:hAnsi="Times New Roman" w:cs="Times New Roman"/>
          <w:sz w:val="24"/>
          <w:szCs w:val="24"/>
          <w:lang w:val="en-US"/>
        </w:rPr>
        <w:t> </w:t>
      </w:r>
      <w:r w:rsidRPr="00376C2E">
        <w:rPr>
          <w:rFonts w:ascii="Times New Roman" w:hAnsi="Times New Roman" w:cs="Times New Roman"/>
          <w:sz w:val="24"/>
          <w:szCs w:val="24"/>
        </w:rPr>
        <w:t>О</w:t>
      </w:r>
      <w:r w:rsidRPr="00F6333D">
        <w:rPr>
          <w:rFonts w:ascii="Times New Roman" w:hAnsi="Times New Roman" w:cs="Times New Roman"/>
          <w:sz w:val="24"/>
          <w:szCs w:val="24"/>
          <w:lang w:val="en-US"/>
        </w:rPr>
        <w:t>.</w:t>
      </w:r>
      <w:r w:rsidRPr="00376C2E">
        <w:rPr>
          <w:rFonts w:ascii="Times New Roman" w:hAnsi="Times New Roman" w:cs="Times New Roman"/>
          <w:sz w:val="24"/>
          <w:szCs w:val="24"/>
        </w:rPr>
        <w:t>В</w:t>
      </w:r>
      <w:r w:rsidR="00A05B1B"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Арутюнян</w:t>
      </w:r>
      <w:r w:rsidR="00A05B1B" w:rsidRPr="00F6333D">
        <w:rPr>
          <w:rFonts w:ascii="Times New Roman" w:hAnsi="Times New Roman" w:cs="Times New Roman"/>
          <w:sz w:val="24"/>
          <w:szCs w:val="24"/>
          <w:lang w:val="en-US"/>
        </w:rPr>
        <w:t> </w:t>
      </w:r>
      <w:r w:rsidR="00A05B1B" w:rsidRPr="00A05B1B">
        <w:rPr>
          <w:rFonts w:ascii="Times New Roman" w:hAnsi="Times New Roman" w:cs="Times New Roman"/>
          <w:sz w:val="24"/>
          <w:szCs w:val="24"/>
        </w:rPr>
        <w:t>Г</w:t>
      </w:r>
      <w:r w:rsidR="00A05B1B" w:rsidRPr="00F6333D">
        <w:rPr>
          <w:rFonts w:ascii="Times New Roman" w:hAnsi="Times New Roman" w:cs="Times New Roman"/>
          <w:sz w:val="24"/>
          <w:szCs w:val="24"/>
          <w:lang w:val="en-US"/>
        </w:rPr>
        <w:t>.</w:t>
      </w:r>
      <w:r w:rsidR="00A05B1B" w:rsidRPr="00A05B1B">
        <w:rPr>
          <w:rFonts w:ascii="Times New Roman" w:hAnsi="Times New Roman" w:cs="Times New Roman"/>
          <w:sz w:val="24"/>
          <w:szCs w:val="24"/>
        </w:rPr>
        <w:t>К</w:t>
      </w:r>
      <w:r w:rsidR="00A05B1B"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Дупляков</w:t>
      </w:r>
      <w:r w:rsidR="00A05B1B" w:rsidRPr="00F6333D">
        <w:rPr>
          <w:rFonts w:ascii="Times New Roman" w:hAnsi="Times New Roman" w:cs="Times New Roman"/>
          <w:sz w:val="24"/>
          <w:szCs w:val="24"/>
          <w:lang w:val="en-US"/>
        </w:rPr>
        <w:t> </w:t>
      </w:r>
      <w:r w:rsidR="00A05B1B" w:rsidRPr="00A05B1B">
        <w:rPr>
          <w:rFonts w:ascii="Times New Roman" w:hAnsi="Times New Roman" w:cs="Times New Roman"/>
          <w:sz w:val="24"/>
          <w:szCs w:val="24"/>
        </w:rPr>
        <w:t>Д</w:t>
      </w:r>
      <w:r w:rsidR="00A05B1B" w:rsidRPr="00F6333D">
        <w:rPr>
          <w:rFonts w:ascii="Times New Roman" w:hAnsi="Times New Roman" w:cs="Times New Roman"/>
          <w:sz w:val="24"/>
          <w:szCs w:val="24"/>
          <w:lang w:val="en-US"/>
        </w:rPr>
        <w:t>.</w:t>
      </w:r>
      <w:r w:rsidR="00A05B1B" w:rsidRPr="00A05B1B">
        <w:rPr>
          <w:rFonts w:ascii="Times New Roman" w:hAnsi="Times New Roman" w:cs="Times New Roman"/>
          <w:sz w:val="24"/>
          <w:szCs w:val="24"/>
        </w:rPr>
        <w:t>В</w:t>
      </w:r>
      <w:r w:rsidR="00A05B1B"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Константинова</w:t>
      </w:r>
      <w:r w:rsidR="00A05B1B" w:rsidRPr="00F6333D">
        <w:rPr>
          <w:rFonts w:ascii="Times New Roman" w:hAnsi="Times New Roman" w:cs="Times New Roman"/>
          <w:sz w:val="24"/>
          <w:szCs w:val="24"/>
          <w:lang w:val="en-US"/>
        </w:rPr>
        <w:t> </w:t>
      </w:r>
      <w:r w:rsidR="00A05B1B" w:rsidRPr="00A05B1B">
        <w:rPr>
          <w:rFonts w:ascii="Times New Roman" w:hAnsi="Times New Roman" w:cs="Times New Roman"/>
          <w:sz w:val="24"/>
          <w:szCs w:val="24"/>
        </w:rPr>
        <w:t>Е</w:t>
      </w:r>
      <w:r w:rsidR="00A05B1B" w:rsidRPr="00F6333D">
        <w:rPr>
          <w:rFonts w:ascii="Times New Roman" w:hAnsi="Times New Roman" w:cs="Times New Roman"/>
          <w:sz w:val="24"/>
          <w:szCs w:val="24"/>
          <w:lang w:val="en-US"/>
        </w:rPr>
        <w:t>.</w:t>
      </w:r>
      <w:r w:rsidR="00A05B1B" w:rsidRPr="00A05B1B">
        <w:rPr>
          <w:rFonts w:ascii="Times New Roman" w:hAnsi="Times New Roman" w:cs="Times New Roman"/>
          <w:sz w:val="24"/>
          <w:szCs w:val="24"/>
        </w:rPr>
        <w:t>В</w:t>
      </w:r>
      <w:r w:rsidR="00A05B1B" w:rsidRPr="00F6333D">
        <w:rPr>
          <w:rFonts w:ascii="Times New Roman" w:hAnsi="Times New Roman" w:cs="Times New Roman"/>
          <w:sz w:val="24"/>
          <w:szCs w:val="24"/>
          <w:lang w:val="en-US"/>
        </w:rPr>
        <w:t>.,</w:t>
      </w:r>
      <w:r w:rsidR="009E6901">
        <w:rPr>
          <w:rFonts w:ascii="Times New Roman" w:hAnsi="Times New Roman" w:cs="Times New Roman" w:hint="eastAsia"/>
          <w:sz w:val="24"/>
          <w:szCs w:val="24"/>
        </w:rPr>
        <w:t>Н</w:t>
      </w:r>
      <w:r w:rsidR="009E6901">
        <w:rPr>
          <w:rFonts w:ascii="Times New Roman" w:hAnsi="Times New Roman" w:cs="Times New Roman"/>
          <w:sz w:val="24"/>
          <w:szCs w:val="24"/>
        </w:rPr>
        <w:t>икулина</w:t>
      </w:r>
      <w:r w:rsidR="00A05B1B" w:rsidRPr="00A05B1B">
        <w:rPr>
          <w:rFonts w:ascii="Times New Roman" w:hAnsi="Times New Roman" w:cs="Times New Roman" w:hint="eastAsia"/>
          <w:sz w:val="24"/>
          <w:szCs w:val="24"/>
        </w:rPr>
        <w:t>Н</w:t>
      </w:r>
      <w:r w:rsidR="00A05B1B" w:rsidRPr="00F6333D">
        <w:rPr>
          <w:rFonts w:ascii="Times New Roman" w:hAnsi="Times New Roman" w:cs="Times New Roman"/>
          <w:sz w:val="24"/>
          <w:szCs w:val="24"/>
          <w:lang w:val="en-US"/>
        </w:rPr>
        <w:t>.</w:t>
      </w:r>
      <w:r w:rsidR="00A05B1B" w:rsidRPr="00A05B1B">
        <w:rPr>
          <w:rFonts w:ascii="Times New Roman" w:hAnsi="Times New Roman" w:cs="Times New Roman"/>
          <w:sz w:val="24"/>
          <w:szCs w:val="24"/>
        </w:rPr>
        <w:t>Н</w:t>
      </w:r>
      <w:r w:rsidR="00A05B1B"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Шахнович</w:t>
      </w:r>
      <w:r w:rsidR="00A05B1B" w:rsidRPr="00F6333D">
        <w:rPr>
          <w:rFonts w:ascii="Times New Roman" w:hAnsi="Times New Roman" w:cs="Times New Roman"/>
          <w:sz w:val="24"/>
          <w:szCs w:val="24"/>
          <w:lang w:val="en-US"/>
        </w:rPr>
        <w:t> </w:t>
      </w:r>
      <w:r w:rsidR="00A05B1B" w:rsidRPr="00A05B1B">
        <w:rPr>
          <w:rFonts w:ascii="Times New Roman" w:hAnsi="Times New Roman" w:cs="Times New Roman"/>
          <w:sz w:val="24"/>
          <w:szCs w:val="24"/>
        </w:rPr>
        <w:t>Р</w:t>
      </w:r>
      <w:r w:rsidR="00A05B1B" w:rsidRPr="00F6333D">
        <w:rPr>
          <w:rFonts w:ascii="Times New Roman" w:hAnsi="Times New Roman" w:cs="Times New Roman"/>
          <w:sz w:val="24"/>
          <w:szCs w:val="24"/>
          <w:lang w:val="en-US"/>
        </w:rPr>
        <w:t>.</w:t>
      </w:r>
      <w:r w:rsidR="00A05B1B" w:rsidRPr="00A05B1B">
        <w:rPr>
          <w:rFonts w:ascii="Times New Roman" w:hAnsi="Times New Roman" w:cs="Times New Roman"/>
          <w:sz w:val="24"/>
          <w:szCs w:val="24"/>
        </w:rPr>
        <w:t>М</w:t>
      </w:r>
      <w:r w:rsidR="00A05B1B"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Явелов</w:t>
      </w:r>
      <w:r w:rsidR="00A05B1B" w:rsidRPr="00F6333D">
        <w:rPr>
          <w:rFonts w:ascii="Times New Roman" w:hAnsi="Times New Roman" w:cs="Times New Roman"/>
          <w:sz w:val="24"/>
          <w:szCs w:val="24"/>
          <w:lang w:val="en-US"/>
        </w:rPr>
        <w:t> </w:t>
      </w:r>
      <w:r w:rsidR="00A05B1B" w:rsidRPr="00A05B1B">
        <w:rPr>
          <w:rFonts w:ascii="Times New Roman" w:hAnsi="Times New Roman" w:cs="Times New Roman"/>
          <w:sz w:val="24"/>
          <w:szCs w:val="24"/>
        </w:rPr>
        <w:t>И</w:t>
      </w:r>
      <w:r w:rsidR="00A05B1B" w:rsidRPr="00F6333D">
        <w:rPr>
          <w:rFonts w:ascii="Times New Roman" w:hAnsi="Times New Roman" w:cs="Times New Roman"/>
          <w:sz w:val="24"/>
          <w:szCs w:val="24"/>
          <w:lang w:val="en-US"/>
        </w:rPr>
        <w:t>.</w:t>
      </w:r>
      <w:r w:rsidR="00A05B1B" w:rsidRPr="00A05B1B">
        <w:rPr>
          <w:rFonts w:ascii="Times New Roman" w:hAnsi="Times New Roman" w:cs="Times New Roman"/>
          <w:sz w:val="24"/>
          <w:szCs w:val="24"/>
        </w:rPr>
        <w:t>С</w:t>
      </w:r>
      <w:r w:rsidR="00A05B1B"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Яковлев</w:t>
      </w:r>
      <w:r w:rsidR="00A05B1B" w:rsidRPr="00F6333D">
        <w:rPr>
          <w:rFonts w:ascii="Times New Roman" w:hAnsi="Times New Roman" w:cs="Times New Roman"/>
          <w:sz w:val="24"/>
          <w:szCs w:val="24"/>
          <w:lang w:val="en-US"/>
        </w:rPr>
        <w:t> </w:t>
      </w:r>
      <w:r w:rsidR="00A05B1B" w:rsidRPr="00A05B1B">
        <w:rPr>
          <w:rFonts w:ascii="Times New Roman" w:hAnsi="Times New Roman" w:cs="Times New Roman"/>
          <w:sz w:val="24"/>
          <w:szCs w:val="24"/>
        </w:rPr>
        <w:t>А</w:t>
      </w:r>
      <w:r w:rsidR="00A05B1B" w:rsidRPr="00F6333D">
        <w:rPr>
          <w:rFonts w:ascii="Times New Roman" w:hAnsi="Times New Roman" w:cs="Times New Roman"/>
          <w:sz w:val="24"/>
          <w:szCs w:val="24"/>
          <w:lang w:val="en-US"/>
        </w:rPr>
        <w:t>.</w:t>
      </w:r>
      <w:r w:rsidR="00A05B1B" w:rsidRPr="00A05B1B">
        <w:rPr>
          <w:rFonts w:ascii="Times New Roman" w:hAnsi="Times New Roman" w:cs="Times New Roman"/>
          <w:sz w:val="24"/>
          <w:szCs w:val="24"/>
        </w:rPr>
        <w:t>Н</w:t>
      </w:r>
      <w:r w:rsidR="00A05B1B"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Абугов</w:t>
      </w:r>
      <w:r w:rsidR="00A05B1B" w:rsidRPr="00F6333D">
        <w:rPr>
          <w:rFonts w:ascii="Times New Roman" w:hAnsi="Times New Roman" w:cs="Times New Roman"/>
          <w:sz w:val="24"/>
          <w:szCs w:val="24"/>
          <w:lang w:val="en-US"/>
        </w:rPr>
        <w:t> </w:t>
      </w:r>
      <w:r w:rsidR="00A05B1B" w:rsidRPr="00A05B1B">
        <w:rPr>
          <w:rFonts w:ascii="Times New Roman" w:hAnsi="Times New Roman" w:cs="Times New Roman"/>
          <w:sz w:val="24"/>
          <w:szCs w:val="24"/>
        </w:rPr>
        <w:t>С</w:t>
      </w:r>
      <w:r w:rsidR="00A05B1B" w:rsidRPr="00F6333D">
        <w:rPr>
          <w:rFonts w:ascii="Times New Roman" w:hAnsi="Times New Roman" w:cs="Times New Roman"/>
          <w:sz w:val="24"/>
          <w:szCs w:val="24"/>
          <w:lang w:val="en-US"/>
        </w:rPr>
        <w:t>.</w:t>
      </w:r>
      <w:r w:rsidR="00A05B1B" w:rsidRPr="00A05B1B">
        <w:rPr>
          <w:rFonts w:ascii="Times New Roman" w:hAnsi="Times New Roman" w:cs="Times New Roman"/>
          <w:sz w:val="24"/>
          <w:szCs w:val="24"/>
        </w:rPr>
        <w:t>А</w:t>
      </w:r>
      <w:r w:rsidR="00A05B1B" w:rsidRPr="00F6333D">
        <w:rPr>
          <w:rFonts w:ascii="Times New Roman" w:hAnsi="Times New Roman" w:cs="Times New Roman"/>
          <w:sz w:val="24"/>
          <w:szCs w:val="24"/>
          <w:lang w:val="en-US"/>
        </w:rPr>
        <w:t>.,</w:t>
      </w:r>
      <w:r w:rsidR="009E6901" w:rsidRPr="009E6901">
        <w:rPr>
          <w:rFonts w:ascii="Times New Roman" w:hAnsi="Times New Roman" w:cs="Times New Roman"/>
          <w:sz w:val="24"/>
          <w:szCs w:val="24"/>
        </w:rPr>
        <w:t>Алекян</w:t>
      </w:r>
      <w:r w:rsidR="009E6901" w:rsidRPr="00F6333D">
        <w:rPr>
          <w:rFonts w:ascii="Times New Roman" w:hAnsi="Times New Roman" w:cs="Times New Roman"/>
          <w:sz w:val="24"/>
          <w:szCs w:val="24"/>
          <w:lang w:val="en-US"/>
        </w:rPr>
        <w:t> </w:t>
      </w:r>
      <w:r w:rsidR="009E6901" w:rsidRPr="009E6901">
        <w:rPr>
          <w:rFonts w:ascii="Times New Roman" w:hAnsi="Times New Roman" w:cs="Times New Roman"/>
          <w:sz w:val="24"/>
          <w:szCs w:val="24"/>
        </w:rPr>
        <w:t>Б</w:t>
      </w:r>
      <w:r w:rsidR="009E6901" w:rsidRPr="00F6333D">
        <w:rPr>
          <w:rFonts w:ascii="Times New Roman" w:hAnsi="Times New Roman" w:cs="Times New Roman"/>
          <w:sz w:val="24"/>
          <w:szCs w:val="24"/>
          <w:lang w:val="en-US"/>
        </w:rPr>
        <w:t>.</w:t>
      </w:r>
      <w:r w:rsidR="009E6901" w:rsidRPr="009E6901">
        <w:rPr>
          <w:rFonts w:ascii="Times New Roman" w:hAnsi="Times New Roman" w:cs="Times New Roman"/>
          <w:sz w:val="24"/>
          <w:szCs w:val="24"/>
        </w:rPr>
        <w:t>Г</w:t>
      </w:r>
      <w:r w:rsidR="009E6901"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Аронов</w:t>
      </w:r>
      <w:r w:rsidR="00A05B1B" w:rsidRPr="00F6333D">
        <w:rPr>
          <w:rFonts w:ascii="Times New Roman" w:hAnsi="Times New Roman" w:cs="Times New Roman"/>
          <w:sz w:val="24"/>
          <w:szCs w:val="24"/>
          <w:lang w:val="en-US"/>
        </w:rPr>
        <w:t> </w:t>
      </w:r>
      <w:r w:rsidR="00A05B1B" w:rsidRPr="00A05B1B">
        <w:rPr>
          <w:rFonts w:ascii="Times New Roman" w:hAnsi="Times New Roman" w:cs="Times New Roman"/>
          <w:sz w:val="24"/>
          <w:szCs w:val="24"/>
        </w:rPr>
        <w:t>Д</w:t>
      </w:r>
      <w:r w:rsidR="00A05B1B" w:rsidRPr="00F6333D">
        <w:rPr>
          <w:rFonts w:ascii="Times New Roman" w:hAnsi="Times New Roman" w:cs="Times New Roman"/>
          <w:sz w:val="24"/>
          <w:szCs w:val="24"/>
          <w:lang w:val="en-US"/>
        </w:rPr>
        <w:t>.</w:t>
      </w:r>
      <w:r w:rsidR="00A05B1B" w:rsidRPr="00A05B1B">
        <w:rPr>
          <w:rFonts w:ascii="Times New Roman" w:hAnsi="Times New Roman" w:cs="Times New Roman"/>
          <w:sz w:val="24"/>
          <w:szCs w:val="24"/>
        </w:rPr>
        <w:t>М</w:t>
      </w:r>
      <w:r w:rsidR="00A05B1B"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Архипов</w:t>
      </w:r>
      <w:r w:rsidR="00A05B1B" w:rsidRPr="00F6333D">
        <w:rPr>
          <w:rFonts w:ascii="Times New Roman" w:hAnsi="Times New Roman" w:cs="Times New Roman"/>
          <w:sz w:val="24"/>
          <w:szCs w:val="24"/>
          <w:lang w:val="en-US"/>
        </w:rPr>
        <w:t> </w:t>
      </w:r>
      <w:r w:rsidR="00A05B1B" w:rsidRPr="00A05B1B">
        <w:rPr>
          <w:rFonts w:ascii="Times New Roman" w:hAnsi="Times New Roman" w:cs="Times New Roman"/>
          <w:sz w:val="24"/>
          <w:szCs w:val="24"/>
        </w:rPr>
        <w:t>М</w:t>
      </w:r>
      <w:r w:rsidR="00A05B1B" w:rsidRPr="00F6333D">
        <w:rPr>
          <w:rFonts w:ascii="Times New Roman" w:hAnsi="Times New Roman" w:cs="Times New Roman"/>
          <w:sz w:val="24"/>
          <w:szCs w:val="24"/>
          <w:lang w:val="en-US"/>
        </w:rPr>
        <w:t>.</w:t>
      </w:r>
      <w:r w:rsidR="00A05B1B" w:rsidRPr="00A05B1B">
        <w:rPr>
          <w:rFonts w:ascii="Times New Roman" w:hAnsi="Times New Roman" w:cs="Times New Roman"/>
          <w:sz w:val="24"/>
          <w:szCs w:val="24"/>
        </w:rPr>
        <w:t>В</w:t>
      </w:r>
      <w:r w:rsidR="00A05B1B"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Барбараш</w:t>
      </w:r>
      <w:r w:rsidR="00A05B1B" w:rsidRPr="00F6333D">
        <w:rPr>
          <w:rFonts w:ascii="Times New Roman" w:hAnsi="Times New Roman" w:cs="Times New Roman"/>
          <w:sz w:val="24"/>
          <w:szCs w:val="24"/>
          <w:lang w:val="en-US"/>
        </w:rPr>
        <w:t> </w:t>
      </w:r>
      <w:r w:rsidR="00A05B1B" w:rsidRPr="00A05B1B">
        <w:rPr>
          <w:rFonts w:ascii="Times New Roman" w:hAnsi="Times New Roman" w:cs="Times New Roman"/>
          <w:sz w:val="24"/>
          <w:szCs w:val="24"/>
        </w:rPr>
        <w:t>О</w:t>
      </w:r>
      <w:r w:rsidR="00A05B1B" w:rsidRPr="00F6333D">
        <w:rPr>
          <w:rFonts w:ascii="Times New Roman" w:hAnsi="Times New Roman" w:cs="Times New Roman"/>
          <w:sz w:val="24"/>
          <w:szCs w:val="24"/>
          <w:lang w:val="en-US"/>
        </w:rPr>
        <w:t>.</w:t>
      </w:r>
      <w:r w:rsidR="00A05B1B" w:rsidRPr="00A05B1B">
        <w:rPr>
          <w:rFonts w:ascii="Times New Roman" w:hAnsi="Times New Roman" w:cs="Times New Roman"/>
          <w:sz w:val="24"/>
          <w:szCs w:val="24"/>
        </w:rPr>
        <w:t>Л</w:t>
      </w:r>
      <w:r w:rsidR="00A05B1B"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Бойцов</w:t>
      </w:r>
      <w:r w:rsidR="00A05B1B" w:rsidRPr="00F6333D">
        <w:rPr>
          <w:rFonts w:ascii="Times New Roman" w:hAnsi="Times New Roman" w:cs="Times New Roman"/>
          <w:sz w:val="24"/>
          <w:szCs w:val="24"/>
          <w:lang w:val="en-US"/>
        </w:rPr>
        <w:t> </w:t>
      </w:r>
      <w:r w:rsidR="00A05B1B" w:rsidRPr="00A05B1B">
        <w:rPr>
          <w:rFonts w:ascii="Times New Roman" w:hAnsi="Times New Roman" w:cs="Times New Roman"/>
          <w:sz w:val="24"/>
          <w:szCs w:val="24"/>
        </w:rPr>
        <w:t>С</w:t>
      </w:r>
      <w:r w:rsidR="00A05B1B" w:rsidRPr="00F6333D">
        <w:rPr>
          <w:rFonts w:ascii="Times New Roman" w:hAnsi="Times New Roman" w:cs="Times New Roman"/>
          <w:sz w:val="24"/>
          <w:szCs w:val="24"/>
          <w:lang w:val="en-US"/>
        </w:rPr>
        <w:t>.</w:t>
      </w:r>
      <w:r w:rsidR="00A05B1B" w:rsidRPr="00A05B1B">
        <w:rPr>
          <w:rFonts w:ascii="Times New Roman" w:hAnsi="Times New Roman" w:cs="Times New Roman"/>
          <w:sz w:val="24"/>
          <w:szCs w:val="24"/>
        </w:rPr>
        <w:t>А</w:t>
      </w:r>
      <w:r w:rsidR="00A05B1B" w:rsidRPr="00F6333D">
        <w:rPr>
          <w:rFonts w:ascii="Times New Roman" w:hAnsi="Times New Roman" w:cs="Times New Roman"/>
          <w:sz w:val="24"/>
          <w:szCs w:val="24"/>
          <w:lang w:val="en-US"/>
        </w:rPr>
        <w:t>.,</w:t>
      </w:r>
      <w:r w:rsidR="009E6901" w:rsidRPr="009E6901">
        <w:rPr>
          <w:rFonts w:ascii="Times New Roman" w:hAnsi="Times New Roman" w:cs="Times New Roman"/>
          <w:sz w:val="24"/>
          <w:szCs w:val="24"/>
        </w:rPr>
        <w:t>Бубнова</w:t>
      </w:r>
      <w:r w:rsidR="009E6901" w:rsidRPr="00F6333D">
        <w:rPr>
          <w:rFonts w:ascii="Times New Roman" w:hAnsi="Times New Roman" w:cs="Times New Roman"/>
          <w:sz w:val="24"/>
          <w:szCs w:val="24"/>
          <w:lang w:val="en-US"/>
        </w:rPr>
        <w:t> </w:t>
      </w:r>
      <w:r w:rsidR="009E6901" w:rsidRPr="009E6901">
        <w:rPr>
          <w:rFonts w:ascii="Times New Roman" w:hAnsi="Times New Roman" w:cs="Times New Roman"/>
          <w:sz w:val="24"/>
          <w:szCs w:val="24"/>
        </w:rPr>
        <w:t>М</w:t>
      </w:r>
      <w:r w:rsidR="009E6901" w:rsidRPr="00F6333D">
        <w:rPr>
          <w:rFonts w:ascii="Times New Roman" w:hAnsi="Times New Roman" w:cs="Times New Roman"/>
          <w:sz w:val="24"/>
          <w:szCs w:val="24"/>
          <w:lang w:val="en-US"/>
        </w:rPr>
        <w:t>.</w:t>
      </w:r>
      <w:r w:rsidR="009E6901" w:rsidRPr="009E6901">
        <w:rPr>
          <w:rFonts w:ascii="Times New Roman" w:hAnsi="Times New Roman" w:cs="Times New Roman"/>
          <w:sz w:val="24"/>
          <w:szCs w:val="24"/>
        </w:rPr>
        <w:t>Г</w:t>
      </w:r>
      <w:r w:rsidR="009E6901"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Вавилова</w:t>
      </w:r>
      <w:r w:rsidR="00A05B1B" w:rsidRPr="00F6333D">
        <w:rPr>
          <w:rFonts w:ascii="Times New Roman" w:hAnsi="Times New Roman" w:cs="Times New Roman"/>
          <w:sz w:val="24"/>
          <w:szCs w:val="24"/>
          <w:lang w:val="en-US"/>
        </w:rPr>
        <w:t> </w:t>
      </w:r>
      <w:r w:rsidR="00A05B1B" w:rsidRPr="00A05B1B">
        <w:rPr>
          <w:rFonts w:ascii="Times New Roman" w:hAnsi="Times New Roman" w:cs="Times New Roman"/>
          <w:sz w:val="24"/>
          <w:szCs w:val="24"/>
        </w:rPr>
        <w:t>Т</w:t>
      </w:r>
      <w:r w:rsidR="00A05B1B" w:rsidRPr="00F6333D">
        <w:rPr>
          <w:rFonts w:ascii="Times New Roman" w:hAnsi="Times New Roman" w:cs="Times New Roman"/>
          <w:sz w:val="24"/>
          <w:szCs w:val="24"/>
          <w:lang w:val="en-US"/>
        </w:rPr>
        <w:t>.</w:t>
      </w:r>
      <w:r w:rsidR="00A05B1B" w:rsidRPr="00A05B1B">
        <w:rPr>
          <w:rFonts w:ascii="Times New Roman" w:hAnsi="Times New Roman" w:cs="Times New Roman"/>
          <w:sz w:val="24"/>
          <w:szCs w:val="24"/>
        </w:rPr>
        <w:t>В</w:t>
      </w:r>
      <w:r w:rsidR="00A05B1B"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Васильева</w:t>
      </w:r>
      <w:r w:rsidR="00A05B1B" w:rsidRPr="00F6333D">
        <w:rPr>
          <w:rFonts w:ascii="Times New Roman" w:hAnsi="Times New Roman" w:cs="Times New Roman"/>
          <w:sz w:val="24"/>
          <w:szCs w:val="24"/>
          <w:lang w:val="en-US"/>
        </w:rPr>
        <w:t> </w:t>
      </w:r>
      <w:r w:rsidR="00A05B1B" w:rsidRPr="00A05B1B">
        <w:rPr>
          <w:rFonts w:ascii="Times New Roman" w:hAnsi="Times New Roman" w:cs="Times New Roman"/>
          <w:sz w:val="24"/>
          <w:szCs w:val="24"/>
        </w:rPr>
        <w:t>Е</w:t>
      </w:r>
      <w:r w:rsidR="00A05B1B" w:rsidRPr="00F6333D">
        <w:rPr>
          <w:rFonts w:ascii="Times New Roman" w:hAnsi="Times New Roman" w:cs="Times New Roman"/>
          <w:sz w:val="24"/>
          <w:szCs w:val="24"/>
          <w:lang w:val="en-US"/>
        </w:rPr>
        <w:t>.</w:t>
      </w:r>
      <w:r w:rsidR="00A05B1B" w:rsidRPr="00A05B1B">
        <w:rPr>
          <w:rFonts w:ascii="Times New Roman" w:hAnsi="Times New Roman" w:cs="Times New Roman"/>
          <w:sz w:val="24"/>
          <w:szCs w:val="24"/>
        </w:rPr>
        <w:t>Ю</w:t>
      </w:r>
      <w:r w:rsidR="00A05B1B"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Галявич</w:t>
      </w:r>
      <w:r w:rsidR="00A05B1B" w:rsidRPr="00F6333D">
        <w:rPr>
          <w:rFonts w:ascii="Times New Roman" w:hAnsi="Times New Roman" w:cs="Times New Roman"/>
          <w:sz w:val="24"/>
          <w:szCs w:val="24"/>
          <w:lang w:val="en-US"/>
        </w:rPr>
        <w:t> </w:t>
      </w:r>
      <w:r w:rsidR="00A05B1B" w:rsidRPr="00A05B1B">
        <w:rPr>
          <w:rFonts w:ascii="Times New Roman" w:hAnsi="Times New Roman" w:cs="Times New Roman"/>
          <w:sz w:val="24"/>
          <w:szCs w:val="24"/>
        </w:rPr>
        <w:t>А</w:t>
      </w:r>
      <w:r w:rsidR="00A05B1B" w:rsidRPr="00F6333D">
        <w:rPr>
          <w:rFonts w:ascii="Times New Roman" w:hAnsi="Times New Roman" w:cs="Times New Roman"/>
          <w:sz w:val="24"/>
          <w:szCs w:val="24"/>
          <w:lang w:val="en-US"/>
        </w:rPr>
        <w:t>.</w:t>
      </w:r>
      <w:r w:rsidR="00A05B1B" w:rsidRPr="00A05B1B">
        <w:rPr>
          <w:rFonts w:ascii="Times New Roman" w:hAnsi="Times New Roman" w:cs="Times New Roman"/>
          <w:sz w:val="24"/>
          <w:szCs w:val="24"/>
        </w:rPr>
        <w:t>С</w:t>
      </w:r>
      <w:r w:rsidR="00A05B1B"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Ганюков</w:t>
      </w:r>
      <w:r w:rsidR="00A05B1B" w:rsidRPr="00F6333D">
        <w:rPr>
          <w:rFonts w:ascii="Times New Roman" w:hAnsi="Times New Roman" w:cs="Times New Roman"/>
          <w:sz w:val="24"/>
          <w:szCs w:val="24"/>
          <w:lang w:val="en-US"/>
        </w:rPr>
        <w:t> </w:t>
      </w:r>
      <w:r w:rsidR="00A05B1B" w:rsidRPr="00A05B1B">
        <w:rPr>
          <w:rFonts w:ascii="Times New Roman" w:hAnsi="Times New Roman" w:cs="Times New Roman"/>
          <w:sz w:val="24"/>
          <w:szCs w:val="24"/>
        </w:rPr>
        <w:t>В</w:t>
      </w:r>
      <w:r w:rsidR="00A05B1B" w:rsidRPr="00F6333D">
        <w:rPr>
          <w:rFonts w:ascii="Times New Roman" w:hAnsi="Times New Roman" w:cs="Times New Roman"/>
          <w:sz w:val="24"/>
          <w:szCs w:val="24"/>
          <w:lang w:val="en-US"/>
        </w:rPr>
        <w:t>.</w:t>
      </w:r>
      <w:r w:rsidR="00A05B1B" w:rsidRPr="00A05B1B">
        <w:rPr>
          <w:rFonts w:ascii="Times New Roman" w:hAnsi="Times New Roman" w:cs="Times New Roman"/>
          <w:sz w:val="24"/>
          <w:szCs w:val="24"/>
        </w:rPr>
        <w:t>И</w:t>
      </w:r>
      <w:r w:rsidR="00A05B1B" w:rsidRPr="00F6333D">
        <w:rPr>
          <w:rFonts w:ascii="Times New Roman" w:hAnsi="Times New Roman" w:cs="Times New Roman"/>
          <w:sz w:val="24"/>
          <w:szCs w:val="24"/>
          <w:lang w:val="en-US"/>
        </w:rPr>
        <w:t>.,</w:t>
      </w:r>
      <w:r w:rsidR="009E6901" w:rsidRPr="009E6901">
        <w:rPr>
          <w:rFonts w:ascii="Times New Roman" w:hAnsi="Times New Roman" w:cs="Times New Roman"/>
          <w:sz w:val="24"/>
          <w:szCs w:val="24"/>
        </w:rPr>
        <w:t>Гиляревский</w:t>
      </w:r>
      <w:r w:rsidR="009E6901" w:rsidRPr="00F6333D">
        <w:rPr>
          <w:rFonts w:ascii="Times New Roman" w:hAnsi="Times New Roman" w:cs="Times New Roman"/>
          <w:sz w:val="24"/>
          <w:szCs w:val="24"/>
          <w:lang w:val="en-US"/>
        </w:rPr>
        <w:t> </w:t>
      </w:r>
      <w:r w:rsidR="009E6901" w:rsidRPr="009E6901">
        <w:rPr>
          <w:rFonts w:ascii="Times New Roman" w:hAnsi="Times New Roman" w:cs="Times New Roman"/>
          <w:sz w:val="24"/>
          <w:szCs w:val="24"/>
        </w:rPr>
        <w:t>С</w:t>
      </w:r>
      <w:r w:rsidR="009E6901" w:rsidRPr="00F6333D">
        <w:rPr>
          <w:rFonts w:ascii="Times New Roman" w:hAnsi="Times New Roman" w:cs="Times New Roman"/>
          <w:sz w:val="24"/>
          <w:szCs w:val="24"/>
          <w:lang w:val="en-US"/>
        </w:rPr>
        <w:t>.</w:t>
      </w:r>
      <w:r w:rsidR="009E6901" w:rsidRPr="009E6901">
        <w:rPr>
          <w:rFonts w:ascii="Times New Roman" w:hAnsi="Times New Roman" w:cs="Times New Roman"/>
          <w:sz w:val="24"/>
          <w:szCs w:val="24"/>
        </w:rPr>
        <w:t>Р</w:t>
      </w:r>
      <w:r w:rsidR="009E6901"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Голубев</w:t>
      </w:r>
      <w:r w:rsidR="00A05B1B" w:rsidRPr="00F6333D">
        <w:rPr>
          <w:rFonts w:ascii="Times New Roman" w:hAnsi="Times New Roman" w:cs="Times New Roman"/>
          <w:sz w:val="24"/>
          <w:szCs w:val="24"/>
          <w:lang w:val="en-US"/>
        </w:rPr>
        <w:t> </w:t>
      </w:r>
      <w:r w:rsidR="00A05B1B" w:rsidRPr="00A05B1B">
        <w:rPr>
          <w:rFonts w:ascii="Times New Roman" w:hAnsi="Times New Roman" w:cs="Times New Roman"/>
          <w:sz w:val="24"/>
          <w:szCs w:val="24"/>
        </w:rPr>
        <w:t>Е</w:t>
      </w:r>
      <w:r w:rsidR="00A05B1B" w:rsidRPr="00F6333D">
        <w:rPr>
          <w:rFonts w:ascii="Times New Roman" w:hAnsi="Times New Roman" w:cs="Times New Roman"/>
          <w:sz w:val="24"/>
          <w:szCs w:val="24"/>
          <w:lang w:val="en-US"/>
        </w:rPr>
        <w:t>.</w:t>
      </w:r>
      <w:r w:rsidR="00A05B1B" w:rsidRPr="00A05B1B">
        <w:rPr>
          <w:rFonts w:ascii="Times New Roman" w:hAnsi="Times New Roman" w:cs="Times New Roman"/>
          <w:sz w:val="24"/>
          <w:szCs w:val="24"/>
        </w:rPr>
        <w:t>П</w:t>
      </w:r>
      <w:r w:rsidR="00A05B1B"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Голухова</w:t>
      </w:r>
      <w:r w:rsidR="00A05B1B" w:rsidRPr="00F6333D">
        <w:rPr>
          <w:rFonts w:ascii="Times New Roman" w:hAnsi="Times New Roman" w:cs="Times New Roman"/>
          <w:sz w:val="24"/>
          <w:szCs w:val="24"/>
          <w:lang w:val="en-US"/>
        </w:rPr>
        <w:t> </w:t>
      </w:r>
      <w:r w:rsidR="00A05B1B" w:rsidRPr="00A05B1B">
        <w:rPr>
          <w:rFonts w:ascii="Times New Roman" w:hAnsi="Times New Roman" w:cs="Times New Roman"/>
          <w:sz w:val="24"/>
          <w:szCs w:val="24"/>
        </w:rPr>
        <w:t>Е</w:t>
      </w:r>
      <w:r w:rsidR="00A05B1B" w:rsidRPr="00F6333D">
        <w:rPr>
          <w:rFonts w:ascii="Times New Roman" w:hAnsi="Times New Roman" w:cs="Times New Roman"/>
          <w:sz w:val="24"/>
          <w:szCs w:val="24"/>
          <w:lang w:val="en-US"/>
        </w:rPr>
        <w:t>.</w:t>
      </w:r>
      <w:r w:rsidR="00A05B1B" w:rsidRPr="00A05B1B">
        <w:rPr>
          <w:rFonts w:ascii="Times New Roman" w:hAnsi="Times New Roman" w:cs="Times New Roman"/>
          <w:sz w:val="24"/>
          <w:szCs w:val="24"/>
        </w:rPr>
        <w:t>З</w:t>
      </w:r>
      <w:r w:rsidR="00A05B1B"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Затейщиков</w:t>
      </w:r>
      <w:r w:rsidR="00A05B1B" w:rsidRPr="00F6333D">
        <w:rPr>
          <w:rFonts w:ascii="Times New Roman" w:hAnsi="Times New Roman" w:cs="Times New Roman"/>
          <w:sz w:val="24"/>
          <w:szCs w:val="24"/>
          <w:lang w:val="en-US"/>
        </w:rPr>
        <w:t> </w:t>
      </w:r>
      <w:r w:rsidR="00A05B1B" w:rsidRPr="00A05B1B">
        <w:rPr>
          <w:rFonts w:ascii="Times New Roman" w:hAnsi="Times New Roman" w:cs="Times New Roman"/>
          <w:sz w:val="24"/>
          <w:szCs w:val="24"/>
        </w:rPr>
        <w:t>Д</w:t>
      </w:r>
      <w:r w:rsidR="00A05B1B" w:rsidRPr="00F6333D">
        <w:rPr>
          <w:rFonts w:ascii="Times New Roman" w:hAnsi="Times New Roman" w:cs="Times New Roman"/>
          <w:sz w:val="24"/>
          <w:szCs w:val="24"/>
          <w:lang w:val="en-US"/>
        </w:rPr>
        <w:t>.</w:t>
      </w:r>
      <w:r w:rsidR="00A05B1B" w:rsidRPr="00A05B1B">
        <w:rPr>
          <w:rFonts w:ascii="Times New Roman" w:hAnsi="Times New Roman" w:cs="Times New Roman"/>
          <w:sz w:val="24"/>
          <w:szCs w:val="24"/>
        </w:rPr>
        <w:t>А</w:t>
      </w:r>
      <w:r w:rsidR="00A05B1B" w:rsidRPr="00F6333D">
        <w:rPr>
          <w:rFonts w:ascii="Times New Roman" w:hAnsi="Times New Roman" w:cs="Times New Roman"/>
          <w:sz w:val="24"/>
          <w:szCs w:val="24"/>
          <w:lang w:val="en-US"/>
        </w:rPr>
        <w:t>.,</w:t>
      </w:r>
      <w:r w:rsidR="009E6901" w:rsidRPr="009E6901">
        <w:rPr>
          <w:rFonts w:ascii="Times New Roman" w:hAnsi="Times New Roman" w:cs="Times New Roman"/>
          <w:sz w:val="24"/>
          <w:szCs w:val="24"/>
        </w:rPr>
        <w:t>Карпов</w:t>
      </w:r>
      <w:r w:rsidR="009E6901" w:rsidRPr="00F6333D">
        <w:rPr>
          <w:rFonts w:ascii="Times New Roman" w:hAnsi="Times New Roman" w:cs="Times New Roman"/>
          <w:sz w:val="24"/>
          <w:szCs w:val="24"/>
          <w:lang w:val="en-US"/>
        </w:rPr>
        <w:t> </w:t>
      </w:r>
      <w:r w:rsidR="009E6901" w:rsidRPr="009E6901">
        <w:rPr>
          <w:rFonts w:ascii="Times New Roman" w:hAnsi="Times New Roman" w:cs="Times New Roman"/>
          <w:sz w:val="24"/>
          <w:szCs w:val="24"/>
        </w:rPr>
        <w:t>Ю</w:t>
      </w:r>
      <w:r w:rsidR="009E6901" w:rsidRPr="00F6333D">
        <w:rPr>
          <w:rFonts w:ascii="Times New Roman" w:hAnsi="Times New Roman" w:cs="Times New Roman"/>
          <w:sz w:val="24"/>
          <w:szCs w:val="24"/>
          <w:lang w:val="en-US"/>
        </w:rPr>
        <w:t>.</w:t>
      </w:r>
      <w:r w:rsidR="009E6901" w:rsidRPr="009E6901">
        <w:rPr>
          <w:rFonts w:ascii="Times New Roman" w:hAnsi="Times New Roman" w:cs="Times New Roman"/>
          <w:sz w:val="24"/>
          <w:szCs w:val="24"/>
        </w:rPr>
        <w:t>А</w:t>
      </w:r>
      <w:r w:rsidR="009E6901"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Космачева</w:t>
      </w:r>
      <w:r w:rsidR="00A05B1B" w:rsidRPr="00F6333D">
        <w:rPr>
          <w:rFonts w:ascii="Times New Roman" w:hAnsi="Times New Roman" w:cs="Times New Roman"/>
          <w:sz w:val="24"/>
          <w:szCs w:val="24"/>
          <w:lang w:val="en-US"/>
        </w:rPr>
        <w:t> </w:t>
      </w:r>
      <w:r w:rsidR="00A05B1B" w:rsidRPr="00A05B1B">
        <w:rPr>
          <w:rFonts w:ascii="Times New Roman" w:hAnsi="Times New Roman" w:cs="Times New Roman"/>
          <w:sz w:val="24"/>
          <w:szCs w:val="24"/>
        </w:rPr>
        <w:t>Е</w:t>
      </w:r>
      <w:r w:rsidR="00A05B1B" w:rsidRPr="00F6333D">
        <w:rPr>
          <w:rFonts w:ascii="Times New Roman" w:hAnsi="Times New Roman" w:cs="Times New Roman"/>
          <w:sz w:val="24"/>
          <w:szCs w:val="24"/>
          <w:lang w:val="en-US"/>
        </w:rPr>
        <w:t>.</w:t>
      </w:r>
      <w:r w:rsidR="00A05B1B" w:rsidRPr="00A05B1B">
        <w:rPr>
          <w:rFonts w:ascii="Times New Roman" w:hAnsi="Times New Roman" w:cs="Times New Roman"/>
          <w:sz w:val="24"/>
          <w:szCs w:val="24"/>
        </w:rPr>
        <w:t>Д</w:t>
      </w:r>
      <w:r w:rsidR="00A05B1B"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Лопатин</w:t>
      </w:r>
      <w:r w:rsidR="00A05B1B" w:rsidRPr="00F6333D">
        <w:rPr>
          <w:rFonts w:ascii="Times New Roman" w:hAnsi="Times New Roman" w:cs="Times New Roman"/>
          <w:sz w:val="24"/>
          <w:szCs w:val="24"/>
          <w:lang w:val="en-US"/>
        </w:rPr>
        <w:t> </w:t>
      </w:r>
      <w:r w:rsidR="00A05B1B" w:rsidRPr="00A05B1B">
        <w:rPr>
          <w:rFonts w:ascii="Times New Roman" w:hAnsi="Times New Roman" w:cs="Times New Roman"/>
          <w:sz w:val="24"/>
          <w:szCs w:val="24"/>
        </w:rPr>
        <w:t>Ю</w:t>
      </w:r>
      <w:r w:rsidR="00A05B1B" w:rsidRPr="00F6333D">
        <w:rPr>
          <w:rFonts w:ascii="Times New Roman" w:hAnsi="Times New Roman" w:cs="Times New Roman"/>
          <w:sz w:val="24"/>
          <w:szCs w:val="24"/>
          <w:lang w:val="en-US"/>
        </w:rPr>
        <w:t>.</w:t>
      </w:r>
      <w:r w:rsidR="00A05B1B" w:rsidRPr="00A05B1B">
        <w:rPr>
          <w:rFonts w:ascii="Times New Roman" w:hAnsi="Times New Roman" w:cs="Times New Roman"/>
          <w:sz w:val="24"/>
          <w:szCs w:val="24"/>
        </w:rPr>
        <w:t>М</w:t>
      </w:r>
      <w:r w:rsidR="00A05B1B"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Марков</w:t>
      </w:r>
      <w:r w:rsidR="00A05B1B" w:rsidRPr="00F6333D">
        <w:rPr>
          <w:rFonts w:ascii="Times New Roman" w:hAnsi="Times New Roman" w:cs="Times New Roman"/>
          <w:sz w:val="24"/>
          <w:szCs w:val="24"/>
          <w:lang w:val="en-US"/>
        </w:rPr>
        <w:t> </w:t>
      </w:r>
      <w:r w:rsidR="00A05B1B" w:rsidRPr="00A05B1B">
        <w:rPr>
          <w:rFonts w:ascii="Times New Roman" w:hAnsi="Times New Roman" w:cs="Times New Roman"/>
          <w:sz w:val="24"/>
          <w:szCs w:val="24"/>
        </w:rPr>
        <w:t>В</w:t>
      </w:r>
      <w:r w:rsidR="00A05B1B" w:rsidRPr="00F6333D">
        <w:rPr>
          <w:rFonts w:ascii="Times New Roman" w:hAnsi="Times New Roman" w:cs="Times New Roman"/>
          <w:sz w:val="24"/>
          <w:szCs w:val="24"/>
          <w:lang w:val="en-US"/>
        </w:rPr>
        <w:t>.</w:t>
      </w:r>
      <w:r w:rsidR="00A05B1B" w:rsidRPr="00A05B1B">
        <w:rPr>
          <w:rFonts w:ascii="Times New Roman" w:hAnsi="Times New Roman" w:cs="Times New Roman"/>
          <w:sz w:val="24"/>
          <w:szCs w:val="24"/>
        </w:rPr>
        <w:t>А</w:t>
      </w:r>
      <w:r w:rsidR="00A05B1B"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Меркулов</w:t>
      </w:r>
      <w:r w:rsidR="00A05B1B" w:rsidRPr="00F6333D">
        <w:rPr>
          <w:rFonts w:ascii="Times New Roman" w:hAnsi="Times New Roman" w:cs="Times New Roman"/>
          <w:sz w:val="24"/>
          <w:szCs w:val="24"/>
          <w:lang w:val="en-US"/>
        </w:rPr>
        <w:t> </w:t>
      </w:r>
      <w:r w:rsidR="00A05B1B" w:rsidRPr="00A05B1B">
        <w:rPr>
          <w:rFonts w:ascii="Times New Roman" w:hAnsi="Times New Roman" w:cs="Times New Roman"/>
          <w:sz w:val="24"/>
          <w:szCs w:val="24"/>
        </w:rPr>
        <w:t>Е</w:t>
      </w:r>
      <w:r w:rsidR="00A05B1B" w:rsidRPr="00F6333D">
        <w:rPr>
          <w:rFonts w:ascii="Times New Roman" w:hAnsi="Times New Roman" w:cs="Times New Roman"/>
          <w:sz w:val="24"/>
          <w:szCs w:val="24"/>
          <w:lang w:val="en-US"/>
        </w:rPr>
        <w:t>.</w:t>
      </w:r>
      <w:r w:rsidR="00A05B1B" w:rsidRPr="00A05B1B">
        <w:rPr>
          <w:rFonts w:ascii="Times New Roman" w:hAnsi="Times New Roman" w:cs="Times New Roman"/>
          <w:sz w:val="24"/>
          <w:szCs w:val="24"/>
        </w:rPr>
        <w:t>В</w:t>
      </w:r>
      <w:r w:rsidR="00A05B1B" w:rsidRPr="00F6333D">
        <w:rPr>
          <w:rFonts w:ascii="Times New Roman" w:hAnsi="Times New Roman" w:cs="Times New Roman"/>
          <w:sz w:val="24"/>
          <w:szCs w:val="24"/>
          <w:lang w:val="en-US"/>
        </w:rPr>
        <w:t>.,</w:t>
      </w:r>
      <w:r w:rsidR="00D36773" w:rsidRPr="00D36773">
        <w:rPr>
          <w:rFonts w:ascii="Times New Roman" w:hAnsi="Times New Roman" w:cs="Times New Roman"/>
          <w:sz w:val="24"/>
          <w:szCs w:val="24"/>
        </w:rPr>
        <w:t>Новикова</w:t>
      </w:r>
      <w:r w:rsidR="00D36773" w:rsidRPr="00F6333D">
        <w:rPr>
          <w:rFonts w:ascii="Times New Roman" w:hAnsi="Times New Roman" w:cs="Times New Roman"/>
          <w:sz w:val="24"/>
          <w:szCs w:val="24"/>
          <w:lang w:val="en-US"/>
        </w:rPr>
        <w:t> </w:t>
      </w:r>
      <w:r w:rsidR="00D36773" w:rsidRPr="00D36773">
        <w:rPr>
          <w:rFonts w:ascii="Times New Roman" w:hAnsi="Times New Roman" w:cs="Times New Roman"/>
          <w:sz w:val="24"/>
          <w:szCs w:val="24"/>
        </w:rPr>
        <w:t>Н</w:t>
      </w:r>
      <w:r w:rsidR="00D36773" w:rsidRPr="00F6333D">
        <w:rPr>
          <w:rFonts w:ascii="Times New Roman" w:hAnsi="Times New Roman" w:cs="Times New Roman"/>
          <w:sz w:val="24"/>
          <w:szCs w:val="24"/>
          <w:lang w:val="en-US"/>
        </w:rPr>
        <w:t>.</w:t>
      </w:r>
      <w:r w:rsidR="00D36773" w:rsidRPr="00D36773">
        <w:rPr>
          <w:rFonts w:ascii="Times New Roman" w:hAnsi="Times New Roman" w:cs="Times New Roman"/>
          <w:sz w:val="24"/>
          <w:szCs w:val="24"/>
        </w:rPr>
        <w:t>А</w:t>
      </w:r>
      <w:r w:rsidR="00A05B1B"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Панченко</w:t>
      </w:r>
      <w:r w:rsidR="00A05B1B" w:rsidRPr="00F6333D">
        <w:rPr>
          <w:rFonts w:ascii="Times New Roman" w:hAnsi="Times New Roman" w:cs="Times New Roman"/>
          <w:sz w:val="24"/>
          <w:szCs w:val="24"/>
          <w:lang w:val="en-US"/>
        </w:rPr>
        <w:t> </w:t>
      </w:r>
      <w:r w:rsidR="00A05B1B" w:rsidRPr="00A05B1B">
        <w:rPr>
          <w:rFonts w:ascii="Times New Roman" w:hAnsi="Times New Roman" w:cs="Times New Roman"/>
          <w:sz w:val="24"/>
          <w:szCs w:val="24"/>
        </w:rPr>
        <w:t>Е</w:t>
      </w:r>
      <w:r w:rsidR="00A05B1B" w:rsidRPr="00F6333D">
        <w:rPr>
          <w:rFonts w:ascii="Times New Roman" w:hAnsi="Times New Roman" w:cs="Times New Roman"/>
          <w:sz w:val="24"/>
          <w:szCs w:val="24"/>
          <w:lang w:val="en-US"/>
        </w:rPr>
        <w:t>.</w:t>
      </w:r>
      <w:r w:rsidR="00A05B1B" w:rsidRPr="00A05B1B">
        <w:rPr>
          <w:rFonts w:ascii="Times New Roman" w:hAnsi="Times New Roman" w:cs="Times New Roman"/>
          <w:sz w:val="24"/>
          <w:szCs w:val="24"/>
        </w:rPr>
        <w:t>П</w:t>
      </w:r>
      <w:r w:rsidR="00A05B1B"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Певзнер</w:t>
      </w:r>
      <w:r w:rsidR="00A05B1B" w:rsidRPr="00F6333D">
        <w:rPr>
          <w:rFonts w:ascii="Times New Roman" w:hAnsi="Times New Roman" w:cs="Times New Roman"/>
          <w:sz w:val="24"/>
          <w:szCs w:val="24"/>
          <w:lang w:val="en-US"/>
        </w:rPr>
        <w:t> </w:t>
      </w:r>
      <w:r w:rsidR="00A05B1B" w:rsidRPr="00A05B1B">
        <w:rPr>
          <w:rFonts w:ascii="Times New Roman" w:hAnsi="Times New Roman" w:cs="Times New Roman"/>
          <w:sz w:val="24"/>
          <w:szCs w:val="24"/>
        </w:rPr>
        <w:t>Д</w:t>
      </w:r>
      <w:r w:rsidR="00A05B1B" w:rsidRPr="00F6333D">
        <w:rPr>
          <w:rFonts w:ascii="Times New Roman" w:hAnsi="Times New Roman" w:cs="Times New Roman"/>
          <w:sz w:val="24"/>
          <w:szCs w:val="24"/>
          <w:lang w:val="en-US"/>
        </w:rPr>
        <w:t>.</w:t>
      </w:r>
      <w:r w:rsidR="00A05B1B" w:rsidRPr="00A05B1B">
        <w:rPr>
          <w:rFonts w:ascii="Times New Roman" w:hAnsi="Times New Roman" w:cs="Times New Roman"/>
          <w:sz w:val="24"/>
          <w:szCs w:val="24"/>
        </w:rPr>
        <w:t>В</w:t>
      </w:r>
      <w:r w:rsidR="00A05B1B"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Погосова</w:t>
      </w:r>
      <w:r w:rsidR="00A05B1B" w:rsidRPr="00F6333D">
        <w:rPr>
          <w:rFonts w:ascii="Times New Roman" w:hAnsi="Times New Roman" w:cs="Times New Roman"/>
          <w:sz w:val="24"/>
          <w:szCs w:val="24"/>
          <w:lang w:val="en-US"/>
        </w:rPr>
        <w:t> </w:t>
      </w:r>
      <w:r w:rsidR="00A05B1B" w:rsidRPr="00A05B1B">
        <w:rPr>
          <w:rFonts w:ascii="Times New Roman" w:hAnsi="Times New Roman" w:cs="Times New Roman"/>
          <w:sz w:val="24"/>
          <w:szCs w:val="24"/>
        </w:rPr>
        <w:t>Н</w:t>
      </w:r>
      <w:r w:rsidR="00A05B1B" w:rsidRPr="00F6333D">
        <w:rPr>
          <w:rFonts w:ascii="Times New Roman" w:hAnsi="Times New Roman" w:cs="Times New Roman"/>
          <w:sz w:val="24"/>
          <w:szCs w:val="24"/>
          <w:lang w:val="en-US"/>
        </w:rPr>
        <w:t>.</w:t>
      </w:r>
      <w:r w:rsidR="00A05B1B" w:rsidRPr="00A05B1B">
        <w:rPr>
          <w:rFonts w:ascii="Times New Roman" w:hAnsi="Times New Roman" w:cs="Times New Roman"/>
          <w:sz w:val="24"/>
          <w:szCs w:val="24"/>
        </w:rPr>
        <w:t>В</w:t>
      </w:r>
      <w:r w:rsidR="00A05B1B"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Прасол</w:t>
      </w:r>
      <w:r w:rsidR="00A05B1B" w:rsidRPr="00F6333D">
        <w:rPr>
          <w:rFonts w:ascii="Times New Roman" w:hAnsi="Times New Roman" w:cs="Times New Roman"/>
          <w:sz w:val="24"/>
          <w:szCs w:val="24"/>
          <w:lang w:val="en-US"/>
        </w:rPr>
        <w:t> </w:t>
      </w:r>
      <w:r w:rsidR="00A05B1B" w:rsidRPr="00A05B1B">
        <w:rPr>
          <w:rFonts w:ascii="Times New Roman" w:hAnsi="Times New Roman" w:cs="Times New Roman"/>
          <w:sz w:val="24"/>
          <w:szCs w:val="24"/>
        </w:rPr>
        <w:t>Д</w:t>
      </w:r>
      <w:r w:rsidR="00A05B1B" w:rsidRPr="00F6333D">
        <w:rPr>
          <w:rFonts w:ascii="Times New Roman" w:hAnsi="Times New Roman" w:cs="Times New Roman"/>
          <w:sz w:val="24"/>
          <w:szCs w:val="24"/>
          <w:lang w:val="en-US"/>
        </w:rPr>
        <w:t>.</w:t>
      </w:r>
      <w:r w:rsidR="00A05B1B" w:rsidRPr="00A05B1B">
        <w:rPr>
          <w:rFonts w:ascii="Times New Roman" w:hAnsi="Times New Roman" w:cs="Times New Roman"/>
          <w:sz w:val="24"/>
          <w:szCs w:val="24"/>
        </w:rPr>
        <w:t>М</w:t>
      </w:r>
      <w:r w:rsidR="00A05B1B" w:rsidRPr="00F6333D">
        <w:rPr>
          <w:rFonts w:ascii="Times New Roman" w:hAnsi="Times New Roman" w:cs="Times New Roman"/>
          <w:sz w:val="24"/>
          <w:szCs w:val="24"/>
          <w:lang w:val="en-US"/>
        </w:rPr>
        <w:t>.,</w:t>
      </w:r>
      <w:r w:rsidR="00D36773" w:rsidRPr="00D36773">
        <w:rPr>
          <w:rFonts w:ascii="Times New Roman" w:hAnsi="Times New Roman" w:cs="Times New Roman"/>
          <w:sz w:val="24"/>
          <w:szCs w:val="24"/>
        </w:rPr>
        <w:t>Протопопов</w:t>
      </w:r>
      <w:r w:rsidR="00D36773" w:rsidRPr="00F6333D">
        <w:rPr>
          <w:rFonts w:ascii="Times New Roman" w:hAnsi="Times New Roman" w:cs="Times New Roman"/>
          <w:sz w:val="24"/>
          <w:szCs w:val="24"/>
          <w:lang w:val="en-US"/>
        </w:rPr>
        <w:t> </w:t>
      </w:r>
      <w:r w:rsidR="00D36773" w:rsidRPr="00D36773">
        <w:rPr>
          <w:rFonts w:ascii="Times New Roman" w:hAnsi="Times New Roman" w:cs="Times New Roman"/>
          <w:sz w:val="24"/>
          <w:szCs w:val="24"/>
        </w:rPr>
        <w:t>А</w:t>
      </w:r>
      <w:r w:rsidR="00D36773" w:rsidRPr="00F6333D">
        <w:rPr>
          <w:rFonts w:ascii="Times New Roman" w:hAnsi="Times New Roman" w:cs="Times New Roman"/>
          <w:sz w:val="24"/>
          <w:szCs w:val="24"/>
          <w:lang w:val="en-US"/>
        </w:rPr>
        <w:t>.</w:t>
      </w:r>
      <w:r w:rsidR="00D36773" w:rsidRPr="00D36773">
        <w:rPr>
          <w:rFonts w:ascii="Times New Roman" w:hAnsi="Times New Roman" w:cs="Times New Roman"/>
          <w:sz w:val="24"/>
          <w:szCs w:val="24"/>
        </w:rPr>
        <w:t>В</w:t>
      </w:r>
      <w:r w:rsidR="00D36773"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Скрыпник</w:t>
      </w:r>
      <w:r w:rsidR="00A05B1B" w:rsidRPr="00F6333D">
        <w:rPr>
          <w:rFonts w:ascii="Times New Roman" w:hAnsi="Times New Roman" w:cs="Times New Roman"/>
          <w:sz w:val="24"/>
          <w:szCs w:val="24"/>
          <w:lang w:val="en-US"/>
        </w:rPr>
        <w:t> </w:t>
      </w:r>
      <w:r w:rsidR="00A05B1B" w:rsidRPr="00A05B1B">
        <w:rPr>
          <w:rFonts w:ascii="Times New Roman" w:hAnsi="Times New Roman" w:cs="Times New Roman"/>
          <w:sz w:val="24"/>
          <w:szCs w:val="24"/>
        </w:rPr>
        <w:t>Д</w:t>
      </w:r>
      <w:r w:rsidR="00A05B1B" w:rsidRPr="00F6333D">
        <w:rPr>
          <w:rFonts w:ascii="Times New Roman" w:hAnsi="Times New Roman" w:cs="Times New Roman"/>
          <w:sz w:val="24"/>
          <w:szCs w:val="24"/>
          <w:lang w:val="en-US"/>
        </w:rPr>
        <w:t>.</w:t>
      </w:r>
      <w:r w:rsidR="00A05B1B" w:rsidRPr="00A05B1B">
        <w:rPr>
          <w:rFonts w:ascii="Times New Roman" w:hAnsi="Times New Roman" w:cs="Times New Roman"/>
          <w:sz w:val="24"/>
          <w:szCs w:val="24"/>
        </w:rPr>
        <w:t>В</w:t>
      </w:r>
      <w:r w:rsidR="00A05B1B"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Тарасов</w:t>
      </w:r>
      <w:r w:rsidR="00A05B1B" w:rsidRPr="00F6333D">
        <w:rPr>
          <w:rFonts w:ascii="Times New Roman" w:hAnsi="Times New Roman" w:cs="Times New Roman"/>
          <w:sz w:val="24"/>
          <w:szCs w:val="24"/>
          <w:lang w:val="en-US"/>
        </w:rPr>
        <w:t> </w:t>
      </w:r>
      <w:r w:rsidR="00A05B1B" w:rsidRPr="00A05B1B">
        <w:rPr>
          <w:rFonts w:ascii="Times New Roman" w:hAnsi="Times New Roman" w:cs="Times New Roman"/>
          <w:sz w:val="24"/>
          <w:szCs w:val="24"/>
        </w:rPr>
        <w:t>Р</w:t>
      </w:r>
      <w:r w:rsidR="00A05B1B" w:rsidRPr="00F6333D">
        <w:rPr>
          <w:rFonts w:ascii="Times New Roman" w:hAnsi="Times New Roman" w:cs="Times New Roman"/>
          <w:sz w:val="24"/>
          <w:szCs w:val="24"/>
          <w:lang w:val="en-US"/>
        </w:rPr>
        <w:t>.</w:t>
      </w:r>
      <w:r w:rsidR="00A05B1B" w:rsidRPr="00A05B1B">
        <w:rPr>
          <w:rFonts w:ascii="Times New Roman" w:hAnsi="Times New Roman" w:cs="Times New Roman"/>
          <w:sz w:val="24"/>
          <w:szCs w:val="24"/>
        </w:rPr>
        <w:t>С</w:t>
      </w:r>
      <w:r w:rsidR="00A05B1B"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Терещенко</w:t>
      </w:r>
      <w:r w:rsidR="00A05B1B" w:rsidRPr="00F6333D">
        <w:rPr>
          <w:rFonts w:ascii="Times New Roman" w:hAnsi="Times New Roman" w:cs="Times New Roman"/>
          <w:sz w:val="24"/>
          <w:szCs w:val="24"/>
          <w:lang w:val="en-US"/>
        </w:rPr>
        <w:t> </w:t>
      </w:r>
      <w:r w:rsidR="00A05B1B" w:rsidRPr="00A05B1B">
        <w:rPr>
          <w:rFonts w:ascii="Times New Roman" w:hAnsi="Times New Roman" w:cs="Times New Roman"/>
          <w:sz w:val="24"/>
          <w:szCs w:val="24"/>
        </w:rPr>
        <w:t>С</w:t>
      </w:r>
      <w:r w:rsidR="00A05B1B" w:rsidRPr="00F6333D">
        <w:rPr>
          <w:rFonts w:ascii="Times New Roman" w:hAnsi="Times New Roman" w:cs="Times New Roman"/>
          <w:sz w:val="24"/>
          <w:szCs w:val="24"/>
          <w:lang w:val="en-US"/>
        </w:rPr>
        <w:t>.</w:t>
      </w:r>
      <w:r w:rsidR="00A05B1B" w:rsidRPr="00A05B1B">
        <w:rPr>
          <w:rFonts w:ascii="Times New Roman" w:hAnsi="Times New Roman" w:cs="Times New Roman"/>
          <w:sz w:val="24"/>
          <w:szCs w:val="24"/>
        </w:rPr>
        <w:t>Н</w:t>
      </w:r>
      <w:r w:rsidR="00A05B1B" w:rsidRPr="00F6333D">
        <w:rPr>
          <w:rFonts w:ascii="Times New Roman" w:hAnsi="Times New Roman" w:cs="Times New Roman"/>
          <w:sz w:val="24"/>
          <w:szCs w:val="24"/>
          <w:lang w:val="en-US"/>
        </w:rPr>
        <w:t>.,</w:t>
      </w:r>
      <w:r w:rsidR="00D36773" w:rsidRPr="00D36773">
        <w:rPr>
          <w:rFonts w:ascii="Times New Roman" w:hAnsi="Times New Roman" w:cs="Times New Roman"/>
          <w:sz w:val="24"/>
          <w:szCs w:val="24"/>
        </w:rPr>
        <w:t>Устюгов</w:t>
      </w:r>
      <w:r w:rsidR="00D36773" w:rsidRPr="00F6333D">
        <w:rPr>
          <w:rFonts w:ascii="Times New Roman" w:hAnsi="Times New Roman" w:cs="Times New Roman"/>
          <w:sz w:val="24"/>
          <w:szCs w:val="24"/>
          <w:lang w:val="en-US"/>
        </w:rPr>
        <w:t> </w:t>
      </w:r>
      <w:r w:rsidR="00D36773" w:rsidRPr="00D36773">
        <w:rPr>
          <w:rFonts w:ascii="Times New Roman" w:hAnsi="Times New Roman" w:cs="Times New Roman"/>
          <w:sz w:val="24"/>
          <w:szCs w:val="24"/>
        </w:rPr>
        <w:t>С</w:t>
      </w:r>
      <w:r w:rsidR="00D36773" w:rsidRPr="00F6333D">
        <w:rPr>
          <w:rFonts w:ascii="Times New Roman" w:hAnsi="Times New Roman" w:cs="Times New Roman"/>
          <w:sz w:val="24"/>
          <w:szCs w:val="24"/>
          <w:lang w:val="en-US"/>
        </w:rPr>
        <w:t>.</w:t>
      </w:r>
      <w:r w:rsidR="00D36773" w:rsidRPr="00D36773">
        <w:rPr>
          <w:rFonts w:ascii="Times New Roman" w:hAnsi="Times New Roman" w:cs="Times New Roman"/>
          <w:sz w:val="24"/>
          <w:szCs w:val="24"/>
        </w:rPr>
        <w:t>А</w:t>
      </w:r>
      <w:r w:rsidR="00D36773"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Хрипун</w:t>
      </w:r>
      <w:r w:rsidR="00A05B1B" w:rsidRPr="00F6333D">
        <w:rPr>
          <w:rFonts w:ascii="Times New Roman" w:hAnsi="Times New Roman" w:cs="Times New Roman"/>
          <w:sz w:val="24"/>
          <w:szCs w:val="24"/>
          <w:lang w:val="en-US"/>
        </w:rPr>
        <w:t> </w:t>
      </w:r>
      <w:r w:rsidR="00A05B1B" w:rsidRPr="00A05B1B">
        <w:rPr>
          <w:rFonts w:ascii="Times New Roman" w:hAnsi="Times New Roman" w:cs="Times New Roman"/>
          <w:sz w:val="24"/>
          <w:szCs w:val="24"/>
        </w:rPr>
        <w:t>А</w:t>
      </w:r>
      <w:r w:rsidR="00A05B1B" w:rsidRPr="00F6333D">
        <w:rPr>
          <w:rFonts w:ascii="Times New Roman" w:hAnsi="Times New Roman" w:cs="Times New Roman"/>
          <w:sz w:val="24"/>
          <w:szCs w:val="24"/>
          <w:lang w:val="en-US"/>
        </w:rPr>
        <w:t>.</w:t>
      </w:r>
      <w:r w:rsidR="00A05B1B" w:rsidRPr="00A05B1B">
        <w:rPr>
          <w:rFonts w:ascii="Times New Roman" w:hAnsi="Times New Roman" w:cs="Times New Roman"/>
          <w:sz w:val="24"/>
          <w:szCs w:val="24"/>
        </w:rPr>
        <w:t>В</w:t>
      </w:r>
      <w:r w:rsidR="00A05B1B"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Цебровская</w:t>
      </w:r>
      <w:r w:rsidR="00A05B1B" w:rsidRPr="00F6333D">
        <w:rPr>
          <w:rFonts w:ascii="Times New Roman" w:hAnsi="Times New Roman" w:cs="Times New Roman"/>
          <w:sz w:val="24"/>
          <w:szCs w:val="24"/>
          <w:lang w:val="en-US"/>
        </w:rPr>
        <w:t> </w:t>
      </w:r>
      <w:r w:rsidR="00A05B1B" w:rsidRPr="00A05B1B">
        <w:rPr>
          <w:rFonts w:ascii="Times New Roman" w:hAnsi="Times New Roman" w:cs="Times New Roman"/>
          <w:sz w:val="24"/>
          <w:szCs w:val="24"/>
        </w:rPr>
        <w:t>Е</w:t>
      </w:r>
      <w:r w:rsidR="00A05B1B" w:rsidRPr="00F6333D">
        <w:rPr>
          <w:rFonts w:ascii="Times New Roman" w:hAnsi="Times New Roman" w:cs="Times New Roman"/>
          <w:sz w:val="24"/>
          <w:szCs w:val="24"/>
          <w:lang w:val="en-US"/>
        </w:rPr>
        <w:t>.</w:t>
      </w:r>
      <w:r w:rsidR="00A05B1B" w:rsidRPr="00A05B1B">
        <w:rPr>
          <w:rFonts w:ascii="Times New Roman" w:hAnsi="Times New Roman" w:cs="Times New Roman"/>
          <w:sz w:val="24"/>
          <w:szCs w:val="24"/>
        </w:rPr>
        <w:t>А</w:t>
      </w:r>
      <w:r w:rsidR="00A05B1B"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Шалаев</w:t>
      </w:r>
      <w:r w:rsidR="00A05B1B" w:rsidRPr="00F6333D">
        <w:rPr>
          <w:rFonts w:ascii="Times New Roman" w:hAnsi="Times New Roman" w:cs="Times New Roman"/>
          <w:sz w:val="24"/>
          <w:szCs w:val="24"/>
          <w:lang w:val="en-US"/>
        </w:rPr>
        <w:t> </w:t>
      </w:r>
      <w:r w:rsidR="00A05B1B" w:rsidRPr="00A05B1B">
        <w:rPr>
          <w:rFonts w:ascii="Times New Roman" w:hAnsi="Times New Roman" w:cs="Times New Roman"/>
          <w:sz w:val="24"/>
          <w:szCs w:val="24"/>
        </w:rPr>
        <w:t>С</w:t>
      </w:r>
      <w:r w:rsidR="00A05B1B" w:rsidRPr="00F6333D">
        <w:rPr>
          <w:rFonts w:ascii="Times New Roman" w:hAnsi="Times New Roman" w:cs="Times New Roman"/>
          <w:sz w:val="24"/>
          <w:szCs w:val="24"/>
          <w:lang w:val="en-US"/>
        </w:rPr>
        <w:t>.</w:t>
      </w:r>
      <w:r w:rsidR="00A05B1B" w:rsidRPr="00A05B1B">
        <w:rPr>
          <w:rFonts w:ascii="Times New Roman" w:hAnsi="Times New Roman" w:cs="Times New Roman"/>
          <w:sz w:val="24"/>
          <w:szCs w:val="24"/>
        </w:rPr>
        <w:t>В</w:t>
      </w:r>
      <w:r w:rsidR="00A05B1B"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Шляхто</w:t>
      </w:r>
      <w:r w:rsidR="00A05B1B" w:rsidRPr="00F6333D">
        <w:rPr>
          <w:rFonts w:ascii="Times New Roman" w:hAnsi="Times New Roman" w:cs="Times New Roman"/>
          <w:sz w:val="24"/>
          <w:szCs w:val="24"/>
          <w:lang w:val="en-US"/>
        </w:rPr>
        <w:t> </w:t>
      </w:r>
      <w:r w:rsidR="00A05B1B" w:rsidRPr="00A05B1B">
        <w:rPr>
          <w:rFonts w:ascii="Times New Roman" w:hAnsi="Times New Roman" w:cs="Times New Roman"/>
          <w:sz w:val="24"/>
          <w:szCs w:val="24"/>
        </w:rPr>
        <w:t>Е</w:t>
      </w:r>
      <w:r w:rsidR="00A05B1B" w:rsidRPr="00F6333D">
        <w:rPr>
          <w:rFonts w:ascii="Times New Roman" w:hAnsi="Times New Roman" w:cs="Times New Roman"/>
          <w:sz w:val="24"/>
          <w:szCs w:val="24"/>
          <w:lang w:val="en-US"/>
        </w:rPr>
        <w:t>.</w:t>
      </w:r>
      <w:r w:rsidR="00A05B1B" w:rsidRPr="00A05B1B">
        <w:rPr>
          <w:rFonts w:ascii="Times New Roman" w:hAnsi="Times New Roman" w:cs="Times New Roman"/>
          <w:sz w:val="24"/>
          <w:szCs w:val="24"/>
        </w:rPr>
        <w:t>В</w:t>
      </w:r>
      <w:r w:rsidR="00A05B1B" w:rsidRPr="00F6333D">
        <w:rPr>
          <w:rFonts w:ascii="Times New Roman" w:hAnsi="Times New Roman" w:cs="Times New Roman"/>
          <w:sz w:val="24"/>
          <w:szCs w:val="24"/>
          <w:lang w:val="en-US"/>
        </w:rPr>
        <w:t>.,</w:t>
      </w:r>
      <w:r w:rsidR="00D36773" w:rsidRPr="00D36773">
        <w:rPr>
          <w:rFonts w:ascii="Times New Roman" w:hAnsi="Times New Roman" w:cs="Times New Roman"/>
          <w:sz w:val="24"/>
          <w:szCs w:val="24"/>
        </w:rPr>
        <w:t>Шпектор</w:t>
      </w:r>
      <w:r w:rsidR="00D36773" w:rsidRPr="00F6333D">
        <w:rPr>
          <w:rFonts w:ascii="Times New Roman" w:hAnsi="Times New Roman" w:cs="Times New Roman"/>
          <w:sz w:val="24"/>
          <w:szCs w:val="24"/>
          <w:lang w:val="en-US"/>
        </w:rPr>
        <w:t> </w:t>
      </w:r>
      <w:r w:rsidR="00D36773" w:rsidRPr="00D36773">
        <w:rPr>
          <w:rFonts w:ascii="Times New Roman" w:hAnsi="Times New Roman" w:cs="Times New Roman"/>
          <w:sz w:val="24"/>
          <w:szCs w:val="24"/>
        </w:rPr>
        <w:t>А</w:t>
      </w:r>
      <w:r w:rsidR="00D36773" w:rsidRPr="00F6333D">
        <w:rPr>
          <w:rFonts w:ascii="Times New Roman" w:hAnsi="Times New Roman" w:cs="Times New Roman"/>
          <w:sz w:val="24"/>
          <w:szCs w:val="24"/>
          <w:lang w:val="en-US"/>
        </w:rPr>
        <w:t>.</w:t>
      </w:r>
      <w:r w:rsidR="00D36773" w:rsidRPr="00D36773">
        <w:rPr>
          <w:rFonts w:ascii="Times New Roman" w:hAnsi="Times New Roman" w:cs="Times New Roman"/>
          <w:sz w:val="24"/>
          <w:szCs w:val="24"/>
        </w:rPr>
        <w:t>В</w:t>
      </w:r>
      <w:r w:rsidR="00D36773"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Якушин</w:t>
      </w:r>
      <w:r w:rsidR="00A05B1B" w:rsidRPr="00F6333D">
        <w:rPr>
          <w:rFonts w:ascii="Times New Roman" w:hAnsi="Times New Roman" w:cs="Times New Roman"/>
          <w:sz w:val="24"/>
          <w:szCs w:val="24"/>
          <w:lang w:val="en-US"/>
        </w:rPr>
        <w:t> </w:t>
      </w:r>
      <w:r w:rsidR="00A05B1B" w:rsidRPr="00A05B1B">
        <w:rPr>
          <w:rFonts w:ascii="Times New Roman" w:hAnsi="Times New Roman" w:cs="Times New Roman"/>
          <w:sz w:val="24"/>
          <w:szCs w:val="24"/>
        </w:rPr>
        <w:t>С</w:t>
      </w:r>
      <w:r w:rsidR="00A05B1B" w:rsidRPr="00F6333D">
        <w:rPr>
          <w:rFonts w:ascii="Times New Roman" w:hAnsi="Times New Roman" w:cs="Times New Roman"/>
          <w:sz w:val="24"/>
          <w:szCs w:val="24"/>
          <w:lang w:val="en-US"/>
        </w:rPr>
        <w:t>.</w:t>
      </w:r>
      <w:r w:rsidR="00A05B1B" w:rsidRPr="00A05B1B">
        <w:rPr>
          <w:rFonts w:ascii="Times New Roman" w:hAnsi="Times New Roman" w:cs="Times New Roman"/>
          <w:sz w:val="24"/>
          <w:szCs w:val="24"/>
        </w:rPr>
        <w:t>С</w:t>
      </w:r>
      <w:r w:rsidR="00A05B1B"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Острыйинфарктмиокардасподъемомсегмента</w:t>
      </w:r>
      <w:r w:rsidR="00A05B1B" w:rsidRPr="00F6333D">
        <w:rPr>
          <w:rFonts w:ascii="Times New Roman" w:hAnsi="Times New Roman" w:cs="Times New Roman"/>
          <w:sz w:val="24"/>
          <w:szCs w:val="24"/>
          <w:lang w:val="en-US"/>
        </w:rPr>
        <w:t xml:space="preserve">ST </w:t>
      </w:r>
      <w:r w:rsidR="00A05B1B" w:rsidRPr="00A05B1B">
        <w:rPr>
          <w:rFonts w:ascii="Times New Roman" w:hAnsi="Times New Roman" w:cs="Times New Roman"/>
          <w:sz w:val="24"/>
          <w:szCs w:val="24"/>
        </w:rPr>
        <w:t>электрокардиограммы</w:t>
      </w:r>
      <w:r w:rsidR="00A05B1B" w:rsidRPr="00F6333D">
        <w:rPr>
          <w:rFonts w:ascii="Times New Roman" w:hAnsi="Times New Roman" w:cs="Times New Roman"/>
          <w:sz w:val="24"/>
          <w:szCs w:val="24"/>
          <w:lang w:val="en-US"/>
        </w:rPr>
        <w:t xml:space="preserve">. </w:t>
      </w:r>
      <w:r w:rsidR="00A05B1B" w:rsidRPr="00A05B1B">
        <w:rPr>
          <w:rFonts w:ascii="Times New Roman" w:hAnsi="Times New Roman" w:cs="Times New Roman"/>
          <w:sz w:val="24"/>
          <w:szCs w:val="24"/>
        </w:rPr>
        <w:t>Клинические рекомендации 2024. Российский</w:t>
      </w:r>
      <w:r w:rsidR="00D36773" w:rsidRPr="00D36773">
        <w:rPr>
          <w:rFonts w:ascii="Times New Roman" w:hAnsi="Times New Roman" w:cs="Times New Roman"/>
          <w:sz w:val="24"/>
          <w:szCs w:val="24"/>
        </w:rPr>
        <w:t>кардиологический</w:t>
      </w:r>
      <w:r w:rsidR="00A05B1B" w:rsidRPr="00A05B1B">
        <w:rPr>
          <w:rFonts w:ascii="Times New Roman" w:hAnsi="Times New Roman" w:cs="Times New Roman"/>
          <w:sz w:val="24"/>
          <w:szCs w:val="24"/>
        </w:rPr>
        <w:t xml:space="preserve"> журнал. 2025;30(3):6306. https://doi.org/10.15829/1560-4071-2025-6306. EDN: IVJCUK</w:t>
      </w:r>
    </w:p>
    <w:p w14:paraId="34D1AC12" w14:textId="77777777" w:rsidR="004F06B3" w:rsidRPr="004F06B3" w:rsidRDefault="004F06B3" w:rsidP="00A419DB">
      <w:pPr>
        <w:pStyle w:val="af9"/>
        <w:tabs>
          <w:tab w:val="left" w:pos="786"/>
        </w:tabs>
        <w:suppressAutoHyphens/>
        <w:spacing w:line="360" w:lineRule="auto"/>
        <w:ind w:left="786"/>
        <w:jc w:val="both"/>
        <w:rPr>
          <w:rFonts w:ascii="Times New Roman" w:hAnsi="Times New Roman" w:cs="Times New Roman"/>
          <w:sz w:val="24"/>
          <w:szCs w:val="24"/>
        </w:rPr>
      </w:pPr>
    </w:p>
    <w:p w14:paraId="6AC304EE" w14:textId="77777777" w:rsidR="00587FD2" w:rsidRPr="00587FD2" w:rsidRDefault="00587FD2" w:rsidP="00A419DB">
      <w:pPr>
        <w:tabs>
          <w:tab w:val="left" w:pos="720"/>
          <w:tab w:val="left" w:pos="786"/>
        </w:tabs>
        <w:suppressAutoHyphens/>
        <w:spacing w:line="360" w:lineRule="auto"/>
        <w:ind w:left="426"/>
        <w:jc w:val="both"/>
        <w:rPr>
          <w:rFonts w:ascii="Times New Roman" w:hAnsi="Times New Roman" w:cs="Times New Roman"/>
          <w:sz w:val="24"/>
          <w:szCs w:val="24"/>
        </w:rPr>
      </w:pPr>
    </w:p>
    <w:p w14:paraId="56A108DC" w14:textId="77777777" w:rsidR="0022715D" w:rsidRDefault="0022715D" w:rsidP="00A419DB">
      <w:pPr>
        <w:pStyle w:val="af9"/>
        <w:suppressAutoHyphens/>
        <w:spacing w:line="360" w:lineRule="auto"/>
        <w:ind w:left="786"/>
        <w:jc w:val="both"/>
        <w:rPr>
          <w:rFonts w:ascii="Times New Roman" w:hAnsi="Times New Roman" w:cs="Times New Roman"/>
          <w:sz w:val="24"/>
          <w:szCs w:val="24"/>
        </w:rPr>
      </w:pPr>
    </w:p>
    <w:p w14:paraId="342A9D5C" w14:textId="77777777" w:rsidR="006F3113" w:rsidRDefault="002C7340" w:rsidP="006F3113">
      <w:pPr>
        <w:pStyle w:val="10"/>
        <w:suppressAutoHyphens/>
        <w:jc w:val="right"/>
        <w:rPr>
          <w:rFonts w:ascii="Times New Roman" w:hAnsi="Times New Roman"/>
          <w:bCs w:val="0"/>
          <w:color w:val="auto"/>
          <w:sz w:val="24"/>
          <w:szCs w:val="24"/>
        </w:rPr>
      </w:pPr>
      <w:bookmarkStart w:id="58" w:name="_Toc236138966"/>
      <w:r>
        <w:rPr>
          <w:rFonts w:ascii="Times New Roman" w:hAnsi="Times New Roman"/>
          <w:bCs w:val="0"/>
          <w:color w:val="auto"/>
          <w:sz w:val="24"/>
          <w:szCs w:val="24"/>
        </w:rPr>
        <w:lastRenderedPageBreak/>
        <w:t xml:space="preserve">Приложение А1. </w:t>
      </w:r>
    </w:p>
    <w:bookmarkEnd w:id="58"/>
    <w:p w14:paraId="26C4C42B" w14:textId="61E3B21B" w:rsidR="004C062E" w:rsidRDefault="002C7340" w:rsidP="006F3113">
      <w:pPr>
        <w:suppressAutoHyphens/>
        <w:spacing w:after="128"/>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Состав рабочей группы</w:t>
      </w:r>
    </w:p>
    <w:p w14:paraId="65A67A10" w14:textId="044DF56C" w:rsidR="00A65219" w:rsidRPr="003640A1" w:rsidRDefault="00A65219" w:rsidP="00A419DB">
      <w:pPr>
        <w:suppressAutoHyphens/>
        <w:spacing w:line="360" w:lineRule="auto"/>
        <w:jc w:val="both"/>
        <w:rPr>
          <w:rFonts w:ascii="Times New Roman" w:hAnsi="Times New Roman" w:cs="Times New Roman"/>
          <w:sz w:val="24"/>
          <w:szCs w:val="24"/>
        </w:rPr>
      </w:pPr>
      <w:r w:rsidRPr="003640A1">
        <w:rPr>
          <w:rFonts w:ascii="Times New Roman" w:hAnsi="Times New Roman" w:cs="Times New Roman"/>
          <w:b/>
          <w:sz w:val="24"/>
          <w:szCs w:val="24"/>
        </w:rPr>
        <w:t>Председатель:</w:t>
      </w:r>
      <w:r w:rsidRPr="003640A1">
        <w:rPr>
          <w:rFonts w:ascii="Times New Roman" w:hAnsi="Times New Roman" w:cs="Times New Roman"/>
          <w:sz w:val="24"/>
          <w:szCs w:val="24"/>
        </w:rPr>
        <w:br/>
      </w:r>
      <w:r w:rsidRPr="003640A1">
        <w:rPr>
          <w:rFonts w:ascii="Times New Roman" w:hAnsi="Times New Roman" w:cs="Times New Roman"/>
          <w:b/>
          <w:bCs/>
          <w:sz w:val="24"/>
          <w:szCs w:val="24"/>
        </w:rPr>
        <w:t>Тищенко Ирина Васильевна</w:t>
      </w:r>
      <w:r w:rsidRPr="003640A1">
        <w:rPr>
          <w:rFonts w:ascii="Times New Roman" w:hAnsi="Times New Roman" w:cs="Times New Roman"/>
          <w:sz w:val="24"/>
          <w:szCs w:val="24"/>
        </w:rPr>
        <w:t xml:space="preserve">– врач-кардиолог высшей </w:t>
      </w:r>
      <w:r w:rsidR="00A05D53" w:rsidRPr="00A05D53">
        <w:rPr>
          <w:rFonts w:ascii="Times New Roman" w:hAnsi="Times New Roman" w:cs="Times New Roman"/>
          <w:sz w:val="24"/>
          <w:szCs w:val="24"/>
        </w:rPr>
        <w:t>квалификационной</w:t>
      </w:r>
      <w:r w:rsidR="00A05D53" w:rsidRPr="003640A1">
        <w:rPr>
          <w:rFonts w:ascii="Times New Roman" w:hAnsi="Times New Roman" w:cs="Times New Roman"/>
          <w:sz w:val="24"/>
          <w:szCs w:val="24"/>
        </w:rPr>
        <w:t xml:space="preserve"> </w:t>
      </w:r>
      <w:r w:rsidRPr="003640A1">
        <w:rPr>
          <w:rFonts w:ascii="Times New Roman" w:hAnsi="Times New Roman" w:cs="Times New Roman"/>
          <w:sz w:val="24"/>
          <w:szCs w:val="24"/>
        </w:rPr>
        <w:t>категории, заведующая кардиологическим отделением государственного учреждения «Республиканская клиническая больница», главный внештатный кардиолог Министерства здравоохранения Приднестровской Молдавской Республики.</w:t>
      </w:r>
    </w:p>
    <w:p w14:paraId="54981D09" w14:textId="77777777" w:rsidR="00801508" w:rsidRDefault="00A65219" w:rsidP="00A419DB">
      <w:pPr>
        <w:suppressAutoHyphens/>
        <w:spacing w:after="0" w:line="360" w:lineRule="auto"/>
        <w:jc w:val="both"/>
        <w:rPr>
          <w:rFonts w:ascii="Times New Roman" w:hAnsi="Times New Roman" w:cs="Times New Roman"/>
          <w:sz w:val="24"/>
          <w:szCs w:val="24"/>
        </w:rPr>
      </w:pPr>
      <w:r w:rsidRPr="003640A1">
        <w:rPr>
          <w:rFonts w:ascii="Times New Roman" w:hAnsi="Times New Roman" w:cs="Times New Roman"/>
          <w:b/>
          <w:sz w:val="24"/>
          <w:szCs w:val="24"/>
        </w:rPr>
        <w:t>Члены:</w:t>
      </w:r>
      <w:r w:rsidRPr="003640A1">
        <w:rPr>
          <w:rFonts w:ascii="Times New Roman" w:hAnsi="Times New Roman" w:cs="Times New Roman"/>
          <w:b/>
          <w:sz w:val="24"/>
          <w:szCs w:val="24"/>
        </w:rPr>
        <w:br/>
      </w:r>
      <w:r w:rsidRPr="003640A1">
        <w:rPr>
          <w:rFonts w:ascii="Times New Roman" w:hAnsi="Times New Roman" w:cs="Times New Roman"/>
          <w:b/>
          <w:bCs/>
          <w:sz w:val="24"/>
          <w:szCs w:val="24"/>
        </w:rPr>
        <w:t>Апостолова Лариса Валентиновна</w:t>
      </w:r>
      <w:r w:rsidRPr="003640A1">
        <w:rPr>
          <w:rFonts w:ascii="Times New Roman" w:hAnsi="Times New Roman" w:cs="Times New Roman"/>
          <w:sz w:val="24"/>
          <w:szCs w:val="24"/>
        </w:rPr>
        <w:t xml:space="preserve"> – врач-кардиолог первой </w:t>
      </w:r>
      <w:r w:rsidR="00A05D53" w:rsidRPr="00A05D53">
        <w:rPr>
          <w:rFonts w:ascii="Times New Roman" w:hAnsi="Times New Roman" w:cs="Times New Roman"/>
          <w:sz w:val="24"/>
          <w:szCs w:val="24"/>
        </w:rPr>
        <w:t>квалификационной</w:t>
      </w:r>
      <w:r w:rsidR="00A05D53" w:rsidRPr="003640A1">
        <w:rPr>
          <w:rFonts w:ascii="Times New Roman" w:hAnsi="Times New Roman" w:cs="Times New Roman"/>
          <w:sz w:val="24"/>
          <w:szCs w:val="24"/>
        </w:rPr>
        <w:t xml:space="preserve"> </w:t>
      </w:r>
      <w:r w:rsidRPr="003640A1">
        <w:rPr>
          <w:rFonts w:ascii="Times New Roman" w:hAnsi="Times New Roman" w:cs="Times New Roman"/>
          <w:sz w:val="24"/>
          <w:szCs w:val="24"/>
        </w:rPr>
        <w:t>категории, врач-кардиолог кардиологического отделения государственного учреждения «Республиканский госпиталь инвалидов Великой Отечественной войны»;</w:t>
      </w:r>
    </w:p>
    <w:p w14:paraId="7C0AA540" w14:textId="77777777" w:rsidR="008147B0" w:rsidRDefault="00801508" w:rsidP="00A419DB">
      <w:pPr>
        <w:suppressAutoHyphens/>
        <w:spacing w:after="0" w:line="360" w:lineRule="auto"/>
        <w:jc w:val="both"/>
        <w:rPr>
          <w:rFonts w:ascii="Times New Roman" w:hAnsi="Times New Roman" w:cs="Times New Roman"/>
          <w:sz w:val="24"/>
          <w:szCs w:val="24"/>
        </w:rPr>
      </w:pPr>
      <w:r w:rsidRPr="003640A1">
        <w:rPr>
          <w:rFonts w:ascii="Times New Roman" w:hAnsi="Times New Roman" w:cs="Times New Roman"/>
          <w:b/>
          <w:bCs/>
          <w:sz w:val="24"/>
          <w:szCs w:val="24"/>
        </w:rPr>
        <w:t xml:space="preserve"> </w:t>
      </w:r>
      <w:r w:rsidR="00A65219" w:rsidRPr="003640A1">
        <w:rPr>
          <w:rFonts w:ascii="Times New Roman" w:hAnsi="Times New Roman" w:cs="Times New Roman"/>
          <w:b/>
          <w:bCs/>
          <w:sz w:val="24"/>
          <w:szCs w:val="24"/>
        </w:rPr>
        <w:t>Ипати Оксана Павловна</w:t>
      </w:r>
      <w:r w:rsidR="00A65219" w:rsidRPr="003640A1">
        <w:rPr>
          <w:rFonts w:ascii="Times New Roman" w:hAnsi="Times New Roman" w:cs="Times New Roman"/>
          <w:sz w:val="24"/>
          <w:szCs w:val="24"/>
        </w:rPr>
        <w:t xml:space="preserve"> – врач-кардиолог первой </w:t>
      </w:r>
      <w:r w:rsidR="00A05D53" w:rsidRPr="00A05D53">
        <w:rPr>
          <w:rFonts w:ascii="Times New Roman" w:hAnsi="Times New Roman" w:cs="Times New Roman"/>
          <w:sz w:val="24"/>
          <w:szCs w:val="24"/>
        </w:rPr>
        <w:t>квалификационной</w:t>
      </w:r>
      <w:r w:rsidR="00A05D53" w:rsidRPr="003640A1">
        <w:rPr>
          <w:rFonts w:ascii="Times New Roman" w:hAnsi="Times New Roman" w:cs="Times New Roman"/>
          <w:sz w:val="24"/>
          <w:szCs w:val="24"/>
        </w:rPr>
        <w:t xml:space="preserve"> </w:t>
      </w:r>
      <w:r w:rsidR="00A65219" w:rsidRPr="003640A1">
        <w:rPr>
          <w:rFonts w:ascii="Times New Roman" w:hAnsi="Times New Roman" w:cs="Times New Roman"/>
          <w:sz w:val="24"/>
          <w:szCs w:val="24"/>
        </w:rPr>
        <w:t>категории, врач-кардиолог государственного учреждения «Бендерский центр амбулаторно-поликлинической помощи»;</w:t>
      </w:r>
    </w:p>
    <w:p w14:paraId="1DD07D9B" w14:textId="3F727280" w:rsidR="00801508" w:rsidRDefault="00A65219" w:rsidP="00A419DB">
      <w:pPr>
        <w:suppressAutoHyphens/>
        <w:spacing w:after="0" w:line="360" w:lineRule="auto"/>
        <w:jc w:val="both"/>
        <w:rPr>
          <w:rFonts w:ascii="Times New Roman" w:hAnsi="Times New Roman" w:cs="Times New Roman"/>
          <w:sz w:val="24"/>
          <w:szCs w:val="24"/>
        </w:rPr>
      </w:pPr>
      <w:r w:rsidRPr="003640A1">
        <w:rPr>
          <w:rFonts w:ascii="Times New Roman" w:hAnsi="Times New Roman" w:cs="Times New Roman"/>
          <w:b/>
          <w:bCs/>
          <w:sz w:val="24"/>
          <w:szCs w:val="24"/>
        </w:rPr>
        <w:t>Муту Елена Исидоровна</w:t>
      </w:r>
      <w:r w:rsidR="008147B0">
        <w:rPr>
          <w:rFonts w:ascii="Times New Roman" w:hAnsi="Times New Roman" w:cs="Times New Roman"/>
          <w:b/>
          <w:bCs/>
          <w:sz w:val="24"/>
          <w:szCs w:val="24"/>
        </w:rPr>
        <w:t xml:space="preserve"> </w:t>
      </w:r>
      <w:r w:rsidRPr="003640A1">
        <w:rPr>
          <w:rFonts w:ascii="Times New Roman" w:hAnsi="Times New Roman" w:cs="Times New Roman"/>
          <w:sz w:val="24"/>
          <w:szCs w:val="24"/>
        </w:rPr>
        <w:t>– врач-кардиолог кардиологического отделения государственного учреждения «Республиканская клиническая больница»;</w:t>
      </w:r>
    </w:p>
    <w:p w14:paraId="5FD31FB3" w14:textId="0ABCCC0E" w:rsidR="00801508" w:rsidRDefault="00801508" w:rsidP="00A419DB">
      <w:pPr>
        <w:suppressAutoHyphens/>
        <w:spacing w:after="0" w:line="360" w:lineRule="auto"/>
        <w:jc w:val="both"/>
        <w:rPr>
          <w:rFonts w:ascii="Times New Roman" w:hAnsi="Times New Roman" w:cs="Times New Roman"/>
          <w:sz w:val="24"/>
          <w:szCs w:val="24"/>
        </w:rPr>
      </w:pPr>
      <w:r w:rsidRPr="003640A1">
        <w:rPr>
          <w:rFonts w:ascii="Times New Roman" w:hAnsi="Times New Roman" w:cs="Times New Roman"/>
          <w:b/>
          <w:bCs/>
          <w:sz w:val="24"/>
          <w:szCs w:val="24"/>
        </w:rPr>
        <w:t xml:space="preserve"> </w:t>
      </w:r>
      <w:r w:rsidR="00A65219" w:rsidRPr="003640A1">
        <w:rPr>
          <w:rFonts w:ascii="Times New Roman" w:hAnsi="Times New Roman" w:cs="Times New Roman"/>
          <w:b/>
          <w:bCs/>
          <w:sz w:val="24"/>
          <w:szCs w:val="24"/>
        </w:rPr>
        <w:t>Писаренко Игорь Васильевич</w:t>
      </w:r>
      <w:r w:rsidR="008147B0">
        <w:rPr>
          <w:rFonts w:ascii="Times New Roman" w:hAnsi="Times New Roman" w:cs="Times New Roman"/>
          <w:b/>
          <w:bCs/>
          <w:sz w:val="24"/>
          <w:szCs w:val="24"/>
        </w:rPr>
        <w:t xml:space="preserve"> </w:t>
      </w:r>
      <w:r w:rsidR="00A65219" w:rsidRPr="003640A1">
        <w:rPr>
          <w:rFonts w:ascii="Times New Roman" w:hAnsi="Times New Roman" w:cs="Times New Roman"/>
          <w:sz w:val="24"/>
          <w:szCs w:val="24"/>
        </w:rPr>
        <w:t>– врач-кардиолог государственного учреждения «Дубоссарская центральная районная больница»;</w:t>
      </w:r>
    </w:p>
    <w:p w14:paraId="0EFC46B6" w14:textId="07ECF9E0" w:rsidR="00801508" w:rsidRDefault="00801508" w:rsidP="00A419DB">
      <w:pPr>
        <w:suppressAutoHyphens/>
        <w:spacing w:after="0" w:line="360" w:lineRule="auto"/>
        <w:jc w:val="both"/>
        <w:rPr>
          <w:rFonts w:ascii="Times New Roman" w:hAnsi="Times New Roman" w:cs="Times New Roman"/>
          <w:sz w:val="24"/>
          <w:szCs w:val="24"/>
        </w:rPr>
      </w:pPr>
      <w:r w:rsidRPr="003640A1">
        <w:rPr>
          <w:rFonts w:ascii="Times New Roman" w:hAnsi="Times New Roman" w:cs="Times New Roman"/>
          <w:b/>
          <w:bCs/>
          <w:sz w:val="24"/>
          <w:szCs w:val="24"/>
        </w:rPr>
        <w:t xml:space="preserve"> </w:t>
      </w:r>
      <w:r w:rsidR="00A65219" w:rsidRPr="003640A1">
        <w:rPr>
          <w:rFonts w:ascii="Times New Roman" w:hAnsi="Times New Roman" w:cs="Times New Roman"/>
          <w:b/>
          <w:bCs/>
          <w:sz w:val="24"/>
          <w:szCs w:val="24"/>
        </w:rPr>
        <w:t>Продиус Елена Александровна</w:t>
      </w:r>
      <w:r w:rsidR="008147B0">
        <w:rPr>
          <w:rFonts w:ascii="Times New Roman" w:hAnsi="Times New Roman" w:cs="Times New Roman"/>
          <w:b/>
          <w:bCs/>
          <w:sz w:val="24"/>
          <w:szCs w:val="24"/>
        </w:rPr>
        <w:t xml:space="preserve"> </w:t>
      </w:r>
      <w:r w:rsidR="00A65219" w:rsidRPr="003640A1">
        <w:rPr>
          <w:rFonts w:ascii="Times New Roman" w:hAnsi="Times New Roman" w:cs="Times New Roman"/>
          <w:sz w:val="24"/>
          <w:szCs w:val="24"/>
        </w:rPr>
        <w:t xml:space="preserve">– врач-кардиолог второй </w:t>
      </w:r>
      <w:r w:rsidR="00A05D53" w:rsidRPr="00A05D53">
        <w:rPr>
          <w:rFonts w:ascii="Times New Roman" w:hAnsi="Times New Roman" w:cs="Times New Roman"/>
          <w:sz w:val="24"/>
          <w:szCs w:val="24"/>
        </w:rPr>
        <w:t>квалификационной</w:t>
      </w:r>
      <w:r w:rsidR="00A05D53" w:rsidRPr="003640A1">
        <w:rPr>
          <w:rFonts w:ascii="Times New Roman" w:hAnsi="Times New Roman" w:cs="Times New Roman"/>
          <w:sz w:val="24"/>
          <w:szCs w:val="24"/>
        </w:rPr>
        <w:t xml:space="preserve"> </w:t>
      </w:r>
      <w:r w:rsidR="00A65219" w:rsidRPr="003640A1">
        <w:rPr>
          <w:rFonts w:ascii="Times New Roman" w:hAnsi="Times New Roman" w:cs="Times New Roman"/>
          <w:sz w:val="24"/>
          <w:szCs w:val="24"/>
        </w:rPr>
        <w:t>категории кардиоревматологического диспансера государственного учреждения «Республиканская клиническая больница»;</w:t>
      </w:r>
    </w:p>
    <w:p w14:paraId="0A876258" w14:textId="77777777" w:rsidR="00584A84" w:rsidRDefault="00801508" w:rsidP="00A419DB">
      <w:pPr>
        <w:suppressAutoHyphens/>
        <w:spacing w:after="0" w:line="360" w:lineRule="auto"/>
        <w:jc w:val="both"/>
        <w:rPr>
          <w:rFonts w:ascii="Times New Roman" w:hAnsi="Times New Roman" w:cs="Times New Roman"/>
          <w:sz w:val="24"/>
          <w:szCs w:val="24"/>
        </w:rPr>
      </w:pPr>
      <w:r w:rsidRPr="003640A1">
        <w:rPr>
          <w:rFonts w:ascii="Times New Roman" w:hAnsi="Times New Roman" w:cs="Times New Roman"/>
          <w:b/>
          <w:bCs/>
          <w:sz w:val="24"/>
          <w:szCs w:val="24"/>
        </w:rPr>
        <w:t xml:space="preserve"> </w:t>
      </w:r>
      <w:r w:rsidR="00A65219" w:rsidRPr="003640A1">
        <w:rPr>
          <w:rFonts w:ascii="Times New Roman" w:hAnsi="Times New Roman" w:cs="Times New Roman"/>
          <w:b/>
          <w:bCs/>
          <w:sz w:val="24"/>
          <w:szCs w:val="24"/>
        </w:rPr>
        <w:t>Скоробогатова Ирина Викторовна</w:t>
      </w:r>
      <w:r w:rsidR="00A65219" w:rsidRPr="003640A1">
        <w:rPr>
          <w:rFonts w:ascii="Times New Roman" w:hAnsi="Times New Roman" w:cs="Times New Roman"/>
          <w:sz w:val="24"/>
          <w:szCs w:val="24"/>
        </w:rPr>
        <w:t xml:space="preserve"> – врач-кардиолог кардиологического отделения государственного учреждения «Республиканский госпиталь инвалидов Великой Отечественной войны»;</w:t>
      </w:r>
    </w:p>
    <w:p w14:paraId="17594B42" w14:textId="5466E5B6" w:rsidR="00A05D53" w:rsidRDefault="00A65219" w:rsidP="00A419DB">
      <w:pPr>
        <w:suppressAutoHyphens/>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Храброва Людмил</w:t>
      </w:r>
      <w:r w:rsidRPr="003640A1">
        <w:rPr>
          <w:rFonts w:ascii="Times New Roman" w:hAnsi="Times New Roman" w:cs="Times New Roman"/>
          <w:b/>
          <w:bCs/>
          <w:sz w:val="24"/>
          <w:szCs w:val="24"/>
        </w:rPr>
        <w:t>а Витальевна</w:t>
      </w:r>
      <w:r w:rsidRPr="003640A1">
        <w:rPr>
          <w:rFonts w:ascii="Times New Roman" w:hAnsi="Times New Roman" w:cs="Times New Roman"/>
          <w:sz w:val="24"/>
          <w:szCs w:val="24"/>
        </w:rPr>
        <w:t xml:space="preserve"> – врач-кардиолог первой </w:t>
      </w:r>
      <w:r w:rsidR="00A05D53" w:rsidRPr="00A05D53">
        <w:rPr>
          <w:rFonts w:ascii="Times New Roman" w:hAnsi="Times New Roman" w:cs="Times New Roman"/>
          <w:sz w:val="24"/>
          <w:szCs w:val="24"/>
        </w:rPr>
        <w:t>квалификационной</w:t>
      </w:r>
      <w:r w:rsidR="00A05D53" w:rsidRPr="003640A1">
        <w:rPr>
          <w:rFonts w:ascii="Times New Roman" w:hAnsi="Times New Roman" w:cs="Times New Roman"/>
          <w:sz w:val="24"/>
          <w:szCs w:val="24"/>
        </w:rPr>
        <w:t xml:space="preserve"> </w:t>
      </w:r>
      <w:r w:rsidRPr="003640A1">
        <w:rPr>
          <w:rFonts w:ascii="Times New Roman" w:hAnsi="Times New Roman" w:cs="Times New Roman"/>
          <w:sz w:val="24"/>
          <w:szCs w:val="24"/>
        </w:rPr>
        <w:t>категории, врач-кардиолог государственного учреждения «Каменская центральная районная больница»;</w:t>
      </w:r>
      <w:r w:rsidRPr="003640A1">
        <w:rPr>
          <w:rFonts w:ascii="Times New Roman" w:hAnsi="Times New Roman" w:cs="Times New Roman"/>
          <w:sz w:val="24"/>
          <w:szCs w:val="24"/>
        </w:rPr>
        <w:br/>
      </w:r>
      <w:r w:rsidRPr="003640A1">
        <w:rPr>
          <w:rFonts w:ascii="Times New Roman" w:hAnsi="Times New Roman" w:cs="Times New Roman"/>
          <w:b/>
          <w:bCs/>
          <w:sz w:val="24"/>
          <w:szCs w:val="24"/>
        </w:rPr>
        <w:t>Шаталина Александра Валерьевна</w:t>
      </w:r>
      <w:r w:rsidRPr="003640A1">
        <w:rPr>
          <w:rFonts w:ascii="Times New Roman" w:hAnsi="Times New Roman" w:cs="Times New Roman"/>
          <w:sz w:val="24"/>
          <w:szCs w:val="24"/>
        </w:rPr>
        <w:t xml:space="preserve"> – врач-кардиолог государственного учреждения «Рыбницкая центральная районная больница».</w:t>
      </w:r>
    </w:p>
    <w:p w14:paraId="0A83E36C" w14:textId="77777777" w:rsidR="00A05D53" w:rsidRPr="00A05D53" w:rsidRDefault="00A05D53" w:rsidP="00A419DB">
      <w:pPr>
        <w:suppressAutoHyphens/>
        <w:spacing w:after="0" w:line="360" w:lineRule="auto"/>
        <w:jc w:val="both"/>
        <w:rPr>
          <w:rFonts w:ascii="Times New Roman" w:hAnsi="Times New Roman" w:cs="Times New Roman"/>
          <w:sz w:val="24"/>
          <w:szCs w:val="24"/>
        </w:rPr>
      </w:pPr>
      <w:r w:rsidRPr="00A05D53">
        <w:rPr>
          <w:rFonts w:ascii="Times New Roman" w:hAnsi="Times New Roman" w:cs="Times New Roman"/>
          <w:b/>
          <w:bCs/>
          <w:sz w:val="24"/>
          <w:szCs w:val="24"/>
        </w:rPr>
        <w:t>Холина Елена Леонидовна</w:t>
      </w:r>
      <w:r w:rsidRPr="00A05D53">
        <w:rPr>
          <w:rFonts w:ascii="Times New Roman" w:hAnsi="Times New Roman" w:cs="Times New Roman"/>
          <w:sz w:val="24"/>
          <w:szCs w:val="24"/>
        </w:rPr>
        <w:t xml:space="preserve">  - врач терапевт  высшей квалификационной категории ООО «Медин» </w:t>
      </w:r>
    </w:p>
    <w:p w14:paraId="2A45F2F9" w14:textId="7528E76D" w:rsidR="00A05D53" w:rsidRPr="00A05D53" w:rsidRDefault="00A05D53" w:rsidP="00A419DB">
      <w:pPr>
        <w:suppressAutoHyphens/>
        <w:spacing w:line="360" w:lineRule="auto"/>
        <w:jc w:val="both"/>
        <w:rPr>
          <w:rFonts w:ascii="Times New Roman" w:hAnsi="Times New Roman" w:cs="Times New Roman"/>
          <w:sz w:val="24"/>
          <w:szCs w:val="24"/>
        </w:rPr>
      </w:pPr>
      <w:r w:rsidRPr="00A05D53">
        <w:rPr>
          <w:rFonts w:ascii="Times New Roman" w:hAnsi="Times New Roman" w:cs="Times New Roman"/>
          <w:b/>
          <w:bCs/>
          <w:sz w:val="24"/>
          <w:szCs w:val="24"/>
        </w:rPr>
        <w:t>Фус Алла Викторовна</w:t>
      </w:r>
      <w:r w:rsidRPr="00A05D53">
        <w:rPr>
          <w:rFonts w:ascii="Times New Roman" w:hAnsi="Times New Roman" w:cs="Times New Roman"/>
          <w:sz w:val="24"/>
          <w:szCs w:val="24"/>
        </w:rPr>
        <w:t xml:space="preserve"> – заместитель главного врача ГУ «Тираспольский клинический центр амбулаторно-поликлинической помощи»,</w:t>
      </w:r>
      <w:r w:rsidR="00584A84">
        <w:rPr>
          <w:rFonts w:ascii="Times New Roman" w:hAnsi="Times New Roman" w:cs="Times New Roman"/>
          <w:sz w:val="24"/>
          <w:szCs w:val="24"/>
        </w:rPr>
        <w:t xml:space="preserve"> </w:t>
      </w:r>
      <w:r w:rsidRPr="00A05D53">
        <w:rPr>
          <w:rFonts w:ascii="Times New Roman" w:hAnsi="Times New Roman" w:cs="Times New Roman"/>
          <w:sz w:val="24"/>
          <w:szCs w:val="24"/>
        </w:rPr>
        <w:t>врач</w:t>
      </w:r>
      <w:r w:rsidR="00584A84">
        <w:rPr>
          <w:rFonts w:ascii="Times New Roman" w:hAnsi="Times New Roman" w:cs="Times New Roman"/>
          <w:sz w:val="24"/>
          <w:szCs w:val="24"/>
        </w:rPr>
        <w:t>-</w:t>
      </w:r>
      <w:r w:rsidRPr="00A05D53">
        <w:rPr>
          <w:rFonts w:ascii="Times New Roman" w:hAnsi="Times New Roman" w:cs="Times New Roman"/>
          <w:sz w:val="24"/>
          <w:szCs w:val="24"/>
        </w:rPr>
        <w:t>терапевт  высшей квалификационной категории</w:t>
      </w:r>
    </w:p>
    <w:p w14:paraId="74E4F664" w14:textId="2A8327CD" w:rsidR="00A65219" w:rsidRPr="003640A1" w:rsidRDefault="00801508" w:rsidP="00A419DB">
      <w:pPr>
        <w:suppressAutoHyphens/>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ab/>
      </w:r>
      <w:r w:rsidR="00A65219" w:rsidRPr="003640A1">
        <w:rPr>
          <w:rFonts w:ascii="Times New Roman" w:eastAsia="Calibri" w:hAnsi="Times New Roman" w:cs="Times New Roman"/>
          <w:sz w:val="24"/>
          <w:szCs w:val="24"/>
        </w:rPr>
        <w:t>Экспертизу проекта клинических рекомендаций провел эксперт по клиническому</w:t>
      </w:r>
      <w:r w:rsidR="00A65219" w:rsidRPr="003640A1">
        <w:rPr>
          <w:rFonts w:ascii="Times New Roman" w:eastAsia="Calibri" w:hAnsi="Times New Roman" w:cs="Times New Roman"/>
          <w:sz w:val="24"/>
          <w:szCs w:val="24"/>
        </w:rPr>
        <w:br/>
        <w:t xml:space="preserve">направлению (специальности) «Кардиология» Емелина Наталья </w:t>
      </w:r>
      <w:r w:rsidR="00A65219">
        <w:rPr>
          <w:rFonts w:ascii="Times New Roman" w:eastAsia="Calibri" w:hAnsi="Times New Roman" w:cs="Times New Roman"/>
          <w:sz w:val="24"/>
          <w:szCs w:val="24"/>
        </w:rPr>
        <w:t>Ивановна – врач-</w:t>
      </w:r>
      <w:r w:rsidR="00A65219" w:rsidRPr="00632304">
        <w:rPr>
          <w:rFonts w:ascii="Times New Roman" w:eastAsia="Calibri" w:hAnsi="Times New Roman" w:cs="Times New Roman"/>
          <w:sz w:val="24"/>
          <w:szCs w:val="24"/>
        </w:rPr>
        <w:t>кардиолог, заведующая кардиологическ</w:t>
      </w:r>
      <w:r w:rsidR="00584A84" w:rsidRPr="00632304">
        <w:rPr>
          <w:rFonts w:ascii="Times New Roman" w:eastAsia="Calibri" w:hAnsi="Times New Roman" w:cs="Times New Roman"/>
          <w:sz w:val="24"/>
          <w:szCs w:val="24"/>
        </w:rPr>
        <w:t>им</w:t>
      </w:r>
      <w:r w:rsidR="00A65219" w:rsidRPr="00632304">
        <w:rPr>
          <w:rFonts w:ascii="Times New Roman" w:eastAsia="Calibri" w:hAnsi="Times New Roman" w:cs="Times New Roman"/>
          <w:sz w:val="24"/>
          <w:szCs w:val="24"/>
        </w:rPr>
        <w:t xml:space="preserve"> отделени</w:t>
      </w:r>
      <w:r w:rsidR="00584A84" w:rsidRPr="00632304">
        <w:rPr>
          <w:rFonts w:ascii="Times New Roman" w:eastAsia="Calibri" w:hAnsi="Times New Roman" w:cs="Times New Roman"/>
          <w:sz w:val="24"/>
          <w:szCs w:val="24"/>
        </w:rPr>
        <w:t>ем</w:t>
      </w:r>
      <w:r w:rsidR="00A65219" w:rsidRPr="003640A1">
        <w:rPr>
          <w:rFonts w:ascii="Times New Roman" w:eastAsia="Calibri" w:hAnsi="Times New Roman" w:cs="Times New Roman"/>
          <w:sz w:val="24"/>
          <w:szCs w:val="24"/>
        </w:rPr>
        <w:t xml:space="preserve"> государственного учреждения «Бендерская центральная городская больница».</w:t>
      </w:r>
    </w:p>
    <w:p w14:paraId="0ECD5A4F" w14:textId="77777777" w:rsidR="004C062E" w:rsidRDefault="00A65219" w:rsidP="00A419DB">
      <w:pPr>
        <w:suppressAutoHyphens/>
        <w:spacing w:after="0" w:line="360" w:lineRule="auto"/>
        <w:ind w:firstLineChars="295" w:firstLine="711"/>
        <w:contextualSpacing/>
        <w:jc w:val="both"/>
        <w:rPr>
          <w:rFonts w:ascii="Times New Roman" w:hAnsi="Times New Roman" w:cs="Times New Roman"/>
          <w:color w:val="000000" w:themeColor="text1"/>
          <w:sz w:val="24"/>
          <w:szCs w:val="24"/>
        </w:rPr>
      </w:pPr>
      <w:r w:rsidRPr="003640A1">
        <w:rPr>
          <w:rFonts w:ascii="Times New Roman" w:hAnsi="Times New Roman" w:cs="Times New Roman"/>
          <w:b/>
          <w:sz w:val="24"/>
          <w:szCs w:val="24"/>
        </w:rPr>
        <w:t>Конфликт интересов:</w:t>
      </w:r>
      <w:r w:rsidRPr="003640A1">
        <w:rPr>
          <w:rFonts w:ascii="Times New Roman" w:hAnsi="Times New Roman" w:cs="Times New Roman"/>
          <w:sz w:val="24"/>
          <w:szCs w:val="24"/>
        </w:rPr>
        <w:t xml:space="preserve"> конфликт интересов отсутствует.</w:t>
      </w:r>
    </w:p>
    <w:p w14:paraId="770E4577" w14:textId="77777777" w:rsidR="004C062E" w:rsidRDefault="002C7340" w:rsidP="00A419DB">
      <w:pPr>
        <w:suppressAutoHyphens/>
        <w:spacing w:after="0" w:line="360" w:lineRule="auto"/>
        <w:ind w:firstLineChars="295" w:firstLine="708"/>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1179E1BB" w14:textId="77777777" w:rsidR="008147B0" w:rsidRDefault="002C7340" w:rsidP="008147B0">
      <w:pPr>
        <w:pStyle w:val="10"/>
        <w:suppressAutoHyphens/>
        <w:jc w:val="right"/>
        <w:rPr>
          <w:rFonts w:ascii="Times New Roman" w:hAnsi="Times New Roman"/>
          <w:bCs w:val="0"/>
          <w:color w:val="000000" w:themeColor="text1"/>
          <w:sz w:val="24"/>
          <w:szCs w:val="24"/>
        </w:rPr>
      </w:pPr>
      <w:bookmarkStart w:id="59" w:name="_Toc236138967"/>
      <w:r>
        <w:rPr>
          <w:rFonts w:ascii="Times New Roman" w:hAnsi="Times New Roman"/>
          <w:bCs w:val="0"/>
          <w:color w:val="000000" w:themeColor="text1"/>
          <w:sz w:val="24"/>
          <w:szCs w:val="24"/>
        </w:rPr>
        <w:lastRenderedPageBreak/>
        <w:t>Приложение А2. </w:t>
      </w:r>
    </w:p>
    <w:p w14:paraId="798BCBFB" w14:textId="249F61DB" w:rsidR="004C062E" w:rsidRDefault="002C7340" w:rsidP="008147B0">
      <w:pPr>
        <w:pStyle w:val="10"/>
        <w:suppressAutoHyphens/>
        <w:jc w:val="center"/>
        <w:rPr>
          <w:rFonts w:ascii="Times New Roman" w:hAnsi="Times New Roman"/>
          <w:bCs w:val="0"/>
          <w:color w:val="000000" w:themeColor="text1"/>
          <w:sz w:val="24"/>
          <w:szCs w:val="24"/>
        </w:rPr>
      </w:pPr>
      <w:r>
        <w:rPr>
          <w:rFonts w:ascii="Times New Roman" w:hAnsi="Times New Roman"/>
          <w:bCs w:val="0"/>
          <w:color w:val="000000" w:themeColor="text1"/>
          <w:sz w:val="24"/>
          <w:szCs w:val="24"/>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59"/>
    </w:p>
    <w:p w14:paraId="1ABE82B1" w14:textId="77777777" w:rsidR="008147B0" w:rsidRDefault="008147B0" w:rsidP="00A419DB">
      <w:pPr>
        <w:suppressAutoHyphens/>
        <w:spacing w:after="0" w:line="360" w:lineRule="auto"/>
        <w:ind w:firstLineChars="295" w:firstLine="708"/>
        <w:contextualSpacing/>
        <w:jc w:val="both"/>
        <w:rPr>
          <w:rFonts w:ascii="Times New Roman" w:hAnsi="Times New Roman" w:cs="Times New Roman"/>
          <w:color w:val="000000" w:themeColor="text1"/>
          <w:sz w:val="24"/>
          <w:szCs w:val="24"/>
        </w:rPr>
      </w:pPr>
    </w:p>
    <w:p w14:paraId="031D4FCD" w14:textId="0BD58E3D" w:rsidR="004C062E" w:rsidRDefault="002C7340" w:rsidP="00A419DB">
      <w:pPr>
        <w:suppressAutoHyphens/>
        <w:spacing w:after="0" w:line="360" w:lineRule="auto"/>
        <w:ind w:firstLineChars="295" w:firstLine="708"/>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Целевая аудитория данных клинических рекомендаций:</w:t>
      </w:r>
    </w:p>
    <w:p w14:paraId="168B2971" w14:textId="77777777" w:rsidR="004C062E" w:rsidRDefault="002C7340" w:rsidP="00A419DB">
      <w:pPr>
        <w:pStyle w:val="af9"/>
        <w:numPr>
          <w:ilvl w:val="0"/>
          <w:numId w:val="96"/>
        </w:numPr>
        <w:suppressAutoHyphens/>
        <w:spacing w:after="0" w:line="360" w:lineRule="auto"/>
        <w:ind w:left="567"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Врач-кардиолог</w:t>
      </w:r>
    </w:p>
    <w:p w14:paraId="73C18FD8" w14:textId="77777777" w:rsidR="004C062E" w:rsidRDefault="002C7340" w:rsidP="00A419DB">
      <w:pPr>
        <w:pStyle w:val="af9"/>
        <w:numPr>
          <w:ilvl w:val="0"/>
          <w:numId w:val="96"/>
        </w:numPr>
        <w:suppressAutoHyphens/>
        <w:spacing w:after="0" w:line="360" w:lineRule="auto"/>
        <w:ind w:left="567" w:firstLine="0"/>
        <w:jc w:val="both"/>
        <w:rPr>
          <w:rFonts w:ascii="Times New Roman" w:hAnsi="Times New Roman" w:cs="Times New Roman"/>
          <w:color w:val="000000" w:themeColor="text1"/>
          <w:szCs w:val="24"/>
        </w:rPr>
      </w:pPr>
      <w:r>
        <w:rPr>
          <w:rFonts w:ascii="Times New Roman" w:hAnsi="Times New Roman" w:cs="Times New Roman"/>
          <w:color w:val="000000" w:themeColor="text1"/>
          <w:sz w:val="24"/>
          <w:szCs w:val="26"/>
          <w:shd w:val="clear" w:color="auto" w:fill="FFFFFF"/>
        </w:rPr>
        <w:t>Врач-анестезиолог-реаниматолог</w:t>
      </w:r>
    </w:p>
    <w:p w14:paraId="63B8405C" w14:textId="77777777" w:rsidR="004C062E" w:rsidRDefault="002C7340" w:rsidP="00A419DB">
      <w:pPr>
        <w:pStyle w:val="af9"/>
        <w:numPr>
          <w:ilvl w:val="0"/>
          <w:numId w:val="96"/>
        </w:numPr>
        <w:suppressAutoHyphens/>
        <w:spacing w:after="0" w:line="360" w:lineRule="auto"/>
        <w:ind w:left="567"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Врач-терапевт</w:t>
      </w:r>
    </w:p>
    <w:p w14:paraId="2E8A0308" w14:textId="77777777" w:rsidR="004C062E" w:rsidRDefault="002C7340" w:rsidP="00A419DB">
      <w:pPr>
        <w:pStyle w:val="af9"/>
        <w:numPr>
          <w:ilvl w:val="0"/>
          <w:numId w:val="96"/>
        </w:numPr>
        <w:suppressAutoHyphens/>
        <w:spacing w:after="0" w:line="360" w:lineRule="auto"/>
        <w:ind w:left="567"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Фельдшер скорой медицинской помощи</w:t>
      </w:r>
    </w:p>
    <w:p w14:paraId="7FA31C2D" w14:textId="77777777" w:rsidR="004C062E" w:rsidRDefault="002C7340" w:rsidP="00A419DB">
      <w:pPr>
        <w:pStyle w:val="af9"/>
        <w:numPr>
          <w:ilvl w:val="0"/>
          <w:numId w:val="96"/>
        </w:numPr>
        <w:suppressAutoHyphens/>
        <w:spacing w:after="0" w:line="360" w:lineRule="auto"/>
        <w:ind w:left="567"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Врач скорой медицинской помощи</w:t>
      </w:r>
    </w:p>
    <w:p w14:paraId="2F7CD51F" w14:textId="77777777" w:rsidR="004C062E" w:rsidRDefault="002C7340" w:rsidP="00A419DB">
      <w:pPr>
        <w:pStyle w:val="af9"/>
        <w:numPr>
          <w:ilvl w:val="0"/>
          <w:numId w:val="96"/>
        </w:numPr>
        <w:suppressAutoHyphens/>
        <w:spacing w:after="0" w:line="360" w:lineRule="auto"/>
        <w:ind w:left="567"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Врач общей практики (семейный врач)</w:t>
      </w:r>
      <w:r>
        <w:rPr>
          <w:rFonts w:ascii="Times New Roman" w:hAnsi="Times New Roman" w:cs="Times New Roman"/>
          <w:color w:val="000000" w:themeColor="text1"/>
          <w:sz w:val="24"/>
          <w:szCs w:val="24"/>
        </w:rPr>
        <w:br/>
        <w:t>7.</w:t>
      </w:r>
      <w:r>
        <w:rPr>
          <w:rFonts w:ascii="Times New Roman" w:hAnsi="Times New Roman" w:cs="Times New Roman"/>
          <w:color w:val="000000" w:themeColor="text1"/>
          <w:sz w:val="24"/>
          <w:szCs w:val="24"/>
        </w:rPr>
        <w:tab/>
        <w:t>Врач-терапевт участковый</w:t>
      </w:r>
    </w:p>
    <w:p w14:paraId="6308D9F4" w14:textId="77777777" w:rsidR="004C062E" w:rsidRDefault="004C062E" w:rsidP="00A419DB">
      <w:pPr>
        <w:pStyle w:val="af9"/>
        <w:suppressAutoHyphens/>
        <w:spacing w:after="0" w:line="360" w:lineRule="auto"/>
        <w:ind w:left="567"/>
        <w:jc w:val="both"/>
        <w:rPr>
          <w:rFonts w:ascii="Times New Roman" w:hAnsi="Times New Roman" w:cs="Times New Roman"/>
          <w:color w:val="000000" w:themeColor="text1"/>
          <w:sz w:val="24"/>
          <w:szCs w:val="24"/>
        </w:rPr>
      </w:pPr>
    </w:p>
    <w:p w14:paraId="659E61B8" w14:textId="77777777" w:rsidR="004C062E" w:rsidRDefault="002C7340" w:rsidP="00A419DB">
      <w:pPr>
        <w:suppressAutoHyphens/>
        <w:spacing w:line="360" w:lineRule="auto"/>
        <w:ind w:firstLine="709"/>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Настоящие клинические рекомендации носят рекомендательный характер для организаторов здравоохранения и практикующих специалистов соответствующего клинического направления. Виды и объём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w:t>
      </w:r>
    </w:p>
    <w:p w14:paraId="0817C842" w14:textId="77777777" w:rsidR="004C062E" w:rsidRDefault="002C7340" w:rsidP="00A419DB">
      <w:pPr>
        <w:suppressAutoHyphens/>
        <w:spacing w:line="360" w:lineRule="auto"/>
        <w:ind w:firstLine="709"/>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Объём диагностических и лечебных мероприятий для конкретного пациента определяет лечащий врач, в соответствии с требованиями к объёму исследований при определенных заболеваниях, состояниях, с учетом возможностей лечебно-профилактических организаций по предоставлению определенных видов исследований и лечения.</w:t>
      </w:r>
    </w:p>
    <w:p w14:paraId="136A3B7C" w14:textId="77777777" w:rsidR="004C062E" w:rsidRDefault="002C7340" w:rsidP="00A419DB">
      <w:pPr>
        <w:suppressAutoHyphens/>
        <w:spacing w:line="360" w:lineRule="auto"/>
        <w:ind w:firstLine="709"/>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Актуализация данных клинических рекомендаций будет проводиться не реже, чем один раз в пять лет. Принятие решения об обновлении будет принято на основании предложений, представленных медицинскими профессиональными некоммерческими организациями с учетом результатов комплексной оценки лекарственных препаратов, медицинских изделий, а также результатов клинической апробации. Рекомендации к </w:t>
      </w:r>
      <w:r>
        <w:rPr>
          <w:rFonts w:ascii="Times New Roman" w:eastAsia="Calibri" w:hAnsi="Times New Roman" w:cs="Times New Roman"/>
          <w:color w:val="000000" w:themeColor="text1"/>
          <w:sz w:val="24"/>
          <w:szCs w:val="24"/>
        </w:rPr>
        <w:lastRenderedPageBreak/>
        <w:t xml:space="preserve">схемам применения и дозам лекарственных препаратов, прописаны в тексте данных клинических рекомендаций. </w:t>
      </w:r>
    </w:p>
    <w:p w14:paraId="6D78BDAA" w14:textId="77777777" w:rsidR="004C062E" w:rsidRDefault="002C7340" w:rsidP="00A419DB">
      <w:pPr>
        <w:suppressAutoHyphens/>
        <w:spacing w:line="360" w:lineRule="auto"/>
        <w:ind w:firstLine="709"/>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Данные клинические рекомендации разработаны с учетом следующих нормативно-правовых актов Приднестровской Молдавской Республики:</w:t>
      </w:r>
    </w:p>
    <w:p w14:paraId="4C1116BF" w14:textId="05AB1C25" w:rsidR="004C062E" w:rsidRDefault="002C7340" w:rsidP="00A419DB">
      <w:pPr>
        <w:suppressAutoHyphens/>
        <w:spacing w:line="360" w:lineRule="auto"/>
        <w:ind w:firstLine="709"/>
        <w:jc w:val="both"/>
        <w:rPr>
          <w:rFonts w:ascii="Times New Roman" w:eastAsia="Calibri" w:hAnsi="Times New Roman" w:cs="Times New Roman"/>
          <w:color w:val="000000" w:themeColor="text1"/>
          <w:sz w:val="24"/>
          <w:szCs w:val="24"/>
        </w:rPr>
      </w:pPr>
      <w:r w:rsidRPr="00632304">
        <w:rPr>
          <w:rFonts w:ascii="Times New Roman" w:eastAsia="Calibri" w:hAnsi="Times New Roman" w:cs="Times New Roman"/>
          <w:color w:val="000000" w:themeColor="text1"/>
          <w:sz w:val="24"/>
          <w:szCs w:val="24"/>
        </w:rPr>
        <w:t>1. Постановление Правительства Приднестровской Молдавской Республики от</w:t>
      </w:r>
      <w:r w:rsidR="008147B0" w:rsidRPr="00632304">
        <w:rPr>
          <w:rFonts w:ascii="Times New Roman" w:eastAsia="Calibri" w:hAnsi="Times New Roman" w:cs="Times New Roman"/>
          <w:color w:val="000000" w:themeColor="text1"/>
          <w:sz w:val="24"/>
          <w:szCs w:val="24"/>
        </w:rPr>
        <w:t xml:space="preserve"> 9 февраля 2026 года № 27 «Об утверждении Программы государственных гарантий оказания гражданам Приднестровской Молдавской Республики бесплатной медицинской помощи» (САЗ 26-5);</w:t>
      </w:r>
      <w:r w:rsidR="008147B0" w:rsidRPr="008147B0">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color w:val="000000" w:themeColor="text1"/>
          <w:sz w:val="24"/>
          <w:szCs w:val="24"/>
        </w:rPr>
        <w:t xml:space="preserve"> </w:t>
      </w:r>
    </w:p>
    <w:p w14:paraId="46A27E1E" w14:textId="77777777" w:rsidR="004C062E" w:rsidRDefault="002C7340" w:rsidP="00A419DB">
      <w:pPr>
        <w:suppressAutoHyphens/>
        <w:spacing w:line="360" w:lineRule="auto"/>
        <w:ind w:firstLine="709"/>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2. Закон Приднестровской Молдавской Республики от 16 января 1997 года № 29-3 «Об основах охраны здоровья граждан (СЗМР 97-1);</w:t>
      </w:r>
    </w:p>
    <w:p w14:paraId="62CD31D8" w14:textId="77777777" w:rsidR="004C062E" w:rsidRDefault="002C7340" w:rsidP="00A419DB">
      <w:pPr>
        <w:suppressAutoHyphens/>
        <w:spacing w:line="360" w:lineRule="auto"/>
        <w:ind w:firstLine="709"/>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3. Приказ Министерства здравоохранения Приднестровской Молдавской Республики от 12 августа 2020 года № 695 «Об утверждении Правил приема пациентов в государственных лечебно-профилактических учреждениях стационарного типа» (регистрационный № 9825 от 19 ноября 2020 года) (САЗ 20-47). </w:t>
      </w:r>
    </w:p>
    <w:p w14:paraId="74FE095A" w14:textId="0440793F" w:rsidR="004C062E" w:rsidRDefault="002C7340" w:rsidP="00A419DB">
      <w:pPr>
        <w:suppressAutoHyphens/>
        <w:spacing w:line="360" w:lineRule="auto"/>
        <w:ind w:firstLine="709"/>
        <w:jc w:val="both"/>
        <w:rPr>
          <w:rFonts w:ascii="Times New Roman" w:eastAsia="Calibri" w:hAnsi="Times New Roman" w:cs="Times New Roman"/>
          <w:color w:val="000000" w:themeColor="text1"/>
          <w:sz w:val="24"/>
          <w:szCs w:val="24"/>
        </w:rPr>
      </w:pPr>
      <w:r w:rsidRPr="00575A48">
        <w:rPr>
          <w:rFonts w:ascii="Times New Roman" w:eastAsia="Calibri" w:hAnsi="Times New Roman" w:cs="Times New Roman"/>
          <w:color w:val="000000" w:themeColor="text1"/>
          <w:sz w:val="24"/>
          <w:szCs w:val="24"/>
        </w:rPr>
        <w:t>4.</w:t>
      </w:r>
      <w:r w:rsidR="00EE1269" w:rsidRPr="00575A48">
        <w:rPr>
          <w:rFonts w:ascii="Times New Roman" w:eastAsia="Calibri" w:hAnsi="Times New Roman" w:cs="Times New Roman"/>
          <w:color w:val="000000" w:themeColor="text1"/>
          <w:sz w:val="24"/>
          <w:szCs w:val="24"/>
        </w:rPr>
        <w:t xml:space="preserve"> </w:t>
      </w:r>
      <w:r w:rsidRPr="00575A48">
        <w:rPr>
          <w:rFonts w:ascii="Times New Roman" w:eastAsia="Calibri" w:hAnsi="Times New Roman" w:cs="Times New Roman"/>
          <w:color w:val="000000" w:themeColor="text1"/>
          <w:sz w:val="24"/>
          <w:szCs w:val="24"/>
        </w:rPr>
        <w:t xml:space="preserve">Приказ Министерства здравоохранения Приднестровской Молдавской </w:t>
      </w:r>
      <w:r w:rsidR="00EE1269" w:rsidRPr="00575A48">
        <w:rPr>
          <w:rFonts w:ascii="Times New Roman" w:eastAsia="Calibri" w:hAnsi="Times New Roman" w:cs="Times New Roman"/>
          <w:color w:val="000000" w:themeColor="text1"/>
          <w:sz w:val="24"/>
          <w:szCs w:val="24"/>
        </w:rPr>
        <w:t>Р</w:t>
      </w:r>
      <w:r w:rsidRPr="00575A48">
        <w:rPr>
          <w:rFonts w:ascii="Times New Roman" w:eastAsia="Calibri" w:hAnsi="Times New Roman" w:cs="Times New Roman"/>
          <w:color w:val="000000" w:themeColor="text1"/>
          <w:sz w:val="24"/>
          <w:szCs w:val="24"/>
        </w:rPr>
        <w:t>еспублики от</w:t>
      </w:r>
      <w:r w:rsidR="0069659E" w:rsidRPr="00575A48">
        <w:rPr>
          <w:rFonts w:ascii="Times New Roman" w:eastAsia="Calibri" w:hAnsi="Times New Roman" w:cs="Times New Roman"/>
          <w:color w:val="000000" w:themeColor="text1"/>
          <w:sz w:val="24"/>
          <w:szCs w:val="24"/>
        </w:rPr>
        <w:t xml:space="preserve"> </w:t>
      </w:r>
      <w:r w:rsidRPr="00575A48">
        <w:rPr>
          <w:rFonts w:ascii="Times New Roman" w:eastAsia="Calibri" w:hAnsi="Times New Roman" w:cs="Times New Roman"/>
          <w:color w:val="000000" w:themeColor="text1"/>
          <w:sz w:val="24"/>
          <w:szCs w:val="24"/>
        </w:rPr>
        <w:t>18</w:t>
      </w:r>
      <w:r w:rsidR="0069659E" w:rsidRPr="00575A48">
        <w:rPr>
          <w:rFonts w:ascii="Times New Roman" w:eastAsia="Calibri" w:hAnsi="Times New Roman" w:cs="Times New Roman"/>
          <w:color w:val="000000" w:themeColor="text1"/>
          <w:sz w:val="24"/>
          <w:szCs w:val="24"/>
        </w:rPr>
        <w:t xml:space="preserve"> </w:t>
      </w:r>
      <w:r w:rsidRPr="00575A48">
        <w:rPr>
          <w:rFonts w:ascii="Times New Roman" w:eastAsia="Calibri" w:hAnsi="Times New Roman" w:cs="Times New Roman"/>
          <w:color w:val="000000" w:themeColor="text1"/>
          <w:sz w:val="24"/>
          <w:szCs w:val="24"/>
        </w:rPr>
        <w:t>ноября</w:t>
      </w:r>
      <w:r w:rsidR="0069659E" w:rsidRPr="00575A48">
        <w:rPr>
          <w:rFonts w:ascii="Times New Roman" w:eastAsia="Calibri" w:hAnsi="Times New Roman" w:cs="Times New Roman"/>
          <w:color w:val="000000" w:themeColor="text1"/>
          <w:sz w:val="24"/>
          <w:szCs w:val="24"/>
        </w:rPr>
        <w:t xml:space="preserve"> </w:t>
      </w:r>
      <w:r w:rsidRPr="00575A48">
        <w:rPr>
          <w:rFonts w:ascii="Times New Roman" w:eastAsia="Calibri" w:hAnsi="Times New Roman" w:cs="Times New Roman"/>
          <w:color w:val="000000" w:themeColor="text1"/>
          <w:sz w:val="24"/>
          <w:szCs w:val="24"/>
        </w:rPr>
        <w:t>2020</w:t>
      </w:r>
      <w:r w:rsidR="0069659E" w:rsidRPr="00575A48">
        <w:rPr>
          <w:rFonts w:ascii="Times New Roman" w:eastAsia="Calibri" w:hAnsi="Times New Roman" w:cs="Times New Roman"/>
          <w:color w:val="000000" w:themeColor="text1"/>
          <w:sz w:val="24"/>
          <w:szCs w:val="24"/>
        </w:rPr>
        <w:t xml:space="preserve"> года </w:t>
      </w:r>
      <w:r w:rsidRPr="00575A48">
        <w:rPr>
          <w:rFonts w:ascii="Times New Roman" w:eastAsia="Calibri" w:hAnsi="Times New Roman" w:cs="Times New Roman"/>
          <w:color w:val="000000" w:themeColor="text1"/>
          <w:sz w:val="24"/>
          <w:szCs w:val="24"/>
        </w:rPr>
        <w:t>№</w:t>
      </w:r>
      <w:r w:rsidR="0069659E" w:rsidRPr="00575A48">
        <w:rPr>
          <w:rFonts w:ascii="Times New Roman" w:eastAsia="Calibri" w:hAnsi="Times New Roman" w:cs="Times New Roman"/>
          <w:color w:val="000000" w:themeColor="text1"/>
          <w:sz w:val="24"/>
          <w:szCs w:val="24"/>
        </w:rPr>
        <w:t xml:space="preserve"> </w:t>
      </w:r>
      <w:r w:rsidRPr="00575A48">
        <w:rPr>
          <w:rFonts w:ascii="Times New Roman" w:eastAsia="Calibri" w:hAnsi="Times New Roman" w:cs="Times New Roman"/>
          <w:color w:val="000000" w:themeColor="text1"/>
          <w:sz w:val="24"/>
          <w:szCs w:val="24"/>
        </w:rPr>
        <w:t>999 «Об утверждении порядка оказания медицинской помощи населения при остром коронарном синдроме и Алгоритма сопровождения пациента с ОКС на этапах оказания медицинской помощи»</w:t>
      </w:r>
      <w:r w:rsidR="0069659E" w:rsidRPr="00575A48">
        <w:rPr>
          <w:rFonts w:ascii="Times New Roman" w:eastAsia="Calibri" w:hAnsi="Times New Roman" w:cs="Times New Roman"/>
          <w:color w:val="000000" w:themeColor="text1"/>
          <w:sz w:val="24"/>
          <w:szCs w:val="24"/>
        </w:rPr>
        <w:t xml:space="preserve"> (регистрационный № 10287 от 3 июня 2021 года) (САЗ 21-22)</w:t>
      </w:r>
      <w:r w:rsidRPr="00575A48">
        <w:rPr>
          <w:rFonts w:ascii="Times New Roman" w:eastAsia="Calibri" w:hAnsi="Times New Roman" w:cs="Times New Roman"/>
          <w:color w:val="000000" w:themeColor="text1"/>
          <w:sz w:val="24"/>
          <w:szCs w:val="24"/>
        </w:rPr>
        <w:t>.</w:t>
      </w:r>
    </w:p>
    <w:p w14:paraId="50B9B263" w14:textId="0CE9049A" w:rsidR="004C062E" w:rsidRDefault="002C7340" w:rsidP="00A419DB">
      <w:pPr>
        <w:tabs>
          <w:tab w:val="left" w:pos="851"/>
        </w:tabs>
        <w:suppressAutoHyphens/>
        <w:spacing w:line="360" w:lineRule="auto"/>
        <w:ind w:firstLine="709"/>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Формирование клинических рекомендаций проводилось на основе рекомендаций Российского кардиологического общества (РКО), Европейского общества кардиологов (ЕОК), с учетом национальной специфики, особенностей обследования, лечения, учитывающих доступность медицинской помощи. По этой причине в тексте настоящих клинических рекомендаций одновременно использованы две шкалы оценки достоверности доказательств тезисов рекомендаций: уровни достоверности доказательств ЕОК с </w:t>
      </w:r>
      <w:r w:rsidR="00F52FCA">
        <w:rPr>
          <w:rFonts w:ascii="Times New Roman" w:eastAsia="Calibri" w:hAnsi="Times New Roman" w:cs="Times New Roman"/>
          <w:color w:val="000000" w:themeColor="text1"/>
          <w:sz w:val="24"/>
          <w:szCs w:val="24"/>
        </w:rPr>
        <w:t>Уровень убедительности рекомендаций</w:t>
      </w:r>
      <w:r>
        <w:rPr>
          <w:rFonts w:ascii="Times New Roman" w:eastAsia="Calibri" w:hAnsi="Times New Roman" w:cs="Times New Roman"/>
          <w:color w:val="000000" w:themeColor="text1"/>
          <w:sz w:val="24"/>
          <w:szCs w:val="24"/>
        </w:rPr>
        <w:t xml:space="preserve"> и </w:t>
      </w:r>
      <w:r w:rsidR="00F52FCA">
        <w:rPr>
          <w:rFonts w:ascii="Times New Roman" w:eastAsia="Calibri" w:hAnsi="Times New Roman" w:cs="Times New Roman"/>
          <w:color w:val="000000" w:themeColor="text1"/>
          <w:sz w:val="24"/>
          <w:szCs w:val="24"/>
        </w:rPr>
        <w:t>Уровень достоверности докзательств</w:t>
      </w:r>
      <w:r>
        <w:rPr>
          <w:rFonts w:ascii="Times New Roman" w:eastAsia="Calibri" w:hAnsi="Times New Roman" w:cs="Times New Roman"/>
          <w:color w:val="000000" w:themeColor="text1"/>
          <w:sz w:val="24"/>
          <w:szCs w:val="24"/>
        </w:rPr>
        <w:t xml:space="preserve">. </w:t>
      </w:r>
    </w:p>
    <w:p w14:paraId="7EFD60FE" w14:textId="77777777" w:rsidR="004C062E" w:rsidRDefault="004C062E" w:rsidP="00A419DB">
      <w:pPr>
        <w:tabs>
          <w:tab w:val="left" w:pos="4020"/>
        </w:tabs>
        <w:suppressAutoHyphens/>
        <w:jc w:val="center"/>
        <w:rPr>
          <w:rFonts w:ascii="Times New Roman" w:hAnsi="Times New Roman" w:cs="Times New Roman"/>
          <w:color w:val="FF0000"/>
          <w:sz w:val="24"/>
          <w:szCs w:val="24"/>
        </w:rPr>
      </w:pPr>
    </w:p>
    <w:p w14:paraId="4C8FD7C6" w14:textId="77777777" w:rsidR="004C062E" w:rsidRDefault="004C062E" w:rsidP="00A419DB">
      <w:pPr>
        <w:pStyle w:val="10"/>
        <w:tabs>
          <w:tab w:val="left" w:pos="989"/>
          <w:tab w:val="left" w:pos="10206"/>
        </w:tabs>
        <w:suppressAutoHyphens/>
        <w:spacing w:before="0"/>
        <w:ind w:left="989"/>
        <w:rPr>
          <w:b w:val="0"/>
          <w:color w:val="FF0000"/>
          <w:lang w:val="en-US"/>
        </w:rPr>
      </w:pPr>
    </w:p>
    <w:p w14:paraId="0DAE206F" w14:textId="77777777" w:rsidR="00575A48" w:rsidRPr="00575A48" w:rsidRDefault="00575A48" w:rsidP="00575A48">
      <w:pPr>
        <w:rPr>
          <w:lang w:val="en-US"/>
        </w:rPr>
      </w:pPr>
    </w:p>
    <w:p w14:paraId="1EF844D5" w14:textId="77777777" w:rsidR="006F7C84" w:rsidRPr="006F7C84" w:rsidRDefault="006F7C84" w:rsidP="006F7C84"/>
    <w:p w14:paraId="4555A018" w14:textId="77777777" w:rsidR="004C062E" w:rsidRDefault="002C7340" w:rsidP="00A419DB">
      <w:pPr>
        <w:suppressAutoHyphens/>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lang w:bidi="ru-RU"/>
        </w:rPr>
        <w:lastRenderedPageBreak/>
        <w:t>Методология разработки клинических рекомендаций</w:t>
      </w:r>
    </w:p>
    <w:p w14:paraId="00EB9868" w14:textId="23DB5A9E" w:rsidR="004C062E" w:rsidRPr="00575A48" w:rsidRDefault="002C7340" w:rsidP="00A419DB">
      <w:pPr>
        <w:suppressAutoHyphens/>
        <w:spacing w:line="360" w:lineRule="auto"/>
        <w:jc w:val="right"/>
        <w:rPr>
          <w:rFonts w:ascii="Times New Roman" w:hAnsi="Times New Roman" w:cs="Times New Roman"/>
          <w:b/>
          <w:sz w:val="24"/>
          <w:szCs w:val="24"/>
          <w:lang w:bidi="ru-RU"/>
        </w:rPr>
      </w:pPr>
      <w:r w:rsidRPr="00575A48">
        <w:rPr>
          <w:rFonts w:ascii="Times New Roman" w:hAnsi="Times New Roman" w:cs="Times New Roman"/>
          <w:b/>
          <w:sz w:val="24"/>
          <w:szCs w:val="24"/>
          <w:lang w:bidi="ru-RU"/>
        </w:rPr>
        <w:t xml:space="preserve">Таблица </w:t>
      </w:r>
      <w:r w:rsidR="00575A48" w:rsidRPr="00575A48">
        <w:rPr>
          <w:rFonts w:ascii="Times New Roman" w:hAnsi="Times New Roman" w:cs="Times New Roman"/>
          <w:b/>
          <w:sz w:val="24"/>
          <w:szCs w:val="24"/>
          <w:lang w:bidi="ru-RU"/>
        </w:rPr>
        <w:t>1.</w:t>
      </w:r>
    </w:p>
    <w:p w14:paraId="69427F88" w14:textId="77777777" w:rsidR="004C062E" w:rsidRDefault="002C7340" w:rsidP="00A419DB">
      <w:pPr>
        <w:suppressAutoHyphens/>
        <w:spacing w:line="360" w:lineRule="auto"/>
        <w:jc w:val="center"/>
        <w:rPr>
          <w:rFonts w:ascii="Times New Roman" w:hAnsi="Times New Roman" w:cs="Times New Roman"/>
          <w:b/>
          <w:sz w:val="24"/>
          <w:szCs w:val="24"/>
        </w:rPr>
      </w:pPr>
      <w:r>
        <w:rPr>
          <w:rFonts w:ascii="Times New Roman" w:hAnsi="Times New Roman" w:cs="Times New Roman"/>
          <w:b/>
          <w:sz w:val="24"/>
          <w:szCs w:val="24"/>
        </w:rPr>
        <w:t>Шкала оценки классов рекомендаций Европейского общества кардиологов (ЕОК)</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5676"/>
        <w:gridCol w:w="2659"/>
      </w:tblGrid>
      <w:tr w:rsidR="004C062E" w14:paraId="1A83535E" w14:textId="77777777">
        <w:tc>
          <w:tcPr>
            <w:tcW w:w="1021" w:type="dxa"/>
          </w:tcPr>
          <w:p w14:paraId="372375A0" w14:textId="77777777" w:rsidR="004C062E" w:rsidRDefault="002C7340" w:rsidP="00A419DB">
            <w:pPr>
              <w:tabs>
                <w:tab w:val="left" w:pos="851"/>
              </w:tabs>
              <w:suppressAutoHyphens/>
              <w:jc w:val="center"/>
              <w:rPr>
                <w:rFonts w:ascii="Times New Roman" w:eastAsia="Calibri" w:hAnsi="Times New Roman" w:cs="Times New Roman"/>
                <w:b/>
                <w:sz w:val="24"/>
                <w:szCs w:val="24"/>
              </w:rPr>
            </w:pPr>
            <w:r>
              <w:rPr>
                <w:rFonts w:ascii="Times New Roman" w:eastAsia="Calibri" w:hAnsi="Times New Roman" w:cs="Times New Roman"/>
                <w:b/>
                <w:sz w:val="24"/>
                <w:szCs w:val="24"/>
              </w:rPr>
              <w:t>Класс рекомендаций ЕОК</w:t>
            </w:r>
          </w:p>
        </w:tc>
        <w:tc>
          <w:tcPr>
            <w:tcW w:w="5676" w:type="dxa"/>
          </w:tcPr>
          <w:p w14:paraId="66644BAC" w14:textId="77777777" w:rsidR="004C062E" w:rsidRDefault="002C7340" w:rsidP="00A419DB">
            <w:pPr>
              <w:tabs>
                <w:tab w:val="left" w:pos="851"/>
              </w:tabs>
              <w:suppressAutoHyphens/>
              <w:jc w:val="center"/>
              <w:rPr>
                <w:rFonts w:ascii="Times New Roman" w:eastAsia="Calibri" w:hAnsi="Times New Roman" w:cs="Times New Roman"/>
                <w:b/>
                <w:sz w:val="24"/>
                <w:szCs w:val="24"/>
              </w:rPr>
            </w:pPr>
            <w:r>
              <w:rPr>
                <w:rFonts w:ascii="Times New Roman" w:eastAsia="Calibri" w:hAnsi="Times New Roman" w:cs="Times New Roman"/>
                <w:b/>
                <w:sz w:val="24"/>
                <w:szCs w:val="24"/>
              </w:rPr>
              <w:t>Определение</w:t>
            </w:r>
          </w:p>
        </w:tc>
        <w:tc>
          <w:tcPr>
            <w:tcW w:w="2659" w:type="dxa"/>
          </w:tcPr>
          <w:p w14:paraId="30B7E971" w14:textId="77777777" w:rsidR="004C062E" w:rsidRDefault="002C7340" w:rsidP="00A419DB">
            <w:pPr>
              <w:tabs>
                <w:tab w:val="left" w:pos="851"/>
              </w:tabs>
              <w:suppressAutoHyphens/>
              <w:jc w:val="center"/>
              <w:rPr>
                <w:rFonts w:ascii="Times New Roman" w:eastAsia="Calibri" w:hAnsi="Times New Roman" w:cs="Times New Roman"/>
                <w:b/>
                <w:sz w:val="24"/>
                <w:szCs w:val="24"/>
              </w:rPr>
            </w:pPr>
            <w:r>
              <w:rPr>
                <w:rFonts w:ascii="Times New Roman" w:eastAsia="Calibri" w:hAnsi="Times New Roman" w:cs="Times New Roman"/>
                <w:b/>
                <w:sz w:val="24"/>
                <w:szCs w:val="24"/>
              </w:rPr>
              <w:t>Предлагаемая формулировка</w:t>
            </w:r>
          </w:p>
        </w:tc>
      </w:tr>
      <w:tr w:rsidR="004C062E" w14:paraId="0AEDF138" w14:textId="77777777">
        <w:tc>
          <w:tcPr>
            <w:tcW w:w="1021" w:type="dxa"/>
          </w:tcPr>
          <w:p w14:paraId="3B220348" w14:textId="77777777" w:rsidR="004C062E" w:rsidRDefault="002C7340" w:rsidP="00A419DB">
            <w:pPr>
              <w:tabs>
                <w:tab w:val="left" w:pos="851"/>
              </w:tabs>
              <w:suppressAutoHyphens/>
              <w:jc w:val="center"/>
              <w:rPr>
                <w:rFonts w:ascii="Times New Roman" w:eastAsia="Calibri" w:hAnsi="Times New Roman" w:cs="Times New Roman"/>
                <w:sz w:val="24"/>
                <w:szCs w:val="24"/>
              </w:rPr>
            </w:pPr>
            <w:r>
              <w:rPr>
                <w:rFonts w:ascii="Times New Roman" w:eastAsia="Calibri" w:hAnsi="Times New Roman" w:cs="Times New Roman"/>
                <w:sz w:val="24"/>
                <w:szCs w:val="24"/>
                <w:lang w:val="en-US"/>
              </w:rPr>
              <w:t>I</w:t>
            </w:r>
          </w:p>
        </w:tc>
        <w:tc>
          <w:tcPr>
            <w:tcW w:w="5676" w:type="dxa"/>
          </w:tcPr>
          <w:p w14:paraId="22E4BB99" w14:textId="77777777" w:rsidR="004C062E" w:rsidRDefault="002C7340" w:rsidP="00A419DB">
            <w:pPr>
              <w:tabs>
                <w:tab w:val="left" w:pos="851"/>
              </w:tabs>
              <w:suppressAutoHyphens/>
              <w:jc w:val="both"/>
              <w:rPr>
                <w:rFonts w:ascii="Times New Roman" w:eastAsia="Calibri" w:hAnsi="Times New Roman" w:cs="Times New Roman"/>
                <w:sz w:val="24"/>
                <w:szCs w:val="24"/>
              </w:rPr>
            </w:pPr>
            <w:r>
              <w:rPr>
                <w:rFonts w:ascii="Times New Roman" w:eastAsia="Calibri" w:hAnsi="Times New Roman" w:cs="Times New Roman"/>
                <w:sz w:val="24"/>
                <w:szCs w:val="24"/>
              </w:rPr>
              <w:t>Доказано или общепризнано, что диагностическая процедура, вмешательство/лечение являются эффективными и полезными</w:t>
            </w:r>
          </w:p>
        </w:tc>
        <w:tc>
          <w:tcPr>
            <w:tcW w:w="2659" w:type="dxa"/>
          </w:tcPr>
          <w:p w14:paraId="3BFD9946" w14:textId="77777777" w:rsidR="004C062E" w:rsidRDefault="002C7340" w:rsidP="00A419DB">
            <w:pPr>
              <w:tabs>
                <w:tab w:val="left" w:pos="851"/>
              </w:tabs>
              <w:suppressAutoHyphens/>
              <w:jc w:val="center"/>
              <w:rPr>
                <w:rFonts w:ascii="Times New Roman" w:eastAsia="Calibri" w:hAnsi="Times New Roman" w:cs="Times New Roman"/>
                <w:b/>
                <w:sz w:val="24"/>
                <w:szCs w:val="24"/>
              </w:rPr>
            </w:pPr>
            <w:r>
              <w:rPr>
                <w:rFonts w:ascii="Times New Roman" w:eastAsia="Calibri" w:hAnsi="Times New Roman" w:cs="Times New Roman"/>
                <w:sz w:val="24"/>
                <w:szCs w:val="24"/>
              </w:rPr>
              <w:t>Рекомендовано/показано</w:t>
            </w:r>
          </w:p>
        </w:tc>
      </w:tr>
      <w:tr w:rsidR="004C062E" w14:paraId="1F397C63" w14:textId="77777777">
        <w:trPr>
          <w:trHeight w:val="895"/>
        </w:trPr>
        <w:tc>
          <w:tcPr>
            <w:tcW w:w="1021" w:type="dxa"/>
          </w:tcPr>
          <w:p w14:paraId="654B9C33" w14:textId="77777777" w:rsidR="004C062E" w:rsidRDefault="002C7340" w:rsidP="00A419DB">
            <w:pPr>
              <w:tabs>
                <w:tab w:val="left" w:pos="851"/>
              </w:tabs>
              <w:suppressAutoHyphens/>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II</w:t>
            </w:r>
          </w:p>
        </w:tc>
        <w:tc>
          <w:tcPr>
            <w:tcW w:w="5676" w:type="dxa"/>
          </w:tcPr>
          <w:p w14:paraId="20B44CD6" w14:textId="77777777" w:rsidR="004C062E" w:rsidRDefault="002C7340" w:rsidP="00A419DB">
            <w:pPr>
              <w:tabs>
                <w:tab w:val="left" w:pos="851"/>
              </w:tabs>
              <w:suppressAutoHyphens/>
              <w:jc w:val="both"/>
              <w:rPr>
                <w:rFonts w:ascii="Times New Roman" w:eastAsia="Calibri" w:hAnsi="Times New Roman" w:cs="Times New Roman"/>
                <w:sz w:val="24"/>
                <w:szCs w:val="24"/>
              </w:rPr>
            </w:pPr>
            <w:r>
              <w:rPr>
                <w:rFonts w:ascii="Times New Roman" w:eastAsia="Calibri" w:hAnsi="Times New Roman" w:cs="Times New Roman"/>
                <w:sz w:val="24"/>
                <w:szCs w:val="24"/>
              </w:rPr>
              <w:t>Противоречивые данные и/или мнения об эффективности/пользе диагностической процедуры, вмешательства, лечения</w:t>
            </w:r>
          </w:p>
        </w:tc>
        <w:tc>
          <w:tcPr>
            <w:tcW w:w="2659" w:type="dxa"/>
          </w:tcPr>
          <w:p w14:paraId="3FF46E55" w14:textId="77777777" w:rsidR="004C062E" w:rsidRDefault="002C7340" w:rsidP="00A419DB">
            <w:pPr>
              <w:tabs>
                <w:tab w:val="left" w:pos="851"/>
              </w:tabs>
              <w:suppressAutoHyphens/>
              <w:jc w:val="center"/>
              <w:rPr>
                <w:rFonts w:ascii="Times New Roman" w:eastAsia="Calibri" w:hAnsi="Times New Roman" w:cs="Times New Roman"/>
                <w:sz w:val="24"/>
                <w:szCs w:val="24"/>
              </w:rPr>
            </w:pPr>
            <w:r>
              <w:rPr>
                <w:rFonts w:ascii="Times New Roman" w:eastAsia="Calibri" w:hAnsi="Times New Roman" w:cs="Times New Roman"/>
                <w:sz w:val="24"/>
                <w:szCs w:val="24"/>
              </w:rPr>
              <w:t>Целесообразно применять</w:t>
            </w:r>
          </w:p>
        </w:tc>
      </w:tr>
      <w:tr w:rsidR="004C062E" w14:paraId="53F9B258" w14:textId="77777777">
        <w:tc>
          <w:tcPr>
            <w:tcW w:w="1021" w:type="dxa"/>
          </w:tcPr>
          <w:p w14:paraId="7B659CB5" w14:textId="77777777" w:rsidR="004C062E" w:rsidRDefault="002C7340" w:rsidP="00A419DB">
            <w:pPr>
              <w:tabs>
                <w:tab w:val="left" w:pos="851"/>
              </w:tabs>
              <w:suppressAutoHyphens/>
              <w:jc w:val="center"/>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IIa</w:t>
            </w:r>
          </w:p>
        </w:tc>
        <w:tc>
          <w:tcPr>
            <w:tcW w:w="5676" w:type="dxa"/>
          </w:tcPr>
          <w:p w14:paraId="0439B52F" w14:textId="77777777" w:rsidR="004C062E" w:rsidRDefault="002C7340" w:rsidP="00A419DB">
            <w:pPr>
              <w:tabs>
                <w:tab w:val="left" w:pos="851"/>
              </w:tabs>
              <w:suppressAutoHyphens/>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Большинство данных/мнений в пользу эффективности/пользы диагностической процедуры, вмешательства, лечения</w:t>
            </w:r>
          </w:p>
        </w:tc>
        <w:tc>
          <w:tcPr>
            <w:tcW w:w="2659" w:type="dxa"/>
          </w:tcPr>
          <w:p w14:paraId="34E86F11" w14:textId="77777777" w:rsidR="004C062E" w:rsidRDefault="002C7340" w:rsidP="00A419DB">
            <w:pPr>
              <w:tabs>
                <w:tab w:val="left" w:pos="851"/>
              </w:tabs>
              <w:suppressAutoHyphens/>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Целесообразно применять</w:t>
            </w:r>
          </w:p>
        </w:tc>
      </w:tr>
      <w:tr w:rsidR="004C062E" w14:paraId="5D3A171F" w14:textId="77777777">
        <w:tc>
          <w:tcPr>
            <w:tcW w:w="1021" w:type="dxa"/>
          </w:tcPr>
          <w:p w14:paraId="2D3BCBA3" w14:textId="77777777" w:rsidR="004C062E" w:rsidRDefault="002C7340" w:rsidP="00A419DB">
            <w:pPr>
              <w:tabs>
                <w:tab w:val="left" w:pos="851"/>
              </w:tabs>
              <w:suppressAutoHyphens/>
              <w:jc w:val="center"/>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IIb</w:t>
            </w:r>
          </w:p>
        </w:tc>
        <w:tc>
          <w:tcPr>
            <w:tcW w:w="5676" w:type="dxa"/>
          </w:tcPr>
          <w:p w14:paraId="69FFF4BE" w14:textId="77777777" w:rsidR="004C062E" w:rsidRDefault="002C7340" w:rsidP="00A419DB">
            <w:pPr>
              <w:tabs>
                <w:tab w:val="left" w:pos="851"/>
              </w:tabs>
              <w:suppressAutoHyphens/>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Эффективность/польза диагностической процедуры, вмешательства, лечения установлены менее убедительно</w:t>
            </w:r>
          </w:p>
        </w:tc>
        <w:tc>
          <w:tcPr>
            <w:tcW w:w="2659" w:type="dxa"/>
          </w:tcPr>
          <w:p w14:paraId="1B5D16A2" w14:textId="77777777" w:rsidR="004C062E" w:rsidRDefault="002C7340" w:rsidP="00A419DB">
            <w:pPr>
              <w:tabs>
                <w:tab w:val="left" w:pos="851"/>
              </w:tabs>
              <w:suppressAutoHyphens/>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Можно применять</w:t>
            </w:r>
          </w:p>
        </w:tc>
      </w:tr>
      <w:tr w:rsidR="004C062E" w14:paraId="484B9BEF" w14:textId="77777777">
        <w:tc>
          <w:tcPr>
            <w:tcW w:w="1021" w:type="dxa"/>
          </w:tcPr>
          <w:p w14:paraId="1895EB0A" w14:textId="77777777" w:rsidR="004C062E" w:rsidRDefault="002C7340" w:rsidP="00A419DB">
            <w:pPr>
              <w:tabs>
                <w:tab w:val="left" w:pos="851"/>
              </w:tabs>
              <w:suppressAutoHyphens/>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lang w:val="en-US"/>
              </w:rPr>
              <w:t>III</w:t>
            </w:r>
          </w:p>
        </w:tc>
        <w:tc>
          <w:tcPr>
            <w:tcW w:w="5676" w:type="dxa"/>
          </w:tcPr>
          <w:p w14:paraId="4A668BE4" w14:textId="77777777" w:rsidR="004C062E" w:rsidRDefault="002C7340" w:rsidP="00A419DB">
            <w:pPr>
              <w:tabs>
                <w:tab w:val="left" w:pos="851"/>
              </w:tabs>
              <w:suppressAutoHyphens/>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Данные или единое мнение, что диагностическая процедура, вмешательство, лечение бесполезны/не эффективны, а в ряде случаев могут приносить вред</w:t>
            </w:r>
          </w:p>
        </w:tc>
        <w:tc>
          <w:tcPr>
            <w:tcW w:w="2659" w:type="dxa"/>
          </w:tcPr>
          <w:p w14:paraId="5B117894" w14:textId="77777777" w:rsidR="004C062E" w:rsidRDefault="002C7340" w:rsidP="00A419DB">
            <w:pPr>
              <w:tabs>
                <w:tab w:val="left" w:pos="851"/>
              </w:tabs>
              <w:suppressAutoHyphens/>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Не рекомендуется применять</w:t>
            </w:r>
          </w:p>
        </w:tc>
      </w:tr>
    </w:tbl>
    <w:p w14:paraId="17A9F552" w14:textId="41CC3A0A" w:rsidR="004C062E" w:rsidRDefault="002C7340" w:rsidP="00A419DB">
      <w:pPr>
        <w:suppressAutoHyphens/>
        <w:spacing w:line="360" w:lineRule="auto"/>
        <w:jc w:val="right"/>
        <w:rPr>
          <w:rFonts w:ascii="Times New Roman" w:hAnsi="Times New Roman" w:cs="Times New Roman"/>
          <w:b/>
          <w:color w:val="000000"/>
          <w:sz w:val="24"/>
          <w:szCs w:val="24"/>
          <w:lang w:bidi="ru-RU"/>
        </w:rPr>
      </w:pPr>
      <w:r>
        <w:rPr>
          <w:rFonts w:ascii="Times New Roman" w:hAnsi="Times New Roman" w:cs="Times New Roman"/>
          <w:b/>
          <w:color w:val="000000"/>
          <w:sz w:val="24"/>
          <w:szCs w:val="24"/>
          <w:lang w:bidi="ru-RU"/>
        </w:rPr>
        <w:t xml:space="preserve">Таблица </w:t>
      </w:r>
      <w:r w:rsidR="00575A48">
        <w:rPr>
          <w:rFonts w:ascii="Times New Roman" w:hAnsi="Times New Roman" w:cs="Times New Roman"/>
          <w:b/>
          <w:color w:val="000000"/>
          <w:sz w:val="24"/>
          <w:szCs w:val="24"/>
          <w:lang w:bidi="ru-RU"/>
        </w:rPr>
        <w:t>2.</w:t>
      </w:r>
      <w:r>
        <w:rPr>
          <w:rFonts w:ascii="Times New Roman" w:hAnsi="Times New Roman" w:cs="Times New Roman"/>
          <w:b/>
          <w:color w:val="000000"/>
          <w:sz w:val="24"/>
          <w:szCs w:val="24"/>
          <w:lang w:bidi="ru-RU"/>
        </w:rPr>
        <w:t xml:space="preserve"> </w:t>
      </w:r>
    </w:p>
    <w:p w14:paraId="6E3507EE" w14:textId="77777777" w:rsidR="004C062E" w:rsidRDefault="002C7340" w:rsidP="00A419DB">
      <w:pPr>
        <w:suppressAutoHyphens/>
        <w:spacing w:line="360" w:lineRule="auto"/>
        <w:jc w:val="center"/>
        <w:rPr>
          <w:rFonts w:ascii="Times New Roman" w:hAnsi="Times New Roman" w:cs="Times New Roman"/>
          <w:b/>
          <w:color w:val="000000"/>
          <w:sz w:val="24"/>
          <w:szCs w:val="24"/>
          <w:lang w:bidi="ru-RU"/>
        </w:rPr>
      </w:pPr>
      <w:r>
        <w:rPr>
          <w:rFonts w:ascii="Times New Roman" w:hAnsi="Times New Roman" w:cs="Times New Roman"/>
          <w:b/>
          <w:color w:val="000000"/>
          <w:sz w:val="24"/>
          <w:szCs w:val="24"/>
        </w:rPr>
        <w:t>Шкала оценки уровней достоверности доказательств Европейского общества кардиологов (ЕОК)</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8335"/>
      </w:tblGrid>
      <w:tr w:rsidR="004C062E" w14:paraId="4F5E9CF5" w14:textId="77777777">
        <w:tc>
          <w:tcPr>
            <w:tcW w:w="1021" w:type="dxa"/>
          </w:tcPr>
          <w:p w14:paraId="037E17B2" w14:textId="77777777" w:rsidR="004C062E" w:rsidRDefault="004C062E" w:rsidP="00A419DB">
            <w:pPr>
              <w:suppressAutoHyphens/>
              <w:jc w:val="both"/>
              <w:rPr>
                <w:rFonts w:ascii="Times New Roman" w:hAnsi="Times New Roman" w:cs="Times New Roman"/>
                <w:color w:val="000000"/>
                <w:sz w:val="24"/>
                <w:szCs w:val="24"/>
                <w:lang w:bidi="ru-RU"/>
              </w:rPr>
            </w:pPr>
          </w:p>
        </w:tc>
        <w:tc>
          <w:tcPr>
            <w:tcW w:w="8335" w:type="dxa"/>
          </w:tcPr>
          <w:p w14:paraId="175FC03D" w14:textId="77777777" w:rsidR="004C062E" w:rsidRDefault="002C7340" w:rsidP="00A419DB">
            <w:pPr>
              <w:suppressAutoHyphens/>
              <w:jc w:val="center"/>
              <w:rPr>
                <w:rFonts w:ascii="Times New Roman" w:hAnsi="Times New Roman" w:cs="Times New Roman"/>
                <w:b/>
                <w:color w:val="000000"/>
                <w:sz w:val="24"/>
                <w:szCs w:val="24"/>
                <w:lang w:bidi="ru-RU"/>
              </w:rPr>
            </w:pPr>
            <w:r>
              <w:rPr>
                <w:rFonts w:ascii="Times New Roman" w:hAnsi="Times New Roman" w:cs="Times New Roman"/>
                <w:b/>
                <w:color w:val="000000"/>
                <w:sz w:val="24"/>
                <w:szCs w:val="24"/>
                <w:lang w:bidi="ru-RU"/>
              </w:rPr>
              <w:t>Уровни достоверности доказательств ЕОК</w:t>
            </w:r>
          </w:p>
        </w:tc>
      </w:tr>
      <w:tr w:rsidR="004C062E" w14:paraId="600C6AF8" w14:textId="77777777">
        <w:trPr>
          <w:trHeight w:val="246"/>
        </w:trPr>
        <w:tc>
          <w:tcPr>
            <w:tcW w:w="1021" w:type="dxa"/>
          </w:tcPr>
          <w:p w14:paraId="7BB830B4" w14:textId="77777777" w:rsidR="004C062E" w:rsidRDefault="002C7340" w:rsidP="00A419DB">
            <w:pPr>
              <w:suppressAutoHyphens/>
              <w:jc w:val="center"/>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А</w:t>
            </w:r>
          </w:p>
        </w:tc>
        <w:tc>
          <w:tcPr>
            <w:tcW w:w="8335" w:type="dxa"/>
          </w:tcPr>
          <w:p w14:paraId="64315117" w14:textId="77777777" w:rsidR="004C062E" w:rsidRDefault="002C7340" w:rsidP="00A419DB">
            <w:pPr>
              <w:suppressAutoHyphens/>
              <w:rPr>
                <w:rFonts w:ascii="Times New Roman" w:hAnsi="Times New Roman" w:cs="Times New Roman"/>
                <w:color w:val="000000"/>
                <w:sz w:val="24"/>
                <w:szCs w:val="24"/>
              </w:rPr>
            </w:pPr>
            <w:r>
              <w:rPr>
                <w:rFonts w:ascii="Times New Roman" w:hAnsi="Times New Roman" w:cs="Times New Roman"/>
                <w:color w:val="000000"/>
                <w:sz w:val="24"/>
                <w:szCs w:val="24"/>
              </w:rPr>
              <w:t xml:space="preserve">Данные многочисленных рандомизированных клинических </w:t>
            </w:r>
          </w:p>
          <w:p w14:paraId="5300C82E" w14:textId="77777777" w:rsidR="004C062E" w:rsidRDefault="002C7340" w:rsidP="00A419DB">
            <w:pPr>
              <w:suppressAutoHyphens/>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rPr>
              <w:t>исследований или метаанализов</w:t>
            </w:r>
          </w:p>
        </w:tc>
      </w:tr>
      <w:tr w:rsidR="004C062E" w14:paraId="148DDD06" w14:textId="77777777">
        <w:tc>
          <w:tcPr>
            <w:tcW w:w="1021" w:type="dxa"/>
          </w:tcPr>
          <w:p w14:paraId="57709943" w14:textId="77777777" w:rsidR="004C062E" w:rsidRDefault="002C7340" w:rsidP="00A419DB">
            <w:pPr>
              <w:suppressAutoHyphens/>
              <w:jc w:val="center"/>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В</w:t>
            </w:r>
          </w:p>
        </w:tc>
        <w:tc>
          <w:tcPr>
            <w:tcW w:w="8335" w:type="dxa"/>
          </w:tcPr>
          <w:p w14:paraId="15B49222" w14:textId="77777777" w:rsidR="004C062E" w:rsidRDefault="002C7340" w:rsidP="00A419DB">
            <w:pPr>
              <w:suppressAutoHyphens/>
              <w:rPr>
                <w:rFonts w:ascii="Times New Roman" w:hAnsi="Times New Roman" w:cs="Times New Roman"/>
                <w:color w:val="000000"/>
                <w:sz w:val="24"/>
                <w:szCs w:val="24"/>
              </w:rPr>
            </w:pPr>
            <w:r>
              <w:rPr>
                <w:rFonts w:ascii="Times New Roman" w:hAnsi="Times New Roman" w:cs="Times New Roman"/>
                <w:color w:val="000000"/>
                <w:sz w:val="24"/>
                <w:szCs w:val="24"/>
              </w:rPr>
              <w:t xml:space="preserve">Данные получены по результатам одного рандомизированного </w:t>
            </w:r>
          </w:p>
          <w:p w14:paraId="4B56E051" w14:textId="77777777" w:rsidR="004C062E" w:rsidRDefault="002C7340" w:rsidP="00A419DB">
            <w:pPr>
              <w:suppressAutoHyphens/>
              <w:rPr>
                <w:rFonts w:ascii="Times New Roman" w:hAnsi="Times New Roman" w:cs="Times New Roman"/>
                <w:color w:val="000000"/>
                <w:sz w:val="24"/>
                <w:szCs w:val="24"/>
              </w:rPr>
            </w:pPr>
            <w:r>
              <w:rPr>
                <w:rFonts w:ascii="Times New Roman" w:hAnsi="Times New Roman" w:cs="Times New Roman"/>
                <w:color w:val="000000"/>
                <w:sz w:val="24"/>
                <w:szCs w:val="24"/>
              </w:rPr>
              <w:t>клинического исследования или крупных нерандомизированных</w:t>
            </w:r>
          </w:p>
          <w:p w14:paraId="5EE86595" w14:textId="77777777" w:rsidR="004C062E" w:rsidRDefault="002C7340" w:rsidP="00A419DB">
            <w:pPr>
              <w:suppressAutoHyphens/>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rPr>
              <w:t>исследований.</w:t>
            </w:r>
          </w:p>
        </w:tc>
      </w:tr>
      <w:tr w:rsidR="004C062E" w14:paraId="6B873F92" w14:textId="77777777">
        <w:tc>
          <w:tcPr>
            <w:tcW w:w="1021" w:type="dxa"/>
          </w:tcPr>
          <w:p w14:paraId="2164E521" w14:textId="77777777" w:rsidR="004C062E" w:rsidRDefault="002C7340" w:rsidP="00A419DB">
            <w:pPr>
              <w:suppressAutoHyphens/>
              <w:jc w:val="center"/>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lastRenderedPageBreak/>
              <w:t>С</w:t>
            </w:r>
          </w:p>
        </w:tc>
        <w:tc>
          <w:tcPr>
            <w:tcW w:w="8335" w:type="dxa"/>
          </w:tcPr>
          <w:p w14:paraId="36B6F470" w14:textId="77777777" w:rsidR="004C062E" w:rsidRDefault="002C7340" w:rsidP="00A419DB">
            <w:pPr>
              <w:suppressAutoHyphens/>
              <w:rPr>
                <w:rFonts w:ascii="Times New Roman" w:hAnsi="Times New Roman" w:cs="Times New Roman"/>
                <w:color w:val="000000"/>
                <w:sz w:val="24"/>
                <w:szCs w:val="24"/>
              </w:rPr>
            </w:pPr>
            <w:r>
              <w:rPr>
                <w:rFonts w:ascii="Times New Roman" w:hAnsi="Times New Roman" w:cs="Times New Roman"/>
                <w:color w:val="000000"/>
                <w:sz w:val="24"/>
                <w:szCs w:val="24"/>
              </w:rPr>
              <w:t xml:space="preserve">Согласованное мнение экспертов и/или результаты небольших </w:t>
            </w:r>
          </w:p>
          <w:p w14:paraId="23CC312D" w14:textId="77777777" w:rsidR="004C062E" w:rsidRDefault="002C7340" w:rsidP="00A419DB">
            <w:pPr>
              <w:suppressAutoHyphens/>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rPr>
              <w:t>исследований, ретроспективных исследований, регистров.</w:t>
            </w:r>
          </w:p>
        </w:tc>
      </w:tr>
    </w:tbl>
    <w:p w14:paraId="3E9EB508" w14:textId="77777777" w:rsidR="004C062E" w:rsidRDefault="004C062E" w:rsidP="00A419DB">
      <w:pPr>
        <w:suppressAutoHyphens/>
        <w:spacing w:line="360" w:lineRule="auto"/>
        <w:ind w:firstLine="580"/>
        <w:jc w:val="both"/>
        <w:rPr>
          <w:rFonts w:ascii="Times New Roman" w:hAnsi="Times New Roman" w:cs="Times New Roman"/>
          <w:b/>
          <w:color w:val="000000"/>
          <w:sz w:val="24"/>
          <w:szCs w:val="24"/>
          <w:lang w:bidi="ru-RU"/>
        </w:rPr>
      </w:pPr>
    </w:p>
    <w:p w14:paraId="6993CA72" w14:textId="5340FF3C" w:rsidR="004C062E" w:rsidRDefault="002C7340" w:rsidP="00A419DB">
      <w:pPr>
        <w:suppressAutoHyphens/>
        <w:spacing w:line="360" w:lineRule="auto"/>
        <w:ind w:firstLine="580"/>
        <w:jc w:val="right"/>
        <w:rPr>
          <w:rFonts w:ascii="Times New Roman" w:hAnsi="Times New Roman" w:cs="Times New Roman"/>
          <w:b/>
          <w:color w:val="000000"/>
          <w:sz w:val="24"/>
          <w:szCs w:val="24"/>
          <w:lang w:bidi="ru-RU"/>
        </w:rPr>
      </w:pPr>
      <w:r>
        <w:rPr>
          <w:rFonts w:ascii="Times New Roman" w:hAnsi="Times New Roman" w:cs="Times New Roman"/>
          <w:b/>
          <w:color w:val="000000"/>
          <w:sz w:val="24"/>
          <w:szCs w:val="24"/>
          <w:lang w:bidi="ru-RU"/>
        </w:rPr>
        <w:t>Таблиц</w:t>
      </w:r>
      <w:r w:rsidRPr="00575A48">
        <w:rPr>
          <w:rFonts w:ascii="Times New Roman" w:hAnsi="Times New Roman" w:cs="Times New Roman"/>
          <w:b/>
          <w:sz w:val="24"/>
          <w:szCs w:val="24"/>
          <w:lang w:bidi="ru-RU"/>
        </w:rPr>
        <w:t xml:space="preserve">а </w:t>
      </w:r>
      <w:r w:rsidR="00575A48" w:rsidRPr="00575A48">
        <w:rPr>
          <w:rFonts w:ascii="Times New Roman" w:hAnsi="Times New Roman" w:cs="Times New Roman"/>
          <w:b/>
          <w:sz w:val="24"/>
          <w:szCs w:val="24"/>
          <w:lang w:bidi="ru-RU"/>
        </w:rPr>
        <w:t>3.</w:t>
      </w:r>
      <w:r w:rsidRPr="00575A48">
        <w:rPr>
          <w:rFonts w:ascii="Times New Roman" w:hAnsi="Times New Roman" w:cs="Times New Roman"/>
          <w:b/>
          <w:sz w:val="24"/>
          <w:szCs w:val="24"/>
          <w:lang w:bidi="ru-RU"/>
        </w:rPr>
        <w:t xml:space="preserve"> </w:t>
      </w:r>
    </w:p>
    <w:p w14:paraId="65CA6FBF" w14:textId="6E660634" w:rsidR="004C062E" w:rsidRDefault="002C7340" w:rsidP="00A419DB">
      <w:pPr>
        <w:suppressAutoHyphens/>
        <w:spacing w:line="360" w:lineRule="auto"/>
        <w:jc w:val="center"/>
        <w:rPr>
          <w:rFonts w:ascii="Times New Roman" w:hAnsi="Times New Roman" w:cs="Times New Roman"/>
          <w:b/>
          <w:color w:val="000000"/>
          <w:sz w:val="24"/>
          <w:szCs w:val="24"/>
          <w:lang w:bidi="ru-RU"/>
        </w:rPr>
      </w:pPr>
      <w:r>
        <w:rPr>
          <w:rFonts w:ascii="Times New Roman" w:hAnsi="Times New Roman" w:cs="Times New Roman"/>
          <w:b/>
          <w:color w:val="000000"/>
          <w:sz w:val="24"/>
          <w:szCs w:val="24"/>
          <w:lang w:bidi="ru-RU"/>
        </w:rPr>
        <w:t>Шкала оценки уровней достоверности доказательств (</w:t>
      </w:r>
      <w:r w:rsidR="00F52FCA">
        <w:rPr>
          <w:rFonts w:ascii="Times New Roman" w:hAnsi="Times New Roman" w:cs="Times New Roman"/>
          <w:b/>
          <w:color w:val="000000"/>
          <w:sz w:val="24"/>
          <w:szCs w:val="24"/>
          <w:lang w:bidi="ru-RU"/>
        </w:rPr>
        <w:t>Уровень достоверности докзательств</w:t>
      </w:r>
      <w:r>
        <w:rPr>
          <w:rFonts w:ascii="Times New Roman" w:hAnsi="Times New Roman" w:cs="Times New Roman"/>
          <w:b/>
          <w:color w:val="000000"/>
          <w:sz w:val="24"/>
          <w:szCs w:val="24"/>
          <w:lang w:bidi="ru-RU"/>
        </w:rPr>
        <w:t xml:space="preserve">)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8335"/>
      </w:tblGrid>
      <w:tr w:rsidR="004C062E" w14:paraId="25821C66" w14:textId="77777777">
        <w:tc>
          <w:tcPr>
            <w:tcW w:w="1021" w:type="dxa"/>
          </w:tcPr>
          <w:p w14:paraId="222DE7A7" w14:textId="01E443EC" w:rsidR="004C062E" w:rsidRDefault="00F52FCA" w:rsidP="00A419DB">
            <w:pPr>
              <w:suppressAutoHyphens/>
              <w:jc w:val="center"/>
              <w:rPr>
                <w:rFonts w:ascii="Times New Roman" w:hAnsi="Times New Roman" w:cs="Times New Roman"/>
                <w:b/>
                <w:color w:val="000000"/>
                <w:sz w:val="24"/>
                <w:szCs w:val="24"/>
                <w:lang w:bidi="ru-RU"/>
              </w:rPr>
            </w:pPr>
            <w:r>
              <w:rPr>
                <w:rFonts w:ascii="Times New Roman" w:hAnsi="Times New Roman" w:cs="Times New Roman"/>
                <w:b/>
                <w:color w:val="000000"/>
                <w:sz w:val="24"/>
                <w:szCs w:val="24"/>
                <w:lang w:bidi="ru-RU"/>
              </w:rPr>
              <w:t>Уровень достоверности докзательств</w:t>
            </w:r>
          </w:p>
        </w:tc>
        <w:tc>
          <w:tcPr>
            <w:tcW w:w="8335" w:type="dxa"/>
          </w:tcPr>
          <w:p w14:paraId="561CAF68" w14:textId="77777777" w:rsidR="004C062E" w:rsidRDefault="002C7340" w:rsidP="00A419DB">
            <w:pPr>
              <w:suppressAutoHyphens/>
              <w:jc w:val="center"/>
              <w:rPr>
                <w:rFonts w:ascii="Times New Roman" w:hAnsi="Times New Roman" w:cs="Times New Roman"/>
                <w:b/>
                <w:color w:val="000000"/>
                <w:sz w:val="24"/>
                <w:szCs w:val="24"/>
                <w:lang w:bidi="ru-RU"/>
              </w:rPr>
            </w:pPr>
            <w:r>
              <w:rPr>
                <w:rFonts w:ascii="Times New Roman" w:hAnsi="Times New Roman" w:cs="Times New Roman"/>
                <w:b/>
                <w:color w:val="000000"/>
                <w:sz w:val="24"/>
                <w:szCs w:val="24"/>
                <w:lang w:bidi="ru-RU"/>
              </w:rPr>
              <w:t>Расшифровка</w:t>
            </w:r>
          </w:p>
        </w:tc>
      </w:tr>
      <w:tr w:rsidR="004C062E" w14:paraId="2F5C4675" w14:textId="77777777">
        <w:tc>
          <w:tcPr>
            <w:tcW w:w="1021" w:type="dxa"/>
          </w:tcPr>
          <w:p w14:paraId="0B8832F3" w14:textId="77777777" w:rsidR="004C062E" w:rsidRDefault="002C7340" w:rsidP="00A419DB">
            <w:pPr>
              <w:suppressAutoHyphens/>
              <w:jc w:val="center"/>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1</w:t>
            </w:r>
          </w:p>
        </w:tc>
        <w:tc>
          <w:tcPr>
            <w:tcW w:w="8335" w:type="dxa"/>
          </w:tcPr>
          <w:p w14:paraId="0317491B" w14:textId="77777777" w:rsidR="004C062E" w:rsidRDefault="002C7340" w:rsidP="00A419DB">
            <w:pPr>
              <w:suppressAutoHyphens/>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 xml:space="preserve">Систематический обзор </w:t>
            </w:r>
            <w:r>
              <w:rPr>
                <w:rFonts w:ascii="Times New Roman" w:hAnsi="Times New Roman" w:cs="Times New Roman"/>
                <w:color w:val="000000"/>
                <w:sz w:val="24"/>
                <w:szCs w:val="24"/>
              </w:rPr>
              <w:t xml:space="preserve">рандомизированных клинических исследований </w:t>
            </w:r>
            <w:r>
              <w:rPr>
                <w:rFonts w:ascii="Times New Roman" w:hAnsi="Times New Roman" w:cs="Times New Roman"/>
                <w:color w:val="000000"/>
                <w:sz w:val="24"/>
                <w:szCs w:val="24"/>
                <w:lang w:bidi="ru-RU"/>
              </w:rPr>
              <w:t>с применением метаанализа</w:t>
            </w:r>
          </w:p>
        </w:tc>
      </w:tr>
      <w:tr w:rsidR="004C062E" w14:paraId="6F962734" w14:textId="77777777">
        <w:tc>
          <w:tcPr>
            <w:tcW w:w="1021" w:type="dxa"/>
          </w:tcPr>
          <w:p w14:paraId="0207D273" w14:textId="77777777" w:rsidR="004C062E" w:rsidRDefault="002C7340" w:rsidP="00A419DB">
            <w:pPr>
              <w:suppressAutoHyphens/>
              <w:jc w:val="center"/>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2</w:t>
            </w:r>
          </w:p>
        </w:tc>
        <w:tc>
          <w:tcPr>
            <w:tcW w:w="8335" w:type="dxa"/>
          </w:tcPr>
          <w:p w14:paraId="01212507" w14:textId="77777777" w:rsidR="004C062E" w:rsidRDefault="002C7340" w:rsidP="00A419DB">
            <w:pPr>
              <w:suppressAutoHyphens/>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 xml:space="preserve">Отдельные </w:t>
            </w:r>
            <w:r>
              <w:rPr>
                <w:rFonts w:ascii="Times New Roman" w:hAnsi="Times New Roman" w:cs="Times New Roman"/>
                <w:color w:val="000000"/>
                <w:sz w:val="24"/>
                <w:szCs w:val="24"/>
              </w:rPr>
              <w:t xml:space="preserve">рандомизированные клинические исследования </w:t>
            </w:r>
            <w:r>
              <w:rPr>
                <w:rFonts w:ascii="Times New Roman" w:hAnsi="Times New Roman" w:cs="Times New Roman"/>
                <w:color w:val="000000"/>
                <w:sz w:val="24"/>
                <w:szCs w:val="24"/>
                <w:lang w:bidi="ru-RU"/>
              </w:rPr>
              <w:t xml:space="preserve">и систематические обзоры исследований любого дизайна, за исключением </w:t>
            </w:r>
            <w:r>
              <w:rPr>
                <w:rFonts w:ascii="Times New Roman" w:hAnsi="Times New Roman" w:cs="Times New Roman"/>
                <w:color w:val="000000"/>
                <w:sz w:val="24"/>
                <w:szCs w:val="24"/>
              </w:rPr>
              <w:t>рандомизированных клинических исследований</w:t>
            </w:r>
            <w:r>
              <w:rPr>
                <w:rFonts w:ascii="Times New Roman" w:hAnsi="Times New Roman" w:cs="Times New Roman"/>
                <w:color w:val="000000"/>
                <w:sz w:val="24"/>
                <w:szCs w:val="24"/>
                <w:lang w:bidi="ru-RU"/>
              </w:rPr>
              <w:t>, с применением метаанализа</w:t>
            </w:r>
          </w:p>
        </w:tc>
      </w:tr>
      <w:tr w:rsidR="004C062E" w14:paraId="03512DB6" w14:textId="77777777">
        <w:tc>
          <w:tcPr>
            <w:tcW w:w="1021" w:type="dxa"/>
          </w:tcPr>
          <w:p w14:paraId="6E6AE66D" w14:textId="77777777" w:rsidR="004C062E" w:rsidRDefault="002C7340" w:rsidP="00A419DB">
            <w:pPr>
              <w:suppressAutoHyphens/>
              <w:jc w:val="center"/>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3</w:t>
            </w:r>
          </w:p>
        </w:tc>
        <w:tc>
          <w:tcPr>
            <w:tcW w:w="8335" w:type="dxa"/>
          </w:tcPr>
          <w:p w14:paraId="1616CA07" w14:textId="77777777" w:rsidR="004C062E" w:rsidRDefault="002C7340" w:rsidP="00A419DB">
            <w:pPr>
              <w:suppressAutoHyphens/>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Нерандомизированные сравнительные исследования, в том числе когортные</w:t>
            </w:r>
          </w:p>
        </w:tc>
      </w:tr>
      <w:tr w:rsidR="004C062E" w14:paraId="11F6C456" w14:textId="77777777">
        <w:tc>
          <w:tcPr>
            <w:tcW w:w="1021" w:type="dxa"/>
          </w:tcPr>
          <w:p w14:paraId="5C535750" w14:textId="77777777" w:rsidR="004C062E" w:rsidRDefault="002C7340" w:rsidP="00A419DB">
            <w:pPr>
              <w:suppressAutoHyphens/>
              <w:jc w:val="center"/>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4</w:t>
            </w:r>
          </w:p>
        </w:tc>
        <w:tc>
          <w:tcPr>
            <w:tcW w:w="8335" w:type="dxa"/>
          </w:tcPr>
          <w:p w14:paraId="04497AC0" w14:textId="77777777" w:rsidR="004C062E" w:rsidRDefault="002C7340" w:rsidP="00A419DB">
            <w:pPr>
              <w:suppressAutoHyphens/>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Несравнительные исследования, описание клинического случая или серии случаев, исследования «случай-контроль»</w:t>
            </w:r>
          </w:p>
        </w:tc>
      </w:tr>
      <w:tr w:rsidR="004C062E" w14:paraId="0825B115" w14:textId="77777777">
        <w:tc>
          <w:tcPr>
            <w:tcW w:w="1021" w:type="dxa"/>
          </w:tcPr>
          <w:p w14:paraId="42D6CDA4" w14:textId="77777777" w:rsidR="004C062E" w:rsidRDefault="002C7340" w:rsidP="00A419DB">
            <w:pPr>
              <w:suppressAutoHyphens/>
              <w:jc w:val="center"/>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5</w:t>
            </w:r>
          </w:p>
        </w:tc>
        <w:tc>
          <w:tcPr>
            <w:tcW w:w="8335" w:type="dxa"/>
          </w:tcPr>
          <w:p w14:paraId="459BE179" w14:textId="77777777" w:rsidR="004C062E" w:rsidRDefault="002C7340" w:rsidP="00A419DB">
            <w:pPr>
              <w:suppressAutoHyphens/>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Имеется лишь обоснование механизма действия вмешательства (доклинические исследования) или мнение экспертов</w:t>
            </w:r>
          </w:p>
        </w:tc>
      </w:tr>
    </w:tbl>
    <w:p w14:paraId="17EE625E" w14:textId="77777777" w:rsidR="003B2070" w:rsidRDefault="003B2070" w:rsidP="00A419DB">
      <w:pPr>
        <w:suppressAutoHyphens/>
        <w:spacing w:line="360" w:lineRule="auto"/>
        <w:ind w:firstLine="578"/>
        <w:jc w:val="right"/>
        <w:rPr>
          <w:rFonts w:ascii="Times New Roman" w:hAnsi="Times New Roman" w:cs="Times New Roman"/>
          <w:b/>
          <w:color w:val="000000"/>
          <w:sz w:val="24"/>
          <w:szCs w:val="24"/>
          <w:lang w:bidi="ru-RU"/>
        </w:rPr>
      </w:pPr>
    </w:p>
    <w:p w14:paraId="2907291A" w14:textId="1F1681C3" w:rsidR="004C062E" w:rsidRDefault="002C7340" w:rsidP="00A419DB">
      <w:pPr>
        <w:suppressAutoHyphens/>
        <w:spacing w:line="360" w:lineRule="auto"/>
        <w:ind w:firstLine="578"/>
        <w:jc w:val="right"/>
        <w:rPr>
          <w:rFonts w:ascii="Times New Roman" w:hAnsi="Times New Roman" w:cs="Times New Roman"/>
          <w:b/>
          <w:color w:val="000000"/>
          <w:sz w:val="24"/>
          <w:szCs w:val="24"/>
          <w:lang w:bidi="ru-RU"/>
        </w:rPr>
      </w:pPr>
      <w:r>
        <w:rPr>
          <w:rFonts w:ascii="Times New Roman" w:hAnsi="Times New Roman" w:cs="Times New Roman"/>
          <w:b/>
          <w:color w:val="000000"/>
          <w:sz w:val="24"/>
          <w:szCs w:val="24"/>
          <w:lang w:bidi="ru-RU"/>
        </w:rPr>
        <w:t xml:space="preserve">Таблица </w:t>
      </w:r>
      <w:r w:rsidR="00575A48" w:rsidRPr="00575A48">
        <w:rPr>
          <w:rFonts w:ascii="Times New Roman" w:hAnsi="Times New Roman" w:cs="Times New Roman"/>
          <w:b/>
          <w:sz w:val="24"/>
          <w:szCs w:val="24"/>
          <w:lang w:bidi="ru-RU"/>
        </w:rPr>
        <w:t>4.</w:t>
      </w:r>
      <w:r w:rsidRPr="00575A48">
        <w:rPr>
          <w:rFonts w:ascii="Times New Roman" w:hAnsi="Times New Roman" w:cs="Times New Roman"/>
          <w:b/>
          <w:sz w:val="24"/>
          <w:szCs w:val="24"/>
          <w:lang w:bidi="ru-RU"/>
        </w:rPr>
        <w:t xml:space="preserve"> </w:t>
      </w:r>
    </w:p>
    <w:p w14:paraId="12C0A64F" w14:textId="52F0485D" w:rsidR="004C062E" w:rsidRDefault="002C7340" w:rsidP="00A419DB">
      <w:pPr>
        <w:suppressAutoHyphens/>
        <w:spacing w:line="360" w:lineRule="auto"/>
        <w:ind w:firstLine="578"/>
        <w:jc w:val="center"/>
        <w:rPr>
          <w:rFonts w:ascii="Times New Roman" w:hAnsi="Times New Roman" w:cs="Times New Roman"/>
          <w:b/>
          <w:color w:val="000000"/>
          <w:sz w:val="24"/>
          <w:szCs w:val="24"/>
          <w:lang w:bidi="ru-RU"/>
        </w:rPr>
      </w:pPr>
      <w:r>
        <w:rPr>
          <w:rFonts w:ascii="Times New Roman" w:hAnsi="Times New Roman" w:cs="Times New Roman"/>
          <w:b/>
          <w:color w:val="000000"/>
          <w:sz w:val="24"/>
          <w:szCs w:val="24"/>
          <w:lang w:bidi="ru-RU"/>
        </w:rPr>
        <w:t>Шкала оценки уровней убедительности рекомендаций (</w:t>
      </w:r>
      <w:r w:rsidR="00F52FCA">
        <w:rPr>
          <w:rFonts w:ascii="Times New Roman" w:hAnsi="Times New Roman" w:cs="Times New Roman"/>
          <w:b/>
          <w:color w:val="000000"/>
          <w:sz w:val="24"/>
          <w:szCs w:val="24"/>
          <w:lang w:bidi="ru-RU"/>
        </w:rPr>
        <w:t>Уровень убедительности рекомендаций</w:t>
      </w:r>
      <w:r>
        <w:rPr>
          <w:rFonts w:ascii="Times New Roman" w:hAnsi="Times New Roman" w:cs="Times New Roman"/>
          <w:b/>
          <w:color w:val="000000"/>
          <w:sz w:val="24"/>
          <w:szCs w:val="24"/>
          <w:lang w:bidi="ru-RU"/>
        </w:rPr>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8335"/>
      </w:tblGrid>
      <w:tr w:rsidR="004C062E" w14:paraId="6180EE80" w14:textId="77777777">
        <w:tc>
          <w:tcPr>
            <w:tcW w:w="1021" w:type="dxa"/>
          </w:tcPr>
          <w:p w14:paraId="03B8F2B4" w14:textId="77777777" w:rsidR="004C062E" w:rsidRDefault="002C7340" w:rsidP="00A419DB">
            <w:pPr>
              <w:suppressAutoHyphens/>
              <w:jc w:val="center"/>
              <w:rPr>
                <w:rFonts w:ascii="Times New Roman" w:hAnsi="Times New Roman" w:cs="Times New Roman"/>
                <w:b/>
                <w:color w:val="000000"/>
                <w:sz w:val="24"/>
                <w:szCs w:val="24"/>
                <w:lang w:bidi="ru-RU"/>
              </w:rPr>
            </w:pPr>
            <w:r>
              <w:rPr>
                <w:rFonts w:ascii="Times New Roman" w:hAnsi="Times New Roman" w:cs="Times New Roman"/>
                <w:b/>
                <w:color w:val="000000"/>
                <w:sz w:val="24"/>
                <w:szCs w:val="24"/>
                <w:lang w:bidi="ru-RU"/>
              </w:rPr>
              <w:t>УРР</w:t>
            </w:r>
          </w:p>
        </w:tc>
        <w:tc>
          <w:tcPr>
            <w:tcW w:w="8335" w:type="dxa"/>
          </w:tcPr>
          <w:p w14:paraId="69439A3C" w14:textId="77777777" w:rsidR="004C062E" w:rsidRDefault="002C7340" w:rsidP="00A419DB">
            <w:pPr>
              <w:suppressAutoHyphens/>
              <w:jc w:val="center"/>
              <w:rPr>
                <w:rFonts w:ascii="Times New Roman" w:hAnsi="Times New Roman" w:cs="Times New Roman"/>
                <w:b/>
                <w:color w:val="000000"/>
                <w:sz w:val="24"/>
                <w:szCs w:val="24"/>
                <w:lang w:bidi="ru-RU"/>
              </w:rPr>
            </w:pPr>
            <w:r>
              <w:rPr>
                <w:rFonts w:ascii="Times New Roman" w:hAnsi="Times New Roman" w:cs="Times New Roman"/>
                <w:b/>
                <w:color w:val="000000"/>
                <w:sz w:val="24"/>
                <w:szCs w:val="24"/>
                <w:lang w:bidi="ru-RU"/>
              </w:rPr>
              <w:t>Расшифровка</w:t>
            </w:r>
          </w:p>
        </w:tc>
      </w:tr>
      <w:tr w:rsidR="004C062E" w14:paraId="073BA78C" w14:textId="77777777">
        <w:tc>
          <w:tcPr>
            <w:tcW w:w="1021" w:type="dxa"/>
          </w:tcPr>
          <w:p w14:paraId="2A4A8443" w14:textId="77777777" w:rsidR="004C062E" w:rsidRDefault="002C7340" w:rsidP="00A419DB">
            <w:pPr>
              <w:suppressAutoHyphens/>
              <w:jc w:val="center"/>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А</w:t>
            </w:r>
          </w:p>
        </w:tc>
        <w:tc>
          <w:tcPr>
            <w:tcW w:w="8335" w:type="dxa"/>
          </w:tcPr>
          <w:p w14:paraId="07C0B710" w14:textId="77777777" w:rsidR="004C062E" w:rsidRDefault="002C7340" w:rsidP="00A419DB">
            <w:pPr>
              <w:suppressAutoHyphens/>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4C062E" w14:paraId="06CB7529" w14:textId="77777777">
        <w:tc>
          <w:tcPr>
            <w:tcW w:w="1021" w:type="dxa"/>
          </w:tcPr>
          <w:p w14:paraId="16976B52" w14:textId="77777777" w:rsidR="004C062E" w:rsidRDefault="002C7340" w:rsidP="00A419DB">
            <w:pPr>
              <w:suppressAutoHyphens/>
              <w:jc w:val="center"/>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lastRenderedPageBreak/>
              <w:t>В</w:t>
            </w:r>
          </w:p>
        </w:tc>
        <w:tc>
          <w:tcPr>
            <w:tcW w:w="8335" w:type="dxa"/>
          </w:tcPr>
          <w:p w14:paraId="49FCEAE0" w14:textId="77777777" w:rsidR="004C062E" w:rsidRDefault="002C7340" w:rsidP="00A419DB">
            <w:pPr>
              <w:suppressAutoHyphens/>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4C062E" w14:paraId="5B678B2B" w14:textId="77777777">
        <w:tc>
          <w:tcPr>
            <w:tcW w:w="1021" w:type="dxa"/>
          </w:tcPr>
          <w:p w14:paraId="465A5AF2" w14:textId="77777777" w:rsidR="004C062E" w:rsidRDefault="002C7340" w:rsidP="00A419DB">
            <w:pPr>
              <w:suppressAutoHyphens/>
              <w:jc w:val="center"/>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С</w:t>
            </w:r>
          </w:p>
        </w:tc>
        <w:tc>
          <w:tcPr>
            <w:tcW w:w="8335" w:type="dxa"/>
          </w:tcPr>
          <w:p w14:paraId="135FC079" w14:textId="77777777" w:rsidR="004C062E" w:rsidRDefault="002C7340" w:rsidP="00A419DB">
            <w:pPr>
              <w:suppressAutoHyphens/>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14:paraId="117D99FA" w14:textId="77777777" w:rsidR="004C062E" w:rsidRDefault="004C062E" w:rsidP="00A419DB">
      <w:pPr>
        <w:suppressAutoHyphens/>
        <w:spacing w:before="75" w:after="225" w:line="240" w:lineRule="auto"/>
        <w:jc w:val="center"/>
        <w:rPr>
          <w:rFonts w:ascii="Times New Roman" w:eastAsia="Times New Roman" w:hAnsi="Times New Roman" w:cs="Times New Roman"/>
          <w:b/>
          <w:bCs/>
          <w:color w:val="000000" w:themeColor="text1"/>
          <w:sz w:val="24"/>
          <w:szCs w:val="24"/>
        </w:rPr>
      </w:pPr>
    </w:p>
    <w:p w14:paraId="1A88B3E9" w14:textId="77777777" w:rsidR="004C062E" w:rsidRDefault="002C7340" w:rsidP="00A419DB">
      <w:pPr>
        <w:suppressAutoHyphens/>
        <w:spacing w:before="75" w:after="225"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rPr>
        <w:t>Тромболитики и режимы их дозирования при ИМпST</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827"/>
        <w:gridCol w:w="7423"/>
      </w:tblGrid>
      <w:tr w:rsidR="004C062E" w14:paraId="69281038"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96AABF1" w14:textId="77777777" w:rsidR="004C062E" w:rsidRDefault="002C7340" w:rsidP="00A419DB">
            <w:pPr>
              <w:suppressAutoHyphens/>
              <w:spacing w:before="75" w:after="225"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Алтеплаза</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C52FC2A" w14:textId="77777777" w:rsidR="004C062E" w:rsidRDefault="002C7340" w:rsidP="00A419DB">
            <w:pPr>
              <w:suppressAutoHyphens/>
              <w:spacing w:before="75" w:after="225"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90-минутный (ускоренный) режим дозирования для пациентов с ИМпST, у которых лечение может быть начато в течение 6 ч после возникновения симптомов:</w:t>
            </w:r>
          </w:p>
          <w:p w14:paraId="76A0B943" w14:textId="77777777" w:rsidR="004C062E" w:rsidRDefault="002C7340" w:rsidP="00A419DB">
            <w:pPr>
              <w:suppressAutoHyphens/>
              <w:spacing w:before="75" w:after="225"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 мг в/в струйно, 50 мг — в/в инфузия в течение первых 30 мин, с последующей инфузией 35 мг в течение 60 мин до достижения максимальной дозы 100 мг.</w:t>
            </w:r>
          </w:p>
          <w:p w14:paraId="0EF02FA9" w14:textId="77777777" w:rsidR="004C062E" w:rsidRDefault="002C7340" w:rsidP="00A419DB">
            <w:pPr>
              <w:suppressAutoHyphens/>
              <w:spacing w:before="75" w:after="225"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 пациентов с массой тела &lt;65 кг суммарную дозу корректируют с учетом массы тела: 15 мг в/в струйно, 0,75 мг/кг (максимум — 50 мг) в течение 30 мин в/в капельно, с последующей инфузией 0,5 мг/кг (максимум 35 мг) в течение 60 мин.</w:t>
            </w:r>
          </w:p>
          <w:p w14:paraId="2F6124A9" w14:textId="77777777" w:rsidR="004C062E" w:rsidRDefault="002C7340" w:rsidP="00A419DB">
            <w:pPr>
              <w:suppressAutoHyphens/>
              <w:spacing w:before="75" w:after="225"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 3-часовой режим дозирования для пациентов, у которых лечение может быть начато в промежутке между 6 и 12 ч после развития симптомов: 10 мг в/в струйно; 50 мг — в/в инфузия в течение 1-го часа, с последующей в/в инфузией со скоростью 10 мг в течение 30 мин, до достижения в течение 3 ч максимальной дозы 100 мг.</w:t>
            </w:r>
          </w:p>
          <w:p w14:paraId="3CC83F10" w14:textId="77777777" w:rsidR="004C062E" w:rsidRDefault="002C7340" w:rsidP="00A419DB">
            <w:pPr>
              <w:suppressAutoHyphens/>
              <w:spacing w:before="75" w:after="225"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 пациентов с массой тела &lt;65 кг суммарная доза не должна превышать 1,5 мг/кг.</w:t>
            </w:r>
          </w:p>
        </w:tc>
      </w:tr>
      <w:tr w:rsidR="004C062E" w14:paraId="77584EFA"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41031227" w14:textId="77777777" w:rsidR="004C062E" w:rsidRDefault="002C7340" w:rsidP="00A419DB">
            <w:pPr>
              <w:suppressAutoHyphens/>
              <w:spacing w:before="75" w:after="225"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Стрептокиназа</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2DDC4BE5" w14:textId="77777777" w:rsidR="004C062E" w:rsidRDefault="002C7340" w:rsidP="00A419DB">
            <w:pPr>
              <w:suppressAutoHyphens/>
              <w:spacing w:before="75" w:after="225"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В/в инфузионно 1 500 000 МЕ в течение 60 мин.</w:t>
            </w:r>
          </w:p>
        </w:tc>
      </w:tr>
    </w:tbl>
    <w:p w14:paraId="11DAD545" w14:textId="77777777" w:rsidR="004C062E" w:rsidRDefault="004C062E" w:rsidP="00A419DB">
      <w:pPr>
        <w:suppressAutoHyphens/>
        <w:rPr>
          <w:rFonts w:ascii="Times New Roman" w:hAnsi="Times New Roman"/>
          <w:sz w:val="24"/>
          <w:szCs w:val="24"/>
        </w:rPr>
      </w:pPr>
    </w:p>
    <w:p w14:paraId="133462B4" w14:textId="77777777" w:rsidR="004C062E" w:rsidRDefault="002C7340" w:rsidP="00A419DB">
      <w:pPr>
        <w:pStyle w:val="af5"/>
        <w:suppressAutoHyphens/>
        <w:spacing w:before="75" w:beforeAutospacing="0" w:after="225" w:afterAutospacing="0"/>
        <w:jc w:val="center"/>
        <w:rPr>
          <w:color w:val="000000" w:themeColor="text1"/>
          <w:sz w:val="26"/>
          <w:szCs w:val="26"/>
        </w:rPr>
      </w:pPr>
      <w:r>
        <w:br w:type="page"/>
      </w:r>
      <w:r>
        <w:rPr>
          <w:rStyle w:val="a7"/>
          <w:color w:val="000000" w:themeColor="text1"/>
          <w:szCs w:val="26"/>
        </w:rPr>
        <w:lastRenderedPageBreak/>
        <w:t>Антитромботические средства при ИМпST</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049"/>
        <w:gridCol w:w="6201"/>
      </w:tblGrid>
      <w:tr w:rsidR="004C062E" w14:paraId="4C9BF563"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BBB546D" w14:textId="77777777" w:rsidR="004C062E" w:rsidRDefault="002C7340" w:rsidP="00A419DB">
            <w:pPr>
              <w:pStyle w:val="af5"/>
              <w:suppressAutoHyphens/>
              <w:spacing w:before="75" w:beforeAutospacing="0" w:after="225" w:afterAutospacing="0"/>
            </w:pPr>
            <w:r>
              <w:t>Препарат</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3CA2CCEA" w14:textId="77777777" w:rsidR="004C062E" w:rsidRDefault="002C7340" w:rsidP="00A419DB">
            <w:pPr>
              <w:pStyle w:val="af5"/>
              <w:suppressAutoHyphens/>
              <w:spacing w:before="75" w:beforeAutospacing="0" w:after="225" w:afterAutospacing="0"/>
            </w:pPr>
            <w:r>
              <w:t>Рекомендации по применению</w:t>
            </w:r>
          </w:p>
        </w:tc>
      </w:tr>
      <w:tr w:rsidR="004C062E" w14:paraId="2834C1BB" w14:textId="77777777">
        <w:tc>
          <w:tcPr>
            <w:tcW w:w="0" w:type="auto"/>
            <w:gridSpan w:val="2"/>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1621C2A4" w14:textId="77777777" w:rsidR="004C062E" w:rsidRDefault="002C7340" w:rsidP="00A419DB">
            <w:pPr>
              <w:pStyle w:val="af5"/>
              <w:suppressAutoHyphens/>
              <w:spacing w:before="75" w:beforeAutospacing="0" w:after="225" w:afterAutospacing="0"/>
              <w:jc w:val="center"/>
            </w:pPr>
            <w:r>
              <w:t>Антиагреганты</w:t>
            </w:r>
          </w:p>
        </w:tc>
      </w:tr>
      <w:tr w:rsidR="004C062E" w14:paraId="3A40C2B3"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AF8E699" w14:textId="77777777" w:rsidR="004C062E" w:rsidRPr="006F2FCF" w:rsidRDefault="002C7340" w:rsidP="00A419DB">
            <w:pPr>
              <w:pStyle w:val="af5"/>
              <w:suppressAutoHyphens/>
              <w:spacing w:before="75" w:beforeAutospacing="0" w:after="225" w:afterAutospacing="0"/>
            </w:pPr>
            <w:r w:rsidRPr="006F2FCF">
              <w:t>АСК</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9B32FE3" w14:textId="77777777" w:rsidR="004C062E" w:rsidRDefault="00A65219" w:rsidP="00A419DB">
            <w:pPr>
              <w:pStyle w:val="af5"/>
              <w:suppressAutoHyphens/>
              <w:spacing w:before="75" w:beforeAutospacing="0" w:after="225" w:afterAutospacing="0"/>
            </w:pPr>
            <w:r>
              <w:t xml:space="preserve">Внутрь; первая доза </w:t>
            </w:r>
            <w:r w:rsidR="002C7340">
              <w:t xml:space="preserve">150-300 мг (разжевать и проглотить), </w:t>
            </w:r>
            <w:r w:rsidR="00D718BB">
              <w:t>со 2-х суток — по </w:t>
            </w:r>
            <w:r w:rsidR="002C7340">
              <w:t>75-100 мг 1 раз/сут.</w:t>
            </w:r>
          </w:p>
        </w:tc>
      </w:tr>
      <w:tr w:rsidR="004C062E" w14:paraId="195518CB"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617A1F72" w14:textId="77777777" w:rsidR="004C062E" w:rsidRDefault="002C7340" w:rsidP="00A419DB">
            <w:pPr>
              <w:pStyle w:val="af5"/>
              <w:suppressAutoHyphens/>
              <w:spacing w:before="75" w:beforeAutospacing="0" w:after="225" w:afterAutospacing="0"/>
            </w:pPr>
            <w:r>
              <w:t>Клопидогрел</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25155120" w14:textId="77777777" w:rsidR="004C062E" w:rsidRDefault="002C7340" w:rsidP="00A419DB">
            <w:pPr>
              <w:pStyle w:val="af5"/>
              <w:suppressAutoHyphens/>
              <w:spacing w:before="75" w:beforeAutospacing="0" w:after="225" w:afterAutospacing="0"/>
            </w:pPr>
            <w:r>
              <w:rPr>
                <w:rStyle w:val="a5"/>
              </w:rPr>
              <w:t>Сопровождение первичного ЧКВ:</w:t>
            </w:r>
            <w:r>
              <w:t> внутрь; первая доза 600 мг </w:t>
            </w:r>
            <w:hyperlink r:id="rId326" w:history="1">
              <w:r>
                <w:rPr>
                  <w:rStyle w:val="a6"/>
                  <w:color w:val="29ABE2"/>
                  <w:u w:val="none"/>
                </w:rPr>
                <w:t>[9]</w:t>
              </w:r>
            </w:hyperlink>
            <w:r>
              <w:t>, затем 75 мг 1 раз/сут.</w:t>
            </w:r>
          </w:p>
          <w:p w14:paraId="3DD60401" w14:textId="77777777" w:rsidR="004C062E" w:rsidRDefault="002C7340" w:rsidP="00A419DB">
            <w:pPr>
              <w:pStyle w:val="af5"/>
              <w:suppressAutoHyphens/>
              <w:spacing w:before="75" w:beforeAutospacing="0" w:after="225" w:afterAutospacing="0"/>
            </w:pPr>
            <w:r>
              <w:rPr>
                <w:rStyle w:val="a5"/>
              </w:rPr>
              <w:t>Сопровождение ТЛТ:</w:t>
            </w:r>
            <w:r>
              <w:t> внутрь; первая доза 300 мг или 75 мг — у пациентов старше 75 лет, со 2-х суток по 75 мг 1 раз/сут.</w:t>
            </w:r>
          </w:p>
          <w:p w14:paraId="566469DC" w14:textId="77777777" w:rsidR="004C062E" w:rsidRDefault="002C7340" w:rsidP="00A419DB">
            <w:pPr>
              <w:pStyle w:val="af5"/>
              <w:suppressAutoHyphens/>
              <w:spacing w:before="75" w:beforeAutospacing="0" w:after="225" w:afterAutospacing="0"/>
            </w:pPr>
            <w:r>
              <w:rPr>
                <w:rStyle w:val="a5"/>
              </w:rPr>
              <w:t>Сопровождение ЧКВ вскоре после ТЛТ:</w:t>
            </w:r>
            <w:r>
              <w:t> в первые 24 ч от введения тромболитика не получившим нагрузочной дозы клопидогрела принять 300 мг; после 24 ч от введения тромболитика не получившим нагрузочной дозы клопидогрела принять 600 мг, получившим нагрузочную дозу 300 мг в первые сутки принять еще 300 мг.</w:t>
            </w:r>
          </w:p>
          <w:p w14:paraId="653E1268" w14:textId="77777777" w:rsidR="004C062E" w:rsidRDefault="002C7340" w:rsidP="00A419DB">
            <w:pPr>
              <w:pStyle w:val="af5"/>
              <w:suppressAutoHyphens/>
              <w:spacing w:before="75" w:beforeAutospacing="0" w:after="225" w:afterAutospacing="0"/>
            </w:pPr>
            <w:r>
              <w:rPr>
                <w:rStyle w:val="a5"/>
              </w:rPr>
              <w:t>Отсутствие реперфузионного лечения:</w:t>
            </w:r>
            <w:r>
              <w:t> внутрь 75 мг 1 раз/сут; перед ЧКВ в более поздние сроки заболевания — нагрузочная доза #600 мг </w:t>
            </w:r>
            <w:hyperlink r:id="rId327" w:history="1">
              <w:r>
                <w:rPr>
                  <w:rStyle w:val="a6"/>
                  <w:color w:val="29ABE2"/>
                  <w:u w:val="none"/>
                </w:rPr>
                <w:t>[14]</w:t>
              </w:r>
            </w:hyperlink>
            <w:r>
              <w:t>.</w:t>
            </w:r>
          </w:p>
        </w:tc>
      </w:tr>
      <w:tr w:rsidR="004C062E" w14:paraId="45E9A822"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70A4E4A2" w14:textId="77777777" w:rsidR="004C062E" w:rsidRDefault="002C7340" w:rsidP="00A419DB">
            <w:pPr>
              <w:pStyle w:val="af5"/>
              <w:suppressAutoHyphens/>
              <w:spacing w:before="75" w:beforeAutospacing="0" w:after="225" w:afterAutospacing="0"/>
            </w:pPr>
            <w:r>
              <w:t>Прасугрел</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0E4003C" w14:textId="77777777" w:rsidR="004C062E" w:rsidRDefault="002C7340" w:rsidP="00A419DB">
            <w:pPr>
              <w:pStyle w:val="af5"/>
              <w:suppressAutoHyphens/>
              <w:spacing w:before="75" w:beforeAutospacing="0" w:after="225" w:afterAutospacing="0"/>
            </w:pPr>
            <w:r>
              <w:rPr>
                <w:rStyle w:val="a5"/>
              </w:rPr>
              <w:t>Сопровождение первичного ЧКВ: </w:t>
            </w:r>
            <w:r>
              <w:t>внутрь; 60 мг, со следующих суток по 10 мг 1 раз/сут. (у пациентов в возрасте ≥75 лет, с массой тела ниже 60 кг — по 5 мг 1 раз/сут.).</w:t>
            </w:r>
          </w:p>
        </w:tc>
      </w:tr>
      <w:tr w:rsidR="004C062E" w14:paraId="1A47F572"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2FE3EBE2" w14:textId="77777777" w:rsidR="004C062E" w:rsidRDefault="002C7340" w:rsidP="00A419DB">
            <w:pPr>
              <w:pStyle w:val="af5"/>
              <w:suppressAutoHyphens/>
              <w:spacing w:before="75" w:beforeAutospacing="0" w:after="225" w:afterAutospacing="0"/>
            </w:pPr>
            <w:r>
              <w:t>Тикагрелор</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5DCFFA3" w14:textId="77777777" w:rsidR="004C062E" w:rsidRDefault="002C7340" w:rsidP="00A419DB">
            <w:pPr>
              <w:pStyle w:val="af5"/>
              <w:suppressAutoHyphens/>
              <w:spacing w:before="75" w:beforeAutospacing="0" w:after="225" w:afterAutospacing="0"/>
            </w:pPr>
            <w:r>
              <w:rPr>
                <w:rStyle w:val="a5"/>
              </w:rPr>
              <w:t>Сопровождение первичного ЧКВ: </w:t>
            </w:r>
            <w:r>
              <w:t>внутрь; первая доза 180 мг, через 12 ч по 90 мг 2 раза/сут. (можно использовать у получивших нагрузочную дозу клопидогрела). При продлении лечения через 1 год после ИМпST у пациентов с высоким риском коронарных осложнений — по 60 мг 2 раза/сут.</w:t>
            </w:r>
          </w:p>
        </w:tc>
      </w:tr>
      <w:tr w:rsidR="004C062E" w14:paraId="7058873F" w14:textId="77777777">
        <w:tc>
          <w:tcPr>
            <w:tcW w:w="0" w:type="auto"/>
            <w:gridSpan w:val="2"/>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59FD919" w14:textId="77777777" w:rsidR="004C062E" w:rsidRDefault="004C062E" w:rsidP="00A419DB">
            <w:pPr>
              <w:pStyle w:val="af5"/>
              <w:suppressAutoHyphens/>
              <w:spacing w:before="75" w:beforeAutospacing="0" w:after="225" w:afterAutospacing="0"/>
              <w:jc w:val="center"/>
            </w:pPr>
          </w:p>
        </w:tc>
      </w:tr>
      <w:tr w:rsidR="004C062E" w14:paraId="0C75E638" w14:textId="77777777">
        <w:tc>
          <w:tcPr>
            <w:tcW w:w="0" w:type="auto"/>
            <w:gridSpan w:val="2"/>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F495CB3" w14:textId="77777777" w:rsidR="004C062E" w:rsidRDefault="002C7340" w:rsidP="00A419DB">
            <w:pPr>
              <w:pStyle w:val="af5"/>
              <w:suppressAutoHyphens/>
              <w:spacing w:before="75" w:beforeAutospacing="0" w:after="225" w:afterAutospacing="0"/>
              <w:jc w:val="center"/>
            </w:pPr>
            <w:r>
              <w:t>Антикоагулянты для парентерального введения</w:t>
            </w:r>
          </w:p>
        </w:tc>
      </w:tr>
      <w:tr w:rsidR="004C062E" w14:paraId="37CF6147"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220DA5BF" w14:textId="77777777" w:rsidR="004C062E" w:rsidRDefault="002C7340" w:rsidP="00A419DB">
            <w:pPr>
              <w:pStyle w:val="af5"/>
              <w:suppressAutoHyphens/>
              <w:spacing w:before="75" w:beforeAutospacing="0" w:after="225" w:afterAutospacing="0"/>
            </w:pPr>
            <w:r>
              <w:t>Нефракционированный гепарин (гепарин натрия)</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09C5B18" w14:textId="77777777" w:rsidR="004C062E" w:rsidRPr="008C4564" w:rsidRDefault="002C7340" w:rsidP="00A419DB">
            <w:pPr>
              <w:pStyle w:val="af5"/>
              <w:suppressAutoHyphens/>
              <w:spacing w:before="75" w:beforeAutospacing="0" w:after="225" w:afterAutospacing="0"/>
            </w:pPr>
            <w:r w:rsidRPr="008C4564">
              <w:rPr>
                <w:rStyle w:val="a5"/>
              </w:rPr>
              <w:t>При ЧКВ:</w:t>
            </w:r>
            <w:r w:rsidRPr="008C4564">
              <w:t xml:space="preserve"> НФГ (гепарина натрия) вводится внутривенно болюсно в дозе 70-100 ЕД/кг (если не планируется применение ингибиторов ГП IIb/IIla рецепторов) или в дозе 50-60 ЕД/кг (при совместном применении с ингибиторами ГП IIb/IIIa рецепторов). При необходимости повторные болюсы с целью </w:t>
            </w:r>
            <w:r w:rsidRPr="008C4564">
              <w:lastRenderedPageBreak/>
              <w:t>поддерживать АВС крови 250-350 с (200-250 с при применении ингибиторов ГП IIb/IIIa тромбоцитов).</w:t>
            </w:r>
          </w:p>
          <w:p w14:paraId="095F5EDF" w14:textId="77777777" w:rsidR="004C062E" w:rsidRPr="008C4564" w:rsidRDefault="002C7340" w:rsidP="00A419DB">
            <w:pPr>
              <w:pStyle w:val="af5"/>
              <w:suppressAutoHyphens/>
              <w:spacing w:before="75" w:beforeAutospacing="0" w:after="225" w:afterAutospacing="0"/>
            </w:pPr>
            <w:r w:rsidRPr="008C4564">
              <w:rPr>
                <w:rStyle w:val="a5"/>
              </w:rPr>
              <w:t>Сопровождение ТЛТ:</w:t>
            </w:r>
            <w:r w:rsidRPr="008C4564">
              <w:t> в/в; болюсом 60 ЕД/кг (максимально 4000 ЕД), сразу вслед за этим постоянная инфузия 12 ЕД/кг/ч (максимально 1000 ЕД/ч), в последующем подбор дозы, обеспечивающей увеличение АЧТВ до 50-70 сек или в 1,5-2 раза выше контрольной величины для конкретной лаборатории (верхняя граница нормы или среднее нормальное значение у здоровых лиц); при сочетании с ТЛТ АЧТВ следует определить через 3, 6, 12 и 24 ч после начала инфузии НФГ, длительность инфузии 24-48 ч.</w:t>
            </w:r>
          </w:p>
          <w:p w14:paraId="2AC73880" w14:textId="77777777" w:rsidR="004C062E" w:rsidRDefault="002C7340" w:rsidP="00A419DB">
            <w:pPr>
              <w:pStyle w:val="af5"/>
              <w:suppressAutoHyphens/>
              <w:spacing w:before="75" w:beforeAutospacing="0" w:after="225" w:afterAutospacing="0"/>
            </w:pPr>
            <w:r w:rsidRPr="008C4564">
              <w:rPr>
                <w:rStyle w:val="a5"/>
              </w:rPr>
              <w:t>Без реперфузионной терапии, в т. ч. с другими показаниями к использованию лечебных доз антикоагулянтов:</w:t>
            </w:r>
            <w:r w:rsidRPr="008C4564">
              <w:t> в/в, болюсом 60-70 ЕД/кг (максимально 5000 ЕД), сразу вслед за этим инфузия с начальной скоростью 12-15 ЕД/кг/ч (максимально 1000 ЕД/ч); в последующем подбор дозы, обеспечивающей увеличение АЧТВ в 1,5-2,5 раза выше контрольной величины для конкретной лаборатории (верхняя граница нормы или среднее нормальное значение у здоровых лиц).</w:t>
            </w:r>
          </w:p>
        </w:tc>
      </w:tr>
    </w:tbl>
    <w:p w14:paraId="29D3A9AA" w14:textId="77777777" w:rsidR="004C062E" w:rsidRDefault="004C062E" w:rsidP="00A419DB">
      <w:pPr>
        <w:suppressAutoHyphens/>
        <w:spacing w:after="0" w:line="240" w:lineRule="auto"/>
        <w:rPr>
          <w:rFonts w:ascii="Times New Roman" w:hAnsi="Times New Roman"/>
          <w:sz w:val="24"/>
          <w:szCs w:val="24"/>
        </w:rPr>
      </w:pPr>
    </w:p>
    <w:p w14:paraId="382097DB" w14:textId="77777777" w:rsidR="004C062E" w:rsidRDefault="002C7340" w:rsidP="00A419DB">
      <w:pPr>
        <w:pStyle w:val="af5"/>
        <w:suppressAutoHyphens/>
        <w:spacing w:before="75" w:beforeAutospacing="0" w:after="225" w:afterAutospacing="0"/>
        <w:jc w:val="center"/>
        <w:rPr>
          <w:color w:val="000000" w:themeColor="text1"/>
          <w:sz w:val="26"/>
          <w:szCs w:val="26"/>
        </w:rPr>
      </w:pPr>
      <w:r>
        <w:br w:type="page"/>
      </w:r>
      <w:r>
        <w:rPr>
          <w:rStyle w:val="a7"/>
          <w:color w:val="000000" w:themeColor="text1"/>
          <w:szCs w:val="26"/>
        </w:rPr>
        <w:lastRenderedPageBreak/>
        <w:t>Дозы антитромботических средств при нарушенной функции почек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502"/>
        <w:gridCol w:w="1366"/>
        <w:gridCol w:w="2045"/>
        <w:gridCol w:w="1844"/>
        <w:gridCol w:w="2493"/>
      </w:tblGrid>
      <w:tr w:rsidR="004C062E" w14:paraId="15A5008A" w14:textId="77777777">
        <w:tc>
          <w:tcPr>
            <w:tcW w:w="0" w:type="auto"/>
            <w:gridSpan w:val="2"/>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56E6FC5" w14:textId="77777777" w:rsidR="004C062E" w:rsidRDefault="002C7340" w:rsidP="00A419DB">
            <w:pPr>
              <w:pStyle w:val="af5"/>
              <w:suppressAutoHyphens/>
              <w:spacing w:before="75" w:beforeAutospacing="0" w:after="225" w:afterAutospacing="0"/>
              <w:jc w:val="center"/>
            </w:pPr>
            <w:r>
              <w:t>Препарат</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8C2AFC9" w14:textId="77777777" w:rsidR="004C062E" w:rsidRDefault="002C7340" w:rsidP="00A419DB">
            <w:pPr>
              <w:pStyle w:val="af5"/>
              <w:suppressAutoHyphens/>
              <w:spacing w:before="75" w:beforeAutospacing="0" w:after="225" w:afterAutospacing="0"/>
            </w:pPr>
            <w:r>
              <w:t>рСКФ 30-59 мл/мин/1,73 м²</w:t>
            </w:r>
            <w:r>
              <w:br/>
              <w:t>или КлКр 30-59 мл/мин</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2FDE75FB" w14:textId="77777777" w:rsidR="004C062E" w:rsidRDefault="002C7340" w:rsidP="00A419DB">
            <w:pPr>
              <w:pStyle w:val="af5"/>
              <w:suppressAutoHyphens/>
              <w:spacing w:before="75" w:beforeAutospacing="0" w:after="225" w:afterAutospacing="0"/>
            </w:pPr>
            <w:r>
              <w:t>рСКФ 15-29 мл/мин/1,73 м²</w:t>
            </w:r>
            <w:r>
              <w:br/>
              <w:t>или КлКр 15-29 мл/мин</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460EE5C" w14:textId="77777777" w:rsidR="004C062E" w:rsidRDefault="002C7340" w:rsidP="00A419DB">
            <w:pPr>
              <w:pStyle w:val="af5"/>
              <w:suppressAutoHyphens/>
              <w:spacing w:before="75" w:beforeAutospacing="0" w:after="225" w:afterAutospacing="0"/>
            </w:pPr>
            <w:r>
              <w:t>рСКФ&lt;15 мл/мин/1,73 м²</w:t>
            </w:r>
            <w:r>
              <w:br/>
              <w:t>или КлКр&lt;15 мл/мин</w:t>
            </w:r>
          </w:p>
        </w:tc>
      </w:tr>
      <w:tr w:rsidR="004C062E" w14:paraId="39545990" w14:textId="77777777">
        <w:tc>
          <w:tcPr>
            <w:tcW w:w="0" w:type="auto"/>
            <w:gridSpan w:val="5"/>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76125BB0" w14:textId="77777777" w:rsidR="004C062E" w:rsidRDefault="002C7340" w:rsidP="00A419DB">
            <w:pPr>
              <w:pStyle w:val="af5"/>
              <w:suppressAutoHyphens/>
              <w:spacing w:before="75" w:beforeAutospacing="0" w:after="225" w:afterAutospacing="0"/>
              <w:jc w:val="center"/>
            </w:pPr>
            <w:r>
              <w:t>Антитромбоцитарные препараты</w:t>
            </w:r>
          </w:p>
        </w:tc>
      </w:tr>
      <w:tr w:rsidR="004C062E" w14:paraId="4BDA4CC3" w14:textId="77777777">
        <w:tc>
          <w:tcPr>
            <w:tcW w:w="0" w:type="auto"/>
            <w:vMerge w:val="restart"/>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73FCAF11" w14:textId="77777777" w:rsidR="004C062E" w:rsidRDefault="002C7340" w:rsidP="00A419DB">
            <w:pPr>
              <w:pStyle w:val="af5"/>
              <w:suppressAutoHyphens/>
              <w:spacing w:before="75" w:beforeAutospacing="0" w:after="225" w:afterAutospacing="0"/>
            </w:pPr>
            <w:r>
              <w:t>АСК</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3FD52380" w14:textId="77777777" w:rsidR="004C062E" w:rsidRDefault="002C7340" w:rsidP="00A419DB">
            <w:pPr>
              <w:pStyle w:val="af5"/>
              <w:suppressAutoHyphens/>
              <w:spacing w:before="75" w:beforeAutospacing="0" w:after="225" w:afterAutospacing="0"/>
            </w:pPr>
            <w:r>
              <w:t>Неотложная помощь</w:t>
            </w:r>
          </w:p>
        </w:tc>
        <w:tc>
          <w:tcPr>
            <w:tcW w:w="0" w:type="auto"/>
            <w:gridSpan w:val="3"/>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6EBFB6F2" w14:textId="77777777" w:rsidR="004C062E" w:rsidRDefault="002C7340" w:rsidP="00A419DB">
            <w:pPr>
              <w:pStyle w:val="af5"/>
              <w:suppressAutoHyphens/>
              <w:spacing w:before="75" w:beforeAutospacing="0" w:after="225" w:afterAutospacing="0"/>
            </w:pPr>
            <w:r>
              <w:t>Доза не меняется</w:t>
            </w:r>
          </w:p>
        </w:tc>
      </w:tr>
      <w:tr w:rsidR="004C062E" w14:paraId="3361576F" w14:textId="77777777">
        <w:tc>
          <w:tcPr>
            <w:tcW w:w="0" w:type="auto"/>
            <w:vMerge/>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10BFAF95" w14:textId="77777777" w:rsidR="004C062E" w:rsidRDefault="004C062E" w:rsidP="00A419DB">
            <w:pPr>
              <w:suppressAutoHyphens/>
              <w:rPr>
                <w:sz w:val="24"/>
                <w:szCs w:val="24"/>
              </w:rPr>
            </w:pP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24BF9955" w14:textId="77777777" w:rsidR="004C062E" w:rsidRDefault="002C7340" w:rsidP="00A419DB">
            <w:pPr>
              <w:pStyle w:val="af5"/>
              <w:suppressAutoHyphens/>
              <w:spacing w:before="75" w:beforeAutospacing="0" w:after="225" w:afterAutospacing="0"/>
            </w:pPr>
            <w:r>
              <w:t>Плановое назначение</w:t>
            </w:r>
          </w:p>
        </w:tc>
        <w:tc>
          <w:tcPr>
            <w:tcW w:w="0" w:type="auto"/>
            <w:gridSpan w:val="3"/>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656A202D" w14:textId="77777777" w:rsidR="004C062E" w:rsidRDefault="002C7340" w:rsidP="00A419DB">
            <w:pPr>
              <w:pStyle w:val="af5"/>
              <w:suppressAutoHyphens/>
              <w:spacing w:before="75" w:beforeAutospacing="0" w:after="225" w:afterAutospacing="0"/>
            </w:pPr>
            <w:r>
              <w:t>Согласно инструкции, АСК противопоказана при тяжелом нарушении функции почек без уточнения уровня КлКр/рСКФ. В таких случаях рекомендуется индивидуальная оценка пользы/рисков назначения</w:t>
            </w:r>
          </w:p>
        </w:tc>
      </w:tr>
      <w:tr w:rsidR="004C062E" w14:paraId="09FBEF3C" w14:textId="77777777">
        <w:tc>
          <w:tcPr>
            <w:tcW w:w="0" w:type="auto"/>
            <w:vMerge w:val="restart"/>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3864052E" w14:textId="77777777" w:rsidR="004C062E" w:rsidRDefault="002C7340" w:rsidP="00A419DB">
            <w:pPr>
              <w:pStyle w:val="af5"/>
              <w:suppressAutoHyphens/>
              <w:spacing w:before="75" w:beforeAutospacing="0" w:after="225" w:afterAutospacing="0"/>
            </w:pPr>
            <w:r>
              <w:t>Клопидогрел¹</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702796F7" w14:textId="77777777" w:rsidR="004C062E" w:rsidRDefault="002C7340" w:rsidP="00A419DB">
            <w:pPr>
              <w:pStyle w:val="af5"/>
              <w:suppressAutoHyphens/>
              <w:spacing w:before="75" w:beforeAutospacing="0" w:after="225" w:afterAutospacing="0"/>
            </w:pPr>
            <w:r>
              <w:t>Неотложная помощь</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39D77918" w14:textId="77777777" w:rsidR="004C062E" w:rsidRDefault="002C7340" w:rsidP="00A419DB">
            <w:pPr>
              <w:pStyle w:val="af5"/>
              <w:suppressAutoHyphens/>
              <w:spacing w:before="75" w:beforeAutospacing="0" w:after="225" w:afterAutospacing="0"/>
            </w:pPr>
            <w:r>
              <w:t>Обычная доза</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1A4D4ED6" w14:textId="77777777" w:rsidR="004C062E" w:rsidRDefault="002C7340" w:rsidP="00A419DB">
            <w:pPr>
              <w:pStyle w:val="af5"/>
              <w:suppressAutoHyphens/>
              <w:spacing w:before="75" w:beforeAutospacing="0" w:after="225" w:afterAutospacing="0"/>
            </w:pPr>
            <w:r>
              <w:t>Обычная доза</w:t>
            </w:r>
          </w:p>
        </w:tc>
        <w:tc>
          <w:tcPr>
            <w:tcW w:w="0" w:type="auto"/>
            <w:vMerge w:val="restart"/>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22D6154D" w14:textId="77777777" w:rsidR="004C062E" w:rsidRDefault="002C7340" w:rsidP="00A419DB">
            <w:pPr>
              <w:pStyle w:val="af5"/>
              <w:suppressAutoHyphens/>
              <w:spacing w:before="75" w:beforeAutospacing="0" w:after="225" w:afterAutospacing="0"/>
            </w:pPr>
            <w:r>
              <w:t>Нет данных. В таких случаях рекомендуется индивидуальная оценка пользы/рисков назначения с учетом данных инструкции²</w:t>
            </w:r>
          </w:p>
        </w:tc>
      </w:tr>
      <w:tr w:rsidR="004C062E" w14:paraId="321333F2" w14:textId="77777777">
        <w:tc>
          <w:tcPr>
            <w:tcW w:w="0" w:type="auto"/>
            <w:vMerge/>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2115967B" w14:textId="77777777" w:rsidR="004C062E" w:rsidRDefault="004C062E" w:rsidP="00A419DB">
            <w:pPr>
              <w:suppressAutoHyphens/>
              <w:rPr>
                <w:sz w:val="24"/>
                <w:szCs w:val="24"/>
              </w:rPr>
            </w:pP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43AC3AD" w14:textId="77777777" w:rsidR="004C062E" w:rsidRDefault="002C7340" w:rsidP="00A419DB">
            <w:pPr>
              <w:pStyle w:val="af5"/>
              <w:suppressAutoHyphens/>
              <w:spacing w:before="75" w:beforeAutospacing="0" w:after="225" w:afterAutospacing="0"/>
            </w:pPr>
            <w:r>
              <w:t>Плановое назначение</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6D719943" w14:textId="77777777" w:rsidR="004C062E" w:rsidRDefault="002C7340" w:rsidP="00A419DB">
            <w:pPr>
              <w:pStyle w:val="af5"/>
              <w:suppressAutoHyphens/>
              <w:spacing w:before="75" w:beforeAutospacing="0" w:after="225" w:afterAutospacing="0"/>
            </w:pPr>
            <w:r>
              <w:t>Обычная доза</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3A11A23E" w14:textId="77777777" w:rsidR="004C062E" w:rsidRDefault="002C7340" w:rsidP="00A419DB">
            <w:pPr>
              <w:pStyle w:val="af5"/>
              <w:suppressAutoHyphens/>
              <w:spacing w:before="75" w:beforeAutospacing="0" w:after="225" w:afterAutospacing="0"/>
            </w:pPr>
            <w:r>
              <w:t>Обычная доза</w:t>
            </w:r>
          </w:p>
        </w:tc>
        <w:tc>
          <w:tcPr>
            <w:tcW w:w="0" w:type="auto"/>
            <w:vMerge/>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189E496" w14:textId="77777777" w:rsidR="004C062E" w:rsidRDefault="004C062E" w:rsidP="00A419DB">
            <w:pPr>
              <w:suppressAutoHyphens/>
              <w:rPr>
                <w:sz w:val="24"/>
                <w:szCs w:val="24"/>
              </w:rPr>
            </w:pPr>
          </w:p>
        </w:tc>
      </w:tr>
      <w:tr w:rsidR="004C062E" w14:paraId="1F673A33" w14:textId="77777777">
        <w:tc>
          <w:tcPr>
            <w:tcW w:w="0" w:type="auto"/>
            <w:gridSpan w:val="2"/>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25BCA282" w14:textId="77777777" w:rsidR="004C062E" w:rsidRDefault="002C7340" w:rsidP="00A419DB">
            <w:pPr>
              <w:pStyle w:val="af5"/>
              <w:suppressAutoHyphens/>
              <w:spacing w:before="75" w:beforeAutospacing="0" w:after="225" w:afterAutospacing="0"/>
            </w:pPr>
            <w:r>
              <w:t>Прасугрел</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0B315AA" w14:textId="77777777" w:rsidR="004C062E" w:rsidRDefault="002C7340" w:rsidP="00A419DB">
            <w:pPr>
              <w:pStyle w:val="af5"/>
              <w:suppressAutoHyphens/>
              <w:spacing w:before="75" w:beforeAutospacing="0" w:after="225" w:afterAutospacing="0"/>
            </w:pPr>
            <w:r>
              <w:t>Обычная доза</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152FCB1" w14:textId="77777777" w:rsidR="004C062E" w:rsidRDefault="002C7340" w:rsidP="00A419DB">
            <w:pPr>
              <w:pStyle w:val="af5"/>
              <w:suppressAutoHyphens/>
              <w:spacing w:before="75" w:beforeAutospacing="0" w:after="225" w:afterAutospacing="0"/>
            </w:pPr>
            <w:r>
              <w:t>Обычная доза</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67B4D549" w14:textId="7367089E" w:rsidR="004C062E" w:rsidRDefault="002C7340" w:rsidP="00A419DB">
            <w:pPr>
              <w:pStyle w:val="af5"/>
              <w:suppressAutoHyphens/>
              <w:spacing w:before="75" w:beforeAutospacing="0" w:after="225" w:afterAutospacing="0"/>
            </w:pPr>
            <w:r>
              <w:t>Опыт применения прасугрела у пациентов с почечной недостаточностью ограничен. Для пациентов с почечной недостаточностью, включая пациентов с терминальной почечной недостаточностью, коррекции дозы не требуется. Тем не менее Рекомендации ЕОК использовать не рекомендуют </w:t>
            </w:r>
            <w:hyperlink r:id="rId328" w:history="1">
              <w:r>
                <w:rPr>
                  <w:rStyle w:val="a6"/>
                  <w:color w:val="29ABE2"/>
                  <w:u w:val="none"/>
                </w:rPr>
                <w:t>[14]</w:t>
              </w:r>
            </w:hyperlink>
          </w:p>
        </w:tc>
      </w:tr>
      <w:tr w:rsidR="004C062E" w14:paraId="7D77201B" w14:textId="77777777">
        <w:tc>
          <w:tcPr>
            <w:tcW w:w="0" w:type="auto"/>
            <w:gridSpan w:val="2"/>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6306BF3" w14:textId="77777777" w:rsidR="004C062E" w:rsidRDefault="002C7340" w:rsidP="00A419DB">
            <w:pPr>
              <w:pStyle w:val="af5"/>
              <w:suppressAutoHyphens/>
              <w:spacing w:before="75" w:beforeAutospacing="0" w:after="225" w:afterAutospacing="0"/>
            </w:pPr>
            <w:r>
              <w:t>Тикагрелор³</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1AAA36AD" w14:textId="77777777" w:rsidR="004C062E" w:rsidRDefault="002C7340" w:rsidP="00A419DB">
            <w:pPr>
              <w:pStyle w:val="af5"/>
              <w:suppressAutoHyphens/>
              <w:spacing w:before="75" w:beforeAutospacing="0" w:after="225" w:afterAutospacing="0"/>
            </w:pPr>
            <w:r>
              <w:t>Обычная доза</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F0045D2" w14:textId="77777777" w:rsidR="004C062E" w:rsidRDefault="002C7340" w:rsidP="00A419DB">
            <w:pPr>
              <w:pStyle w:val="af5"/>
              <w:suppressAutoHyphens/>
              <w:spacing w:before="75" w:beforeAutospacing="0" w:after="225" w:afterAutospacing="0"/>
            </w:pPr>
            <w:r>
              <w:t>Обычная доза</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18833AE5" w14:textId="77777777" w:rsidR="004C062E" w:rsidRDefault="002C7340" w:rsidP="00A419DB">
            <w:pPr>
              <w:pStyle w:val="af5"/>
              <w:suppressAutoHyphens/>
              <w:spacing w:before="75" w:beforeAutospacing="0" w:after="225" w:afterAutospacing="0"/>
            </w:pPr>
            <w:r>
              <w:t xml:space="preserve">Отсутствует информация </w:t>
            </w:r>
            <w:r>
              <w:lastRenderedPageBreak/>
              <w:t>о применении препарата у пациентов на гемодиализе, поэтому его применение у этих пациентов не показано. Не требуется корректировать дозу препарата у пациентов с почечной недостаточностью. Тем не менее Рекомендации ЕОК использовать не рекомендуют</w:t>
            </w:r>
          </w:p>
        </w:tc>
      </w:tr>
      <w:tr w:rsidR="004C062E" w14:paraId="4B4EB65C" w14:textId="77777777">
        <w:tc>
          <w:tcPr>
            <w:tcW w:w="0" w:type="auto"/>
            <w:gridSpan w:val="5"/>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E179F7F" w14:textId="77777777" w:rsidR="004C062E" w:rsidRDefault="002C7340" w:rsidP="00A419DB">
            <w:pPr>
              <w:pStyle w:val="af5"/>
              <w:suppressAutoHyphens/>
              <w:spacing w:before="75" w:beforeAutospacing="0" w:after="225" w:afterAutospacing="0"/>
              <w:jc w:val="center"/>
            </w:pPr>
            <w:r>
              <w:lastRenderedPageBreak/>
              <w:t>Антикоагулянты</w:t>
            </w:r>
          </w:p>
        </w:tc>
      </w:tr>
      <w:tr w:rsidR="004C062E" w14:paraId="6ED07386" w14:textId="77777777">
        <w:tc>
          <w:tcPr>
            <w:tcW w:w="0" w:type="auto"/>
            <w:gridSpan w:val="2"/>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25B6BE7E" w14:textId="77777777" w:rsidR="004C062E" w:rsidRDefault="002C7340" w:rsidP="00A419DB">
            <w:pPr>
              <w:pStyle w:val="af5"/>
              <w:suppressAutoHyphens/>
              <w:spacing w:before="75" w:beforeAutospacing="0" w:after="225" w:afterAutospacing="0"/>
            </w:pPr>
            <w:r>
              <w:t>Гепарин натрия (НФГ)</w:t>
            </w:r>
          </w:p>
        </w:tc>
        <w:tc>
          <w:tcPr>
            <w:tcW w:w="0" w:type="auto"/>
            <w:gridSpan w:val="3"/>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6EB69DCB" w14:textId="77777777" w:rsidR="004C062E" w:rsidRDefault="002C7340" w:rsidP="00A419DB">
            <w:pPr>
              <w:pStyle w:val="af5"/>
              <w:suppressAutoHyphens/>
              <w:spacing w:before="75" w:beforeAutospacing="0" w:after="225" w:afterAutospacing="0"/>
            </w:pPr>
            <w:r>
              <w:t>Доза подбирается под контролем АЧТВ независимо от фильтрационной функции почек</w:t>
            </w:r>
          </w:p>
        </w:tc>
      </w:tr>
      <w:tr w:rsidR="004C062E" w14:paraId="5E1A06F3" w14:textId="77777777">
        <w:tc>
          <w:tcPr>
            <w:tcW w:w="0" w:type="auto"/>
            <w:gridSpan w:val="2"/>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4DECC268" w14:textId="77777777" w:rsidR="004C062E" w:rsidRDefault="002C7340" w:rsidP="00A419DB">
            <w:pPr>
              <w:pStyle w:val="af5"/>
              <w:suppressAutoHyphens/>
              <w:spacing w:before="75" w:beforeAutospacing="0" w:after="225" w:afterAutospacing="0"/>
              <w:jc w:val="center"/>
            </w:pPr>
            <w:r>
              <w:t>Препарат</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EEAEAD3" w14:textId="77777777" w:rsidR="004C062E" w:rsidRDefault="002C7340" w:rsidP="00A419DB">
            <w:pPr>
              <w:pStyle w:val="af5"/>
              <w:suppressAutoHyphens/>
              <w:spacing w:before="75" w:beforeAutospacing="0" w:after="225" w:afterAutospacing="0"/>
            </w:pPr>
            <w:r>
              <w:t>рСКФ 30-59 мл/мин/1,73 м²</w:t>
            </w:r>
            <w:r>
              <w:br/>
              <w:t>или КлКр 30-59 мл/мин</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653F485D" w14:textId="77777777" w:rsidR="004C062E" w:rsidRDefault="002C7340" w:rsidP="00A419DB">
            <w:pPr>
              <w:pStyle w:val="af5"/>
              <w:suppressAutoHyphens/>
              <w:spacing w:before="75" w:beforeAutospacing="0" w:after="225" w:afterAutospacing="0"/>
            </w:pPr>
            <w:r>
              <w:t>рСКФ 15-29 мл/мин/1,73 м²</w:t>
            </w:r>
            <w:r>
              <w:br/>
              <w:t>или КлКр 15-29 мл/мин</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47C7FBF7" w14:textId="77777777" w:rsidR="004C062E" w:rsidRDefault="002C7340" w:rsidP="00A419DB">
            <w:pPr>
              <w:pStyle w:val="af5"/>
              <w:suppressAutoHyphens/>
              <w:spacing w:before="75" w:beforeAutospacing="0" w:after="225" w:afterAutospacing="0"/>
            </w:pPr>
            <w:r>
              <w:t>рСКФ&lt;15 мл/мин/1,73 м²</w:t>
            </w:r>
            <w:r>
              <w:br/>
              <w:t>или КлКр&lt;15 мл/мин</w:t>
            </w:r>
          </w:p>
        </w:tc>
      </w:tr>
      <w:tr w:rsidR="004C062E" w14:paraId="03FB3631" w14:textId="77777777">
        <w:tc>
          <w:tcPr>
            <w:tcW w:w="0" w:type="auto"/>
            <w:gridSpan w:val="2"/>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2789786A" w14:textId="77777777" w:rsidR="004C062E" w:rsidRDefault="002C7340" w:rsidP="00A419DB">
            <w:pPr>
              <w:pStyle w:val="af5"/>
              <w:suppressAutoHyphens/>
              <w:spacing w:before="75" w:beforeAutospacing="0" w:after="225" w:afterAutospacing="0"/>
            </w:pPr>
            <w:r>
              <w:t>Ривароксабан¹ в дозе 2,5 мг 2 раза/сут.</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FDD2FB5" w14:textId="77777777" w:rsidR="004C062E" w:rsidRDefault="002C7340" w:rsidP="00A419DB">
            <w:pPr>
              <w:pStyle w:val="af5"/>
              <w:suppressAutoHyphens/>
              <w:spacing w:before="75" w:beforeAutospacing="0" w:after="225" w:afterAutospacing="0"/>
            </w:pPr>
            <w:r>
              <w:t>Доза без изменений, но применять с осторожностью при одновременном назначении препаратов, повышающих концентрацию ривароксабана в плазме крови</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437C0B3F" w14:textId="77777777" w:rsidR="004C062E" w:rsidRDefault="002C7340" w:rsidP="00A419DB">
            <w:pPr>
              <w:pStyle w:val="af5"/>
              <w:suppressAutoHyphens/>
              <w:spacing w:before="75" w:beforeAutospacing="0" w:after="225" w:afterAutospacing="0"/>
            </w:pPr>
            <w:r>
              <w:t>Доза без изменений, но применять с осторожностью</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8C83739" w14:textId="77777777" w:rsidR="004C062E" w:rsidRDefault="002C7340" w:rsidP="00A419DB">
            <w:pPr>
              <w:pStyle w:val="af5"/>
              <w:suppressAutoHyphens/>
              <w:spacing w:before="75" w:beforeAutospacing="0" w:after="225" w:afterAutospacing="0"/>
            </w:pPr>
            <w:r>
              <w:t>Противопоказан (данных нет)</w:t>
            </w:r>
          </w:p>
        </w:tc>
      </w:tr>
    </w:tbl>
    <w:p w14:paraId="575A96EB" w14:textId="77777777" w:rsidR="004C062E" w:rsidRDefault="004C062E" w:rsidP="00A419DB">
      <w:pPr>
        <w:suppressAutoHyphens/>
        <w:spacing w:after="0" w:line="240" w:lineRule="auto"/>
        <w:rPr>
          <w:rFonts w:ascii="Times New Roman" w:hAnsi="Times New Roman"/>
          <w:sz w:val="24"/>
          <w:szCs w:val="24"/>
        </w:rPr>
      </w:pPr>
    </w:p>
    <w:p w14:paraId="495C9A26" w14:textId="77777777" w:rsidR="004C062E" w:rsidRDefault="002C7340" w:rsidP="00A419DB">
      <w:pPr>
        <w:suppressAutoHyphens/>
        <w:rPr>
          <w:rFonts w:ascii="Times New Roman" w:hAnsi="Times New Roman" w:cs="Times New Roman"/>
          <w:color w:val="000000" w:themeColor="text1"/>
          <w:sz w:val="24"/>
          <w:szCs w:val="24"/>
        </w:rPr>
      </w:pPr>
      <w:r>
        <w:rPr>
          <w:rFonts w:ascii="Times New Roman" w:hAnsi="Times New Roman"/>
          <w:sz w:val="24"/>
          <w:szCs w:val="24"/>
        </w:rPr>
        <w:br w:type="page"/>
      </w:r>
      <w:r>
        <w:rPr>
          <w:rFonts w:ascii="Times New Roman" w:hAnsi="Times New Roman" w:cs="Times New Roman"/>
          <w:color w:val="000000" w:themeColor="text1"/>
          <w:sz w:val="24"/>
          <w:szCs w:val="24"/>
        </w:rPr>
        <w:lastRenderedPageBreak/>
        <w:t>Медикаментозное лечение ИМпST</w:t>
      </w:r>
    </w:p>
    <w:p w14:paraId="00928969" w14:textId="0D9917D6" w:rsidR="004C062E" w:rsidRDefault="002C7340" w:rsidP="00A419DB">
      <w:pPr>
        <w:suppressAutoHyphens/>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 xml:space="preserve">Таблица </w:t>
      </w:r>
      <w:r w:rsidR="00575A48">
        <w:rPr>
          <w:rStyle w:val="a7"/>
          <w:rFonts w:ascii="Times New Roman" w:hAnsi="Times New Roman" w:cs="Times New Roman"/>
          <w:color w:val="000000" w:themeColor="text1"/>
          <w:sz w:val="24"/>
          <w:szCs w:val="24"/>
        </w:rPr>
        <w:t>5.</w:t>
      </w:r>
    </w:p>
    <w:p w14:paraId="10AE4050" w14:textId="77777777" w:rsidR="004C062E" w:rsidRDefault="002C7340" w:rsidP="00A419DB">
      <w:pPr>
        <w:suppressAutoHyphen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Блокаторы β-адренергических рецепторов при ИМпST</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717"/>
        <w:gridCol w:w="7533"/>
      </w:tblGrid>
      <w:tr w:rsidR="004C062E" w14:paraId="19F7967D"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7E5F543" w14:textId="77777777" w:rsidR="004C062E" w:rsidRDefault="002C7340" w:rsidP="00A419DB">
            <w:pPr>
              <w:pStyle w:val="af5"/>
              <w:suppressAutoHyphens/>
              <w:spacing w:before="75" w:beforeAutospacing="0" w:after="225" w:afterAutospacing="0"/>
            </w:pPr>
            <w:r>
              <w:t>Препарат</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1BFED329" w14:textId="77777777" w:rsidR="004C062E" w:rsidRDefault="002C7340" w:rsidP="00A419DB">
            <w:pPr>
              <w:pStyle w:val="af5"/>
              <w:suppressAutoHyphens/>
              <w:spacing w:before="75" w:beforeAutospacing="0" w:after="225" w:afterAutospacing="0"/>
            </w:pPr>
            <w:r>
              <w:t>Доза</w:t>
            </w:r>
          </w:p>
        </w:tc>
      </w:tr>
      <w:tr w:rsidR="004C062E" w14:paraId="38EC4CBC" w14:textId="77777777">
        <w:tc>
          <w:tcPr>
            <w:tcW w:w="0" w:type="auto"/>
            <w:gridSpan w:val="2"/>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4A54F949" w14:textId="77777777" w:rsidR="004C062E" w:rsidRDefault="002C7340" w:rsidP="00A419DB">
            <w:pPr>
              <w:pStyle w:val="af5"/>
              <w:suppressAutoHyphens/>
              <w:spacing w:before="75" w:beforeAutospacing="0" w:after="225" w:afterAutospacing="0"/>
              <w:jc w:val="center"/>
            </w:pPr>
            <w:r>
              <w:t>Парентеральные формы</w:t>
            </w:r>
          </w:p>
        </w:tc>
      </w:tr>
      <w:tr w:rsidR="004C062E" w14:paraId="62B10FA5"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C4896F8" w14:textId="77777777" w:rsidR="004C062E" w:rsidRDefault="002C7340" w:rsidP="00A419DB">
            <w:pPr>
              <w:pStyle w:val="af5"/>
              <w:suppressAutoHyphens/>
              <w:spacing w:before="75" w:beforeAutospacing="0" w:after="225" w:afterAutospacing="0"/>
            </w:pPr>
            <w:r>
              <w:t>Метопролол</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67D49DA7" w14:textId="77777777" w:rsidR="004C062E" w:rsidRDefault="002C7340" w:rsidP="00A419DB">
            <w:pPr>
              <w:pStyle w:val="af5"/>
              <w:suppressAutoHyphens/>
              <w:spacing w:before="75" w:beforeAutospacing="0" w:after="225" w:afterAutospacing="0"/>
            </w:pPr>
            <w:r>
              <w:t>В/в медленно под контролем ЭКГ и АД по 5 мг 2-3 раза с интервалом как минимум 2 мин; при хорошей переносимости через 15 мин после последнего в/в введения прием внутрь до 50 мг каждые 6 ч в течение 48 ч</w:t>
            </w:r>
          </w:p>
        </w:tc>
      </w:tr>
      <w:tr w:rsidR="004C062E" w14:paraId="731F684A" w14:textId="77777777">
        <w:tc>
          <w:tcPr>
            <w:tcW w:w="0" w:type="auto"/>
            <w:gridSpan w:val="2"/>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3DB21012" w14:textId="77777777" w:rsidR="004C062E" w:rsidRDefault="002C7340" w:rsidP="00A419DB">
            <w:pPr>
              <w:pStyle w:val="af5"/>
              <w:suppressAutoHyphens/>
              <w:spacing w:before="75" w:beforeAutospacing="0" w:after="225" w:afterAutospacing="0"/>
              <w:jc w:val="center"/>
            </w:pPr>
            <w:r>
              <w:t>Пероральные формы</w:t>
            </w:r>
          </w:p>
        </w:tc>
      </w:tr>
      <w:tr w:rsidR="004C062E" w14:paraId="5251819B"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16F0D25A" w14:textId="77777777" w:rsidR="004C062E" w:rsidRDefault="002C7340" w:rsidP="00A419DB">
            <w:pPr>
              <w:pStyle w:val="af5"/>
              <w:suppressAutoHyphens/>
              <w:spacing w:before="75" w:beforeAutospacing="0" w:after="225" w:afterAutospacing="0"/>
            </w:pPr>
            <w:r>
              <w:t>#Карведилол</w:t>
            </w:r>
            <w:r>
              <w:rPr>
                <w:vertAlign w:val="superscript"/>
              </w:rPr>
              <w:t>#</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2FC276BA" w14:textId="77777777" w:rsidR="004C062E" w:rsidRDefault="002C7340" w:rsidP="00A419DB">
            <w:pPr>
              <w:pStyle w:val="af5"/>
              <w:suppressAutoHyphens/>
              <w:spacing w:before="75" w:beforeAutospacing="0" w:after="225" w:afterAutospacing="0"/>
            </w:pPr>
            <w:r>
              <w:t>Внутрь; начальная доза 3,125-6,25 мг 2 раза/сут., при хорошей переносимости увеличение дозы с интервалом 3-10 сут. до 25 мг 2 раза/сут. У пациентов с ХСН и другими ограничениями к применению бета-адреноблокаторов целесообразна медленная титрация дозы</w:t>
            </w:r>
          </w:p>
        </w:tc>
      </w:tr>
      <w:tr w:rsidR="004C062E" w14:paraId="27DB0DA6"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1BE5EE74" w14:textId="77777777" w:rsidR="004C062E" w:rsidRDefault="002C7340" w:rsidP="00A419DB">
            <w:pPr>
              <w:pStyle w:val="af5"/>
              <w:suppressAutoHyphens/>
              <w:spacing w:before="75" w:beforeAutospacing="0" w:after="225" w:afterAutospacing="0"/>
            </w:pPr>
            <w:r>
              <w:t>Метопролол</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EF99521" w14:textId="77777777" w:rsidR="004C062E" w:rsidRDefault="002C7340" w:rsidP="00A419DB">
            <w:pPr>
              <w:pStyle w:val="af5"/>
              <w:suppressAutoHyphens/>
              <w:spacing w:before="75" w:beforeAutospacing="0" w:after="225" w:afterAutospacing="0"/>
            </w:pPr>
            <w:r>
              <w:t>Целевая доза метопролола при ИМ внутрь 100 мг в 2 раз/сут., при применении пролонгированных форм — 200 мг 1 раз/сут. Начальная доза 12,5-25 мг 2 раза/сут. у пациентов с ХСН и другими ограничениями к применению бета-адреноблокаторов</w:t>
            </w:r>
          </w:p>
        </w:tc>
      </w:tr>
    </w:tbl>
    <w:p w14:paraId="44362F70" w14:textId="77777777" w:rsidR="004C062E" w:rsidRDefault="004C062E" w:rsidP="00A419DB">
      <w:pPr>
        <w:suppressAutoHyphens/>
        <w:rPr>
          <w:rFonts w:ascii="Times New Roman" w:hAnsi="Times New Roman" w:cs="Times New Roman"/>
          <w:color w:val="000000" w:themeColor="text1"/>
          <w:sz w:val="24"/>
          <w:szCs w:val="24"/>
        </w:rPr>
      </w:pPr>
    </w:p>
    <w:p w14:paraId="6DC6B48D" w14:textId="77777777" w:rsidR="004C062E" w:rsidRDefault="002C7340" w:rsidP="00A419DB">
      <w:pPr>
        <w:pStyle w:val="af5"/>
        <w:suppressAutoHyphens/>
        <w:spacing w:before="75" w:beforeAutospacing="0" w:after="225" w:afterAutospacing="0"/>
        <w:jc w:val="center"/>
        <w:rPr>
          <w:color w:val="000000" w:themeColor="text1"/>
        </w:rPr>
      </w:pPr>
      <w:r>
        <w:rPr>
          <w:rStyle w:val="a7"/>
          <w:color w:val="000000" w:themeColor="text1"/>
        </w:rPr>
        <w:t>Блокаторы ренин-ангиотензин-альдостероновой системы при ИМпST</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902"/>
        <w:gridCol w:w="7348"/>
      </w:tblGrid>
      <w:tr w:rsidR="004C062E" w14:paraId="00480C8D"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7B096F65" w14:textId="77777777" w:rsidR="004C062E" w:rsidRDefault="002C7340" w:rsidP="00A419DB">
            <w:pPr>
              <w:pStyle w:val="af5"/>
              <w:suppressAutoHyphens/>
              <w:spacing w:before="75" w:beforeAutospacing="0" w:after="225" w:afterAutospacing="0"/>
            </w:pPr>
            <w:r>
              <w:t>Препарат</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34035E5E" w14:textId="77777777" w:rsidR="004C062E" w:rsidRDefault="002C7340" w:rsidP="00A419DB">
            <w:pPr>
              <w:pStyle w:val="af5"/>
              <w:suppressAutoHyphens/>
              <w:spacing w:before="75" w:beforeAutospacing="0" w:after="225" w:afterAutospacing="0"/>
            </w:pPr>
            <w:r>
              <w:t>Доза</w:t>
            </w:r>
          </w:p>
        </w:tc>
      </w:tr>
      <w:tr w:rsidR="004C062E" w14:paraId="58C47B4C" w14:textId="77777777">
        <w:tc>
          <w:tcPr>
            <w:tcW w:w="0" w:type="auto"/>
            <w:gridSpan w:val="2"/>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67162CE0" w14:textId="77777777" w:rsidR="004C062E" w:rsidRDefault="002C7340" w:rsidP="00A419DB">
            <w:pPr>
              <w:pStyle w:val="af5"/>
              <w:suppressAutoHyphens/>
              <w:spacing w:before="75" w:beforeAutospacing="0" w:after="225" w:afterAutospacing="0"/>
              <w:jc w:val="center"/>
            </w:pPr>
            <w:r>
              <w:t>Ингибиторы ангиотензинпревращающего фермента</w:t>
            </w:r>
          </w:p>
        </w:tc>
      </w:tr>
      <w:tr w:rsidR="004C062E" w14:paraId="51AE9906"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4BAE662" w14:textId="77777777" w:rsidR="004C062E" w:rsidRDefault="002C7340" w:rsidP="00A419DB">
            <w:pPr>
              <w:pStyle w:val="af5"/>
              <w:suppressAutoHyphens/>
              <w:spacing w:before="75" w:beforeAutospacing="0" w:after="225" w:afterAutospacing="0"/>
            </w:pPr>
            <w:r>
              <w:t>Каптоприл</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1124F3EE" w14:textId="77777777" w:rsidR="004C062E" w:rsidRDefault="002C7340" w:rsidP="00A419DB">
            <w:pPr>
              <w:pStyle w:val="af5"/>
              <w:suppressAutoHyphens/>
              <w:spacing w:before="75" w:beforeAutospacing="0" w:after="225" w:afterAutospacing="0"/>
            </w:pPr>
            <w:r>
              <w:t>Внутрь; первая доза 6,25 мг, через 2 ч 12,5 мг, через 12 ч 25 мг. Целевая доза 100 мг за 2 приема на 4 нед. По истечении 4 нед. следует вновь оценить состояние пациента и при хорошей переносимости продолжить терапию в дозе 50 мг 3 раза/сут.</w:t>
            </w:r>
          </w:p>
        </w:tc>
      </w:tr>
      <w:tr w:rsidR="004C062E" w14:paraId="04DC240D"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3231516C" w14:textId="77777777" w:rsidR="004C062E" w:rsidRDefault="002C7340" w:rsidP="00A419DB">
            <w:pPr>
              <w:pStyle w:val="af5"/>
              <w:suppressAutoHyphens/>
              <w:spacing w:before="75" w:beforeAutospacing="0" w:after="225" w:afterAutospacing="0"/>
            </w:pPr>
            <w:r>
              <w:t>Лизиноприл</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290D78B3" w14:textId="77777777" w:rsidR="004C062E" w:rsidRDefault="002C7340" w:rsidP="00A419DB">
            <w:pPr>
              <w:pStyle w:val="af5"/>
              <w:suppressAutoHyphens/>
              <w:spacing w:before="75" w:beforeAutospacing="0" w:after="225" w:afterAutospacing="0"/>
            </w:pPr>
            <w:r>
              <w:t>Внутрь; первая доза 5 мг, через 24 ч — 5 мг; целевая доза 10 мг 1 раз/сут.</w:t>
            </w:r>
          </w:p>
        </w:tc>
      </w:tr>
      <w:tr w:rsidR="004C062E" w14:paraId="0AB0CB21"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C5FC2F8" w14:textId="77777777" w:rsidR="004C062E" w:rsidRDefault="002C7340" w:rsidP="00A419DB">
            <w:pPr>
              <w:pStyle w:val="af5"/>
              <w:suppressAutoHyphens/>
              <w:spacing w:before="75" w:beforeAutospacing="0" w:after="225" w:afterAutospacing="0"/>
            </w:pPr>
            <w:r>
              <w:t>Зофеноприл</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0C75911" w14:textId="77777777" w:rsidR="004C062E" w:rsidRDefault="002C7340" w:rsidP="00A419DB">
            <w:pPr>
              <w:pStyle w:val="af5"/>
              <w:suppressAutoHyphens/>
              <w:spacing w:before="75" w:beforeAutospacing="0" w:after="225" w:afterAutospacing="0"/>
            </w:pPr>
            <w:r>
              <w:t>Внутрь; 7,5 мг 2 раза/сут. в 1-2-е сутки, при хорошей переносимости 15 мг 2 раза/сут. на 3-4-е сутки, затем 30 мг 2 раза/сут.</w:t>
            </w:r>
          </w:p>
        </w:tc>
      </w:tr>
      <w:tr w:rsidR="004C062E" w14:paraId="371F5E46"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3B6D5E52" w14:textId="77777777" w:rsidR="004C062E" w:rsidRDefault="002C7340" w:rsidP="00A419DB">
            <w:pPr>
              <w:pStyle w:val="af5"/>
              <w:suppressAutoHyphens/>
              <w:spacing w:before="75" w:beforeAutospacing="0" w:after="225" w:afterAutospacing="0"/>
            </w:pPr>
            <w:r>
              <w:lastRenderedPageBreak/>
              <w:t>Рамиприл</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6DC84581" w14:textId="77777777" w:rsidR="004C062E" w:rsidRDefault="002C7340" w:rsidP="00A419DB">
            <w:pPr>
              <w:pStyle w:val="af5"/>
              <w:suppressAutoHyphens/>
              <w:spacing w:before="75" w:beforeAutospacing="0" w:after="225" w:afterAutospacing="0"/>
            </w:pPr>
            <w:r>
              <w:t>Внутрь; начальная доза: 2,5 мг 1 раз/сут. Рекомендуется удваивать дозу с интервалом 1-2 нед.; целевая доза 5 мг 2 раза/сут.</w:t>
            </w:r>
          </w:p>
        </w:tc>
      </w:tr>
      <w:tr w:rsidR="004C062E" w14:paraId="74D056BB"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4970795F" w14:textId="77777777" w:rsidR="004C062E" w:rsidRDefault="002C7340" w:rsidP="00A419DB">
            <w:pPr>
              <w:pStyle w:val="af5"/>
              <w:suppressAutoHyphens/>
              <w:spacing w:before="75" w:beforeAutospacing="0" w:after="225" w:afterAutospacing="0"/>
            </w:pPr>
            <w:r>
              <w:t>Эналаприл</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7AED1876" w14:textId="77777777" w:rsidR="004C062E" w:rsidRDefault="002C7340" w:rsidP="00A419DB">
            <w:pPr>
              <w:pStyle w:val="af5"/>
              <w:suppressAutoHyphens/>
              <w:spacing w:before="75" w:beforeAutospacing="0" w:after="225" w:afterAutospacing="0"/>
            </w:pPr>
            <w:r>
              <w:t>Внутрь; начальная доза 2,5 мг; целевая доза 10 мг 2 раза/сут.</w:t>
            </w:r>
          </w:p>
        </w:tc>
      </w:tr>
      <w:tr w:rsidR="004C062E" w14:paraId="420877CA" w14:textId="77777777">
        <w:tc>
          <w:tcPr>
            <w:tcW w:w="0" w:type="auto"/>
            <w:gridSpan w:val="2"/>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779C4B7A" w14:textId="77777777" w:rsidR="004C062E" w:rsidRDefault="002C7340" w:rsidP="00A419DB">
            <w:pPr>
              <w:pStyle w:val="af5"/>
              <w:suppressAutoHyphens/>
              <w:spacing w:before="75" w:beforeAutospacing="0" w:after="225" w:afterAutospacing="0"/>
              <w:jc w:val="center"/>
            </w:pPr>
            <w:r>
              <w:t>Блокаторы рецептора ангиотензина II</w:t>
            </w:r>
          </w:p>
        </w:tc>
      </w:tr>
      <w:tr w:rsidR="004C062E" w14:paraId="7F573086"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9E84C95" w14:textId="77777777" w:rsidR="004C062E" w:rsidRDefault="002C7340" w:rsidP="00A419DB">
            <w:pPr>
              <w:pStyle w:val="af5"/>
              <w:suppressAutoHyphens/>
              <w:spacing w:before="75" w:beforeAutospacing="0" w:after="225" w:afterAutospacing="0"/>
            </w:pPr>
            <w:r>
              <w:t>Валсартан</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3FCEE5EB" w14:textId="77777777" w:rsidR="004C062E" w:rsidRDefault="002C7340" w:rsidP="00A419DB">
            <w:pPr>
              <w:pStyle w:val="af5"/>
              <w:suppressAutoHyphens/>
              <w:spacing w:before="75" w:beforeAutospacing="0" w:after="225" w:afterAutospacing="0"/>
            </w:pPr>
            <w:r>
              <w:t>Внутрь; первая доза 20 мг 2 раза/сут. с постепенным увеличением до 160 мг 2 раза/сут.</w:t>
            </w:r>
          </w:p>
        </w:tc>
      </w:tr>
      <w:tr w:rsidR="004C062E" w14:paraId="0899C93B" w14:textId="77777777">
        <w:tc>
          <w:tcPr>
            <w:tcW w:w="0" w:type="auto"/>
            <w:gridSpan w:val="2"/>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4EED81CF" w14:textId="77777777" w:rsidR="004C062E" w:rsidRDefault="002C7340" w:rsidP="00A419DB">
            <w:pPr>
              <w:pStyle w:val="af5"/>
              <w:suppressAutoHyphens/>
              <w:spacing w:before="75" w:beforeAutospacing="0" w:after="225" w:afterAutospacing="0"/>
              <w:jc w:val="center"/>
            </w:pPr>
            <w:r>
              <w:t>Антагонисты альдостерона</w:t>
            </w:r>
          </w:p>
        </w:tc>
      </w:tr>
      <w:tr w:rsidR="004C062E" w14:paraId="54CADB7B"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EC9868C" w14:textId="77777777" w:rsidR="004C062E" w:rsidRDefault="002C7340" w:rsidP="00A419DB">
            <w:pPr>
              <w:pStyle w:val="af5"/>
              <w:suppressAutoHyphens/>
              <w:spacing w:before="75" w:beforeAutospacing="0" w:after="225" w:afterAutospacing="0"/>
            </w:pPr>
            <w:r>
              <w:t>Эплеренон</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643B5F7B" w14:textId="77777777" w:rsidR="004C062E" w:rsidRDefault="002C7340" w:rsidP="00A419DB">
            <w:pPr>
              <w:pStyle w:val="af5"/>
              <w:suppressAutoHyphens/>
              <w:spacing w:before="75" w:beforeAutospacing="0" w:after="225" w:afterAutospacing="0"/>
            </w:pPr>
            <w:r>
              <w:t>Внутрь при уровне креатинина в крови у мужчин &lt;2,5 мг/дл (220 мкмоль/л), &lt;2,0 мг/дл (177 мкмоль/л) у женщин и уровне калия в крови &lt;5 ммоль/л; первая доза 25 мг 1 раз/сут. при хорошей переносимости у пациентов, не принимающих амиодарон, дилтиазем или верапамил, в ближайшие 4 нед. увеличение дозы до 50 мг 1 раз/сут.</w:t>
            </w:r>
          </w:p>
        </w:tc>
      </w:tr>
      <w:tr w:rsidR="004C062E" w14:paraId="3314A068"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552E9CF" w14:textId="77777777" w:rsidR="004C062E" w:rsidRDefault="002C7340" w:rsidP="00A419DB">
            <w:pPr>
              <w:pStyle w:val="af5"/>
              <w:suppressAutoHyphens/>
              <w:spacing w:before="75" w:beforeAutospacing="0" w:after="225" w:afterAutospacing="0"/>
            </w:pPr>
            <w:r>
              <w:t>Спиронолактон</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8E061CB" w14:textId="77777777" w:rsidR="004C062E" w:rsidRDefault="002C7340" w:rsidP="00A419DB">
            <w:pPr>
              <w:pStyle w:val="af5"/>
              <w:suppressAutoHyphens/>
              <w:spacing w:before="75" w:beforeAutospacing="0" w:after="225" w:afterAutospacing="0"/>
            </w:pPr>
            <w:r>
              <w:t>При наличии показаний (см. Раздел 3.2.7) внутрь при уровне креатинина в крови &lt;220 мкмоль/л и уровне калия к крови &lt;5 ммоль/л; доза — 25 мг 1 раз/сут. Перерыв в приеме при уровне калия в крови &gt;5,5 ммоль/л, отмена при уровне калия в крови &gt;6 ммоль/л </w:t>
            </w:r>
            <w:hyperlink r:id="rId329" w:history="1">
              <w:r>
                <w:rPr>
                  <w:rStyle w:val="a6"/>
                  <w:color w:val="29ABE2"/>
                  <w:u w:val="none"/>
                </w:rPr>
                <w:t>[330]</w:t>
              </w:r>
            </w:hyperlink>
            <w:hyperlink r:id="rId330" w:history="1">
              <w:r>
                <w:rPr>
                  <w:rStyle w:val="a6"/>
                  <w:color w:val="29ABE2"/>
                  <w:u w:val="none"/>
                </w:rPr>
                <w:t>[527]</w:t>
              </w:r>
            </w:hyperlink>
            <w:hyperlink r:id="rId331" w:history="1">
              <w:r>
                <w:rPr>
                  <w:rStyle w:val="a6"/>
                  <w:color w:val="29ABE2"/>
                  <w:u w:val="none"/>
                </w:rPr>
                <w:t>[528]</w:t>
              </w:r>
            </w:hyperlink>
            <w:r>
              <w:t>.</w:t>
            </w:r>
          </w:p>
        </w:tc>
      </w:tr>
    </w:tbl>
    <w:p w14:paraId="395A92B1" w14:textId="36E40D37" w:rsidR="004C062E" w:rsidRDefault="004C062E" w:rsidP="00A419DB">
      <w:pPr>
        <w:suppressAutoHyphens/>
        <w:rPr>
          <w:rFonts w:ascii="Times New Roman" w:hAnsi="Times New Roman" w:cs="Times New Roman"/>
          <w:color w:val="000000" w:themeColor="text1"/>
          <w:szCs w:val="24"/>
        </w:rPr>
      </w:pPr>
    </w:p>
    <w:p w14:paraId="62BA7321" w14:textId="77777777" w:rsidR="004C062E" w:rsidRDefault="002C7340" w:rsidP="00A419DB">
      <w:pPr>
        <w:suppressAutoHyphens/>
        <w:spacing w:before="75" w:after="225" w:line="240" w:lineRule="auto"/>
        <w:jc w:val="center"/>
        <w:rPr>
          <w:rFonts w:ascii="Times New Roman" w:eastAsia="Times New Roman" w:hAnsi="Times New Roman" w:cs="Times New Roman"/>
          <w:color w:val="000000" w:themeColor="text1"/>
          <w:sz w:val="24"/>
          <w:szCs w:val="26"/>
        </w:rPr>
      </w:pPr>
      <w:r>
        <w:rPr>
          <w:rFonts w:ascii="Times New Roman" w:eastAsia="Times New Roman" w:hAnsi="Times New Roman" w:cs="Times New Roman"/>
          <w:b/>
          <w:bCs/>
          <w:color w:val="000000" w:themeColor="text1"/>
          <w:sz w:val="24"/>
          <w:szCs w:val="26"/>
        </w:rPr>
        <w:t>Органические нитраты</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906"/>
        <w:gridCol w:w="7344"/>
      </w:tblGrid>
      <w:tr w:rsidR="004C062E" w14:paraId="1E2F06A3"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25DFA93C" w14:textId="77777777" w:rsidR="004C062E" w:rsidRDefault="002C7340" w:rsidP="00A419DB">
            <w:pPr>
              <w:suppressAutoHyphens/>
              <w:spacing w:before="75" w:after="225"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Препарат</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106C1A06" w14:textId="77777777" w:rsidR="004C062E" w:rsidRDefault="002C7340" w:rsidP="00A419DB">
            <w:pPr>
              <w:suppressAutoHyphens/>
              <w:spacing w:before="75" w:after="225"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Доза</w:t>
            </w:r>
          </w:p>
        </w:tc>
      </w:tr>
      <w:tr w:rsidR="004C062E" w14:paraId="4CB2B84C"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D1E665F" w14:textId="77777777" w:rsidR="004C062E" w:rsidRDefault="002C7340" w:rsidP="00A419DB">
            <w:pPr>
              <w:suppressAutoHyphens/>
              <w:spacing w:before="75" w:after="225"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Нитроглицерин</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624A051B" w14:textId="77777777" w:rsidR="004C062E" w:rsidRDefault="002C7340" w:rsidP="00A419DB">
            <w:pPr>
              <w:suppressAutoHyphens/>
              <w:spacing w:before="75" w:after="225"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Внутривенная инфузия 5-166 мкг/мин; обычно сначала инфузия 10-20 мкг/мин с возможным увеличением на 5-10 мкг/мин каждые 5-10 мин до уменьшения симптомов и/или снижения систолического АД на 10-15% при исходно нормальном АД и на 25-30% при АГ (но не &lt;95 мм рт.ст.)</w:t>
            </w:r>
          </w:p>
        </w:tc>
      </w:tr>
    </w:tbl>
    <w:p w14:paraId="7F550D21" w14:textId="77777777" w:rsidR="004C062E" w:rsidRDefault="004C062E" w:rsidP="00A419DB">
      <w:pPr>
        <w:suppressAutoHyphens/>
        <w:rPr>
          <w:rFonts w:ascii="Times New Roman" w:hAnsi="Times New Roman"/>
          <w:sz w:val="24"/>
          <w:szCs w:val="24"/>
        </w:rPr>
      </w:pPr>
    </w:p>
    <w:p w14:paraId="7CE59CCD"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rPr>
      </w:pPr>
      <w:r>
        <w:rPr>
          <w:rStyle w:val="a7"/>
          <w:color w:val="000000" w:themeColor="text1"/>
        </w:rPr>
        <w:t>Показания для инсулинотерапии у пациентов ИМпST и СД</w:t>
      </w:r>
    </w:p>
    <w:p w14:paraId="0FBD6162" w14:textId="77777777" w:rsidR="004C062E" w:rsidRDefault="002C7340" w:rsidP="00A419DB">
      <w:pPr>
        <w:numPr>
          <w:ilvl w:val="0"/>
          <w:numId w:val="97"/>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СД 1 типа.</w:t>
      </w:r>
    </w:p>
    <w:p w14:paraId="6F4D9848" w14:textId="77777777" w:rsidR="004C062E" w:rsidRDefault="002C7340" w:rsidP="00A419DB">
      <w:pPr>
        <w:numPr>
          <w:ilvl w:val="0"/>
          <w:numId w:val="97"/>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Глюкоза плазмы при поступлении и последующих определениях стойко &gt;10 ммоль/л.</w:t>
      </w:r>
    </w:p>
    <w:p w14:paraId="0ED7FE64" w14:textId="77777777" w:rsidR="004C062E" w:rsidRDefault="002C7340" w:rsidP="00A419DB">
      <w:pPr>
        <w:numPr>
          <w:ilvl w:val="0"/>
          <w:numId w:val="97"/>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Диабетический кетоацидоз.</w:t>
      </w:r>
    </w:p>
    <w:p w14:paraId="0F46FC1A" w14:textId="77777777" w:rsidR="004C062E" w:rsidRDefault="002C7340" w:rsidP="00A419DB">
      <w:pPr>
        <w:numPr>
          <w:ilvl w:val="0"/>
          <w:numId w:val="97"/>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Гиперосмолярное гипергликемическое состояние.</w:t>
      </w:r>
    </w:p>
    <w:p w14:paraId="314226A5" w14:textId="77777777" w:rsidR="004C062E" w:rsidRDefault="002C7340" w:rsidP="00A419DB">
      <w:pPr>
        <w:numPr>
          <w:ilvl w:val="0"/>
          <w:numId w:val="97"/>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Известное лечение высокими дозами стероидов.</w:t>
      </w:r>
    </w:p>
    <w:p w14:paraId="51D1606E" w14:textId="77777777" w:rsidR="004C062E" w:rsidRDefault="002C7340" w:rsidP="00A419DB">
      <w:pPr>
        <w:numPr>
          <w:ilvl w:val="0"/>
          <w:numId w:val="97"/>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Парентеральное питание.</w:t>
      </w:r>
    </w:p>
    <w:p w14:paraId="686D49A7" w14:textId="77777777" w:rsidR="004C062E" w:rsidRDefault="002C7340" w:rsidP="00A419DB">
      <w:pPr>
        <w:numPr>
          <w:ilvl w:val="0"/>
          <w:numId w:val="97"/>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Тяжелое/критическое состояние.</w:t>
      </w:r>
    </w:p>
    <w:p w14:paraId="43AF88E0" w14:textId="77777777" w:rsidR="004C062E" w:rsidRDefault="002C7340" w:rsidP="00A419DB">
      <w:pPr>
        <w:numPr>
          <w:ilvl w:val="0"/>
          <w:numId w:val="97"/>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Кардиогенный шок, выраженная застойная СН, тяжелая постинфарктная стенокардия, артериальная гипотензия, тяжелые нарушения сердечного ритма.</w:t>
      </w:r>
    </w:p>
    <w:p w14:paraId="104D7657" w14:textId="3F9B775D" w:rsidR="004C062E" w:rsidRPr="000C2EC4" w:rsidRDefault="002C7340" w:rsidP="00A419DB">
      <w:pPr>
        <w:numPr>
          <w:ilvl w:val="0"/>
          <w:numId w:val="97"/>
        </w:numPr>
        <w:shd w:val="clear" w:color="auto" w:fill="FFFFFF"/>
        <w:suppressAutoHyphens/>
        <w:spacing w:before="100" w:beforeAutospacing="1" w:after="100" w:afterAutospacing="1" w:line="36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Любая степень нарушения сознания.</w:t>
      </w:r>
    </w:p>
    <w:p w14:paraId="06C1A6D9" w14:textId="77777777" w:rsidR="004C062E" w:rsidRDefault="002C7340" w:rsidP="00A419DB">
      <w:pPr>
        <w:suppressAutoHyphens/>
        <w:rPr>
          <w:rFonts w:ascii="Times New Roman" w:hAnsi="Times New Roman" w:cs="Times New Roman"/>
          <w:color w:val="000000" w:themeColor="text1"/>
          <w:sz w:val="24"/>
          <w:szCs w:val="24"/>
        </w:rPr>
      </w:pPr>
      <w:r>
        <w:rPr>
          <w:rStyle w:val="a7"/>
          <w:rFonts w:ascii="Times New Roman" w:hAnsi="Times New Roman" w:cs="Times New Roman"/>
          <w:color w:val="000000" w:themeColor="text1"/>
          <w:sz w:val="24"/>
          <w:szCs w:val="24"/>
        </w:rPr>
        <w:t>Классификация СН при ИМ по Killip</w:t>
      </w:r>
      <w:r>
        <w:rPr>
          <w:rFonts w:ascii="Times New Roman" w:hAnsi="Times New Roman" w:cs="Times New Roman"/>
          <w:color w:val="000000" w:themeColor="text1"/>
          <w:sz w:val="24"/>
          <w:szCs w:val="24"/>
        </w:rPr>
        <w:t>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00"/>
        <w:gridCol w:w="5423"/>
        <w:gridCol w:w="2927"/>
      </w:tblGrid>
      <w:tr w:rsidR="004C062E" w14:paraId="7F8D72C5"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4E2A91FF" w14:textId="77777777" w:rsidR="004C062E" w:rsidRDefault="002C7340" w:rsidP="00A419DB">
            <w:pPr>
              <w:pStyle w:val="af5"/>
              <w:suppressAutoHyphens/>
              <w:spacing w:before="75" w:beforeAutospacing="0" w:after="225" w:afterAutospacing="0"/>
            </w:pPr>
            <w:r>
              <w:t>Класс</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22FC232" w14:textId="77777777" w:rsidR="004C062E" w:rsidRDefault="002C7340" w:rsidP="00A419DB">
            <w:pPr>
              <w:pStyle w:val="af5"/>
              <w:suppressAutoHyphens/>
              <w:spacing w:before="75" w:beforeAutospacing="0" w:after="225" w:afterAutospacing="0"/>
            </w:pPr>
            <w:r>
              <w:t>Признаки</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D39DAD9" w14:textId="77777777" w:rsidR="004C062E" w:rsidRDefault="002C7340" w:rsidP="00A419DB">
            <w:pPr>
              <w:pStyle w:val="af5"/>
              <w:suppressAutoHyphens/>
              <w:spacing w:before="75" w:beforeAutospacing="0" w:after="225" w:afterAutospacing="0"/>
            </w:pPr>
            <w:r>
              <w:t>Госпитальная смертность</w:t>
            </w:r>
          </w:p>
        </w:tc>
      </w:tr>
      <w:tr w:rsidR="004C062E" w14:paraId="5D363CBA"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7078FBC1" w14:textId="77777777" w:rsidR="004C062E" w:rsidRDefault="002C7340" w:rsidP="00A419DB">
            <w:pPr>
              <w:pStyle w:val="af5"/>
              <w:suppressAutoHyphens/>
              <w:spacing w:before="75" w:beforeAutospacing="0" w:after="225" w:afterAutospacing="0"/>
            </w:pPr>
            <w:r>
              <w:t>I</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6C5F159E" w14:textId="77777777" w:rsidR="004C062E" w:rsidRDefault="002C7340" w:rsidP="00A419DB">
            <w:pPr>
              <w:pStyle w:val="af5"/>
              <w:suppressAutoHyphens/>
              <w:spacing w:before="75" w:beforeAutospacing="0" w:after="225" w:afterAutospacing="0"/>
            </w:pPr>
            <w:r>
              <w:t>Нет признаков сердечной недостаточности</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16CD4E01" w14:textId="77777777" w:rsidR="004C062E" w:rsidRDefault="002C7340" w:rsidP="00A419DB">
            <w:pPr>
              <w:pStyle w:val="af5"/>
              <w:suppressAutoHyphens/>
              <w:spacing w:before="75" w:beforeAutospacing="0" w:after="225" w:afterAutospacing="0"/>
            </w:pPr>
            <w:r>
              <w:t>2-3%</w:t>
            </w:r>
          </w:p>
        </w:tc>
      </w:tr>
      <w:tr w:rsidR="004C062E" w14:paraId="094191B3"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4C4868A" w14:textId="77777777" w:rsidR="004C062E" w:rsidRDefault="002C7340" w:rsidP="00A419DB">
            <w:pPr>
              <w:pStyle w:val="af5"/>
              <w:suppressAutoHyphens/>
              <w:spacing w:before="75" w:beforeAutospacing="0" w:after="225" w:afterAutospacing="0"/>
            </w:pPr>
            <w:r>
              <w:t>II</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269FCE1" w14:textId="77777777" w:rsidR="004C062E" w:rsidRDefault="002C7340" w:rsidP="00A419DB">
            <w:pPr>
              <w:pStyle w:val="af5"/>
              <w:suppressAutoHyphens/>
              <w:spacing w:before="75" w:beforeAutospacing="0" w:after="225" w:afterAutospacing="0"/>
            </w:pPr>
            <w:r>
              <w:t>III тон, влажные хрипы в нижних отделах легких</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371705AD" w14:textId="77777777" w:rsidR="004C062E" w:rsidRDefault="002C7340" w:rsidP="00A419DB">
            <w:pPr>
              <w:pStyle w:val="af5"/>
              <w:suppressAutoHyphens/>
              <w:spacing w:before="75" w:beforeAutospacing="0" w:after="225" w:afterAutospacing="0"/>
            </w:pPr>
            <w:r>
              <w:t>5-12%</w:t>
            </w:r>
          </w:p>
        </w:tc>
      </w:tr>
      <w:tr w:rsidR="004C062E" w14:paraId="4329D61D"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337F2DF6" w14:textId="77777777" w:rsidR="004C062E" w:rsidRDefault="002C7340" w:rsidP="00A419DB">
            <w:pPr>
              <w:pStyle w:val="af5"/>
              <w:suppressAutoHyphens/>
              <w:spacing w:before="75" w:beforeAutospacing="0" w:after="225" w:afterAutospacing="0"/>
            </w:pPr>
            <w:r>
              <w:t>III</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3112F71B" w14:textId="77777777" w:rsidR="004C062E" w:rsidRDefault="002C7340" w:rsidP="00A419DB">
            <w:pPr>
              <w:pStyle w:val="af5"/>
              <w:suppressAutoHyphens/>
              <w:spacing w:before="75" w:beforeAutospacing="0" w:after="225" w:afterAutospacing="0"/>
            </w:pPr>
            <w:r>
              <w:t>Отек легких, влажные хрипы выше углов лопаток</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3F9E9E40" w14:textId="77777777" w:rsidR="004C062E" w:rsidRDefault="002C7340" w:rsidP="00A419DB">
            <w:pPr>
              <w:pStyle w:val="af5"/>
              <w:suppressAutoHyphens/>
              <w:spacing w:before="75" w:beforeAutospacing="0" w:after="225" w:afterAutospacing="0"/>
            </w:pPr>
            <w:r>
              <w:t>10-20%</w:t>
            </w:r>
          </w:p>
        </w:tc>
      </w:tr>
      <w:tr w:rsidR="004C062E" w14:paraId="0B3C39AF"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370800B6" w14:textId="77777777" w:rsidR="004C062E" w:rsidRDefault="002C7340" w:rsidP="00A419DB">
            <w:pPr>
              <w:pStyle w:val="af5"/>
              <w:suppressAutoHyphens/>
              <w:spacing w:before="75" w:beforeAutospacing="0" w:after="225" w:afterAutospacing="0"/>
            </w:pPr>
            <w:r>
              <w:t>IV</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4910085B" w14:textId="77777777" w:rsidR="004C062E" w:rsidRDefault="002C7340" w:rsidP="00A419DB">
            <w:pPr>
              <w:pStyle w:val="af5"/>
              <w:suppressAutoHyphens/>
              <w:spacing w:before="75" w:beforeAutospacing="0" w:after="225" w:afterAutospacing="0"/>
            </w:pPr>
            <w:r>
              <w:t>Кардиогенный шок</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71D546B" w14:textId="77777777" w:rsidR="004C062E" w:rsidRDefault="002C7340" w:rsidP="00A419DB">
            <w:pPr>
              <w:pStyle w:val="af5"/>
              <w:suppressAutoHyphens/>
              <w:spacing w:before="75" w:beforeAutospacing="0" w:after="225" w:afterAutospacing="0"/>
            </w:pPr>
            <w:r>
              <w:t>50-81%</w:t>
            </w:r>
          </w:p>
        </w:tc>
      </w:tr>
    </w:tbl>
    <w:p w14:paraId="207D9384" w14:textId="77777777" w:rsidR="004C062E" w:rsidRDefault="004C062E" w:rsidP="00A419DB">
      <w:pPr>
        <w:suppressAutoHyphens/>
        <w:rPr>
          <w:rStyle w:val="a7"/>
          <w:rFonts w:ascii="Arial" w:hAnsi="Arial" w:cs="Arial"/>
          <w:color w:val="666666"/>
          <w:sz w:val="26"/>
          <w:szCs w:val="26"/>
        </w:rPr>
      </w:pPr>
    </w:p>
    <w:p w14:paraId="0C90F77D" w14:textId="77777777" w:rsidR="004C062E" w:rsidRDefault="002C7340" w:rsidP="00A419DB">
      <w:pPr>
        <w:suppressAutoHyphens/>
        <w:rPr>
          <w:rFonts w:ascii="Times New Roman" w:hAnsi="Times New Roman" w:cs="Times New Roman"/>
          <w:color w:val="000000" w:themeColor="text1"/>
          <w:sz w:val="20"/>
        </w:rPr>
      </w:pPr>
      <w:r>
        <w:rPr>
          <w:rStyle w:val="a7"/>
          <w:rFonts w:ascii="Times New Roman" w:hAnsi="Times New Roman" w:cs="Times New Roman"/>
          <w:color w:val="000000" w:themeColor="text1"/>
          <w:sz w:val="24"/>
          <w:szCs w:val="26"/>
        </w:rPr>
        <w:t>Гемодинамические варианты кардиогенного шока</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374"/>
        <w:gridCol w:w="4114"/>
        <w:gridCol w:w="3762"/>
      </w:tblGrid>
      <w:tr w:rsidR="004C062E" w14:paraId="4C1DC684" w14:textId="77777777">
        <w:tc>
          <w:tcPr>
            <w:tcW w:w="0" w:type="auto"/>
            <w:gridSpan w:val="3"/>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3073234B" w14:textId="77777777" w:rsidR="004C062E" w:rsidRDefault="002C7340" w:rsidP="00A419DB">
            <w:pPr>
              <w:pStyle w:val="af5"/>
              <w:suppressAutoHyphens/>
              <w:spacing w:before="75" w:beforeAutospacing="0" w:after="225" w:afterAutospacing="0"/>
              <w:jc w:val="center"/>
            </w:pPr>
            <w:r>
              <w:t>Волемический статус</w:t>
            </w:r>
          </w:p>
        </w:tc>
      </w:tr>
      <w:tr w:rsidR="004C062E" w14:paraId="02DF7065"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2D55A0BA" w14:textId="77777777" w:rsidR="004C062E" w:rsidRDefault="002C7340" w:rsidP="00A419DB">
            <w:pPr>
              <w:suppressAutoHyphens/>
            </w:pPr>
            <w:r>
              <w:t> </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4903D331" w14:textId="77777777" w:rsidR="004C062E" w:rsidRDefault="002C7340" w:rsidP="00A419DB">
            <w:pPr>
              <w:pStyle w:val="af5"/>
              <w:suppressAutoHyphens/>
              <w:spacing w:before="75" w:beforeAutospacing="0" w:after="225" w:afterAutospacing="0"/>
            </w:pPr>
            <w:r>
              <w:t>Мокрый</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32C9CD8D" w14:textId="77777777" w:rsidR="004C062E" w:rsidRDefault="002C7340" w:rsidP="00A419DB">
            <w:pPr>
              <w:pStyle w:val="af5"/>
              <w:suppressAutoHyphens/>
              <w:spacing w:before="75" w:beforeAutospacing="0" w:after="225" w:afterAutospacing="0"/>
            </w:pPr>
            <w:r>
              <w:t>Сухой</w:t>
            </w:r>
          </w:p>
        </w:tc>
      </w:tr>
      <w:tr w:rsidR="004C062E" w14:paraId="291DBEFA"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0E781D2" w14:textId="77777777" w:rsidR="004C062E" w:rsidRDefault="002C7340" w:rsidP="00A419DB">
            <w:pPr>
              <w:pStyle w:val="af5"/>
              <w:suppressAutoHyphens/>
              <w:spacing w:before="75" w:beforeAutospacing="0" w:after="225" w:afterAutospacing="0"/>
            </w:pPr>
            <w:r>
              <w:t>Холодный</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C6C38CB" w14:textId="77777777" w:rsidR="004C062E" w:rsidRDefault="002C7340" w:rsidP="00A419DB">
            <w:pPr>
              <w:pStyle w:val="af5"/>
              <w:suppressAutoHyphens/>
              <w:spacing w:before="75" w:beforeAutospacing="0" w:after="225" w:afterAutospacing="0"/>
            </w:pPr>
            <w:r>
              <w:t>Классический кардиогенный шок (↓СИ, ↑ОПСС, ↑ДЗЛК)</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3ECBBCFB" w14:textId="77777777" w:rsidR="004C062E" w:rsidRDefault="002C7340" w:rsidP="00A419DB">
            <w:pPr>
              <w:pStyle w:val="af5"/>
              <w:suppressAutoHyphens/>
              <w:spacing w:before="75" w:beforeAutospacing="0" w:after="225" w:afterAutospacing="0"/>
            </w:pPr>
            <w:r>
              <w:t>Эуволемический кардиогенный шок (↓СИ, ↑ОПСС, нормальное ДЗЛК)</w:t>
            </w:r>
          </w:p>
        </w:tc>
      </w:tr>
      <w:tr w:rsidR="004C062E" w14:paraId="38ED629E"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753455D5" w14:textId="77777777" w:rsidR="004C062E" w:rsidRDefault="002C7340" w:rsidP="00A419DB">
            <w:pPr>
              <w:pStyle w:val="af5"/>
              <w:suppressAutoHyphens/>
              <w:spacing w:before="75" w:beforeAutospacing="0" w:after="225" w:afterAutospacing="0"/>
            </w:pPr>
            <w:r>
              <w:t>Теплый</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73CDC47C" w14:textId="77777777" w:rsidR="004C062E" w:rsidRDefault="002C7340" w:rsidP="00A419DB">
            <w:pPr>
              <w:pStyle w:val="af5"/>
              <w:suppressAutoHyphens/>
              <w:spacing w:before="75" w:beforeAutospacing="0" w:after="225" w:afterAutospacing="0"/>
            </w:pPr>
            <w:r>
              <w:t>Вазодилататорный кардиогенный шок или смешанный шок (↓СИ, ↓ОПСС, ↑ДЗЛК)</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37F7CFD8" w14:textId="77777777" w:rsidR="004C062E" w:rsidRDefault="002C7340" w:rsidP="00A419DB">
            <w:pPr>
              <w:pStyle w:val="af5"/>
              <w:suppressAutoHyphens/>
              <w:spacing w:before="75" w:beforeAutospacing="0" w:after="225" w:afterAutospacing="0"/>
            </w:pPr>
            <w:r>
              <w:t>Вазодилататорный (некардиогенный) шок (↑СИ, ↓ОПСС, ↓ДЗЛК)</w:t>
            </w:r>
          </w:p>
        </w:tc>
      </w:tr>
    </w:tbl>
    <w:p w14:paraId="05ED1660" w14:textId="77777777" w:rsidR="004C062E" w:rsidRDefault="004C062E" w:rsidP="00A419DB">
      <w:pPr>
        <w:suppressAutoHyphens/>
        <w:spacing w:before="75" w:after="225" w:line="240" w:lineRule="auto"/>
        <w:jc w:val="center"/>
        <w:rPr>
          <w:rFonts w:ascii="Arial" w:eastAsia="Times New Roman" w:hAnsi="Arial" w:cs="Arial"/>
          <w:b/>
          <w:bCs/>
          <w:color w:val="666666"/>
          <w:sz w:val="26"/>
          <w:szCs w:val="26"/>
        </w:rPr>
      </w:pPr>
    </w:p>
    <w:p w14:paraId="73802595" w14:textId="77777777" w:rsidR="004C062E" w:rsidRPr="002C0570" w:rsidRDefault="002C7340" w:rsidP="00A419DB">
      <w:pPr>
        <w:suppressAutoHyphens/>
        <w:spacing w:before="75" w:after="225" w:line="240" w:lineRule="auto"/>
        <w:jc w:val="center"/>
        <w:rPr>
          <w:rFonts w:ascii="Times New Roman" w:eastAsia="Times New Roman" w:hAnsi="Times New Roman" w:cs="Times New Roman"/>
          <w:sz w:val="24"/>
          <w:szCs w:val="26"/>
        </w:rPr>
      </w:pPr>
      <w:r w:rsidRPr="002C0570">
        <w:rPr>
          <w:rFonts w:ascii="Times New Roman" w:eastAsia="Times New Roman" w:hAnsi="Times New Roman" w:cs="Times New Roman"/>
          <w:b/>
          <w:bCs/>
          <w:sz w:val="24"/>
          <w:szCs w:val="26"/>
        </w:rPr>
        <w:t>Параметры для мониторирования у пациента с кардиогенным шоком</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058"/>
        <w:gridCol w:w="3061"/>
        <w:gridCol w:w="2114"/>
        <w:gridCol w:w="2017"/>
      </w:tblGrid>
      <w:tr w:rsidR="002C0570" w:rsidRPr="002C0570" w14:paraId="14ED00CF"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162EB4A0"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Параметр</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18D41C65"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Номенклатура медицинских услуг</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1C51FFFF"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Частота измерения</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10D6A10C"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Обоснование</w:t>
            </w:r>
          </w:p>
        </w:tc>
      </w:tr>
      <w:tr w:rsidR="002C0570" w:rsidRPr="002C0570" w14:paraId="012B789E"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6344C88F"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 xml:space="preserve">Кардиомониторинг, пульсоксиметрия, частота </w:t>
            </w:r>
            <w:r w:rsidRPr="002C0570">
              <w:rPr>
                <w:rFonts w:ascii="Times New Roman" w:eastAsia="Times New Roman" w:hAnsi="Times New Roman" w:cs="Times New Roman"/>
                <w:sz w:val="24"/>
                <w:szCs w:val="24"/>
              </w:rPr>
              <w:lastRenderedPageBreak/>
              <w:t>дыхательных движений</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60CEFB1A"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lastRenderedPageBreak/>
              <w:t>А12.30.004 Суточное прикроватное мониторирование жизненноважных функций и параметров,</w:t>
            </w:r>
          </w:p>
          <w:p w14:paraId="7F83F686"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lastRenderedPageBreak/>
              <w:t>А05.10.007 Мониторирование электрокардиографических данных,</w:t>
            </w:r>
          </w:p>
          <w:p w14:paraId="049569F8"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А05.12.008 Чрескожный мониторинг парциального давления кислорода,</w:t>
            </w:r>
          </w:p>
          <w:p w14:paraId="730F0929"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А02.12.001.001 Исследование пульса методом мониторирования,</w:t>
            </w:r>
          </w:p>
          <w:p w14:paraId="22DF6155"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В03.003.003 Суточное наблюдение врачом-анестезиологом-реаниматологом,</w:t>
            </w:r>
          </w:p>
          <w:p w14:paraId="6EA5C208"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В03.003.005 Суточное наблюдение реанимационного пациента,</w:t>
            </w:r>
          </w:p>
          <w:p w14:paraId="6811AA09"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В03.015.002 Контроль степени повреждения миокарда при инфаркте миокарда</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8B5024D"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lastRenderedPageBreak/>
              <w:t>Непрерывно</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2325EE16"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 xml:space="preserve">Высокий процент нарушений ритма, высокий </w:t>
            </w:r>
            <w:r w:rsidRPr="002C0570">
              <w:rPr>
                <w:rFonts w:ascii="Times New Roman" w:eastAsia="Times New Roman" w:hAnsi="Times New Roman" w:cs="Times New Roman"/>
                <w:sz w:val="24"/>
                <w:szCs w:val="24"/>
              </w:rPr>
              <w:lastRenderedPageBreak/>
              <w:t>риск отека легких, ИВЛ</w:t>
            </w:r>
          </w:p>
        </w:tc>
      </w:tr>
      <w:tr w:rsidR="002C0570" w:rsidRPr="002C0570" w14:paraId="23B59D37"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7BBF08D5"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lastRenderedPageBreak/>
              <w:t>Инвазивное измерение АД (артериальная линия)</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6AC2BF80"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А11.12.012 Катетеризация артерий конечностей,</w:t>
            </w:r>
          </w:p>
          <w:p w14:paraId="4C397B13"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А02.12.002.002 Дистанционное наблюдение за показателями артериального давления,</w:t>
            </w:r>
          </w:p>
          <w:p w14:paraId="54335F1E"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А14.12.001 Уход за сосудистым катетером</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1D4EC39"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Непрерывно</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707716E1"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Прекращение инвазивного мониторирования АД не ранее 12-24 ч после прекращения введения вазоактивных препаратов</w:t>
            </w:r>
          </w:p>
        </w:tc>
      </w:tr>
      <w:tr w:rsidR="002C0570" w:rsidRPr="002C0570" w14:paraId="01EA24A4"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95D1AFB"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ЦВД</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3E0B40C"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 xml:space="preserve">А02.12.003 Измерение </w:t>
            </w:r>
            <w:r w:rsidR="00D718BB">
              <w:rPr>
                <w:rFonts w:ascii="Times New Roman" w:eastAsia="Times New Roman" w:hAnsi="Times New Roman" w:cs="Times New Roman"/>
                <w:sz w:val="24"/>
                <w:szCs w:val="24"/>
              </w:rPr>
              <w:t>центрального венозного давления</w:t>
            </w:r>
          </w:p>
          <w:p w14:paraId="6E681848"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А11.12.001 Катетеризация подключичных и других центральных вен,</w:t>
            </w:r>
          </w:p>
          <w:p w14:paraId="2A787FE3"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А14.12.001 Уход за сосудистым катетером</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6BCEF982"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Не менее 4 раз/сут.</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7E46EC74"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Продленное мониторирование ЦВД позволяет оценивать волемический статус пациента</w:t>
            </w:r>
          </w:p>
        </w:tc>
      </w:tr>
      <w:tr w:rsidR="002C0570" w:rsidRPr="002C0570" w14:paraId="7FF3BA2F"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E8C5CDB"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lastRenderedPageBreak/>
              <w:t>Смешанная венозная сатурация</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39D2F6A8"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А11.12.001 Катетеризация подклю</w:t>
            </w:r>
            <w:r w:rsidR="00D718BB">
              <w:rPr>
                <w:rFonts w:ascii="Times New Roman" w:eastAsia="Times New Roman" w:hAnsi="Times New Roman" w:cs="Times New Roman"/>
                <w:sz w:val="24"/>
                <w:szCs w:val="24"/>
              </w:rPr>
              <w:t>чичных и других центральных вен</w:t>
            </w:r>
          </w:p>
          <w:p w14:paraId="6D4D653E"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В03.016.011 Исследование кислотно-основного состояния и газов крови,</w:t>
            </w:r>
          </w:p>
          <w:p w14:paraId="4D31F009"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 xml:space="preserve">А14.12.001 Уход </w:t>
            </w:r>
            <w:r w:rsidR="00D718BB">
              <w:rPr>
                <w:rFonts w:ascii="Times New Roman" w:eastAsia="Times New Roman" w:hAnsi="Times New Roman" w:cs="Times New Roman"/>
                <w:sz w:val="24"/>
                <w:szCs w:val="24"/>
              </w:rPr>
              <w:t>за сосудистым катетером</w:t>
            </w:r>
          </w:p>
          <w:p w14:paraId="0FD2747F"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В03.003.003 Суточное наблюдение врачом-анестезиологом-реаниматологом</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17CBDCD8"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Каждые 4 ч</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2E4007F"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Мониторирование смешанной венозной сатурации позволяет судить о изменении сердечного выброса и оценивать эффективность вазоактивной терапии</w:t>
            </w:r>
          </w:p>
        </w:tc>
      </w:tr>
      <w:tr w:rsidR="002C0570" w:rsidRPr="002C0570" w14:paraId="43CC6B06"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443AAA2B"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Темп диуреза</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199EFF3A"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А11.28.007 катетеризация мочевого пузыря,</w:t>
            </w:r>
          </w:p>
          <w:p w14:paraId="03B2121D"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В03.003.005 Суточное наблюдение реанимационного пациента,</w:t>
            </w:r>
          </w:p>
          <w:p w14:paraId="616DA54B"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А14.28.002 Уход за мочевым катетером</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466B2861"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Каждый час</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17F8EDED"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Темп диуреза и уровень креатинина сыворотки — показатель почечной перфузии</w:t>
            </w:r>
          </w:p>
        </w:tc>
      </w:tr>
      <w:tr w:rsidR="002C0570" w:rsidRPr="002C0570" w14:paraId="645A2F06"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14329B6D"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Инвазивный мониторинг гемодинамики и неинвазивный мониторинг сердечного выброса</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74815AB1"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А11.12.001 Катетеризация подключичных и других центральных вен,</w:t>
            </w:r>
          </w:p>
          <w:p w14:paraId="21813E0D"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А04.10.002 Эхокардиография,</w:t>
            </w:r>
          </w:p>
          <w:p w14:paraId="76363509"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А12.10.003 Исследование сердечного выброса,</w:t>
            </w:r>
          </w:p>
          <w:p w14:paraId="189DA2F1"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А14.12.001 Уход за сосудистым катетером</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7280B703"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При необходимости</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4EF9E886"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Является обязательным при отсутствии эффективности стартовой терапии и неясности диагноза</w:t>
            </w:r>
          </w:p>
        </w:tc>
      </w:tr>
      <w:tr w:rsidR="002C0570" w:rsidRPr="002C0570" w14:paraId="717F15E1"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72CAEAEB"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Общий (клинический) анализ крови</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6DA32F3B"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В03.016.002 Общий (клинический) анализ крови,</w:t>
            </w:r>
          </w:p>
          <w:p w14:paraId="2857DFFF"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В03.016.003 Общий (клинический) анализ крови развернутый</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4E391353"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Каждые 12-24 ч</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7EA7413F"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Чаще для пациентов с возможным кровотечением</w:t>
            </w:r>
          </w:p>
        </w:tc>
      </w:tr>
      <w:tr w:rsidR="002C0570" w:rsidRPr="002C0570" w14:paraId="53F43B73"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33774CA7"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Электролиты</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02C47C83"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А09.05.031 Исследование уровня калия в крови,</w:t>
            </w:r>
          </w:p>
          <w:p w14:paraId="46E958E6"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lastRenderedPageBreak/>
              <w:t>А09.05.034 Исследование уровня хлоридов в крови,</w:t>
            </w:r>
          </w:p>
          <w:p w14:paraId="010448F3"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А09.05.030 Исследование уровня натрия в крови,</w:t>
            </w:r>
          </w:p>
          <w:p w14:paraId="1C6F5125"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А09.05.032 Исследование уровня общего кальция в крови</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7588BB20"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lastRenderedPageBreak/>
              <w:t>Каждые 6-12 ч</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197FB94B" w14:textId="77777777" w:rsidR="004C062E" w:rsidRPr="002C0570" w:rsidRDefault="002C7340" w:rsidP="00A419DB">
            <w:pPr>
              <w:suppressAutoHyphens/>
              <w:spacing w:after="0"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 </w:t>
            </w:r>
          </w:p>
        </w:tc>
      </w:tr>
      <w:tr w:rsidR="002C0570" w:rsidRPr="002C0570" w14:paraId="02AC8825"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B99965F"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Креатинин</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2E2AB46C"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А09.05.020 Исследование уровня креатинина в крови</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37585B04"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Каждые 12-24 ч</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3A882BE" w14:textId="77777777" w:rsidR="004C062E" w:rsidRPr="002C0570" w:rsidRDefault="002C7340" w:rsidP="00A419DB">
            <w:pPr>
              <w:suppressAutoHyphens/>
              <w:spacing w:after="0"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 </w:t>
            </w:r>
          </w:p>
        </w:tc>
      </w:tr>
      <w:tr w:rsidR="002C0570" w:rsidRPr="002C0570" w14:paraId="1F16A6AA"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2FEFB41B"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АСТ, АЛТ, билирубин</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19DD4049"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А09.05.041 Определение активности аспартатаминотрансферазы в крови,</w:t>
            </w:r>
          </w:p>
          <w:p w14:paraId="57F7FE25"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А09.05.042 Определение активности аланинаминотрансферазы в крови,</w:t>
            </w:r>
          </w:p>
          <w:p w14:paraId="5FDDB22C"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А09.05.021 Исследование уровня общего билирубина в крови</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7092EEE"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Ежедневно</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165A3E59"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Мониторинг застоя в печени, острого печеночного повреждения</w:t>
            </w:r>
          </w:p>
        </w:tc>
      </w:tr>
      <w:tr w:rsidR="002C0570" w:rsidRPr="002C0570" w14:paraId="4662D21B"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4304826D"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Лактат</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1F0C720E"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В03.016.011 Исследование кислотно-основного состояния и газов крови</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3B80507D"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Каждые 1-4 ч</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449C973D"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Клиренс лактата отражает тяжесть полиорганной недостаточности. Снижение выведения лактата ассоциировано с увеличением летальности</w:t>
            </w:r>
          </w:p>
        </w:tc>
      </w:tr>
      <w:tr w:rsidR="002C0570" w:rsidRPr="002C0570" w14:paraId="177ACE9D" w14:textId="77777777">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8233292"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Коагулограмма (ориентировочное исследование системы гемостаза)</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5957DFEE"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В03.005.006 Коагулограмма (ориентировочное исследование системы гемостаза)</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1B36A5F3" w14:textId="77777777" w:rsidR="004C062E" w:rsidRPr="002C0570" w:rsidRDefault="002C7340" w:rsidP="00A419DB">
            <w:pPr>
              <w:suppressAutoHyphens/>
              <w:spacing w:before="75" w:after="225"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Каждые 4-6 ч для пациентов с продленной инфузией НФГ, каждые 24 ч для пациентов без антикоагулянтов</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0" w:type="dxa"/>
              <w:left w:w="150" w:type="dxa"/>
              <w:bottom w:w="0" w:type="dxa"/>
              <w:right w:w="150" w:type="dxa"/>
            </w:tcMar>
            <w:vAlign w:val="center"/>
          </w:tcPr>
          <w:p w14:paraId="1A8911C1" w14:textId="77777777" w:rsidR="004C062E" w:rsidRPr="002C0570" w:rsidRDefault="002C7340" w:rsidP="00A419DB">
            <w:pPr>
              <w:suppressAutoHyphens/>
              <w:spacing w:after="0" w:line="240" w:lineRule="auto"/>
              <w:rPr>
                <w:rFonts w:ascii="Times New Roman" w:eastAsia="Times New Roman" w:hAnsi="Times New Roman" w:cs="Times New Roman"/>
                <w:sz w:val="24"/>
                <w:szCs w:val="24"/>
              </w:rPr>
            </w:pPr>
            <w:r w:rsidRPr="002C0570">
              <w:rPr>
                <w:rFonts w:ascii="Times New Roman" w:eastAsia="Times New Roman" w:hAnsi="Times New Roman" w:cs="Times New Roman"/>
                <w:sz w:val="24"/>
                <w:szCs w:val="24"/>
              </w:rPr>
              <w:t> </w:t>
            </w:r>
          </w:p>
        </w:tc>
      </w:tr>
    </w:tbl>
    <w:p w14:paraId="706A4B3B" w14:textId="77777777" w:rsidR="000C2EC4" w:rsidRDefault="000C2EC4" w:rsidP="00A419DB">
      <w:pPr>
        <w:shd w:val="clear" w:color="auto" w:fill="FFFFFF"/>
        <w:tabs>
          <w:tab w:val="left" w:pos="720"/>
        </w:tabs>
        <w:suppressAutoHyphens/>
        <w:spacing w:after="0" w:line="360" w:lineRule="auto"/>
        <w:jc w:val="both"/>
        <w:rPr>
          <w:rFonts w:ascii="Times New Roman" w:hAnsi="Times New Roman" w:cs="Times New Roman"/>
          <w:color w:val="000000" w:themeColor="text1"/>
          <w:sz w:val="24"/>
          <w:szCs w:val="24"/>
        </w:rPr>
      </w:pPr>
    </w:p>
    <w:p w14:paraId="2760D57B" w14:textId="77777777" w:rsidR="004C062E" w:rsidRDefault="002C7340" w:rsidP="00A419DB">
      <w:pPr>
        <w:pStyle w:val="af5"/>
        <w:shd w:val="clear" w:color="auto" w:fill="FFFFFF"/>
        <w:suppressAutoHyphens/>
        <w:spacing w:before="75" w:beforeAutospacing="0" w:after="225" w:afterAutospacing="0"/>
        <w:jc w:val="both"/>
        <w:rPr>
          <w:color w:val="000000" w:themeColor="text1"/>
          <w:szCs w:val="26"/>
        </w:rPr>
      </w:pPr>
      <w:r>
        <w:rPr>
          <w:rStyle w:val="a7"/>
          <w:color w:val="000000" w:themeColor="text1"/>
          <w:szCs w:val="26"/>
        </w:rPr>
        <w:t>Основные противопоказания к проведению физических тренировок:</w:t>
      </w:r>
    </w:p>
    <w:p w14:paraId="48EAA806" w14:textId="77777777" w:rsidR="004C062E" w:rsidRDefault="002C7340" w:rsidP="00A419DB">
      <w:pPr>
        <w:pStyle w:val="af5"/>
        <w:shd w:val="clear" w:color="auto" w:fill="FFFFFF"/>
        <w:suppressAutoHyphens/>
        <w:spacing w:before="75" w:beforeAutospacing="0" w:after="225" w:afterAutospacing="0"/>
        <w:jc w:val="both"/>
        <w:rPr>
          <w:color w:val="000000" w:themeColor="text1"/>
          <w:szCs w:val="26"/>
        </w:rPr>
      </w:pPr>
      <w:r>
        <w:rPr>
          <w:color w:val="000000" w:themeColor="text1"/>
          <w:szCs w:val="26"/>
        </w:rPr>
        <w:lastRenderedPageBreak/>
        <w:t>— ОКС;</w:t>
      </w:r>
    </w:p>
    <w:p w14:paraId="6D3CCDF0"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color w:val="000000" w:themeColor="text1"/>
          <w:szCs w:val="26"/>
        </w:rPr>
        <w:t>— острая и подострая аневризма ЛЖ, подтвержденная инструментальными методами диагностики;</w:t>
      </w:r>
    </w:p>
    <w:p w14:paraId="50B54F45"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color w:val="000000" w:themeColor="text1"/>
          <w:szCs w:val="26"/>
        </w:rPr>
        <w:t>— наличие внутрисердечных тромбов;</w:t>
      </w:r>
    </w:p>
    <w:p w14:paraId="56AEF73C"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color w:val="000000" w:themeColor="text1"/>
          <w:szCs w:val="26"/>
        </w:rPr>
        <w:t>— СН IV ФК по NYHA;</w:t>
      </w:r>
    </w:p>
    <w:p w14:paraId="114FAB97"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color w:val="000000" w:themeColor="text1"/>
          <w:szCs w:val="26"/>
        </w:rPr>
        <w:t>— нарушения сердечного ритма (желудочковые экстрасистолы и тахикардия опасных градаций, пароксизмальные тахиаритмии, возникающие при физической нагрузке), не корригируемые оптимальной терапией;</w:t>
      </w:r>
    </w:p>
    <w:p w14:paraId="38767DD2"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color w:val="000000" w:themeColor="text1"/>
          <w:szCs w:val="26"/>
        </w:rPr>
        <w:t>— нарушения проводимости (синоатриальная и АВ-блокады 2-3 степени, кроме пациентов с имплантированными ЭКС);</w:t>
      </w:r>
    </w:p>
    <w:p w14:paraId="34C5C372" w14:textId="77777777" w:rsidR="004C062E" w:rsidRDefault="002C7340" w:rsidP="00A419DB">
      <w:pPr>
        <w:pStyle w:val="af5"/>
        <w:shd w:val="clear" w:color="auto" w:fill="FFFFFF"/>
        <w:suppressAutoHyphens/>
        <w:spacing w:before="75" w:beforeAutospacing="0" w:after="225" w:afterAutospacing="0" w:line="360" w:lineRule="auto"/>
        <w:jc w:val="both"/>
        <w:rPr>
          <w:color w:val="000000" w:themeColor="text1"/>
          <w:szCs w:val="26"/>
        </w:rPr>
      </w:pPr>
      <w:r>
        <w:rPr>
          <w:color w:val="000000" w:themeColor="text1"/>
          <w:szCs w:val="26"/>
        </w:rPr>
        <w:t>— неконтролируемая АГ (&gt;180/110 мм рт.ст.; снижение систолического АД ≥20 мм рт.ст. при физической нагрузке);</w:t>
      </w:r>
    </w:p>
    <w:p w14:paraId="21E7C44F" w14:textId="77777777" w:rsidR="004C062E" w:rsidRDefault="002C7340" w:rsidP="00A419DB">
      <w:pPr>
        <w:pStyle w:val="af5"/>
        <w:shd w:val="clear" w:color="auto" w:fill="FFFFFF"/>
        <w:suppressAutoHyphens/>
        <w:spacing w:before="75" w:beforeAutospacing="0" w:after="225" w:afterAutospacing="0"/>
        <w:jc w:val="both"/>
        <w:rPr>
          <w:color w:val="000000" w:themeColor="text1"/>
          <w:szCs w:val="26"/>
        </w:rPr>
      </w:pPr>
      <w:r>
        <w:rPr>
          <w:color w:val="000000" w:themeColor="text1"/>
          <w:szCs w:val="26"/>
        </w:rPr>
        <w:t>— выраженный аортальный стеноз;</w:t>
      </w:r>
    </w:p>
    <w:p w14:paraId="5362C0A6" w14:textId="77777777" w:rsidR="004C062E" w:rsidRDefault="002C7340" w:rsidP="00A419DB">
      <w:pPr>
        <w:pStyle w:val="af5"/>
        <w:shd w:val="clear" w:color="auto" w:fill="FFFFFF"/>
        <w:suppressAutoHyphens/>
        <w:spacing w:before="75" w:beforeAutospacing="0" w:after="225" w:afterAutospacing="0"/>
        <w:jc w:val="both"/>
        <w:rPr>
          <w:color w:val="000000" w:themeColor="text1"/>
          <w:szCs w:val="26"/>
        </w:rPr>
      </w:pPr>
      <w:r>
        <w:rPr>
          <w:color w:val="000000" w:themeColor="text1"/>
          <w:szCs w:val="26"/>
        </w:rPr>
        <w:t>— тяжелая обструктивная гипертрофическая кардиомиопатия;</w:t>
      </w:r>
    </w:p>
    <w:p w14:paraId="0E8571C1" w14:textId="77777777" w:rsidR="004C062E" w:rsidRDefault="002C7340" w:rsidP="00A419DB">
      <w:pPr>
        <w:pStyle w:val="af5"/>
        <w:shd w:val="clear" w:color="auto" w:fill="FFFFFF"/>
        <w:suppressAutoHyphens/>
        <w:spacing w:before="75" w:beforeAutospacing="0" w:after="225" w:afterAutospacing="0"/>
        <w:jc w:val="both"/>
        <w:rPr>
          <w:color w:val="000000" w:themeColor="text1"/>
          <w:szCs w:val="26"/>
        </w:rPr>
      </w:pPr>
      <w:r>
        <w:rPr>
          <w:color w:val="000000" w:themeColor="text1"/>
          <w:szCs w:val="26"/>
        </w:rPr>
        <w:t>— острый перикардит, миокардит, эндокардит;</w:t>
      </w:r>
    </w:p>
    <w:p w14:paraId="3069BD99" w14:textId="77777777" w:rsidR="004C062E" w:rsidRDefault="002C7340" w:rsidP="00A419DB">
      <w:pPr>
        <w:pStyle w:val="af5"/>
        <w:shd w:val="clear" w:color="auto" w:fill="FFFFFF"/>
        <w:suppressAutoHyphens/>
        <w:spacing w:before="75" w:beforeAutospacing="0" w:after="225" w:afterAutospacing="0"/>
        <w:jc w:val="both"/>
        <w:rPr>
          <w:color w:val="000000" w:themeColor="text1"/>
          <w:szCs w:val="26"/>
        </w:rPr>
      </w:pPr>
      <w:r>
        <w:rPr>
          <w:color w:val="000000" w:themeColor="text1"/>
          <w:szCs w:val="26"/>
        </w:rPr>
        <w:t>— диссекция аорты;</w:t>
      </w:r>
    </w:p>
    <w:p w14:paraId="639B712B" w14:textId="77777777" w:rsidR="004C062E" w:rsidRDefault="002C7340" w:rsidP="00A419DB">
      <w:pPr>
        <w:pStyle w:val="af5"/>
        <w:shd w:val="clear" w:color="auto" w:fill="FFFFFF"/>
        <w:suppressAutoHyphens/>
        <w:spacing w:before="75" w:beforeAutospacing="0" w:after="225" w:afterAutospacing="0"/>
        <w:jc w:val="both"/>
        <w:rPr>
          <w:color w:val="000000" w:themeColor="text1"/>
          <w:szCs w:val="26"/>
        </w:rPr>
      </w:pPr>
      <w:r>
        <w:rPr>
          <w:color w:val="000000" w:themeColor="text1"/>
          <w:szCs w:val="26"/>
        </w:rPr>
        <w:t>— синкопальные состояния;</w:t>
      </w:r>
    </w:p>
    <w:p w14:paraId="5D516F9D" w14:textId="77777777" w:rsidR="004C062E" w:rsidRDefault="002C7340" w:rsidP="00A419DB">
      <w:pPr>
        <w:pStyle w:val="af5"/>
        <w:shd w:val="clear" w:color="auto" w:fill="FFFFFF"/>
        <w:suppressAutoHyphens/>
        <w:spacing w:before="75" w:beforeAutospacing="0" w:after="225" w:afterAutospacing="0"/>
        <w:jc w:val="both"/>
        <w:rPr>
          <w:color w:val="000000" w:themeColor="text1"/>
          <w:szCs w:val="26"/>
        </w:rPr>
      </w:pPr>
      <w:r>
        <w:rPr>
          <w:color w:val="000000" w:themeColor="text1"/>
          <w:szCs w:val="26"/>
        </w:rPr>
        <w:t>— тромбоэмболия или тромбофлебит (в сроки до 3 мес.);</w:t>
      </w:r>
    </w:p>
    <w:p w14:paraId="1833B095" w14:textId="77777777" w:rsidR="004C062E" w:rsidRDefault="002C7340" w:rsidP="00A419DB">
      <w:pPr>
        <w:pStyle w:val="af5"/>
        <w:shd w:val="clear" w:color="auto" w:fill="FFFFFF"/>
        <w:suppressAutoHyphens/>
        <w:spacing w:before="75" w:beforeAutospacing="0" w:after="225" w:afterAutospacing="0"/>
        <w:jc w:val="both"/>
        <w:rPr>
          <w:color w:val="000000" w:themeColor="text1"/>
          <w:szCs w:val="26"/>
        </w:rPr>
      </w:pPr>
      <w:r>
        <w:rPr>
          <w:color w:val="000000" w:themeColor="text1"/>
          <w:szCs w:val="26"/>
        </w:rPr>
        <w:t>— острое нарушение мозгового кровообращения или транзиторная ишемическая атака (в сроки до 3 мес.);</w:t>
      </w:r>
    </w:p>
    <w:p w14:paraId="1209EFBE" w14:textId="77777777" w:rsidR="004C062E" w:rsidRDefault="002C7340" w:rsidP="00A419DB">
      <w:pPr>
        <w:pStyle w:val="af5"/>
        <w:shd w:val="clear" w:color="auto" w:fill="FFFFFF"/>
        <w:suppressAutoHyphens/>
        <w:spacing w:before="75" w:beforeAutospacing="0" w:after="225" w:afterAutospacing="0"/>
        <w:jc w:val="both"/>
        <w:rPr>
          <w:color w:val="000000" w:themeColor="text1"/>
          <w:szCs w:val="26"/>
        </w:rPr>
      </w:pPr>
      <w:r>
        <w:rPr>
          <w:color w:val="000000" w:themeColor="text1"/>
          <w:szCs w:val="26"/>
        </w:rPr>
        <w:t>— неконтролируемый СД;</w:t>
      </w:r>
    </w:p>
    <w:p w14:paraId="223EF490" w14:textId="77777777" w:rsidR="004C062E" w:rsidRDefault="002C7340" w:rsidP="00A419DB">
      <w:pPr>
        <w:pStyle w:val="af5"/>
        <w:shd w:val="clear" w:color="auto" w:fill="FFFFFF"/>
        <w:suppressAutoHyphens/>
        <w:spacing w:before="75" w:beforeAutospacing="0" w:after="225" w:afterAutospacing="0"/>
        <w:jc w:val="both"/>
        <w:rPr>
          <w:color w:val="000000" w:themeColor="text1"/>
          <w:szCs w:val="26"/>
        </w:rPr>
      </w:pPr>
      <w:r>
        <w:rPr>
          <w:color w:val="000000" w:themeColor="text1"/>
          <w:szCs w:val="26"/>
        </w:rPr>
        <w:t>— острое инфекционное заболевание (в т. ч. и вирусные инфекции);</w:t>
      </w:r>
    </w:p>
    <w:p w14:paraId="6438F60D" w14:textId="77777777" w:rsidR="004C062E" w:rsidRDefault="002C7340" w:rsidP="00A419DB">
      <w:pPr>
        <w:pStyle w:val="af5"/>
        <w:shd w:val="clear" w:color="auto" w:fill="FFFFFF"/>
        <w:suppressAutoHyphens/>
        <w:spacing w:before="75" w:beforeAutospacing="0" w:after="225" w:afterAutospacing="0"/>
        <w:jc w:val="both"/>
        <w:rPr>
          <w:color w:val="000000" w:themeColor="text1"/>
        </w:rPr>
      </w:pPr>
      <w:r>
        <w:rPr>
          <w:color w:val="000000" w:themeColor="text1"/>
        </w:rPr>
        <w:t>— заболевания опорно-двигательного аппарата;</w:t>
      </w:r>
    </w:p>
    <w:p w14:paraId="78444455" w14:textId="77777777" w:rsidR="004C062E" w:rsidRDefault="002C7340" w:rsidP="00A419DB">
      <w:pPr>
        <w:pStyle w:val="af5"/>
        <w:shd w:val="clear" w:color="auto" w:fill="FFFFFF"/>
        <w:suppressAutoHyphens/>
        <w:spacing w:before="75" w:beforeAutospacing="0" w:after="225" w:afterAutospacing="0"/>
        <w:jc w:val="both"/>
        <w:rPr>
          <w:color w:val="000000" w:themeColor="text1"/>
        </w:rPr>
      </w:pPr>
      <w:r>
        <w:rPr>
          <w:color w:val="000000" w:themeColor="text1"/>
        </w:rPr>
        <w:t>— тяжелая сопутствующая патология.</w:t>
      </w:r>
    </w:p>
    <w:p w14:paraId="6DFE7B7E" w14:textId="77777777" w:rsidR="004C062E" w:rsidRDefault="004C062E" w:rsidP="00A419DB">
      <w:pPr>
        <w:suppressAutoHyphens/>
        <w:rPr>
          <w:rFonts w:ascii="Times New Roman" w:hAnsi="Times New Roman"/>
          <w:sz w:val="24"/>
          <w:szCs w:val="24"/>
        </w:rPr>
      </w:pPr>
    </w:p>
    <w:p w14:paraId="56D49279" w14:textId="77777777" w:rsidR="004C062E" w:rsidRDefault="004C062E" w:rsidP="00A419DB">
      <w:pPr>
        <w:suppressAutoHyphens/>
        <w:rPr>
          <w:rFonts w:ascii="Times New Roman" w:hAnsi="Times New Roman"/>
          <w:sz w:val="24"/>
          <w:szCs w:val="24"/>
        </w:rPr>
      </w:pPr>
    </w:p>
    <w:p w14:paraId="340415FB" w14:textId="77777777" w:rsidR="004C062E" w:rsidRDefault="004C062E" w:rsidP="00A419DB">
      <w:pPr>
        <w:suppressAutoHyphens/>
        <w:rPr>
          <w:rFonts w:ascii="Times New Roman" w:hAnsi="Times New Roman"/>
          <w:sz w:val="24"/>
          <w:szCs w:val="24"/>
        </w:rPr>
      </w:pPr>
    </w:p>
    <w:p w14:paraId="1BCC18D9" w14:textId="77777777" w:rsidR="004C062E" w:rsidRDefault="004C062E" w:rsidP="00A419DB">
      <w:pPr>
        <w:suppressAutoHyphens/>
        <w:rPr>
          <w:rFonts w:ascii="Times New Roman" w:hAnsi="Times New Roman"/>
          <w:sz w:val="24"/>
          <w:szCs w:val="24"/>
        </w:rPr>
      </w:pPr>
    </w:p>
    <w:p w14:paraId="71ADC0FA" w14:textId="77777777" w:rsidR="00CE0DA9" w:rsidRDefault="002C7340" w:rsidP="00CE0DA9">
      <w:pPr>
        <w:pStyle w:val="10"/>
        <w:suppressAutoHyphens/>
        <w:spacing w:before="0" w:line="360" w:lineRule="auto"/>
        <w:ind w:firstLineChars="295" w:firstLine="711"/>
        <w:contextualSpacing/>
        <w:jc w:val="right"/>
        <w:rPr>
          <w:rFonts w:ascii="Times New Roman" w:hAnsi="Times New Roman"/>
          <w:bCs w:val="0"/>
          <w:color w:val="auto"/>
          <w:sz w:val="24"/>
          <w:szCs w:val="24"/>
        </w:rPr>
      </w:pPr>
      <w:bookmarkStart w:id="60" w:name="_Toc236138968"/>
      <w:r>
        <w:rPr>
          <w:rFonts w:ascii="Times New Roman" w:hAnsi="Times New Roman"/>
          <w:bCs w:val="0"/>
          <w:color w:val="auto"/>
          <w:sz w:val="24"/>
          <w:szCs w:val="24"/>
        </w:rPr>
        <w:lastRenderedPageBreak/>
        <w:t xml:space="preserve">Приложение Б. </w:t>
      </w:r>
    </w:p>
    <w:p w14:paraId="3DBECFF9" w14:textId="49C3A56A" w:rsidR="004C062E" w:rsidRDefault="002C7340" w:rsidP="00CE0DA9">
      <w:pPr>
        <w:pStyle w:val="10"/>
        <w:suppressAutoHyphens/>
        <w:spacing w:before="0" w:line="360" w:lineRule="auto"/>
        <w:ind w:firstLineChars="295" w:firstLine="711"/>
        <w:contextualSpacing/>
        <w:jc w:val="center"/>
        <w:rPr>
          <w:rFonts w:ascii="Times New Roman" w:hAnsi="Times New Roman"/>
          <w:bCs w:val="0"/>
          <w:color w:val="auto"/>
          <w:sz w:val="24"/>
          <w:szCs w:val="24"/>
        </w:rPr>
      </w:pPr>
      <w:r>
        <w:rPr>
          <w:rFonts w:ascii="Times New Roman" w:hAnsi="Times New Roman"/>
          <w:bCs w:val="0"/>
          <w:color w:val="auto"/>
          <w:sz w:val="24"/>
          <w:szCs w:val="24"/>
        </w:rPr>
        <w:t>Алгоритмы действия врача.</w:t>
      </w:r>
      <w:bookmarkEnd w:id="60"/>
    </w:p>
    <w:p w14:paraId="5C3D68D5" w14:textId="2C0783C2" w:rsidR="004C062E" w:rsidRDefault="002C7340" w:rsidP="00CE0DA9">
      <w:pPr>
        <w:suppressAutoHyphens/>
        <w:jc w:val="center"/>
        <w:rPr>
          <w:rFonts w:ascii="Times New Roman" w:hAnsi="Times New Roman" w:cs="Times New Roman"/>
          <w:b/>
          <w:color w:val="000000" w:themeColor="text1"/>
          <w:sz w:val="24"/>
        </w:rPr>
      </w:pPr>
      <w:r>
        <w:rPr>
          <w:rFonts w:ascii="Times New Roman" w:hAnsi="Times New Roman" w:cs="Times New Roman"/>
          <w:b/>
          <w:color w:val="000000" w:themeColor="text1"/>
          <w:sz w:val="24"/>
        </w:rPr>
        <w:t>Выбор реперфузии у пациента с ИМпST</w:t>
      </w:r>
    </w:p>
    <w:p w14:paraId="3AEBAA5E" w14:textId="77777777" w:rsidR="004C062E" w:rsidRDefault="004C062E" w:rsidP="00A419DB">
      <w:pPr>
        <w:suppressAutoHyphens/>
        <w:rPr>
          <w:rFonts w:ascii="Times New Roman" w:hAnsi="Times New Roman"/>
          <w:sz w:val="24"/>
          <w:szCs w:val="24"/>
        </w:rPr>
      </w:pPr>
    </w:p>
    <w:p w14:paraId="7DF39CB4" w14:textId="77777777" w:rsidR="004C062E" w:rsidRDefault="00632ECD" w:rsidP="00A419DB">
      <w:pPr>
        <w:suppressAutoHyphens/>
        <w:rPr>
          <w:rFonts w:ascii="Times New Roman" w:hAnsi="Times New Roman"/>
          <w:sz w:val="24"/>
          <w:szCs w:val="24"/>
        </w:rPr>
      </w:pPr>
      <w:r>
        <w:rPr>
          <w:rFonts w:ascii="Times New Roman" w:hAnsi="Times New Roman"/>
          <w:noProof/>
          <w:sz w:val="24"/>
          <w:szCs w:val="24"/>
        </w:rPr>
        <w:drawing>
          <wp:inline distT="0" distB="0" distL="0" distR="0" wp14:anchorId="2BC79457" wp14:editId="2292A32D">
            <wp:extent cx="6182360" cy="4572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182360" cy="4572000"/>
                    </a:xfrm>
                    <a:prstGeom prst="rect">
                      <a:avLst/>
                    </a:prstGeom>
                    <a:noFill/>
                    <a:ln>
                      <a:noFill/>
                    </a:ln>
                  </pic:spPr>
                </pic:pic>
              </a:graphicData>
            </a:graphic>
          </wp:inline>
        </w:drawing>
      </w:r>
    </w:p>
    <w:p w14:paraId="05CFAD50" w14:textId="77777777" w:rsidR="004C062E" w:rsidRDefault="004C062E" w:rsidP="00A419DB">
      <w:pPr>
        <w:suppressAutoHyphens/>
        <w:rPr>
          <w:rFonts w:ascii="Times New Roman" w:hAnsi="Times New Roman"/>
          <w:sz w:val="24"/>
          <w:szCs w:val="24"/>
        </w:rPr>
      </w:pPr>
    </w:p>
    <w:p w14:paraId="1C70F6CA" w14:textId="77777777" w:rsidR="003B2070" w:rsidRDefault="003B2070" w:rsidP="00A419DB">
      <w:pPr>
        <w:suppressAutoHyphens/>
        <w:rPr>
          <w:rFonts w:ascii="Times New Roman" w:hAnsi="Times New Roman" w:cs="Times New Roman"/>
          <w:b/>
          <w:color w:val="000000" w:themeColor="text1"/>
          <w:sz w:val="24"/>
        </w:rPr>
      </w:pPr>
    </w:p>
    <w:p w14:paraId="2016DA04" w14:textId="77777777" w:rsidR="003B2070" w:rsidRDefault="003B2070" w:rsidP="00A419DB">
      <w:pPr>
        <w:suppressAutoHyphens/>
        <w:rPr>
          <w:rFonts w:ascii="Times New Roman" w:hAnsi="Times New Roman" w:cs="Times New Roman"/>
          <w:b/>
          <w:color w:val="000000" w:themeColor="text1"/>
          <w:sz w:val="24"/>
        </w:rPr>
      </w:pPr>
    </w:p>
    <w:p w14:paraId="2343B331" w14:textId="77777777" w:rsidR="003B2070" w:rsidRDefault="003B2070" w:rsidP="00A419DB">
      <w:pPr>
        <w:suppressAutoHyphens/>
        <w:rPr>
          <w:rFonts w:ascii="Times New Roman" w:hAnsi="Times New Roman" w:cs="Times New Roman"/>
          <w:b/>
          <w:color w:val="000000" w:themeColor="text1"/>
          <w:sz w:val="24"/>
        </w:rPr>
      </w:pPr>
    </w:p>
    <w:p w14:paraId="23475FDB" w14:textId="77777777" w:rsidR="003B2070" w:rsidRDefault="003B2070" w:rsidP="00A419DB">
      <w:pPr>
        <w:suppressAutoHyphens/>
        <w:rPr>
          <w:rFonts w:ascii="Times New Roman" w:hAnsi="Times New Roman" w:cs="Times New Roman"/>
          <w:b/>
          <w:color w:val="000000" w:themeColor="text1"/>
          <w:sz w:val="24"/>
        </w:rPr>
      </w:pPr>
    </w:p>
    <w:p w14:paraId="034DFE41" w14:textId="77777777" w:rsidR="003B2070" w:rsidRDefault="003B2070" w:rsidP="00A419DB">
      <w:pPr>
        <w:suppressAutoHyphens/>
        <w:rPr>
          <w:rFonts w:ascii="Times New Roman" w:hAnsi="Times New Roman" w:cs="Times New Roman"/>
          <w:b/>
          <w:color w:val="000000" w:themeColor="text1"/>
          <w:sz w:val="24"/>
        </w:rPr>
      </w:pPr>
    </w:p>
    <w:p w14:paraId="749A8C38" w14:textId="77777777" w:rsidR="003B2070" w:rsidRDefault="003B2070" w:rsidP="00A419DB">
      <w:pPr>
        <w:suppressAutoHyphens/>
        <w:rPr>
          <w:rFonts w:ascii="Times New Roman" w:hAnsi="Times New Roman" w:cs="Times New Roman"/>
          <w:b/>
          <w:color w:val="000000" w:themeColor="text1"/>
          <w:sz w:val="24"/>
        </w:rPr>
      </w:pPr>
    </w:p>
    <w:p w14:paraId="26B1F80B" w14:textId="77777777" w:rsidR="00D718BB" w:rsidRDefault="00D718BB" w:rsidP="00A419DB">
      <w:pPr>
        <w:shd w:val="clear" w:color="auto" w:fill="FFFFFF"/>
        <w:suppressAutoHyphens/>
        <w:spacing w:before="75" w:after="225" w:line="240" w:lineRule="auto"/>
        <w:jc w:val="both"/>
        <w:rPr>
          <w:rFonts w:ascii="Times New Roman" w:hAnsi="Times New Roman" w:cs="Times New Roman"/>
          <w:b/>
          <w:color w:val="000000" w:themeColor="text1"/>
          <w:sz w:val="24"/>
        </w:rPr>
      </w:pPr>
    </w:p>
    <w:p w14:paraId="29F03EC8" w14:textId="77777777" w:rsidR="003B2070" w:rsidRDefault="003B2070" w:rsidP="00A419DB">
      <w:pPr>
        <w:shd w:val="clear" w:color="auto" w:fill="FFFFFF"/>
        <w:suppressAutoHyphens/>
        <w:spacing w:before="75" w:after="225" w:line="240" w:lineRule="auto"/>
        <w:jc w:val="both"/>
        <w:rPr>
          <w:rFonts w:ascii="Times New Roman" w:eastAsia="Times New Roman" w:hAnsi="Times New Roman" w:cs="Times New Roman"/>
          <w:sz w:val="24"/>
          <w:szCs w:val="26"/>
        </w:rPr>
      </w:pPr>
    </w:p>
    <w:p w14:paraId="14858076" w14:textId="77777777" w:rsidR="00D718BB" w:rsidRDefault="00D718BB" w:rsidP="00A419DB">
      <w:pPr>
        <w:shd w:val="clear" w:color="auto" w:fill="FFFFFF"/>
        <w:suppressAutoHyphens/>
        <w:spacing w:before="75" w:after="225" w:line="240" w:lineRule="auto"/>
        <w:jc w:val="both"/>
        <w:rPr>
          <w:rFonts w:ascii="Times New Roman" w:eastAsia="Times New Roman" w:hAnsi="Times New Roman" w:cs="Times New Roman"/>
          <w:sz w:val="24"/>
          <w:szCs w:val="26"/>
        </w:rPr>
      </w:pPr>
    </w:p>
    <w:p w14:paraId="609DE6C3" w14:textId="00A53AAE" w:rsidR="004C062E" w:rsidRPr="003B2070" w:rsidRDefault="002C7340" w:rsidP="00A419DB">
      <w:pPr>
        <w:suppressAutoHyphens/>
        <w:spacing w:line="360" w:lineRule="auto"/>
        <w:jc w:val="center"/>
        <w:rPr>
          <w:rFonts w:ascii="Times New Roman" w:hAnsi="Times New Roman" w:cs="Times New Roman"/>
          <w:b/>
          <w:bCs/>
          <w:sz w:val="24"/>
          <w:szCs w:val="24"/>
        </w:rPr>
      </w:pPr>
      <w:r w:rsidRPr="003B2070">
        <w:rPr>
          <w:rFonts w:ascii="Times New Roman" w:hAnsi="Times New Roman" w:cs="Times New Roman"/>
          <w:b/>
          <w:bCs/>
          <w:sz w:val="24"/>
          <w:szCs w:val="24"/>
        </w:rPr>
        <w:lastRenderedPageBreak/>
        <w:t>Догоспитальный алгоритм действий врача СМП или фельдшера при ИМпST</w:t>
      </w:r>
    </w:p>
    <w:p w14:paraId="24AAB403" w14:textId="77777777" w:rsidR="004C062E" w:rsidRDefault="002C7340" w:rsidP="00A419DB">
      <w:pPr>
        <w:suppressAutoHyphens/>
        <w:spacing w:after="0" w:line="360" w:lineRule="auto"/>
        <w:jc w:val="both"/>
        <w:rPr>
          <w:rFonts w:ascii="Times New Roman" w:hAnsi="Times New Roman" w:cs="Times New Roman"/>
          <w:sz w:val="24"/>
          <w:szCs w:val="24"/>
        </w:rPr>
      </w:pPr>
      <w:r>
        <w:rPr>
          <w:rFonts w:ascii="Times New Roman" w:hAnsi="Times New Roman" w:cs="Times New Roman"/>
          <w:sz w:val="24"/>
          <w:szCs w:val="24"/>
        </w:rPr>
        <w:t>1. Сбор жалоб, анамнеза, оценка болевого синдрома, физикальное обследование, контроль показателей гемодинамики (АД, ЧСС).</w:t>
      </w:r>
    </w:p>
    <w:p w14:paraId="43C8A384" w14:textId="77777777" w:rsidR="004C062E" w:rsidRDefault="002C7340" w:rsidP="00A419DB">
      <w:pPr>
        <w:suppressAutoHyphens/>
        <w:spacing w:after="0" w:line="360" w:lineRule="auto"/>
        <w:jc w:val="both"/>
        <w:rPr>
          <w:rFonts w:ascii="Times New Roman" w:hAnsi="Times New Roman" w:cs="Times New Roman"/>
          <w:sz w:val="24"/>
          <w:szCs w:val="24"/>
        </w:rPr>
      </w:pPr>
      <w:r>
        <w:rPr>
          <w:rFonts w:ascii="Times New Roman" w:hAnsi="Times New Roman" w:cs="Times New Roman"/>
          <w:sz w:val="24"/>
          <w:szCs w:val="24"/>
        </w:rPr>
        <w:t>2. Ограничение двигательной активности.</w:t>
      </w:r>
    </w:p>
    <w:p w14:paraId="0335E349" w14:textId="77777777" w:rsidR="004C062E" w:rsidRDefault="002C7340" w:rsidP="00A419DB">
      <w:pPr>
        <w:suppressAutoHyphens/>
        <w:spacing w:after="0" w:line="360" w:lineRule="auto"/>
        <w:jc w:val="both"/>
        <w:rPr>
          <w:rFonts w:ascii="Times New Roman" w:hAnsi="Times New Roman" w:cs="Times New Roman"/>
          <w:sz w:val="24"/>
          <w:szCs w:val="24"/>
        </w:rPr>
      </w:pPr>
      <w:r>
        <w:rPr>
          <w:rFonts w:ascii="Times New Roman" w:hAnsi="Times New Roman" w:cs="Times New Roman"/>
          <w:sz w:val="24"/>
          <w:szCs w:val="24"/>
        </w:rPr>
        <w:t>3. Регистрация ЭКГ как минимум в 12-ти отведениях и осуществление дистанционного консультирования ЭКГ (при необходимости и возможности проведения).</w:t>
      </w:r>
    </w:p>
    <w:p w14:paraId="455D2350" w14:textId="77777777" w:rsidR="004C062E" w:rsidRDefault="002C7340" w:rsidP="00A419DB">
      <w:pPr>
        <w:suppressAutoHyphens/>
        <w:spacing w:after="0" w:line="360" w:lineRule="auto"/>
        <w:jc w:val="both"/>
        <w:rPr>
          <w:rFonts w:ascii="Times New Roman" w:hAnsi="Times New Roman" w:cs="Times New Roman"/>
          <w:sz w:val="24"/>
          <w:szCs w:val="24"/>
        </w:rPr>
      </w:pPr>
      <w:r>
        <w:rPr>
          <w:rFonts w:ascii="Times New Roman" w:hAnsi="Times New Roman" w:cs="Times New Roman"/>
          <w:sz w:val="24"/>
          <w:szCs w:val="24"/>
        </w:rPr>
        <w:t>4. Начало непрерывного мониторирования ЭКГ, обеспечение в/в доступа, готовность к проведению дефибрилляции и сердечно-легочной реанимации.</w:t>
      </w:r>
    </w:p>
    <w:p w14:paraId="21208BF5" w14:textId="77777777" w:rsidR="004C062E" w:rsidRDefault="002C7340" w:rsidP="00A419DB">
      <w:pPr>
        <w:suppressAutoHyphens/>
        <w:spacing w:after="0" w:line="360" w:lineRule="auto"/>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color w:val="FF0000"/>
          <w:sz w:val="24"/>
          <w:szCs w:val="24"/>
        </w:rPr>
        <w:t xml:space="preserve">. </w:t>
      </w:r>
      <w:r>
        <w:rPr>
          <w:rFonts w:ascii="Times New Roman" w:hAnsi="Times New Roman" w:cs="Times New Roman"/>
          <w:sz w:val="24"/>
          <w:szCs w:val="24"/>
        </w:rPr>
        <w:t>Определение стратегии реперфузионной терапии.</w:t>
      </w:r>
    </w:p>
    <w:p w14:paraId="78A602F4" w14:textId="77777777" w:rsidR="004C062E" w:rsidRDefault="002C7340" w:rsidP="00A419DB">
      <w:pPr>
        <w:suppressAutoHyphens/>
        <w:spacing w:after="0" w:line="360" w:lineRule="auto"/>
        <w:jc w:val="both"/>
        <w:rPr>
          <w:rFonts w:ascii="Times New Roman" w:hAnsi="Times New Roman" w:cs="Times New Roman"/>
          <w:sz w:val="24"/>
          <w:szCs w:val="24"/>
        </w:rPr>
      </w:pPr>
      <w:r>
        <w:rPr>
          <w:rStyle w:val="a5"/>
          <w:rFonts w:ascii="Times New Roman" w:hAnsi="Times New Roman" w:cs="Times New Roman"/>
          <w:b/>
          <w:bCs/>
          <w:sz w:val="24"/>
          <w:szCs w:val="24"/>
        </w:rPr>
        <w:t>Отсутствие реперфузионного лечения</w:t>
      </w:r>
      <w:r>
        <w:rPr>
          <w:rFonts w:ascii="Times New Roman" w:hAnsi="Times New Roman" w:cs="Times New Roman"/>
          <w:sz w:val="24"/>
          <w:szCs w:val="24"/>
        </w:rPr>
        <w:t> (противопоказания для проведения ТЛТ, недоступность первичного ЧКВ). При отсутствии противопоказаний рассмотреть применение АСК в дозе 300 мг (разжевать; не принимать внутрь кишечнорастворимые лекарственные формы препарата). Не применяются ингибиторы P2Y</w:t>
      </w:r>
      <w:r>
        <w:rPr>
          <w:rFonts w:ascii="Times New Roman" w:hAnsi="Times New Roman" w:cs="Times New Roman"/>
          <w:sz w:val="24"/>
          <w:szCs w:val="24"/>
          <w:vertAlign w:val="subscript"/>
        </w:rPr>
        <w:t>12</w:t>
      </w:r>
      <w:r>
        <w:rPr>
          <w:rFonts w:ascii="Times New Roman" w:hAnsi="Times New Roman" w:cs="Times New Roman"/>
          <w:sz w:val="24"/>
          <w:szCs w:val="24"/>
        </w:rPr>
        <w:t> рецептора тромбоцитов и антикоагулянты.</w:t>
      </w:r>
    </w:p>
    <w:p w14:paraId="13CC3963" w14:textId="77777777" w:rsidR="004C062E" w:rsidRDefault="002C7340" w:rsidP="00A419DB">
      <w:pPr>
        <w:numPr>
          <w:ilvl w:val="0"/>
          <w:numId w:val="101"/>
        </w:numPr>
        <w:suppressAutoHyphens/>
        <w:spacing w:after="0" w:line="360" w:lineRule="auto"/>
        <w:jc w:val="both"/>
        <w:rPr>
          <w:rFonts w:ascii="Times New Roman" w:hAnsi="Times New Roman" w:cs="Times New Roman"/>
          <w:sz w:val="24"/>
          <w:szCs w:val="24"/>
        </w:rPr>
      </w:pPr>
      <w:r>
        <w:rPr>
          <w:rFonts w:ascii="Times New Roman" w:hAnsi="Times New Roman" w:cs="Times New Roman"/>
          <w:sz w:val="24"/>
          <w:szCs w:val="24"/>
        </w:rPr>
        <w:t>Экстренная госпитализация в стационар.</w:t>
      </w:r>
    </w:p>
    <w:p w14:paraId="1CC2506D" w14:textId="77777777" w:rsidR="004C062E" w:rsidRDefault="002C7340" w:rsidP="00A419DB">
      <w:pPr>
        <w:numPr>
          <w:ilvl w:val="0"/>
          <w:numId w:val="101"/>
        </w:numPr>
        <w:suppressAutoHyphen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Купирование болевого синдрома.</w:t>
      </w:r>
    </w:p>
    <w:p w14:paraId="659427AF" w14:textId="77777777" w:rsidR="004C062E" w:rsidRDefault="002C7340" w:rsidP="00A419DB">
      <w:pPr>
        <w:suppressAutoHyphens/>
        <w:spacing w:after="0" w:line="360" w:lineRule="auto"/>
        <w:jc w:val="both"/>
        <w:rPr>
          <w:rFonts w:ascii="Times New Roman" w:hAnsi="Times New Roman" w:cs="Times New Roman"/>
          <w:sz w:val="24"/>
          <w:szCs w:val="24"/>
        </w:rPr>
      </w:pPr>
      <w:r>
        <w:rPr>
          <w:rFonts w:ascii="Times New Roman" w:hAnsi="Times New Roman" w:cs="Times New Roman"/>
          <w:sz w:val="24"/>
          <w:szCs w:val="24"/>
        </w:rPr>
        <w:t>При отсутствии АГ и других противопоказаний — нитроглицерин в дозе 0,4-0,5 мг в виде таблеток под </w:t>
      </w:r>
      <w:r>
        <w:rPr>
          <w:rStyle w:val="a5"/>
          <w:rFonts w:ascii="Times New Roman" w:hAnsi="Times New Roman" w:cs="Times New Roman"/>
          <w:color w:val="666666"/>
          <w:sz w:val="24"/>
          <w:szCs w:val="24"/>
        </w:rPr>
        <w:t>язык</w:t>
      </w:r>
      <w:r>
        <w:rPr>
          <w:rFonts w:ascii="Times New Roman" w:hAnsi="Times New Roman" w:cs="Times New Roman"/>
          <w:sz w:val="24"/>
          <w:szCs w:val="24"/>
        </w:rPr>
        <w:t> или аэрозоля (спрея). Если симптомы не исчезают через 5 мин, а препарат удовлетворительно переносится, можно использовать его повторно. В связи с опасностью артериальной гипотонии необходимо постоянно контролировать АД.</w:t>
      </w:r>
    </w:p>
    <w:p w14:paraId="7FC3465A" w14:textId="77777777" w:rsidR="004C062E" w:rsidRDefault="002C7340" w:rsidP="00A419DB">
      <w:pPr>
        <w:suppressAutoHyphens/>
        <w:spacing w:after="0" w:line="360" w:lineRule="auto"/>
        <w:jc w:val="both"/>
        <w:rPr>
          <w:rFonts w:ascii="Times New Roman" w:hAnsi="Times New Roman" w:cs="Times New Roman"/>
          <w:sz w:val="24"/>
          <w:szCs w:val="24"/>
        </w:rPr>
      </w:pPr>
      <w:r>
        <w:rPr>
          <w:rFonts w:ascii="Times New Roman" w:hAnsi="Times New Roman" w:cs="Times New Roman"/>
          <w:sz w:val="24"/>
          <w:szCs w:val="24"/>
        </w:rPr>
        <w:t>В случае интенсивного болевого синдрома или при неэффективности нитроглицерина необходимо в/в введение наркотического анальгетика. Доза наркотического анальгетика, необходимая для адекватного обезболивания, должна подбираться индивидуально. Препаратом выбора является морфин. Перед использованием 10 мг морфина разводят как минимум в 10 мл 0,9% раствора натрия хлорида. Первоначально следует ввести в/в медленно 2-4 мг лекарственного вещества. При необходимости введение повторяют каждые 5-15 мин по 2-4 мг до купирования боли или возникновения побочных эффектов, не позволяющих увеличить дозу.</w:t>
      </w:r>
    </w:p>
    <w:p w14:paraId="016EEC7A" w14:textId="2682EA13" w:rsidR="004C062E" w:rsidRDefault="002C7340" w:rsidP="00A419DB">
      <w:pPr>
        <w:suppressAutoHyphen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8. Лечение острой СН, угрожающих жизни нарушений сердечного ритма и проводимости </w:t>
      </w:r>
      <w:r w:rsidR="003B2070">
        <w:rPr>
          <w:rFonts w:ascii="Times New Roman" w:hAnsi="Times New Roman" w:cs="Times New Roman"/>
          <w:sz w:val="24"/>
          <w:szCs w:val="24"/>
        </w:rPr>
        <w:t>.</w:t>
      </w:r>
    </w:p>
    <w:p w14:paraId="2DB021DA" w14:textId="369B5EE4" w:rsidR="004C062E" w:rsidRPr="00C7256B" w:rsidRDefault="002C7340" w:rsidP="00A419DB">
      <w:pPr>
        <w:suppressAutoHyphen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9. В карте вызова и сопроводительном талоне указать время начала ОКС, время первого медицинского контакта, время регистрации ЭКГ, отметить проведённое на догоспитальном этапе лечение с указанием доз препаратов, время доставки пациента </w:t>
      </w:r>
      <w:r>
        <w:rPr>
          <w:rFonts w:ascii="Times New Roman" w:hAnsi="Times New Roman" w:cs="Times New Roman"/>
          <w:sz w:val="24"/>
          <w:szCs w:val="24"/>
        </w:rPr>
        <w:lastRenderedPageBreak/>
        <w:t>в стационар. Если известно, указать препараты, принятые пациентом в ближайшие 24 ч, время их приема и дозы</w:t>
      </w:r>
    </w:p>
    <w:p w14:paraId="590F855E" w14:textId="77777777" w:rsidR="004C062E" w:rsidRDefault="002C7340" w:rsidP="00A419DB">
      <w:pPr>
        <w:pStyle w:val="10"/>
        <w:suppressAutoHyphens/>
        <w:spacing w:before="0" w:line="360" w:lineRule="auto"/>
        <w:ind w:firstLineChars="295" w:firstLine="711"/>
        <w:contextualSpacing/>
        <w:jc w:val="both"/>
        <w:rPr>
          <w:rFonts w:ascii="Times New Roman" w:hAnsi="Times New Roman"/>
          <w:bCs w:val="0"/>
          <w:color w:val="auto"/>
          <w:sz w:val="24"/>
          <w:szCs w:val="24"/>
        </w:rPr>
      </w:pPr>
      <w:bookmarkStart w:id="61" w:name="_Toc236138969"/>
      <w:r>
        <w:rPr>
          <w:rFonts w:ascii="Times New Roman" w:hAnsi="Times New Roman"/>
          <w:bCs w:val="0"/>
          <w:color w:val="auto"/>
          <w:sz w:val="24"/>
          <w:szCs w:val="24"/>
        </w:rPr>
        <w:t>Приложение В. Информация для пациента</w:t>
      </w:r>
      <w:bookmarkEnd w:id="61"/>
    </w:p>
    <w:p w14:paraId="437C4F30" w14:textId="075AA190" w:rsidR="004C062E" w:rsidRDefault="003B2070" w:rsidP="00A419DB">
      <w:pPr>
        <w:pStyle w:val="af5"/>
        <w:shd w:val="clear" w:color="auto" w:fill="FFFFFF"/>
        <w:suppressAutoHyphens/>
        <w:spacing w:before="75" w:beforeAutospacing="0" w:after="0" w:afterAutospacing="0" w:line="360" w:lineRule="auto"/>
        <w:jc w:val="both"/>
        <w:rPr>
          <w:color w:val="000000" w:themeColor="text1"/>
          <w:szCs w:val="26"/>
        </w:rPr>
      </w:pPr>
      <w:r>
        <w:rPr>
          <w:color w:val="000000" w:themeColor="text1"/>
          <w:szCs w:val="26"/>
        </w:rPr>
        <w:tab/>
      </w:r>
      <w:r w:rsidR="002C7340">
        <w:rPr>
          <w:color w:val="000000" w:themeColor="text1"/>
          <w:szCs w:val="26"/>
        </w:rPr>
        <w:t xml:space="preserve">Острый коронарный синдром — период обострения ишемической болезни сердца, когда наиболее велика вероятность возникновения инфаркта миокарда и смерти. Наиболее частое проявление ишемии миокарда — ощущение боли или дискомфорта за грудиной. В случаях, когда эти ощущения недавно появились, участились или утяжелились — особенно если они стали возникать в покое, при незначительной физической нагрузке или носить затяжной характер — необходимо срочно обратиться за медицинской помощью (оптимально — вызвать бригаду Скорой медицинской помощи). </w:t>
      </w:r>
    </w:p>
    <w:p w14:paraId="12F6B31E" w14:textId="3AF4CFCE" w:rsidR="004C062E" w:rsidRDefault="003B2070" w:rsidP="00A419DB">
      <w:pPr>
        <w:pStyle w:val="af5"/>
        <w:shd w:val="clear" w:color="auto" w:fill="FFFFFF"/>
        <w:suppressAutoHyphens/>
        <w:spacing w:before="75" w:beforeAutospacing="0" w:after="225" w:afterAutospacing="0" w:line="360" w:lineRule="auto"/>
        <w:jc w:val="both"/>
        <w:rPr>
          <w:color w:val="000000"/>
        </w:rPr>
      </w:pPr>
      <w:r>
        <w:rPr>
          <w:color w:val="000000" w:themeColor="text1"/>
          <w:szCs w:val="26"/>
        </w:rPr>
        <w:tab/>
      </w:r>
      <w:r w:rsidR="002C7340">
        <w:rPr>
          <w:color w:val="000000" w:themeColor="text1"/>
          <w:szCs w:val="26"/>
        </w:rPr>
        <w:t>Важно понимать, что в большинстве случаев острый коронарный синдром — проявление прогрессирования атеросклероза, который развивается во всех артериях человека. Поэтому после выписки очень важно не прекращать лечение, начатое в стационаре, и сосредоточить усилия на устранении факторов, способствующих прогрессированию атеросклероза (бросить курить, обеспечить регулярную физическую активность, соблюдение диеты, разработанной для таких случаев, избавиться от избыточной массы тела, поддерживать низкие значения холестерина в крови, обеспечить стойкую нормализацию артериального давления при наличии артериальной гипертонии, поддерживать нормальный уровень сахара в крови при наличии сахарного диабета). Преждевременное прекращение приема некоторых препаратов существенно увеличивает риск возникновения инфаркта миокарда и смерти от ишемической болезни сердца, поэтому нельзя этого делать, не посоветовавшись с врачом.</w:t>
      </w:r>
      <w:r w:rsidR="002C7340">
        <w:rPr>
          <w:color w:val="000000"/>
        </w:rPr>
        <w:tab/>
      </w:r>
    </w:p>
    <w:p w14:paraId="53ED2B4F" w14:textId="77777777" w:rsidR="003F7821" w:rsidRDefault="003F7821" w:rsidP="00A419DB">
      <w:pPr>
        <w:pStyle w:val="af5"/>
        <w:shd w:val="clear" w:color="auto" w:fill="FFFFFF"/>
        <w:suppressAutoHyphens/>
        <w:spacing w:before="75" w:beforeAutospacing="0" w:after="225" w:afterAutospacing="0" w:line="360" w:lineRule="auto"/>
        <w:jc w:val="both"/>
        <w:rPr>
          <w:color w:val="000000"/>
        </w:rPr>
      </w:pPr>
    </w:p>
    <w:p w14:paraId="66E85428" w14:textId="77777777" w:rsidR="00CE0DA9" w:rsidRDefault="00CE0DA9" w:rsidP="00A419DB">
      <w:pPr>
        <w:pStyle w:val="af5"/>
        <w:shd w:val="clear" w:color="auto" w:fill="FFFFFF"/>
        <w:suppressAutoHyphens/>
        <w:spacing w:before="75" w:beforeAutospacing="0" w:after="225" w:afterAutospacing="0" w:line="360" w:lineRule="auto"/>
        <w:jc w:val="both"/>
        <w:rPr>
          <w:color w:val="000000"/>
        </w:rPr>
      </w:pPr>
    </w:p>
    <w:p w14:paraId="3CE44980" w14:textId="77777777" w:rsidR="00CE0DA9" w:rsidRDefault="00CE0DA9" w:rsidP="00A419DB">
      <w:pPr>
        <w:pStyle w:val="af5"/>
        <w:shd w:val="clear" w:color="auto" w:fill="FFFFFF"/>
        <w:suppressAutoHyphens/>
        <w:spacing w:before="75" w:beforeAutospacing="0" w:after="225" w:afterAutospacing="0" w:line="360" w:lineRule="auto"/>
        <w:jc w:val="both"/>
        <w:rPr>
          <w:color w:val="000000"/>
        </w:rPr>
      </w:pPr>
    </w:p>
    <w:p w14:paraId="07D28B7D" w14:textId="77777777" w:rsidR="00CE0DA9" w:rsidRDefault="00CE0DA9" w:rsidP="00A419DB">
      <w:pPr>
        <w:pStyle w:val="af5"/>
        <w:shd w:val="clear" w:color="auto" w:fill="FFFFFF"/>
        <w:suppressAutoHyphens/>
        <w:spacing w:before="75" w:beforeAutospacing="0" w:after="225" w:afterAutospacing="0" w:line="360" w:lineRule="auto"/>
        <w:jc w:val="both"/>
        <w:rPr>
          <w:color w:val="000000"/>
        </w:rPr>
      </w:pPr>
    </w:p>
    <w:p w14:paraId="680A4416" w14:textId="77777777" w:rsidR="00CE0DA9" w:rsidRDefault="00CE0DA9" w:rsidP="00A419DB">
      <w:pPr>
        <w:pStyle w:val="af5"/>
        <w:shd w:val="clear" w:color="auto" w:fill="FFFFFF"/>
        <w:suppressAutoHyphens/>
        <w:spacing w:before="75" w:beforeAutospacing="0" w:after="225" w:afterAutospacing="0" w:line="360" w:lineRule="auto"/>
        <w:jc w:val="both"/>
        <w:rPr>
          <w:color w:val="000000"/>
        </w:rPr>
      </w:pPr>
    </w:p>
    <w:p w14:paraId="580A782F" w14:textId="77777777" w:rsidR="00CE0DA9" w:rsidRDefault="00CE0DA9" w:rsidP="00A419DB">
      <w:pPr>
        <w:pStyle w:val="af5"/>
        <w:shd w:val="clear" w:color="auto" w:fill="FFFFFF"/>
        <w:suppressAutoHyphens/>
        <w:spacing w:before="75" w:beforeAutospacing="0" w:after="225" w:afterAutospacing="0" w:line="360" w:lineRule="auto"/>
        <w:jc w:val="both"/>
        <w:rPr>
          <w:color w:val="000000"/>
        </w:rPr>
      </w:pPr>
    </w:p>
    <w:p w14:paraId="38E6F544" w14:textId="77777777" w:rsidR="003F7821" w:rsidRDefault="003F7821" w:rsidP="00A419DB">
      <w:pPr>
        <w:pStyle w:val="af5"/>
        <w:shd w:val="clear" w:color="auto" w:fill="FFFFFF"/>
        <w:suppressAutoHyphens/>
        <w:spacing w:before="75" w:beforeAutospacing="0" w:after="225" w:afterAutospacing="0" w:line="360" w:lineRule="auto"/>
        <w:jc w:val="both"/>
        <w:rPr>
          <w:color w:val="000000"/>
        </w:rPr>
      </w:pPr>
    </w:p>
    <w:p w14:paraId="441BFB2D" w14:textId="77777777" w:rsidR="003F7821" w:rsidRDefault="003F7821" w:rsidP="00A419DB">
      <w:pPr>
        <w:suppressAutoHyphens/>
        <w:jc w:val="center"/>
        <w:rPr>
          <w:rFonts w:ascii="Times New Roman" w:hAnsi="Times New Roman" w:cs="Times New Roman"/>
          <w:b/>
          <w:bCs/>
          <w:sz w:val="24"/>
          <w:szCs w:val="20"/>
        </w:rPr>
      </w:pPr>
      <w:r>
        <w:rPr>
          <w:rFonts w:ascii="Times New Roman" w:hAnsi="Times New Roman" w:cs="Times New Roman"/>
          <w:b/>
          <w:bCs/>
          <w:sz w:val="24"/>
          <w:szCs w:val="20"/>
        </w:rPr>
        <w:lastRenderedPageBreak/>
        <w:t>Персональный состав экспертной группы по проведению экспертизы проектов клинических рекомендаций по вопросам оказания медицинской помощи</w:t>
      </w:r>
    </w:p>
    <w:p w14:paraId="007FC684" w14:textId="77777777" w:rsidR="003F7821" w:rsidRDefault="003F7821" w:rsidP="00A419DB">
      <w:pPr>
        <w:numPr>
          <w:ilvl w:val="0"/>
          <w:numId w:val="106"/>
        </w:numPr>
        <w:suppressAutoHyphens/>
        <w:spacing w:after="0" w:line="240" w:lineRule="auto"/>
        <w:ind w:firstLine="567"/>
        <w:jc w:val="both"/>
        <w:rPr>
          <w:rFonts w:ascii="Times New Roman" w:hAnsi="Times New Roman" w:cs="Times New Roman"/>
          <w:sz w:val="24"/>
          <w:szCs w:val="20"/>
        </w:rPr>
      </w:pPr>
      <w:r>
        <w:rPr>
          <w:rFonts w:ascii="Times New Roman" w:hAnsi="Times New Roman" w:cs="Times New Roman"/>
          <w:sz w:val="24"/>
          <w:szCs w:val="20"/>
        </w:rPr>
        <w:t>Председатель экспертной группы: Дяченко Анжела Григорьевна - начальник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w:t>
      </w:r>
    </w:p>
    <w:p w14:paraId="40EF6F46" w14:textId="77777777" w:rsidR="003F7821" w:rsidRDefault="003F7821" w:rsidP="00A419DB">
      <w:pPr>
        <w:numPr>
          <w:ilvl w:val="0"/>
          <w:numId w:val="106"/>
        </w:numPr>
        <w:suppressAutoHyphens/>
        <w:spacing w:after="0" w:line="240" w:lineRule="auto"/>
        <w:ind w:firstLine="567"/>
        <w:jc w:val="both"/>
        <w:rPr>
          <w:rFonts w:ascii="Times New Roman" w:hAnsi="Times New Roman" w:cs="Times New Roman"/>
          <w:sz w:val="24"/>
          <w:szCs w:val="20"/>
        </w:rPr>
      </w:pPr>
      <w:r>
        <w:rPr>
          <w:rFonts w:ascii="Times New Roman" w:hAnsi="Times New Roman" w:cs="Times New Roman"/>
          <w:sz w:val="24"/>
          <w:szCs w:val="20"/>
        </w:rPr>
        <w:t>заместители председателя экспертной группы:</w:t>
      </w:r>
    </w:p>
    <w:p w14:paraId="3C8CA88C" w14:textId="77777777" w:rsidR="003F7821" w:rsidRDefault="003F7821" w:rsidP="00A419DB">
      <w:pPr>
        <w:numPr>
          <w:ilvl w:val="0"/>
          <w:numId w:val="107"/>
        </w:numPr>
        <w:suppressAutoHyphens/>
        <w:spacing w:after="0" w:line="240" w:lineRule="auto"/>
        <w:ind w:firstLine="567"/>
        <w:jc w:val="both"/>
        <w:rPr>
          <w:rFonts w:ascii="Times New Roman" w:hAnsi="Times New Roman" w:cs="Times New Roman"/>
          <w:sz w:val="24"/>
          <w:szCs w:val="20"/>
        </w:rPr>
      </w:pPr>
      <w:r>
        <w:rPr>
          <w:rFonts w:ascii="Times New Roman" w:hAnsi="Times New Roman" w:cs="Times New Roman"/>
          <w:sz w:val="24"/>
          <w:szCs w:val="20"/>
        </w:rPr>
        <w:t>Окушко Ростислав Владимирович - кандидат медицинских наук, доцент, директор государственного образовательного учреждения высшего профессионального образования «Приднестровский государственный медицинский колледж имени Л.А. Тарасевича»,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w:t>
      </w:r>
    </w:p>
    <w:p w14:paraId="7B2AD92C" w14:textId="77777777" w:rsidR="003F7821" w:rsidRDefault="003F7821" w:rsidP="00A419DB">
      <w:pPr>
        <w:numPr>
          <w:ilvl w:val="0"/>
          <w:numId w:val="107"/>
        </w:numPr>
        <w:suppressAutoHyphens/>
        <w:spacing w:after="0" w:line="240" w:lineRule="auto"/>
        <w:ind w:firstLine="567"/>
        <w:jc w:val="both"/>
        <w:rPr>
          <w:rFonts w:ascii="Times New Roman" w:hAnsi="Times New Roman" w:cs="Times New Roman"/>
          <w:sz w:val="24"/>
          <w:szCs w:val="20"/>
        </w:rPr>
      </w:pPr>
      <w:r>
        <w:rPr>
          <w:rFonts w:ascii="Times New Roman" w:hAnsi="Times New Roman" w:cs="Times New Roman"/>
          <w:sz w:val="24"/>
          <w:szCs w:val="20"/>
        </w:rPr>
        <w:t>Малиёв Вячеслав Владимирович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главный внештатный специалист по скорой медицинской помощи Министерства здравоохранения Приднестровской Молдавской Республики, главный врач государственного учреждения «Региональная станция скорой медицинской помощи г. Бендеры»;</w:t>
      </w:r>
    </w:p>
    <w:p w14:paraId="35DA76C7" w14:textId="77777777" w:rsidR="003F7821" w:rsidRDefault="003F7821" w:rsidP="00A419DB">
      <w:pPr>
        <w:numPr>
          <w:ilvl w:val="0"/>
          <w:numId w:val="106"/>
        </w:numPr>
        <w:suppressAutoHyphens/>
        <w:spacing w:after="0" w:line="240" w:lineRule="auto"/>
        <w:ind w:firstLine="567"/>
        <w:jc w:val="both"/>
        <w:rPr>
          <w:rFonts w:ascii="Times New Roman" w:hAnsi="Times New Roman" w:cs="Times New Roman"/>
          <w:sz w:val="24"/>
          <w:szCs w:val="20"/>
        </w:rPr>
      </w:pPr>
      <w:r>
        <w:rPr>
          <w:rFonts w:ascii="Times New Roman" w:hAnsi="Times New Roman" w:cs="Times New Roman"/>
          <w:sz w:val="24"/>
          <w:szCs w:val="20"/>
        </w:rPr>
        <w:t>члены экспертной группы:</w:t>
      </w:r>
    </w:p>
    <w:p w14:paraId="190B8BA2" w14:textId="77777777" w:rsidR="003F7821" w:rsidRDefault="003F7821" w:rsidP="00A419DB">
      <w:pPr>
        <w:numPr>
          <w:ilvl w:val="0"/>
          <w:numId w:val="108"/>
        </w:numPr>
        <w:suppressAutoHyphens/>
        <w:spacing w:after="0" w:line="240" w:lineRule="auto"/>
        <w:ind w:firstLine="567"/>
        <w:jc w:val="both"/>
        <w:rPr>
          <w:rFonts w:ascii="Times New Roman" w:hAnsi="Times New Roman" w:cs="Times New Roman"/>
          <w:sz w:val="24"/>
          <w:szCs w:val="20"/>
        </w:rPr>
      </w:pPr>
      <w:r>
        <w:rPr>
          <w:rFonts w:ascii="Times New Roman" w:hAnsi="Times New Roman" w:cs="Times New Roman"/>
          <w:sz w:val="24"/>
          <w:szCs w:val="20"/>
        </w:rPr>
        <w:t>Кравцова Алина Геннадьевна - кандидат медицинских наук, доцент кафедры педиатрии, акушерства и гинекологии Медицинского института имени Н.В. Склифосовского государственного образовательного учреждения «Приднестровского государственного университета имени Т. Г. Шевченко»;</w:t>
      </w:r>
    </w:p>
    <w:p w14:paraId="6AF8896F" w14:textId="77777777" w:rsidR="003F7821" w:rsidRDefault="003F7821" w:rsidP="00A419DB">
      <w:pPr>
        <w:numPr>
          <w:ilvl w:val="0"/>
          <w:numId w:val="108"/>
        </w:numPr>
        <w:suppressAutoHyphens/>
        <w:spacing w:after="0" w:line="240" w:lineRule="auto"/>
        <w:ind w:firstLine="567"/>
        <w:jc w:val="both"/>
        <w:rPr>
          <w:rFonts w:ascii="Times New Roman" w:hAnsi="Times New Roman" w:cs="Times New Roman"/>
          <w:sz w:val="24"/>
          <w:szCs w:val="20"/>
        </w:rPr>
      </w:pPr>
      <w:r>
        <w:rPr>
          <w:rFonts w:ascii="Times New Roman" w:hAnsi="Times New Roman" w:cs="Times New Roman"/>
          <w:sz w:val="24"/>
          <w:szCs w:val="20"/>
        </w:rPr>
        <w:t>Гарбузняк Анастасия Андреевна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кандидат биологических наук, доцент кафедры общественного здоровья и организации здравоохранения с циклом инфекционных заболеваний Медицинского института имени Н.В. Склифосовского государственного образовательного учреждения «Приднестровского государственного университета имени Т.Г. Шевченко, врач- инфекционист;</w:t>
      </w:r>
    </w:p>
    <w:p w14:paraId="5BBD6162" w14:textId="77777777" w:rsidR="003F7821" w:rsidRDefault="003F7821" w:rsidP="00A419DB">
      <w:pPr>
        <w:numPr>
          <w:ilvl w:val="0"/>
          <w:numId w:val="108"/>
        </w:numPr>
        <w:suppressAutoHyphens/>
        <w:spacing w:after="0" w:line="240" w:lineRule="auto"/>
        <w:ind w:firstLine="567"/>
        <w:jc w:val="both"/>
        <w:rPr>
          <w:rFonts w:ascii="Times New Roman" w:hAnsi="Times New Roman" w:cs="Times New Roman"/>
          <w:sz w:val="24"/>
          <w:szCs w:val="20"/>
        </w:rPr>
      </w:pPr>
      <w:r>
        <w:rPr>
          <w:rFonts w:ascii="Times New Roman" w:hAnsi="Times New Roman" w:cs="Times New Roman"/>
          <w:sz w:val="24"/>
          <w:szCs w:val="20"/>
        </w:rPr>
        <w:t>Коваленко Татьяна Николаевна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врач-невролог (кабинета электромиографии) государственного учреждения «Республиканская клиническая больница»;</w:t>
      </w:r>
    </w:p>
    <w:p w14:paraId="0B4DC266" w14:textId="77777777" w:rsidR="003F7821" w:rsidRDefault="003F7821" w:rsidP="00A419DB">
      <w:pPr>
        <w:numPr>
          <w:ilvl w:val="0"/>
          <w:numId w:val="108"/>
        </w:numPr>
        <w:suppressAutoHyphens/>
        <w:spacing w:after="0" w:line="240" w:lineRule="auto"/>
        <w:ind w:firstLine="567"/>
        <w:jc w:val="both"/>
        <w:rPr>
          <w:rFonts w:ascii="Times New Roman" w:hAnsi="Times New Roman" w:cs="Times New Roman"/>
          <w:sz w:val="24"/>
          <w:szCs w:val="20"/>
        </w:rPr>
      </w:pPr>
      <w:r>
        <w:rPr>
          <w:rFonts w:ascii="Times New Roman" w:hAnsi="Times New Roman" w:cs="Times New Roman"/>
          <w:sz w:val="24"/>
          <w:szCs w:val="20"/>
        </w:rPr>
        <w:t>Монул Светлана Георгиевна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врач-хирург государственного учреждения «Республиканская клиническая больница».</w:t>
      </w:r>
    </w:p>
    <w:p w14:paraId="412775B5" w14:textId="77777777" w:rsidR="003F7821" w:rsidRDefault="003F7821" w:rsidP="00A419DB">
      <w:pPr>
        <w:suppressAutoHyphens/>
        <w:ind w:firstLine="567"/>
        <w:jc w:val="both"/>
        <w:rPr>
          <w:rFonts w:ascii="Times New Roman" w:hAnsi="Times New Roman" w:cs="Times New Roman"/>
          <w:sz w:val="24"/>
          <w:szCs w:val="20"/>
        </w:rPr>
      </w:pPr>
    </w:p>
    <w:p w14:paraId="21DB7281" w14:textId="77777777" w:rsidR="003F7821" w:rsidRDefault="003F7821" w:rsidP="00A419DB">
      <w:pPr>
        <w:suppressAutoHyphens/>
        <w:spacing w:line="360" w:lineRule="auto"/>
        <w:jc w:val="both"/>
      </w:pPr>
    </w:p>
    <w:p w14:paraId="694F3296" w14:textId="77777777" w:rsidR="003F7821" w:rsidRPr="00AC054B" w:rsidRDefault="003F7821" w:rsidP="00A419DB">
      <w:pPr>
        <w:pStyle w:val="af5"/>
        <w:shd w:val="clear" w:color="auto" w:fill="FFFFFF"/>
        <w:suppressAutoHyphens/>
        <w:spacing w:before="75" w:beforeAutospacing="0" w:after="225" w:afterAutospacing="0" w:line="360" w:lineRule="auto"/>
        <w:jc w:val="both"/>
        <w:rPr>
          <w:color w:val="000000" w:themeColor="text1"/>
          <w:szCs w:val="26"/>
        </w:rPr>
      </w:pPr>
    </w:p>
    <w:sectPr w:rsidR="003F7821" w:rsidRPr="00AC054B" w:rsidSect="00A419DB">
      <w:footerReference w:type="default" r:id="rId333"/>
      <w:type w:val="continuous"/>
      <w:pgSz w:w="11906" w:h="16838"/>
      <w:pgMar w:top="1135" w:right="1080" w:bottom="1440" w:left="1560" w:header="680"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E65CF" w14:textId="77777777" w:rsidR="00152B1F" w:rsidRDefault="00152B1F">
      <w:pPr>
        <w:spacing w:line="240" w:lineRule="auto"/>
      </w:pPr>
      <w:r>
        <w:separator/>
      </w:r>
    </w:p>
  </w:endnote>
  <w:endnote w:type="continuationSeparator" w:id="0">
    <w:p w14:paraId="6E3A5492" w14:textId="77777777" w:rsidR="00152B1F" w:rsidRDefault="00152B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Times New Roman"/>
    <w:charset w:val="00"/>
    <w:family w:val="auto"/>
    <w:pitch w:val="default"/>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7082437"/>
    </w:sdtPr>
    <w:sdtEndPr/>
    <w:sdtContent>
      <w:p w14:paraId="1811837F" w14:textId="77777777" w:rsidR="00A07308" w:rsidRDefault="00197F39">
        <w:pPr>
          <w:pStyle w:val="af3"/>
          <w:jc w:val="center"/>
        </w:pPr>
        <w:r>
          <w:fldChar w:fldCharType="begin"/>
        </w:r>
        <w:r w:rsidR="00A07308">
          <w:instrText>PAGE   \* MERGEFORMAT</w:instrText>
        </w:r>
        <w:r>
          <w:fldChar w:fldCharType="separate"/>
        </w:r>
        <w:r w:rsidR="006346E7">
          <w:rPr>
            <w:noProof/>
          </w:rPr>
          <w:t>83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331AD" w14:textId="77777777" w:rsidR="00152B1F" w:rsidRDefault="00152B1F">
      <w:pPr>
        <w:spacing w:after="0"/>
      </w:pPr>
      <w:r>
        <w:separator/>
      </w:r>
    </w:p>
  </w:footnote>
  <w:footnote w:type="continuationSeparator" w:id="0">
    <w:p w14:paraId="45DF2DBC" w14:textId="77777777" w:rsidR="00152B1F" w:rsidRDefault="00152B1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BB20CBD"/>
    <w:multiLevelType w:val="singleLevel"/>
    <w:tmpl w:val="BBB20CBD"/>
    <w:lvl w:ilvl="0">
      <w:start w:val="1"/>
      <w:numFmt w:val="decimal"/>
      <w:suff w:val="space"/>
      <w:lvlText w:val="%1."/>
      <w:lvlJc w:val="left"/>
    </w:lvl>
  </w:abstractNum>
  <w:abstractNum w:abstractNumId="1" w15:restartNumberingAfterBreak="0">
    <w:nsid w:val="00000001"/>
    <w:multiLevelType w:val="multilevel"/>
    <w:tmpl w:val="FFFFFFFF"/>
    <w:lvl w:ilvl="0">
      <w:start w:val="1"/>
      <w:numFmt w:val="russianLow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1">
      <w:start w:val="1"/>
      <w:numFmt w:val="russianLow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2">
      <w:start w:val="1"/>
      <w:numFmt w:val="russianLow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3">
      <w:start w:val="1"/>
      <w:numFmt w:val="russianLow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4">
      <w:start w:val="1"/>
      <w:numFmt w:val="russianLow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5">
      <w:start w:val="1"/>
      <w:numFmt w:val="russianLow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6">
      <w:start w:val="1"/>
      <w:numFmt w:val="russianLow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7">
      <w:start w:val="1"/>
      <w:numFmt w:val="russianLow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8">
      <w:start w:val="1"/>
      <w:numFmt w:val="russianLower"/>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abstractNum>
  <w:abstractNum w:abstractNumId="2" w15:restartNumberingAfterBreak="0">
    <w:nsid w:val="00000003"/>
    <w:multiLevelType w:val="multilevel"/>
    <w:tmpl w:val="FFFFFFFF"/>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abstractNum>
  <w:abstractNum w:abstractNumId="3" w15:restartNumberingAfterBreak="0">
    <w:nsid w:val="00000005"/>
    <w:multiLevelType w:val="multilevel"/>
    <w:tmpl w:val="FFFFFFFF"/>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abstractNum>
  <w:abstractNum w:abstractNumId="4" w15:restartNumberingAfterBreak="0">
    <w:nsid w:val="0109575D"/>
    <w:multiLevelType w:val="multilevel"/>
    <w:tmpl w:val="0109575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02437265"/>
    <w:multiLevelType w:val="multilevel"/>
    <w:tmpl w:val="0243726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039F14B9"/>
    <w:multiLevelType w:val="multilevel"/>
    <w:tmpl w:val="039F14B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059724F5"/>
    <w:multiLevelType w:val="multilevel"/>
    <w:tmpl w:val="059724F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059F4338"/>
    <w:multiLevelType w:val="multilevel"/>
    <w:tmpl w:val="059F433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09181605"/>
    <w:multiLevelType w:val="multilevel"/>
    <w:tmpl w:val="0918160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09437751"/>
    <w:multiLevelType w:val="multilevel"/>
    <w:tmpl w:val="0943775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09D31323"/>
    <w:multiLevelType w:val="multilevel"/>
    <w:tmpl w:val="09D3132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0A1D21A3"/>
    <w:multiLevelType w:val="multilevel"/>
    <w:tmpl w:val="0A1D21A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0A6907E8"/>
    <w:multiLevelType w:val="multilevel"/>
    <w:tmpl w:val="0A6907E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0AA86E5E"/>
    <w:multiLevelType w:val="multilevel"/>
    <w:tmpl w:val="0AA86E5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15:restartNumberingAfterBreak="0">
    <w:nsid w:val="0B433932"/>
    <w:multiLevelType w:val="multilevel"/>
    <w:tmpl w:val="0B43393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15:restartNumberingAfterBreak="0">
    <w:nsid w:val="0C084D38"/>
    <w:multiLevelType w:val="multilevel"/>
    <w:tmpl w:val="0C084D3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15:restartNumberingAfterBreak="0">
    <w:nsid w:val="0DE67452"/>
    <w:multiLevelType w:val="multilevel"/>
    <w:tmpl w:val="0DE6745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15:restartNumberingAfterBreak="0">
    <w:nsid w:val="0EB61DC8"/>
    <w:multiLevelType w:val="multilevel"/>
    <w:tmpl w:val="0EB61DC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10107098"/>
    <w:multiLevelType w:val="multilevel"/>
    <w:tmpl w:val="1010709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15:restartNumberingAfterBreak="0">
    <w:nsid w:val="14BD3FD5"/>
    <w:multiLevelType w:val="multilevel"/>
    <w:tmpl w:val="14BD3FD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15:restartNumberingAfterBreak="0">
    <w:nsid w:val="15615414"/>
    <w:multiLevelType w:val="multilevel"/>
    <w:tmpl w:val="1561541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15:restartNumberingAfterBreak="0">
    <w:nsid w:val="177E5F93"/>
    <w:multiLevelType w:val="multilevel"/>
    <w:tmpl w:val="177E5F9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15:restartNumberingAfterBreak="0">
    <w:nsid w:val="19021209"/>
    <w:multiLevelType w:val="multilevel"/>
    <w:tmpl w:val="1902120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15:restartNumberingAfterBreak="0">
    <w:nsid w:val="1A2E0462"/>
    <w:multiLevelType w:val="multilevel"/>
    <w:tmpl w:val="1A2E046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15:restartNumberingAfterBreak="0">
    <w:nsid w:val="1BE83862"/>
    <w:multiLevelType w:val="multilevel"/>
    <w:tmpl w:val="1BE8386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15:restartNumberingAfterBreak="0">
    <w:nsid w:val="1CC1549B"/>
    <w:multiLevelType w:val="multilevel"/>
    <w:tmpl w:val="1CC1549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15:restartNumberingAfterBreak="0">
    <w:nsid w:val="1D0A3A3B"/>
    <w:multiLevelType w:val="multilevel"/>
    <w:tmpl w:val="1D0A3A3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15:restartNumberingAfterBreak="0">
    <w:nsid w:val="216F6577"/>
    <w:multiLevelType w:val="multilevel"/>
    <w:tmpl w:val="216F657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15:restartNumberingAfterBreak="0">
    <w:nsid w:val="21E45815"/>
    <w:multiLevelType w:val="multilevel"/>
    <w:tmpl w:val="21E4581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15:restartNumberingAfterBreak="0">
    <w:nsid w:val="22E570D6"/>
    <w:multiLevelType w:val="multilevel"/>
    <w:tmpl w:val="22E570D6"/>
    <w:lvl w:ilvl="0">
      <w:start w:val="1"/>
      <w:numFmt w:val="bullet"/>
      <w:lvlText w:val=""/>
      <w:lvlJc w:val="left"/>
      <w:pPr>
        <w:tabs>
          <w:tab w:val="left" w:pos="720"/>
        </w:tabs>
        <w:ind w:left="1080" w:hanging="360"/>
      </w:pPr>
      <w:rPr>
        <w:rFonts w:ascii="Symbol" w:hAnsi="Symbol" w:hint="default"/>
        <w:color w:val="000000" w:themeColor="text1"/>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15:restartNumberingAfterBreak="0">
    <w:nsid w:val="22EE3F74"/>
    <w:multiLevelType w:val="multilevel"/>
    <w:tmpl w:val="22EE3F7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15:restartNumberingAfterBreak="0">
    <w:nsid w:val="24325542"/>
    <w:multiLevelType w:val="multilevel"/>
    <w:tmpl w:val="2432554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15:restartNumberingAfterBreak="0">
    <w:nsid w:val="245F17CF"/>
    <w:multiLevelType w:val="multilevel"/>
    <w:tmpl w:val="245F17C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15:restartNumberingAfterBreak="0">
    <w:nsid w:val="24A16340"/>
    <w:multiLevelType w:val="multilevel"/>
    <w:tmpl w:val="24A1634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15:restartNumberingAfterBreak="0">
    <w:nsid w:val="24DD5E3A"/>
    <w:multiLevelType w:val="multilevel"/>
    <w:tmpl w:val="24DD5E3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15:restartNumberingAfterBreak="0">
    <w:nsid w:val="26845A19"/>
    <w:multiLevelType w:val="multilevel"/>
    <w:tmpl w:val="26845A1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15:restartNumberingAfterBreak="0">
    <w:nsid w:val="27CF57A9"/>
    <w:multiLevelType w:val="multilevel"/>
    <w:tmpl w:val="27CF57A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15:restartNumberingAfterBreak="0">
    <w:nsid w:val="281D2528"/>
    <w:multiLevelType w:val="multilevel"/>
    <w:tmpl w:val="281D2528"/>
    <w:lvl w:ilvl="0">
      <w:start w:val="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9" w15:restartNumberingAfterBreak="0">
    <w:nsid w:val="28E74DDA"/>
    <w:multiLevelType w:val="multilevel"/>
    <w:tmpl w:val="28E74DD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0" w15:restartNumberingAfterBreak="0">
    <w:nsid w:val="297F313F"/>
    <w:multiLevelType w:val="multilevel"/>
    <w:tmpl w:val="297F313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15:restartNumberingAfterBreak="0">
    <w:nsid w:val="2A5E016F"/>
    <w:multiLevelType w:val="multilevel"/>
    <w:tmpl w:val="2A5E016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15:restartNumberingAfterBreak="0">
    <w:nsid w:val="2ACE5304"/>
    <w:multiLevelType w:val="multilevel"/>
    <w:tmpl w:val="2ACE530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15:restartNumberingAfterBreak="0">
    <w:nsid w:val="2C7D654E"/>
    <w:multiLevelType w:val="multilevel"/>
    <w:tmpl w:val="2C7D654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15:restartNumberingAfterBreak="0">
    <w:nsid w:val="2D0971D7"/>
    <w:multiLevelType w:val="multilevel"/>
    <w:tmpl w:val="2D0971D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5" w15:restartNumberingAfterBreak="0">
    <w:nsid w:val="2DEA20D1"/>
    <w:multiLevelType w:val="multilevel"/>
    <w:tmpl w:val="2DEA20D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6" w15:restartNumberingAfterBreak="0">
    <w:nsid w:val="2DEE3E73"/>
    <w:multiLevelType w:val="multilevel"/>
    <w:tmpl w:val="2DEE3E7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7" w15:restartNumberingAfterBreak="0">
    <w:nsid w:val="2F225CAA"/>
    <w:multiLevelType w:val="multilevel"/>
    <w:tmpl w:val="2F225CA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8" w15:restartNumberingAfterBreak="0">
    <w:nsid w:val="309F07E3"/>
    <w:multiLevelType w:val="multilevel"/>
    <w:tmpl w:val="309F07E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9" w15:restartNumberingAfterBreak="0">
    <w:nsid w:val="31525B74"/>
    <w:multiLevelType w:val="multilevel"/>
    <w:tmpl w:val="31525B7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0" w15:restartNumberingAfterBreak="0">
    <w:nsid w:val="31681586"/>
    <w:multiLevelType w:val="multilevel"/>
    <w:tmpl w:val="3168158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1" w15:restartNumberingAfterBreak="0">
    <w:nsid w:val="32470E14"/>
    <w:multiLevelType w:val="multilevel"/>
    <w:tmpl w:val="32470E1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2" w15:restartNumberingAfterBreak="0">
    <w:nsid w:val="3249659D"/>
    <w:multiLevelType w:val="multilevel"/>
    <w:tmpl w:val="3249659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3" w15:restartNumberingAfterBreak="0">
    <w:nsid w:val="33476CFC"/>
    <w:multiLevelType w:val="hybridMultilevel"/>
    <w:tmpl w:val="6310F42E"/>
    <w:lvl w:ilvl="0" w:tplc="1C404D92">
      <w:start w:val="111"/>
      <w:numFmt w:val="decimal"/>
      <w:lvlText w:val="%1."/>
      <w:lvlJc w:val="left"/>
      <w:pPr>
        <w:ind w:left="720" w:hanging="360"/>
      </w:pPr>
      <w:rPr>
        <w:rFonts w:ascii="ArialMT" w:hAnsi="ArialMT" w:cs="ArialMT" w:hint="default"/>
        <w:color w:val="000000"/>
        <w:sz w:val="24"/>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339B0727"/>
    <w:multiLevelType w:val="multilevel"/>
    <w:tmpl w:val="339B072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5" w15:restartNumberingAfterBreak="0">
    <w:nsid w:val="33BC6D7C"/>
    <w:multiLevelType w:val="multilevel"/>
    <w:tmpl w:val="33BC6D7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6" w15:restartNumberingAfterBreak="0">
    <w:nsid w:val="352F1AA3"/>
    <w:multiLevelType w:val="multilevel"/>
    <w:tmpl w:val="352F1AA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7" w15:restartNumberingAfterBreak="0">
    <w:nsid w:val="37E22A73"/>
    <w:multiLevelType w:val="multilevel"/>
    <w:tmpl w:val="37E22A7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8" w15:restartNumberingAfterBreak="0">
    <w:nsid w:val="3E1864F4"/>
    <w:multiLevelType w:val="multilevel"/>
    <w:tmpl w:val="3E1864F4"/>
    <w:lvl w:ilvl="0">
      <w:start w:val="1"/>
      <w:numFmt w:val="decimal"/>
      <w:lvlText w:val="%1."/>
      <w:lvlJc w:val="left"/>
      <w:pPr>
        <w:ind w:left="1416" w:hanging="708"/>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59" w15:restartNumberingAfterBreak="0">
    <w:nsid w:val="3EED507B"/>
    <w:multiLevelType w:val="multilevel"/>
    <w:tmpl w:val="3EED507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0" w15:restartNumberingAfterBreak="0">
    <w:nsid w:val="3F5439BB"/>
    <w:multiLevelType w:val="multilevel"/>
    <w:tmpl w:val="3F5439BB"/>
    <w:lvl w:ilvl="0">
      <w:start w:val="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1" w15:restartNumberingAfterBreak="0">
    <w:nsid w:val="40D0282C"/>
    <w:multiLevelType w:val="multilevel"/>
    <w:tmpl w:val="40D0282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2" w15:restartNumberingAfterBreak="0">
    <w:nsid w:val="4255672C"/>
    <w:multiLevelType w:val="multilevel"/>
    <w:tmpl w:val="4255672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3" w15:restartNumberingAfterBreak="0">
    <w:nsid w:val="43375308"/>
    <w:multiLevelType w:val="multilevel"/>
    <w:tmpl w:val="4337530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4" w15:restartNumberingAfterBreak="0">
    <w:nsid w:val="43887D4F"/>
    <w:multiLevelType w:val="multilevel"/>
    <w:tmpl w:val="43887D4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5" w15:restartNumberingAfterBreak="0">
    <w:nsid w:val="43D50DB2"/>
    <w:multiLevelType w:val="multilevel"/>
    <w:tmpl w:val="43D50DB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6" w15:restartNumberingAfterBreak="0">
    <w:nsid w:val="458D6772"/>
    <w:multiLevelType w:val="multilevel"/>
    <w:tmpl w:val="458D677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7" w15:restartNumberingAfterBreak="0">
    <w:nsid w:val="489831F2"/>
    <w:multiLevelType w:val="multilevel"/>
    <w:tmpl w:val="489831F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8" w15:restartNumberingAfterBreak="0">
    <w:nsid w:val="49545093"/>
    <w:multiLevelType w:val="multilevel"/>
    <w:tmpl w:val="4954509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9" w15:restartNumberingAfterBreak="0">
    <w:nsid w:val="4AB121AA"/>
    <w:multiLevelType w:val="multilevel"/>
    <w:tmpl w:val="4AB121AA"/>
    <w:lvl w:ilvl="0">
      <w:start w:val="5"/>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0" w15:restartNumberingAfterBreak="0">
    <w:nsid w:val="4EFE3D58"/>
    <w:multiLevelType w:val="multilevel"/>
    <w:tmpl w:val="4EFE3D5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1" w15:restartNumberingAfterBreak="0">
    <w:nsid w:val="50A629EA"/>
    <w:multiLevelType w:val="hybridMultilevel"/>
    <w:tmpl w:val="8DC4408C"/>
    <w:lvl w:ilvl="0" w:tplc="CC74109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518513F1"/>
    <w:multiLevelType w:val="multilevel"/>
    <w:tmpl w:val="78D67458"/>
    <w:styleLink w:val="2"/>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3" w15:restartNumberingAfterBreak="0">
    <w:nsid w:val="53356841"/>
    <w:multiLevelType w:val="multilevel"/>
    <w:tmpl w:val="5335684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4" w15:restartNumberingAfterBreak="0">
    <w:nsid w:val="53911E9B"/>
    <w:multiLevelType w:val="multilevel"/>
    <w:tmpl w:val="53911E9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5" w15:restartNumberingAfterBreak="0">
    <w:nsid w:val="54186654"/>
    <w:multiLevelType w:val="multilevel"/>
    <w:tmpl w:val="5418665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6" w15:restartNumberingAfterBreak="0">
    <w:nsid w:val="55C22C05"/>
    <w:multiLevelType w:val="multilevel"/>
    <w:tmpl w:val="55C22C0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7" w15:restartNumberingAfterBreak="0">
    <w:nsid w:val="567E725F"/>
    <w:multiLevelType w:val="multilevel"/>
    <w:tmpl w:val="567E725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8" w15:restartNumberingAfterBreak="0">
    <w:nsid w:val="5A9251CF"/>
    <w:multiLevelType w:val="multilevel"/>
    <w:tmpl w:val="5A9251C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9" w15:restartNumberingAfterBreak="0">
    <w:nsid w:val="5AAF4617"/>
    <w:multiLevelType w:val="multilevel"/>
    <w:tmpl w:val="5AAF461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0" w15:restartNumberingAfterBreak="0">
    <w:nsid w:val="5CAE3D84"/>
    <w:multiLevelType w:val="multilevel"/>
    <w:tmpl w:val="5CAE3D8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1" w15:restartNumberingAfterBreak="0">
    <w:nsid w:val="5E831199"/>
    <w:multiLevelType w:val="multilevel"/>
    <w:tmpl w:val="5E83119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2" w15:restartNumberingAfterBreak="0">
    <w:nsid w:val="5E860A82"/>
    <w:multiLevelType w:val="multilevel"/>
    <w:tmpl w:val="5E860A8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3" w15:restartNumberingAfterBreak="0">
    <w:nsid w:val="606433F3"/>
    <w:multiLevelType w:val="multilevel"/>
    <w:tmpl w:val="606433F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4" w15:restartNumberingAfterBreak="0">
    <w:nsid w:val="61F7180E"/>
    <w:multiLevelType w:val="multilevel"/>
    <w:tmpl w:val="61F7180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5" w15:restartNumberingAfterBreak="0">
    <w:nsid w:val="63946581"/>
    <w:multiLevelType w:val="multilevel"/>
    <w:tmpl w:val="63946581"/>
    <w:lvl w:ilvl="0">
      <w:start w:val="1"/>
      <w:numFmt w:val="decimal"/>
      <w:lvlText w:val="%1."/>
      <w:lvlJc w:val="left"/>
      <w:pPr>
        <w:tabs>
          <w:tab w:val="left" w:pos="360"/>
        </w:tabs>
        <w:ind w:left="360" w:hanging="360"/>
      </w:pPr>
    </w:lvl>
    <w:lvl w:ilvl="1">
      <w:start w:val="1"/>
      <w:numFmt w:val="decimal"/>
      <w:lvlText w:val="%2."/>
      <w:lvlJc w:val="left"/>
      <w:pPr>
        <w:tabs>
          <w:tab w:val="left" w:pos="1080"/>
        </w:tabs>
        <w:ind w:left="1080" w:hanging="360"/>
      </w:pPr>
    </w:lvl>
    <w:lvl w:ilvl="2">
      <w:start w:val="1"/>
      <w:numFmt w:val="decimal"/>
      <w:lvlText w:val="%3."/>
      <w:lvlJc w:val="left"/>
      <w:pPr>
        <w:tabs>
          <w:tab w:val="left" w:pos="1800"/>
        </w:tabs>
        <w:ind w:left="1800" w:hanging="360"/>
      </w:pPr>
    </w:lvl>
    <w:lvl w:ilvl="3">
      <w:start w:val="1"/>
      <w:numFmt w:val="decimal"/>
      <w:lvlText w:val="%4."/>
      <w:lvlJc w:val="left"/>
      <w:pPr>
        <w:tabs>
          <w:tab w:val="left" w:pos="2520"/>
        </w:tabs>
        <w:ind w:left="2520" w:hanging="360"/>
      </w:pPr>
    </w:lvl>
    <w:lvl w:ilvl="4">
      <w:start w:val="1"/>
      <w:numFmt w:val="decimal"/>
      <w:lvlText w:val="%5."/>
      <w:lvlJc w:val="left"/>
      <w:pPr>
        <w:tabs>
          <w:tab w:val="left" w:pos="3240"/>
        </w:tabs>
        <w:ind w:left="3240" w:hanging="360"/>
      </w:pPr>
    </w:lvl>
    <w:lvl w:ilvl="5">
      <w:start w:val="1"/>
      <w:numFmt w:val="decimal"/>
      <w:lvlText w:val="%6."/>
      <w:lvlJc w:val="left"/>
      <w:pPr>
        <w:tabs>
          <w:tab w:val="left" w:pos="3960"/>
        </w:tabs>
        <w:ind w:left="3960" w:hanging="360"/>
      </w:pPr>
    </w:lvl>
    <w:lvl w:ilvl="6">
      <w:start w:val="1"/>
      <w:numFmt w:val="decimal"/>
      <w:lvlText w:val="%7."/>
      <w:lvlJc w:val="left"/>
      <w:pPr>
        <w:tabs>
          <w:tab w:val="left" w:pos="4680"/>
        </w:tabs>
        <w:ind w:left="4680" w:hanging="360"/>
      </w:pPr>
    </w:lvl>
    <w:lvl w:ilvl="7">
      <w:start w:val="1"/>
      <w:numFmt w:val="decimal"/>
      <w:lvlText w:val="%8."/>
      <w:lvlJc w:val="left"/>
      <w:pPr>
        <w:tabs>
          <w:tab w:val="left" w:pos="5400"/>
        </w:tabs>
        <w:ind w:left="5400" w:hanging="360"/>
      </w:pPr>
    </w:lvl>
    <w:lvl w:ilvl="8">
      <w:start w:val="1"/>
      <w:numFmt w:val="decimal"/>
      <w:lvlText w:val="%9."/>
      <w:lvlJc w:val="left"/>
      <w:pPr>
        <w:tabs>
          <w:tab w:val="left" w:pos="6120"/>
        </w:tabs>
        <w:ind w:left="6120" w:hanging="360"/>
      </w:pPr>
    </w:lvl>
  </w:abstractNum>
  <w:abstractNum w:abstractNumId="86" w15:restartNumberingAfterBreak="0">
    <w:nsid w:val="63BC5EAC"/>
    <w:multiLevelType w:val="multilevel"/>
    <w:tmpl w:val="63BC5EA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7" w15:restartNumberingAfterBreak="0">
    <w:nsid w:val="63F9109E"/>
    <w:multiLevelType w:val="multilevel"/>
    <w:tmpl w:val="63F9109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8" w15:restartNumberingAfterBreak="0">
    <w:nsid w:val="64B6739A"/>
    <w:multiLevelType w:val="multilevel"/>
    <w:tmpl w:val="64B6739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9" w15:restartNumberingAfterBreak="0">
    <w:nsid w:val="64FC70E1"/>
    <w:multiLevelType w:val="multilevel"/>
    <w:tmpl w:val="64FC70E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0" w15:restartNumberingAfterBreak="0">
    <w:nsid w:val="67C00178"/>
    <w:multiLevelType w:val="multilevel"/>
    <w:tmpl w:val="67C0017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1" w15:restartNumberingAfterBreak="0">
    <w:nsid w:val="680E3633"/>
    <w:multiLevelType w:val="multilevel"/>
    <w:tmpl w:val="680E363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2" w15:restartNumberingAfterBreak="0">
    <w:nsid w:val="68D343D7"/>
    <w:multiLevelType w:val="multilevel"/>
    <w:tmpl w:val="68D343D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3" w15:restartNumberingAfterBreak="0">
    <w:nsid w:val="6A145D30"/>
    <w:multiLevelType w:val="multilevel"/>
    <w:tmpl w:val="6A145D3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4" w15:restartNumberingAfterBreak="0">
    <w:nsid w:val="6AAB624A"/>
    <w:multiLevelType w:val="multilevel"/>
    <w:tmpl w:val="6AAB624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5" w15:restartNumberingAfterBreak="0">
    <w:nsid w:val="6B6C6714"/>
    <w:multiLevelType w:val="multilevel"/>
    <w:tmpl w:val="6B6C671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6" w15:restartNumberingAfterBreak="0">
    <w:nsid w:val="6CC344D9"/>
    <w:multiLevelType w:val="multilevel"/>
    <w:tmpl w:val="6CC344D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7" w15:restartNumberingAfterBreak="0">
    <w:nsid w:val="6D9111DE"/>
    <w:multiLevelType w:val="multilevel"/>
    <w:tmpl w:val="6D9111D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8" w15:restartNumberingAfterBreak="0">
    <w:nsid w:val="6DE4032A"/>
    <w:multiLevelType w:val="multilevel"/>
    <w:tmpl w:val="6DE4032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9" w15:restartNumberingAfterBreak="0">
    <w:nsid w:val="70D624CE"/>
    <w:multiLevelType w:val="multilevel"/>
    <w:tmpl w:val="70D624C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0" w15:restartNumberingAfterBreak="0">
    <w:nsid w:val="70F10B61"/>
    <w:multiLevelType w:val="multilevel"/>
    <w:tmpl w:val="70F10B6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1" w15:restartNumberingAfterBreak="0">
    <w:nsid w:val="74786D4F"/>
    <w:multiLevelType w:val="multilevel"/>
    <w:tmpl w:val="74786D4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2" w15:restartNumberingAfterBreak="0">
    <w:nsid w:val="76141DD6"/>
    <w:multiLevelType w:val="multilevel"/>
    <w:tmpl w:val="76141DD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3" w15:restartNumberingAfterBreak="0">
    <w:nsid w:val="76B37BCE"/>
    <w:multiLevelType w:val="multilevel"/>
    <w:tmpl w:val="76B37BC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4" w15:restartNumberingAfterBreak="0">
    <w:nsid w:val="78883CB0"/>
    <w:multiLevelType w:val="multilevel"/>
    <w:tmpl w:val="78883CB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5" w15:restartNumberingAfterBreak="0">
    <w:nsid w:val="78D67458"/>
    <w:multiLevelType w:val="multilevel"/>
    <w:tmpl w:val="78D67458"/>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786"/>
        </w:tabs>
        <w:ind w:left="786"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6" w15:restartNumberingAfterBreak="0">
    <w:nsid w:val="7C02397D"/>
    <w:multiLevelType w:val="multilevel"/>
    <w:tmpl w:val="78D67458"/>
    <w:styleLink w:val="1"/>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7" w15:restartNumberingAfterBreak="0">
    <w:nsid w:val="7CE64C0E"/>
    <w:multiLevelType w:val="multilevel"/>
    <w:tmpl w:val="7CE64C0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30"/>
  </w:num>
  <w:num w:numId="2">
    <w:abstractNumId w:val="39"/>
  </w:num>
  <w:num w:numId="3">
    <w:abstractNumId w:val="74"/>
  </w:num>
  <w:num w:numId="4">
    <w:abstractNumId w:val="44"/>
  </w:num>
  <w:num w:numId="5">
    <w:abstractNumId w:val="29"/>
  </w:num>
  <w:num w:numId="6">
    <w:abstractNumId w:val="59"/>
  </w:num>
  <w:num w:numId="7">
    <w:abstractNumId w:val="107"/>
  </w:num>
  <w:num w:numId="8">
    <w:abstractNumId w:val="61"/>
  </w:num>
  <w:num w:numId="9">
    <w:abstractNumId w:val="56"/>
  </w:num>
  <w:num w:numId="10">
    <w:abstractNumId w:val="14"/>
  </w:num>
  <w:num w:numId="11">
    <w:abstractNumId w:val="99"/>
  </w:num>
  <w:num w:numId="12">
    <w:abstractNumId w:val="31"/>
  </w:num>
  <w:num w:numId="13">
    <w:abstractNumId w:val="36"/>
  </w:num>
  <w:num w:numId="14">
    <w:abstractNumId w:val="34"/>
  </w:num>
  <w:num w:numId="15">
    <w:abstractNumId w:val="50"/>
  </w:num>
  <w:num w:numId="16">
    <w:abstractNumId w:val="22"/>
  </w:num>
  <w:num w:numId="17">
    <w:abstractNumId w:val="97"/>
  </w:num>
  <w:num w:numId="18">
    <w:abstractNumId w:val="28"/>
  </w:num>
  <w:num w:numId="19">
    <w:abstractNumId w:val="24"/>
  </w:num>
  <w:num w:numId="20">
    <w:abstractNumId w:val="51"/>
  </w:num>
  <w:num w:numId="21">
    <w:abstractNumId w:val="46"/>
  </w:num>
  <w:num w:numId="22">
    <w:abstractNumId w:val="84"/>
  </w:num>
  <w:num w:numId="23">
    <w:abstractNumId w:val="64"/>
  </w:num>
  <w:num w:numId="24">
    <w:abstractNumId w:val="100"/>
  </w:num>
  <w:num w:numId="25">
    <w:abstractNumId w:val="49"/>
  </w:num>
  <w:num w:numId="26">
    <w:abstractNumId w:val="80"/>
  </w:num>
  <w:num w:numId="27">
    <w:abstractNumId w:val="88"/>
  </w:num>
  <w:num w:numId="28">
    <w:abstractNumId w:val="16"/>
  </w:num>
  <w:num w:numId="29">
    <w:abstractNumId w:val="81"/>
  </w:num>
  <w:num w:numId="30">
    <w:abstractNumId w:val="43"/>
  </w:num>
  <w:num w:numId="31">
    <w:abstractNumId w:val="70"/>
  </w:num>
  <w:num w:numId="32">
    <w:abstractNumId w:val="52"/>
  </w:num>
  <w:num w:numId="33">
    <w:abstractNumId w:val="90"/>
  </w:num>
  <w:num w:numId="34">
    <w:abstractNumId w:val="65"/>
  </w:num>
  <w:num w:numId="35">
    <w:abstractNumId w:val="68"/>
  </w:num>
  <w:num w:numId="36">
    <w:abstractNumId w:val="45"/>
  </w:num>
  <w:num w:numId="37">
    <w:abstractNumId w:val="11"/>
  </w:num>
  <w:num w:numId="38">
    <w:abstractNumId w:val="91"/>
  </w:num>
  <w:num w:numId="39">
    <w:abstractNumId w:val="89"/>
  </w:num>
  <w:num w:numId="40">
    <w:abstractNumId w:val="55"/>
  </w:num>
  <w:num w:numId="41">
    <w:abstractNumId w:val="63"/>
  </w:num>
  <w:num w:numId="42">
    <w:abstractNumId w:val="35"/>
  </w:num>
  <w:num w:numId="43">
    <w:abstractNumId w:val="83"/>
  </w:num>
  <w:num w:numId="44">
    <w:abstractNumId w:val="77"/>
  </w:num>
  <w:num w:numId="45">
    <w:abstractNumId w:val="48"/>
  </w:num>
  <w:num w:numId="46">
    <w:abstractNumId w:val="40"/>
  </w:num>
  <w:num w:numId="47">
    <w:abstractNumId w:val="62"/>
  </w:num>
  <w:num w:numId="48">
    <w:abstractNumId w:val="18"/>
  </w:num>
  <w:num w:numId="49">
    <w:abstractNumId w:val="86"/>
  </w:num>
  <w:num w:numId="50">
    <w:abstractNumId w:val="82"/>
  </w:num>
  <w:num w:numId="51">
    <w:abstractNumId w:val="6"/>
  </w:num>
  <w:num w:numId="52">
    <w:abstractNumId w:val="104"/>
  </w:num>
  <w:num w:numId="53">
    <w:abstractNumId w:val="57"/>
  </w:num>
  <w:num w:numId="54">
    <w:abstractNumId w:val="78"/>
  </w:num>
  <w:num w:numId="55">
    <w:abstractNumId w:val="67"/>
  </w:num>
  <w:num w:numId="56">
    <w:abstractNumId w:val="12"/>
  </w:num>
  <w:num w:numId="57">
    <w:abstractNumId w:val="25"/>
  </w:num>
  <w:num w:numId="58">
    <w:abstractNumId w:val="92"/>
  </w:num>
  <w:num w:numId="59">
    <w:abstractNumId w:val="103"/>
  </w:num>
  <w:num w:numId="60">
    <w:abstractNumId w:val="42"/>
  </w:num>
  <w:num w:numId="61">
    <w:abstractNumId w:val="102"/>
  </w:num>
  <w:num w:numId="62">
    <w:abstractNumId w:val="21"/>
  </w:num>
  <w:num w:numId="63">
    <w:abstractNumId w:val="33"/>
  </w:num>
  <w:num w:numId="64">
    <w:abstractNumId w:val="4"/>
  </w:num>
  <w:num w:numId="65">
    <w:abstractNumId w:val="66"/>
  </w:num>
  <w:num w:numId="66">
    <w:abstractNumId w:val="87"/>
  </w:num>
  <w:num w:numId="67">
    <w:abstractNumId w:val="54"/>
  </w:num>
  <w:num w:numId="68">
    <w:abstractNumId w:val="15"/>
  </w:num>
  <w:num w:numId="69">
    <w:abstractNumId w:val="7"/>
  </w:num>
  <w:num w:numId="70">
    <w:abstractNumId w:val="32"/>
  </w:num>
  <w:num w:numId="71">
    <w:abstractNumId w:val="41"/>
  </w:num>
  <w:num w:numId="72">
    <w:abstractNumId w:val="95"/>
  </w:num>
  <w:num w:numId="73">
    <w:abstractNumId w:val="19"/>
  </w:num>
  <w:num w:numId="74">
    <w:abstractNumId w:val="105"/>
  </w:num>
  <w:num w:numId="75">
    <w:abstractNumId w:val="75"/>
  </w:num>
  <w:num w:numId="76">
    <w:abstractNumId w:val="10"/>
  </w:num>
  <w:num w:numId="77">
    <w:abstractNumId w:val="13"/>
  </w:num>
  <w:num w:numId="78">
    <w:abstractNumId w:val="94"/>
  </w:num>
  <w:num w:numId="79">
    <w:abstractNumId w:val="93"/>
  </w:num>
  <w:num w:numId="80">
    <w:abstractNumId w:val="5"/>
  </w:num>
  <w:num w:numId="81">
    <w:abstractNumId w:val="26"/>
  </w:num>
  <w:num w:numId="82">
    <w:abstractNumId w:val="27"/>
  </w:num>
  <w:num w:numId="83">
    <w:abstractNumId w:val="17"/>
  </w:num>
  <w:num w:numId="84">
    <w:abstractNumId w:val="96"/>
  </w:num>
  <w:num w:numId="85">
    <w:abstractNumId w:val="8"/>
  </w:num>
  <w:num w:numId="86">
    <w:abstractNumId w:val="9"/>
  </w:num>
  <w:num w:numId="87">
    <w:abstractNumId w:val="79"/>
  </w:num>
  <w:num w:numId="88">
    <w:abstractNumId w:val="73"/>
  </w:num>
  <w:num w:numId="89">
    <w:abstractNumId w:val="37"/>
  </w:num>
  <w:num w:numId="90">
    <w:abstractNumId w:val="76"/>
  </w:num>
  <w:num w:numId="91">
    <w:abstractNumId w:val="98"/>
  </w:num>
  <w:num w:numId="92">
    <w:abstractNumId w:val="101"/>
  </w:num>
  <w:num w:numId="93">
    <w:abstractNumId w:val="20"/>
  </w:num>
  <w:num w:numId="94">
    <w:abstractNumId w:val="23"/>
  </w:num>
  <w:num w:numId="95">
    <w:abstractNumId w:val="0"/>
  </w:num>
  <w:num w:numId="96">
    <w:abstractNumId w:val="58"/>
  </w:num>
  <w:num w:numId="97">
    <w:abstractNumId w:val="47"/>
  </w:num>
  <w:num w:numId="98">
    <w:abstractNumId w:val="85"/>
  </w:num>
  <w:num w:numId="99">
    <w:abstractNumId w:val="38"/>
  </w:num>
  <w:num w:numId="100">
    <w:abstractNumId w:val="60"/>
  </w:num>
  <w:num w:numId="101">
    <w:abstractNumId w:val="69"/>
  </w:num>
  <w:num w:numId="102">
    <w:abstractNumId w:val="106"/>
  </w:num>
  <w:num w:numId="103">
    <w:abstractNumId w:val="72"/>
  </w:num>
  <w:num w:numId="104">
    <w:abstractNumId w:val="71"/>
  </w:num>
  <w:num w:numId="105">
    <w:abstractNumId w:val="53"/>
  </w:num>
  <w:num w:numId="1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defaultTabStop w:val="708"/>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18F"/>
    <w:rsid w:val="000005D9"/>
    <w:rsid w:val="00004944"/>
    <w:rsid w:val="00004D45"/>
    <w:rsid w:val="00010528"/>
    <w:rsid w:val="00011F7A"/>
    <w:rsid w:val="00014753"/>
    <w:rsid w:val="00015B14"/>
    <w:rsid w:val="00025291"/>
    <w:rsid w:val="0003427D"/>
    <w:rsid w:val="0003434A"/>
    <w:rsid w:val="00036599"/>
    <w:rsid w:val="00037E5C"/>
    <w:rsid w:val="00050CC9"/>
    <w:rsid w:val="0005493D"/>
    <w:rsid w:val="00055391"/>
    <w:rsid w:val="00057516"/>
    <w:rsid w:val="000614AB"/>
    <w:rsid w:val="00064A82"/>
    <w:rsid w:val="000724AC"/>
    <w:rsid w:val="000821D6"/>
    <w:rsid w:val="000855F3"/>
    <w:rsid w:val="00095B77"/>
    <w:rsid w:val="000977A5"/>
    <w:rsid w:val="00097BDF"/>
    <w:rsid w:val="000A73A2"/>
    <w:rsid w:val="000B1375"/>
    <w:rsid w:val="000B36B1"/>
    <w:rsid w:val="000C0923"/>
    <w:rsid w:val="000C2EC4"/>
    <w:rsid w:val="000C5245"/>
    <w:rsid w:val="000C6711"/>
    <w:rsid w:val="000C70E0"/>
    <w:rsid w:val="000D3CA9"/>
    <w:rsid w:val="000E107B"/>
    <w:rsid w:val="000E1868"/>
    <w:rsid w:val="000E3384"/>
    <w:rsid w:val="000E7451"/>
    <w:rsid w:val="000F3A43"/>
    <w:rsid w:val="000F46D5"/>
    <w:rsid w:val="00101F44"/>
    <w:rsid w:val="00102425"/>
    <w:rsid w:val="00106B41"/>
    <w:rsid w:val="00107D82"/>
    <w:rsid w:val="00113144"/>
    <w:rsid w:val="0011395B"/>
    <w:rsid w:val="00115AFE"/>
    <w:rsid w:val="0012456E"/>
    <w:rsid w:val="00130D12"/>
    <w:rsid w:val="0013515A"/>
    <w:rsid w:val="0014234A"/>
    <w:rsid w:val="00146D37"/>
    <w:rsid w:val="00152B1F"/>
    <w:rsid w:val="0015375B"/>
    <w:rsid w:val="00154142"/>
    <w:rsid w:val="001553E6"/>
    <w:rsid w:val="00157390"/>
    <w:rsid w:val="001669DA"/>
    <w:rsid w:val="0017331E"/>
    <w:rsid w:val="0017519C"/>
    <w:rsid w:val="0017670E"/>
    <w:rsid w:val="001805CB"/>
    <w:rsid w:val="001827EB"/>
    <w:rsid w:val="001970B7"/>
    <w:rsid w:val="00197F39"/>
    <w:rsid w:val="001A63A7"/>
    <w:rsid w:val="001A7420"/>
    <w:rsid w:val="001B4373"/>
    <w:rsid w:val="001B4BC2"/>
    <w:rsid w:val="001C0245"/>
    <w:rsid w:val="001C2CA2"/>
    <w:rsid w:val="001C434F"/>
    <w:rsid w:val="001C77FB"/>
    <w:rsid w:val="001D74E2"/>
    <w:rsid w:val="001D7708"/>
    <w:rsid w:val="001E0BEB"/>
    <w:rsid w:val="001E1F90"/>
    <w:rsid w:val="001E257E"/>
    <w:rsid w:val="001E511E"/>
    <w:rsid w:val="001E5225"/>
    <w:rsid w:val="001E6D46"/>
    <w:rsid w:val="001F0E68"/>
    <w:rsid w:val="001F1833"/>
    <w:rsid w:val="001F1C11"/>
    <w:rsid w:val="001F3E5D"/>
    <w:rsid w:val="001F5734"/>
    <w:rsid w:val="002076C3"/>
    <w:rsid w:val="00215635"/>
    <w:rsid w:val="00216B8A"/>
    <w:rsid w:val="00220558"/>
    <w:rsid w:val="00223250"/>
    <w:rsid w:val="0022715D"/>
    <w:rsid w:val="0023297F"/>
    <w:rsid w:val="002339A8"/>
    <w:rsid w:val="00240150"/>
    <w:rsid w:val="00244D08"/>
    <w:rsid w:val="00245835"/>
    <w:rsid w:val="00252281"/>
    <w:rsid w:val="00252CE1"/>
    <w:rsid w:val="00252D1F"/>
    <w:rsid w:val="00255C47"/>
    <w:rsid w:val="00261FC3"/>
    <w:rsid w:val="0026406E"/>
    <w:rsid w:val="0026480E"/>
    <w:rsid w:val="002672AC"/>
    <w:rsid w:val="002703EC"/>
    <w:rsid w:val="00282CEB"/>
    <w:rsid w:val="00283628"/>
    <w:rsid w:val="00285483"/>
    <w:rsid w:val="002865E7"/>
    <w:rsid w:val="0029357F"/>
    <w:rsid w:val="002A3673"/>
    <w:rsid w:val="002A591E"/>
    <w:rsid w:val="002B484B"/>
    <w:rsid w:val="002B5AF9"/>
    <w:rsid w:val="002B7150"/>
    <w:rsid w:val="002C0211"/>
    <w:rsid w:val="002C0570"/>
    <w:rsid w:val="002C2BA4"/>
    <w:rsid w:val="002C7340"/>
    <w:rsid w:val="002C76F1"/>
    <w:rsid w:val="002D4651"/>
    <w:rsid w:val="002D5BC5"/>
    <w:rsid w:val="002D750D"/>
    <w:rsid w:val="002E1D25"/>
    <w:rsid w:val="002E2E5E"/>
    <w:rsid w:val="002E6BCA"/>
    <w:rsid w:val="002F18FA"/>
    <w:rsid w:val="002F2E3C"/>
    <w:rsid w:val="002F36FA"/>
    <w:rsid w:val="002F6845"/>
    <w:rsid w:val="00304373"/>
    <w:rsid w:val="00306AF2"/>
    <w:rsid w:val="003176D5"/>
    <w:rsid w:val="00320D01"/>
    <w:rsid w:val="0032168A"/>
    <w:rsid w:val="00321A5F"/>
    <w:rsid w:val="003323CE"/>
    <w:rsid w:val="0033257A"/>
    <w:rsid w:val="00333B31"/>
    <w:rsid w:val="0033630E"/>
    <w:rsid w:val="00342CEA"/>
    <w:rsid w:val="003500AE"/>
    <w:rsid w:val="00352CE0"/>
    <w:rsid w:val="00353D3D"/>
    <w:rsid w:val="0035670C"/>
    <w:rsid w:val="00361115"/>
    <w:rsid w:val="0036210D"/>
    <w:rsid w:val="003646F4"/>
    <w:rsid w:val="00366302"/>
    <w:rsid w:val="003677A8"/>
    <w:rsid w:val="00376C2E"/>
    <w:rsid w:val="00377D6E"/>
    <w:rsid w:val="003810E5"/>
    <w:rsid w:val="00382190"/>
    <w:rsid w:val="003829CA"/>
    <w:rsid w:val="00385227"/>
    <w:rsid w:val="00385FB1"/>
    <w:rsid w:val="00392E4E"/>
    <w:rsid w:val="00397195"/>
    <w:rsid w:val="003A1F62"/>
    <w:rsid w:val="003A2384"/>
    <w:rsid w:val="003A519E"/>
    <w:rsid w:val="003A53E4"/>
    <w:rsid w:val="003B0050"/>
    <w:rsid w:val="003B2070"/>
    <w:rsid w:val="003B7CA5"/>
    <w:rsid w:val="003C48DF"/>
    <w:rsid w:val="003D29BD"/>
    <w:rsid w:val="003D7A2E"/>
    <w:rsid w:val="003E2CE6"/>
    <w:rsid w:val="003E374F"/>
    <w:rsid w:val="003F1E2A"/>
    <w:rsid w:val="003F5BD2"/>
    <w:rsid w:val="003F684F"/>
    <w:rsid w:val="003F7821"/>
    <w:rsid w:val="00406DA9"/>
    <w:rsid w:val="004074A6"/>
    <w:rsid w:val="00416689"/>
    <w:rsid w:val="00423D39"/>
    <w:rsid w:val="0043673D"/>
    <w:rsid w:val="0044552B"/>
    <w:rsid w:val="004458F7"/>
    <w:rsid w:val="00447639"/>
    <w:rsid w:val="00453B88"/>
    <w:rsid w:val="004551FC"/>
    <w:rsid w:val="00455745"/>
    <w:rsid w:val="0045649D"/>
    <w:rsid w:val="004608BB"/>
    <w:rsid w:val="004610DB"/>
    <w:rsid w:val="00462F3F"/>
    <w:rsid w:val="00463B28"/>
    <w:rsid w:val="00464ECA"/>
    <w:rsid w:val="0048415E"/>
    <w:rsid w:val="00485F61"/>
    <w:rsid w:val="0049004C"/>
    <w:rsid w:val="004921BF"/>
    <w:rsid w:val="0049557D"/>
    <w:rsid w:val="004A3F21"/>
    <w:rsid w:val="004A746A"/>
    <w:rsid w:val="004B00AF"/>
    <w:rsid w:val="004B0206"/>
    <w:rsid w:val="004B6EC7"/>
    <w:rsid w:val="004C062E"/>
    <w:rsid w:val="004C4671"/>
    <w:rsid w:val="004D1349"/>
    <w:rsid w:val="004D24A6"/>
    <w:rsid w:val="004E4545"/>
    <w:rsid w:val="004F06B3"/>
    <w:rsid w:val="00504CB9"/>
    <w:rsid w:val="00512A66"/>
    <w:rsid w:val="00513A48"/>
    <w:rsid w:val="00513E4F"/>
    <w:rsid w:val="00514B43"/>
    <w:rsid w:val="00515B8C"/>
    <w:rsid w:val="00516B94"/>
    <w:rsid w:val="005174FB"/>
    <w:rsid w:val="00517768"/>
    <w:rsid w:val="00524A54"/>
    <w:rsid w:val="00541D4E"/>
    <w:rsid w:val="00545863"/>
    <w:rsid w:val="00555BB7"/>
    <w:rsid w:val="0055639F"/>
    <w:rsid w:val="00567D23"/>
    <w:rsid w:val="00570F9D"/>
    <w:rsid w:val="00575312"/>
    <w:rsid w:val="0057539E"/>
    <w:rsid w:val="00575A48"/>
    <w:rsid w:val="005765A0"/>
    <w:rsid w:val="00576C8C"/>
    <w:rsid w:val="00582220"/>
    <w:rsid w:val="00584A84"/>
    <w:rsid w:val="0058561E"/>
    <w:rsid w:val="00587F29"/>
    <w:rsid w:val="00587FD2"/>
    <w:rsid w:val="00590EBD"/>
    <w:rsid w:val="00593700"/>
    <w:rsid w:val="00595247"/>
    <w:rsid w:val="005A00AA"/>
    <w:rsid w:val="005A675F"/>
    <w:rsid w:val="005A7C2B"/>
    <w:rsid w:val="005A7D43"/>
    <w:rsid w:val="005B193A"/>
    <w:rsid w:val="005B35C1"/>
    <w:rsid w:val="005B6D39"/>
    <w:rsid w:val="005C2F1F"/>
    <w:rsid w:val="005C4270"/>
    <w:rsid w:val="005C6215"/>
    <w:rsid w:val="005D489C"/>
    <w:rsid w:val="005E28E6"/>
    <w:rsid w:val="005E42FD"/>
    <w:rsid w:val="005E5799"/>
    <w:rsid w:val="005F2665"/>
    <w:rsid w:val="0060060E"/>
    <w:rsid w:val="00603336"/>
    <w:rsid w:val="006066C6"/>
    <w:rsid w:val="00607E22"/>
    <w:rsid w:val="006101A1"/>
    <w:rsid w:val="00616256"/>
    <w:rsid w:val="00620B06"/>
    <w:rsid w:val="00623D18"/>
    <w:rsid w:val="00624D37"/>
    <w:rsid w:val="00625E39"/>
    <w:rsid w:val="00632304"/>
    <w:rsid w:val="00632D98"/>
    <w:rsid w:val="00632ECD"/>
    <w:rsid w:val="006346E7"/>
    <w:rsid w:val="0063656C"/>
    <w:rsid w:val="00641BDC"/>
    <w:rsid w:val="00642732"/>
    <w:rsid w:val="00643109"/>
    <w:rsid w:val="006450A3"/>
    <w:rsid w:val="00652341"/>
    <w:rsid w:val="00655B06"/>
    <w:rsid w:val="006577F7"/>
    <w:rsid w:val="00663059"/>
    <w:rsid w:val="0066691B"/>
    <w:rsid w:val="00667166"/>
    <w:rsid w:val="006829E7"/>
    <w:rsid w:val="006834E3"/>
    <w:rsid w:val="006847A6"/>
    <w:rsid w:val="00685A62"/>
    <w:rsid w:val="006919D4"/>
    <w:rsid w:val="0069659E"/>
    <w:rsid w:val="006A13FD"/>
    <w:rsid w:val="006A418F"/>
    <w:rsid w:val="006B1240"/>
    <w:rsid w:val="006B2C09"/>
    <w:rsid w:val="006C0D1E"/>
    <w:rsid w:val="006C57AF"/>
    <w:rsid w:val="006C5D07"/>
    <w:rsid w:val="006C5EED"/>
    <w:rsid w:val="006C628E"/>
    <w:rsid w:val="006D5965"/>
    <w:rsid w:val="006E1E13"/>
    <w:rsid w:val="006E27EF"/>
    <w:rsid w:val="006E79DF"/>
    <w:rsid w:val="006F0D35"/>
    <w:rsid w:val="006F1F29"/>
    <w:rsid w:val="006F2FCF"/>
    <w:rsid w:val="006F3113"/>
    <w:rsid w:val="006F36C5"/>
    <w:rsid w:val="006F609F"/>
    <w:rsid w:val="006F6358"/>
    <w:rsid w:val="006F7C84"/>
    <w:rsid w:val="00701F85"/>
    <w:rsid w:val="00703002"/>
    <w:rsid w:val="00704874"/>
    <w:rsid w:val="00704BD1"/>
    <w:rsid w:val="00706B46"/>
    <w:rsid w:val="00710898"/>
    <w:rsid w:val="0071219D"/>
    <w:rsid w:val="0071428C"/>
    <w:rsid w:val="007173B6"/>
    <w:rsid w:val="00722D3D"/>
    <w:rsid w:val="0073244E"/>
    <w:rsid w:val="00751213"/>
    <w:rsid w:val="007538F9"/>
    <w:rsid w:val="00756235"/>
    <w:rsid w:val="007658FD"/>
    <w:rsid w:val="007714ED"/>
    <w:rsid w:val="00777C77"/>
    <w:rsid w:val="00782AED"/>
    <w:rsid w:val="00786414"/>
    <w:rsid w:val="00790E4F"/>
    <w:rsid w:val="00792FE7"/>
    <w:rsid w:val="007A1731"/>
    <w:rsid w:val="007A2433"/>
    <w:rsid w:val="007A49A1"/>
    <w:rsid w:val="007A53BB"/>
    <w:rsid w:val="007B0489"/>
    <w:rsid w:val="007B5A99"/>
    <w:rsid w:val="007B7275"/>
    <w:rsid w:val="007C4574"/>
    <w:rsid w:val="007C6D54"/>
    <w:rsid w:val="007D0182"/>
    <w:rsid w:val="007D1C81"/>
    <w:rsid w:val="007D605B"/>
    <w:rsid w:val="007D6AA6"/>
    <w:rsid w:val="007D6D8C"/>
    <w:rsid w:val="007E675B"/>
    <w:rsid w:val="007E6E28"/>
    <w:rsid w:val="007F2464"/>
    <w:rsid w:val="007F47D1"/>
    <w:rsid w:val="007F7046"/>
    <w:rsid w:val="00801508"/>
    <w:rsid w:val="008072CD"/>
    <w:rsid w:val="00810552"/>
    <w:rsid w:val="00811F3D"/>
    <w:rsid w:val="008147B0"/>
    <w:rsid w:val="0081524F"/>
    <w:rsid w:val="00816731"/>
    <w:rsid w:val="00817044"/>
    <w:rsid w:val="00817660"/>
    <w:rsid w:val="00824ED7"/>
    <w:rsid w:val="00831AE1"/>
    <w:rsid w:val="008340E8"/>
    <w:rsid w:val="00841634"/>
    <w:rsid w:val="0084406A"/>
    <w:rsid w:val="00846776"/>
    <w:rsid w:val="00847718"/>
    <w:rsid w:val="0085341D"/>
    <w:rsid w:val="008572FB"/>
    <w:rsid w:val="00863A7F"/>
    <w:rsid w:val="0087092B"/>
    <w:rsid w:val="00876816"/>
    <w:rsid w:val="00884AAF"/>
    <w:rsid w:val="00890D25"/>
    <w:rsid w:val="00890DC4"/>
    <w:rsid w:val="008A2250"/>
    <w:rsid w:val="008A61A8"/>
    <w:rsid w:val="008A7185"/>
    <w:rsid w:val="008B5517"/>
    <w:rsid w:val="008C013C"/>
    <w:rsid w:val="008C1DE8"/>
    <w:rsid w:val="008C2C20"/>
    <w:rsid w:val="008C3E50"/>
    <w:rsid w:val="008C4564"/>
    <w:rsid w:val="008C61CC"/>
    <w:rsid w:val="008D7649"/>
    <w:rsid w:val="008E302B"/>
    <w:rsid w:val="008F70F4"/>
    <w:rsid w:val="00900594"/>
    <w:rsid w:val="00902D93"/>
    <w:rsid w:val="00904FBD"/>
    <w:rsid w:val="00907048"/>
    <w:rsid w:val="00925F56"/>
    <w:rsid w:val="009359E1"/>
    <w:rsid w:val="00935EB4"/>
    <w:rsid w:val="0093630A"/>
    <w:rsid w:val="00937DF5"/>
    <w:rsid w:val="009514DA"/>
    <w:rsid w:val="009557B0"/>
    <w:rsid w:val="00975860"/>
    <w:rsid w:val="00977BAA"/>
    <w:rsid w:val="00981B6C"/>
    <w:rsid w:val="00981C5B"/>
    <w:rsid w:val="0098515A"/>
    <w:rsid w:val="00987200"/>
    <w:rsid w:val="0099273B"/>
    <w:rsid w:val="009A7422"/>
    <w:rsid w:val="009B3B17"/>
    <w:rsid w:val="009B4FC9"/>
    <w:rsid w:val="009B7337"/>
    <w:rsid w:val="009D08F5"/>
    <w:rsid w:val="009D343D"/>
    <w:rsid w:val="009D4129"/>
    <w:rsid w:val="009D5C3B"/>
    <w:rsid w:val="009E1EB5"/>
    <w:rsid w:val="009E67D8"/>
    <w:rsid w:val="009E6901"/>
    <w:rsid w:val="009F0AD0"/>
    <w:rsid w:val="00A003BB"/>
    <w:rsid w:val="00A03B11"/>
    <w:rsid w:val="00A0522D"/>
    <w:rsid w:val="00A05B1B"/>
    <w:rsid w:val="00A05D53"/>
    <w:rsid w:val="00A07308"/>
    <w:rsid w:val="00A11953"/>
    <w:rsid w:val="00A130BD"/>
    <w:rsid w:val="00A21BC0"/>
    <w:rsid w:val="00A2428D"/>
    <w:rsid w:val="00A25837"/>
    <w:rsid w:val="00A259A0"/>
    <w:rsid w:val="00A31947"/>
    <w:rsid w:val="00A343C0"/>
    <w:rsid w:val="00A36789"/>
    <w:rsid w:val="00A36A67"/>
    <w:rsid w:val="00A37C7C"/>
    <w:rsid w:val="00A419DB"/>
    <w:rsid w:val="00A42BA8"/>
    <w:rsid w:val="00A43F72"/>
    <w:rsid w:val="00A44531"/>
    <w:rsid w:val="00A5406E"/>
    <w:rsid w:val="00A545AE"/>
    <w:rsid w:val="00A570F2"/>
    <w:rsid w:val="00A618FF"/>
    <w:rsid w:val="00A65219"/>
    <w:rsid w:val="00A65299"/>
    <w:rsid w:val="00A65F37"/>
    <w:rsid w:val="00A72B0B"/>
    <w:rsid w:val="00A73DE2"/>
    <w:rsid w:val="00A842BD"/>
    <w:rsid w:val="00A84FFC"/>
    <w:rsid w:val="00A856FE"/>
    <w:rsid w:val="00A861C9"/>
    <w:rsid w:val="00A96258"/>
    <w:rsid w:val="00AA3358"/>
    <w:rsid w:val="00AA392E"/>
    <w:rsid w:val="00AA42F6"/>
    <w:rsid w:val="00AA72F4"/>
    <w:rsid w:val="00AB1632"/>
    <w:rsid w:val="00AC054B"/>
    <w:rsid w:val="00AC701E"/>
    <w:rsid w:val="00AC71B2"/>
    <w:rsid w:val="00AD0974"/>
    <w:rsid w:val="00AD0F32"/>
    <w:rsid w:val="00AE0255"/>
    <w:rsid w:val="00AE08AD"/>
    <w:rsid w:val="00AE3E71"/>
    <w:rsid w:val="00AE5689"/>
    <w:rsid w:val="00AE773E"/>
    <w:rsid w:val="00AF38B3"/>
    <w:rsid w:val="00AF411E"/>
    <w:rsid w:val="00AF69EF"/>
    <w:rsid w:val="00AF7F10"/>
    <w:rsid w:val="00B0080E"/>
    <w:rsid w:val="00B00CA6"/>
    <w:rsid w:val="00B018EA"/>
    <w:rsid w:val="00B04BB0"/>
    <w:rsid w:val="00B073E3"/>
    <w:rsid w:val="00B10751"/>
    <w:rsid w:val="00B16A22"/>
    <w:rsid w:val="00B278D3"/>
    <w:rsid w:val="00B27C6F"/>
    <w:rsid w:val="00B320F9"/>
    <w:rsid w:val="00B35374"/>
    <w:rsid w:val="00B45D5A"/>
    <w:rsid w:val="00B463C4"/>
    <w:rsid w:val="00B53B56"/>
    <w:rsid w:val="00B55CAF"/>
    <w:rsid w:val="00B56477"/>
    <w:rsid w:val="00B6337E"/>
    <w:rsid w:val="00B64B3A"/>
    <w:rsid w:val="00B670B6"/>
    <w:rsid w:val="00B706C9"/>
    <w:rsid w:val="00B762FF"/>
    <w:rsid w:val="00B77EC7"/>
    <w:rsid w:val="00B849F9"/>
    <w:rsid w:val="00B911B8"/>
    <w:rsid w:val="00B91584"/>
    <w:rsid w:val="00B969AE"/>
    <w:rsid w:val="00BA07E0"/>
    <w:rsid w:val="00BA16A3"/>
    <w:rsid w:val="00BA16F2"/>
    <w:rsid w:val="00BA445B"/>
    <w:rsid w:val="00BA46C9"/>
    <w:rsid w:val="00BA4C9F"/>
    <w:rsid w:val="00BB2239"/>
    <w:rsid w:val="00BC0383"/>
    <w:rsid w:val="00BC31E5"/>
    <w:rsid w:val="00BC37D2"/>
    <w:rsid w:val="00BC7C73"/>
    <w:rsid w:val="00BD2F09"/>
    <w:rsid w:val="00BE1CA6"/>
    <w:rsid w:val="00BF00C5"/>
    <w:rsid w:val="00BF208E"/>
    <w:rsid w:val="00BF5F9D"/>
    <w:rsid w:val="00BF6BE1"/>
    <w:rsid w:val="00BF75E4"/>
    <w:rsid w:val="00BF7639"/>
    <w:rsid w:val="00C044B0"/>
    <w:rsid w:val="00C04A94"/>
    <w:rsid w:val="00C05420"/>
    <w:rsid w:val="00C05DEA"/>
    <w:rsid w:val="00C11A33"/>
    <w:rsid w:val="00C16C9A"/>
    <w:rsid w:val="00C215AD"/>
    <w:rsid w:val="00C24989"/>
    <w:rsid w:val="00C272C7"/>
    <w:rsid w:val="00C35AC2"/>
    <w:rsid w:val="00C36A53"/>
    <w:rsid w:val="00C41753"/>
    <w:rsid w:val="00C41EAA"/>
    <w:rsid w:val="00C476DF"/>
    <w:rsid w:val="00C64A50"/>
    <w:rsid w:val="00C65157"/>
    <w:rsid w:val="00C7256B"/>
    <w:rsid w:val="00C81F06"/>
    <w:rsid w:val="00C82766"/>
    <w:rsid w:val="00C82933"/>
    <w:rsid w:val="00C944C4"/>
    <w:rsid w:val="00C9705D"/>
    <w:rsid w:val="00CA2C78"/>
    <w:rsid w:val="00CA6B30"/>
    <w:rsid w:val="00CB2A79"/>
    <w:rsid w:val="00CB2B42"/>
    <w:rsid w:val="00CB7232"/>
    <w:rsid w:val="00CC307E"/>
    <w:rsid w:val="00CE0DA9"/>
    <w:rsid w:val="00CE119E"/>
    <w:rsid w:val="00CE4FDA"/>
    <w:rsid w:val="00CE6348"/>
    <w:rsid w:val="00CE6DCE"/>
    <w:rsid w:val="00CF216C"/>
    <w:rsid w:val="00CF36DE"/>
    <w:rsid w:val="00CF3CEB"/>
    <w:rsid w:val="00CF4387"/>
    <w:rsid w:val="00CF61E5"/>
    <w:rsid w:val="00D0044F"/>
    <w:rsid w:val="00D070A8"/>
    <w:rsid w:val="00D14109"/>
    <w:rsid w:val="00D229F6"/>
    <w:rsid w:val="00D23F3B"/>
    <w:rsid w:val="00D264F6"/>
    <w:rsid w:val="00D30452"/>
    <w:rsid w:val="00D30EA1"/>
    <w:rsid w:val="00D35DBF"/>
    <w:rsid w:val="00D36773"/>
    <w:rsid w:val="00D36C16"/>
    <w:rsid w:val="00D46FBC"/>
    <w:rsid w:val="00D56544"/>
    <w:rsid w:val="00D575E1"/>
    <w:rsid w:val="00D610A8"/>
    <w:rsid w:val="00D65478"/>
    <w:rsid w:val="00D70315"/>
    <w:rsid w:val="00D718BB"/>
    <w:rsid w:val="00D84A66"/>
    <w:rsid w:val="00D92B00"/>
    <w:rsid w:val="00D94911"/>
    <w:rsid w:val="00DA307F"/>
    <w:rsid w:val="00DA4436"/>
    <w:rsid w:val="00DB1562"/>
    <w:rsid w:val="00DB5736"/>
    <w:rsid w:val="00DC454E"/>
    <w:rsid w:val="00DC531A"/>
    <w:rsid w:val="00DE1CC7"/>
    <w:rsid w:val="00DE3EC0"/>
    <w:rsid w:val="00DE7AF1"/>
    <w:rsid w:val="00DF1323"/>
    <w:rsid w:val="00DF2648"/>
    <w:rsid w:val="00DF593F"/>
    <w:rsid w:val="00E03387"/>
    <w:rsid w:val="00E0484F"/>
    <w:rsid w:val="00E05788"/>
    <w:rsid w:val="00E12A48"/>
    <w:rsid w:val="00E303B9"/>
    <w:rsid w:val="00E31AAE"/>
    <w:rsid w:val="00E31D8E"/>
    <w:rsid w:val="00E34B20"/>
    <w:rsid w:val="00E53E0E"/>
    <w:rsid w:val="00E6092B"/>
    <w:rsid w:val="00E6249D"/>
    <w:rsid w:val="00E63E4D"/>
    <w:rsid w:val="00E645CE"/>
    <w:rsid w:val="00E70C22"/>
    <w:rsid w:val="00E71F51"/>
    <w:rsid w:val="00E74AB1"/>
    <w:rsid w:val="00E750C6"/>
    <w:rsid w:val="00E76444"/>
    <w:rsid w:val="00E83C61"/>
    <w:rsid w:val="00E8753C"/>
    <w:rsid w:val="00E879F6"/>
    <w:rsid w:val="00E9222D"/>
    <w:rsid w:val="00E950D0"/>
    <w:rsid w:val="00EA1E58"/>
    <w:rsid w:val="00EB1737"/>
    <w:rsid w:val="00EB35A1"/>
    <w:rsid w:val="00EB7A38"/>
    <w:rsid w:val="00EB7C5D"/>
    <w:rsid w:val="00EC2D1C"/>
    <w:rsid w:val="00EC4C5C"/>
    <w:rsid w:val="00ED0DDB"/>
    <w:rsid w:val="00EE1269"/>
    <w:rsid w:val="00F02225"/>
    <w:rsid w:val="00F07315"/>
    <w:rsid w:val="00F1317C"/>
    <w:rsid w:val="00F170F7"/>
    <w:rsid w:val="00F1781E"/>
    <w:rsid w:val="00F220A1"/>
    <w:rsid w:val="00F22AC4"/>
    <w:rsid w:val="00F24745"/>
    <w:rsid w:val="00F257B6"/>
    <w:rsid w:val="00F26C4F"/>
    <w:rsid w:val="00F30615"/>
    <w:rsid w:val="00F30B41"/>
    <w:rsid w:val="00F3175F"/>
    <w:rsid w:val="00F32DF0"/>
    <w:rsid w:val="00F367EF"/>
    <w:rsid w:val="00F43D32"/>
    <w:rsid w:val="00F45444"/>
    <w:rsid w:val="00F52FCA"/>
    <w:rsid w:val="00F60406"/>
    <w:rsid w:val="00F6333D"/>
    <w:rsid w:val="00F7260E"/>
    <w:rsid w:val="00F739AF"/>
    <w:rsid w:val="00F76CF5"/>
    <w:rsid w:val="00F77B40"/>
    <w:rsid w:val="00F8229D"/>
    <w:rsid w:val="00F845F5"/>
    <w:rsid w:val="00F85EF0"/>
    <w:rsid w:val="00F90C1D"/>
    <w:rsid w:val="00F935F8"/>
    <w:rsid w:val="00F96F26"/>
    <w:rsid w:val="00FA19F1"/>
    <w:rsid w:val="00FA7C77"/>
    <w:rsid w:val="00FB2E87"/>
    <w:rsid w:val="00FB6E1D"/>
    <w:rsid w:val="00FC79B2"/>
    <w:rsid w:val="00FD364D"/>
    <w:rsid w:val="00FD3C04"/>
    <w:rsid w:val="00FD52A9"/>
    <w:rsid w:val="00FD7045"/>
    <w:rsid w:val="00FD70AD"/>
    <w:rsid w:val="00FE0618"/>
    <w:rsid w:val="00FE16E1"/>
    <w:rsid w:val="00FE7E3F"/>
    <w:rsid w:val="00FF5457"/>
    <w:rsid w:val="00FF5525"/>
    <w:rsid w:val="00FF5BA2"/>
    <w:rsid w:val="0592512C"/>
    <w:rsid w:val="05EE655B"/>
    <w:rsid w:val="0C2168FE"/>
    <w:rsid w:val="11372A2E"/>
    <w:rsid w:val="12830E0A"/>
    <w:rsid w:val="15062C5B"/>
    <w:rsid w:val="18272FC0"/>
    <w:rsid w:val="1C796ED7"/>
    <w:rsid w:val="1FEA6262"/>
    <w:rsid w:val="24A702FE"/>
    <w:rsid w:val="24DA3510"/>
    <w:rsid w:val="2A85033E"/>
    <w:rsid w:val="2AE26D0C"/>
    <w:rsid w:val="2D0800F6"/>
    <w:rsid w:val="2E902A47"/>
    <w:rsid w:val="309F0EEA"/>
    <w:rsid w:val="3C14757F"/>
    <w:rsid w:val="42021875"/>
    <w:rsid w:val="43102FAC"/>
    <w:rsid w:val="44316ECD"/>
    <w:rsid w:val="45397F0D"/>
    <w:rsid w:val="46A22CD9"/>
    <w:rsid w:val="49594572"/>
    <w:rsid w:val="49AF0E78"/>
    <w:rsid w:val="4DAA68A8"/>
    <w:rsid w:val="4F362B89"/>
    <w:rsid w:val="532F21ED"/>
    <w:rsid w:val="53F82989"/>
    <w:rsid w:val="5B7A2D94"/>
    <w:rsid w:val="5C165F65"/>
    <w:rsid w:val="5E2E119E"/>
    <w:rsid w:val="5EB35B46"/>
    <w:rsid w:val="5EEC17E7"/>
    <w:rsid w:val="5FDB796F"/>
    <w:rsid w:val="639C0A61"/>
    <w:rsid w:val="68B941EC"/>
    <w:rsid w:val="69CE4703"/>
    <w:rsid w:val="69F533F3"/>
    <w:rsid w:val="6B632171"/>
    <w:rsid w:val="6C8B4424"/>
    <w:rsid w:val="6CF638AF"/>
    <w:rsid w:val="7253438C"/>
    <w:rsid w:val="748626E9"/>
    <w:rsid w:val="74FC15FA"/>
    <w:rsid w:val="75E859C6"/>
    <w:rsid w:val="77D46E1B"/>
    <w:rsid w:val="7ABF6AF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CC2F335"/>
  <w15:docId w15:val="{97010900-922A-4FF5-9FAD-779D066EE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6A22"/>
    <w:pPr>
      <w:spacing w:after="200" w:line="276" w:lineRule="auto"/>
    </w:pPr>
    <w:rPr>
      <w:sz w:val="22"/>
      <w:szCs w:val="22"/>
    </w:rPr>
  </w:style>
  <w:style w:type="paragraph" w:styleId="10">
    <w:name w:val="heading 1"/>
    <w:basedOn w:val="a"/>
    <w:next w:val="a"/>
    <w:link w:val="11"/>
    <w:uiPriority w:val="9"/>
    <w:qFormat/>
    <w:rsid w:val="00B16A2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1"/>
    <w:uiPriority w:val="9"/>
    <w:unhideWhenUsed/>
    <w:qFormat/>
    <w:rsid w:val="00B16A2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B16A2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16A2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16A22"/>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
    <w:next w:val="a"/>
    <w:link w:val="60"/>
    <w:uiPriority w:val="9"/>
    <w:semiHidden/>
    <w:unhideWhenUsed/>
    <w:qFormat/>
    <w:rsid w:val="00B16A22"/>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
    <w:next w:val="a"/>
    <w:link w:val="70"/>
    <w:uiPriority w:val="9"/>
    <w:semiHidden/>
    <w:unhideWhenUsed/>
    <w:qFormat/>
    <w:rsid w:val="00B16A2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16A22"/>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16A2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sid w:val="00B16A22"/>
    <w:rPr>
      <w:color w:val="800080"/>
      <w:u w:val="single"/>
    </w:rPr>
  </w:style>
  <w:style w:type="character" w:styleId="a4">
    <w:name w:val="annotation reference"/>
    <w:basedOn w:val="a0"/>
    <w:uiPriority w:val="99"/>
    <w:semiHidden/>
    <w:unhideWhenUsed/>
    <w:qFormat/>
    <w:rsid w:val="00B16A22"/>
    <w:rPr>
      <w:sz w:val="16"/>
      <w:szCs w:val="16"/>
    </w:rPr>
  </w:style>
  <w:style w:type="character" w:styleId="a5">
    <w:name w:val="Emphasis"/>
    <w:basedOn w:val="a0"/>
    <w:uiPriority w:val="20"/>
    <w:qFormat/>
    <w:rsid w:val="00B16A22"/>
    <w:rPr>
      <w:i/>
      <w:iCs/>
    </w:rPr>
  </w:style>
  <w:style w:type="character" w:styleId="a6">
    <w:name w:val="Hyperlink"/>
    <w:basedOn w:val="a0"/>
    <w:uiPriority w:val="99"/>
    <w:unhideWhenUsed/>
    <w:qFormat/>
    <w:rsid w:val="00B16A22"/>
    <w:rPr>
      <w:color w:val="0000FF" w:themeColor="hyperlink"/>
      <w:u w:val="single"/>
    </w:rPr>
  </w:style>
  <w:style w:type="character" w:styleId="a7">
    <w:name w:val="Strong"/>
    <w:basedOn w:val="a0"/>
    <w:uiPriority w:val="22"/>
    <w:qFormat/>
    <w:rsid w:val="00B16A22"/>
    <w:rPr>
      <w:b/>
      <w:bCs/>
    </w:rPr>
  </w:style>
  <w:style w:type="paragraph" w:styleId="a8">
    <w:name w:val="Balloon Text"/>
    <w:basedOn w:val="a"/>
    <w:link w:val="a9"/>
    <w:uiPriority w:val="99"/>
    <w:semiHidden/>
    <w:unhideWhenUsed/>
    <w:qFormat/>
    <w:rsid w:val="00B16A22"/>
    <w:pPr>
      <w:spacing w:after="0" w:line="240" w:lineRule="auto"/>
    </w:pPr>
    <w:rPr>
      <w:rFonts w:ascii="Tahoma" w:hAnsi="Tahoma" w:cs="Tahoma"/>
      <w:sz w:val="16"/>
      <w:szCs w:val="16"/>
    </w:rPr>
  </w:style>
  <w:style w:type="paragraph" w:styleId="aa">
    <w:name w:val="caption"/>
    <w:basedOn w:val="a"/>
    <w:next w:val="a"/>
    <w:uiPriority w:val="35"/>
    <w:semiHidden/>
    <w:unhideWhenUsed/>
    <w:qFormat/>
    <w:rsid w:val="00B16A22"/>
    <w:pPr>
      <w:spacing w:line="240" w:lineRule="auto"/>
    </w:pPr>
    <w:rPr>
      <w:b/>
      <w:bCs/>
      <w:color w:val="4F81BD" w:themeColor="accent1"/>
      <w:sz w:val="18"/>
      <w:szCs w:val="18"/>
    </w:rPr>
  </w:style>
  <w:style w:type="paragraph" w:styleId="ab">
    <w:name w:val="annotation text"/>
    <w:basedOn w:val="a"/>
    <w:link w:val="ac"/>
    <w:uiPriority w:val="99"/>
    <w:unhideWhenUsed/>
    <w:qFormat/>
    <w:rsid w:val="00B16A22"/>
    <w:pPr>
      <w:spacing w:line="240" w:lineRule="auto"/>
    </w:pPr>
    <w:rPr>
      <w:sz w:val="20"/>
      <w:szCs w:val="20"/>
    </w:rPr>
  </w:style>
  <w:style w:type="paragraph" w:styleId="ad">
    <w:name w:val="annotation subject"/>
    <w:basedOn w:val="ab"/>
    <w:next w:val="ab"/>
    <w:link w:val="ae"/>
    <w:uiPriority w:val="99"/>
    <w:semiHidden/>
    <w:unhideWhenUsed/>
    <w:qFormat/>
    <w:rsid w:val="00B16A22"/>
    <w:rPr>
      <w:b/>
      <w:bCs/>
    </w:rPr>
  </w:style>
  <w:style w:type="paragraph" w:styleId="af">
    <w:name w:val="header"/>
    <w:basedOn w:val="a"/>
    <w:link w:val="af0"/>
    <w:uiPriority w:val="99"/>
    <w:unhideWhenUsed/>
    <w:qFormat/>
    <w:rsid w:val="00B16A22"/>
    <w:pPr>
      <w:tabs>
        <w:tab w:val="center" w:pos="4677"/>
        <w:tab w:val="right" w:pos="9355"/>
      </w:tabs>
      <w:spacing w:after="0" w:line="240" w:lineRule="auto"/>
    </w:pPr>
  </w:style>
  <w:style w:type="paragraph" w:styleId="12">
    <w:name w:val="toc 1"/>
    <w:basedOn w:val="a"/>
    <w:next w:val="a"/>
    <w:autoRedefine/>
    <w:uiPriority w:val="39"/>
    <w:unhideWhenUsed/>
    <w:qFormat/>
    <w:rsid w:val="00B16A22"/>
    <w:pPr>
      <w:spacing w:after="100"/>
    </w:pPr>
  </w:style>
  <w:style w:type="paragraph" w:styleId="31">
    <w:name w:val="toc 3"/>
    <w:basedOn w:val="a"/>
    <w:next w:val="a"/>
    <w:autoRedefine/>
    <w:uiPriority w:val="39"/>
    <w:unhideWhenUsed/>
    <w:qFormat/>
    <w:rsid w:val="00B16A22"/>
    <w:pPr>
      <w:spacing w:after="100"/>
      <w:ind w:left="440"/>
    </w:pPr>
  </w:style>
  <w:style w:type="paragraph" w:styleId="22">
    <w:name w:val="toc 2"/>
    <w:basedOn w:val="a"/>
    <w:next w:val="a"/>
    <w:autoRedefine/>
    <w:uiPriority w:val="39"/>
    <w:unhideWhenUsed/>
    <w:qFormat/>
    <w:rsid w:val="00B16A22"/>
    <w:pPr>
      <w:spacing w:after="100"/>
      <w:ind w:left="220"/>
    </w:pPr>
  </w:style>
  <w:style w:type="paragraph" w:styleId="af1">
    <w:name w:val="Title"/>
    <w:basedOn w:val="a"/>
    <w:next w:val="a"/>
    <w:link w:val="af2"/>
    <w:uiPriority w:val="10"/>
    <w:qFormat/>
    <w:rsid w:val="00B16A2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paragraph" w:styleId="af3">
    <w:name w:val="footer"/>
    <w:basedOn w:val="a"/>
    <w:link w:val="af4"/>
    <w:uiPriority w:val="99"/>
    <w:unhideWhenUsed/>
    <w:qFormat/>
    <w:rsid w:val="00B16A22"/>
    <w:pPr>
      <w:tabs>
        <w:tab w:val="center" w:pos="4677"/>
        <w:tab w:val="right" w:pos="9355"/>
      </w:tabs>
      <w:spacing w:after="0" w:line="240" w:lineRule="auto"/>
    </w:pPr>
  </w:style>
  <w:style w:type="paragraph" w:styleId="af5">
    <w:name w:val="Normal (Web)"/>
    <w:basedOn w:val="a"/>
    <w:uiPriority w:val="99"/>
    <w:unhideWhenUsed/>
    <w:qFormat/>
    <w:rsid w:val="00B16A22"/>
    <w:pPr>
      <w:spacing w:before="100" w:beforeAutospacing="1" w:after="100" w:afterAutospacing="1" w:line="240" w:lineRule="auto"/>
    </w:pPr>
    <w:rPr>
      <w:rFonts w:ascii="Times New Roman" w:eastAsia="Times New Roman" w:hAnsi="Times New Roman" w:cs="Times New Roman"/>
      <w:sz w:val="24"/>
      <w:szCs w:val="24"/>
    </w:rPr>
  </w:style>
  <w:style w:type="paragraph" w:styleId="af6">
    <w:name w:val="Subtitle"/>
    <w:basedOn w:val="a"/>
    <w:next w:val="a"/>
    <w:link w:val="af7"/>
    <w:uiPriority w:val="11"/>
    <w:qFormat/>
    <w:rsid w:val="00B16A22"/>
    <w:rPr>
      <w:rFonts w:asciiTheme="majorHAnsi" w:eastAsiaTheme="majorEastAsia" w:hAnsiTheme="majorHAnsi" w:cstheme="majorBidi"/>
      <w:i/>
      <w:iCs/>
      <w:color w:val="4F81BD" w:themeColor="accent1"/>
      <w:spacing w:val="15"/>
      <w:sz w:val="24"/>
      <w:szCs w:val="24"/>
    </w:rPr>
  </w:style>
  <w:style w:type="table" w:styleId="af8">
    <w:name w:val="Table Grid"/>
    <w:basedOn w:val="a1"/>
    <w:uiPriority w:val="59"/>
    <w:qFormat/>
    <w:rsid w:val="00B16A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basedOn w:val="a0"/>
    <w:link w:val="10"/>
    <w:uiPriority w:val="9"/>
    <w:qFormat/>
    <w:rsid w:val="00B16A22"/>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basedOn w:val="a0"/>
    <w:link w:val="20"/>
    <w:uiPriority w:val="9"/>
    <w:qFormat/>
    <w:rsid w:val="00B16A22"/>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sid w:val="00B16A22"/>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qFormat/>
    <w:rsid w:val="00B16A22"/>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qFormat/>
    <w:rsid w:val="00B16A22"/>
    <w:rPr>
      <w:rFonts w:asciiTheme="majorHAnsi" w:eastAsiaTheme="majorEastAsia" w:hAnsiTheme="majorHAnsi" w:cstheme="majorBidi"/>
      <w:color w:val="244061" w:themeColor="accent1" w:themeShade="80"/>
    </w:rPr>
  </w:style>
  <w:style w:type="character" w:customStyle="1" w:styleId="60">
    <w:name w:val="Заголовок 6 Знак"/>
    <w:basedOn w:val="a0"/>
    <w:link w:val="6"/>
    <w:uiPriority w:val="9"/>
    <w:semiHidden/>
    <w:qFormat/>
    <w:rsid w:val="00B16A22"/>
    <w:rPr>
      <w:rFonts w:asciiTheme="majorHAnsi" w:eastAsiaTheme="majorEastAsia" w:hAnsiTheme="majorHAnsi" w:cstheme="majorBidi"/>
      <w:i/>
      <w:iCs/>
      <w:color w:val="244061" w:themeColor="accent1" w:themeShade="80"/>
    </w:rPr>
  </w:style>
  <w:style w:type="character" w:customStyle="1" w:styleId="70">
    <w:name w:val="Заголовок 7 Знак"/>
    <w:basedOn w:val="a0"/>
    <w:link w:val="7"/>
    <w:uiPriority w:val="9"/>
    <w:semiHidden/>
    <w:qFormat/>
    <w:rsid w:val="00B16A22"/>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qFormat/>
    <w:rsid w:val="00B16A22"/>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qFormat/>
    <w:rsid w:val="00B16A22"/>
    <w:rPr>
      <w:rFonts w:asciiTheme="majorHAnsi" w:eastAsiaTheme="majorEastAsia" w:hAnsiTheme="majorHAnsi" w:cstheme="majorBidi"/>
      <w:i/>
      <w:iCs/>
      <w:color w:val="404040" w:themeColor="text1" w:themeTint="BF"/>
      <w:sz w:val="20"/>
      <w:szCs w:val="20"/>
    </w:rPr>
  </w:style>
  <w:style w:type="character" w:customStyle="1" w:styleId="a9">
    <w:name w:val="Текст выноски Знак"/>
    <w:basedOn w:val="a0"/>
    <w:link w:val="a8"/>
    <w:uiPriority w:val="99"/>
    <w:semiHidden/>
    <w:qFormat/>
    <w:rsid w:val="00B16A22"/>
    <w:rPr>
      <w:rFonts w:ascii="Tahoma" w:hAnsi="Tahoma" w:cs="Tahoma"/>
      <w:sz w:val="16"/>
      <w:szCs w:val="16"/>
    </w:rPr>
  </w:style>
  <w:style w:type="character" w:customStyle="1" w:styleId="ac">
    <w:name w:val="Текст примечания Знак"/>
    <w:basedOn w:val="a0"/>
    <w:link w:val="ab"/>
    <w:uiPriority w:val="99"/>
    <w:qFormat/>
    <w:rsid w:val="00B16A22"/>
    <w:rPr>
      <w:sz w:val="20"/>
      <w:szCs w:val="20"/>
    </w:rPr>
  </w:style>
  <w:style w:type="character" w:customStyle="1" w:styleId="ae">
    <w:name w:val="Тема примечания Знак"/>
    <w:basedOn w:val="ac"/>
    <w:link w:val="ad"/>
    <w:uiPriority w:val="99"/>
    <w:semiHidden/>
    <w:qFormat/>
    <w:rsid w:val="00B16A22"/>
    <w:rPr>
      <w:b/>
      <w:bCs/>
      <w:sz w:val="20"/>
      <w:szCs w:val="20"/>
    </w:rPr>
  </w:style>
  <w:style w:type="character" w:customStyle="1" w:styleId="af0">
    <w:name w:val="Верхний колонтитул Знак"/>
    <w:basedOn w:val="a0"/>
    <w:link w:val="af"/>
    <w:uiPriority w:val="99"/>
    <w:qFormat/>
    <w:rsid w:val="00B16A22"/>
  </w:style>
  <w:style w:type="character" w:customStyle="1" w:styleId="af4">
    <w:name w:val="Нижний колонтитул Знак"/>
    <w:basedOn w:val="a0"/>
    <w:link w:val="af3"/>
    <w:uiPriority w:val="99"/>
    <w:qFormat/>
    <w:rsid w:val="00B16A22"/>
  </w:style>
  <w:style w:type="paragraph" w:customStyle="1" w:styleId="13">
    <w:name w:val="Заголовок оглавления1"/>
    <w:basedOn w:val="10"/>
    <w:next w:val="a"/>
    <w:uiPriority w:val="39"/>
    <w:semiHidden/>
    <w:unhideWhenUsed/>
    <w:qFormat/>
    <w:rsid w:val="00B16A22"/>
    <w:pPr>
      <w:outlineLvl w:val="9"/>
    </w:pPr>
  </w:style>
  <w:style w:type="paragraph" w:styleId="af9">
    <w:name w:val="List Paragraph"/>
    <w:basedOn w:val="a"/>
    <w:uiPriority w:val="34"/>
    <w:qFormat/>
    <w:rsid w:val="00B16A22"/>
    <w:pPr>
      <w:ind w:left="720"/>
      <w:contextualSpacing/>
    </w:pPr>
  </w:style>
  <w:style w:type="character" w:customStyle="1" w:styleId="23">
    <w:name w:val="Основной текст (2)_"/>
    <w:basedOn w:val="a0"/>
    <w:link w:val="24"/>
    <w:qFormat/>
    <w:rsid w:val="00B16A22"/>
    <w:rPr>
      <w:rFonts w:ascii="Times New Roman" w:eastAsia="Times New Roman" w:hAnsi="Times New Roman" w:cs="Times New Roman"/>
      <w:sz w:val="20"/>
      <w:szCs w:val="20"/>
    </w:rPr>
  </w:style>
  <w:style w:type="paragraph" w:customStyle="1" w:styleId="24">
    <w:name w:val="Основной текст (2)"/>
    <w:basedOn w:val="a"/>
    <w:link w:val="23"/>
    <w:qFormat/>
    <w:rsid w:val="00B16A22"/>
    <w:pPr>
      <w:widowControl w:val="0"/>
      <w:spacing w:after="1580"/>
      <w:ind w:left="5620"/>
      <w:jc w:val="right"/>
    </w:pPr>
    <w:rPr>
      <w:rFonts w:ascii="Times New Roman" w:eastAsia="Times New Roman" w:hAnsi="Times New Roman" w:cs="Times New Roman"/>
      <w:sz w:val="20"/>
      <w:szCs w:val="20"/>
    </w:rPr>
  </w:style>
  <w:style w:type="character" w:customStyle="1" w:styleId="af2">
    <w:name w:val="Заголовок Знак"/>
    <w:basedOn w:val="a0"/>
    <w:link w:val="af1"/>
    <w:uiPriority w:val="10"/>
    <w:qFormat/>
    <w:rsid w:val="00B16A22"/>
    <w:rPr>
      <w:rFonts w:asciiTheme="majorHAnsi" w:eastAsiaTheme="majorEastAsia" w:hAnsiTheme="majorHAnsi" w:cstheme="majorBidi"/>
      <w:color w:val="17365D" w:themeColor="text2" w:themeShade="BF"/>
      <w:spacing w:val="5"/>
      <w:sz w:val="52"/>
      <w:szCs w:val="52"/>
    </w:rPr>
  </w:style>
  <w:style w:type="character" w:customStyle="1" w:styleId="af7">
    <w:name w:val="Подзаголовок Знак"/>
    <w:basedOn w:val="a0"/>
    <w:link w:val="af6"/>
    <w:uiPriority w:val="11"/>
    <w:qFormat/>
    <w:rsid w:val="00B16A22"/>
    <w:rPr>
      <w:rFonts w:asciiTheme="majorHAnsi" w:eastAsiaTheme="majorEastAsia" w:hAnsiTheme="majorHAnsi" w:cstheme="majorBidi"/>
      <w:i/>
      <w:iCs/>
      <w:color w:val="4F81BD" w:themeColor="accent1"/>
      <w:spacing w:val="15"/>
      <w:sz w:val="24"/>
      <w:szCs w:val="24"/>
    </w:rPr>
  </w:style>
  <w:style w:type="paragraph" w:styleId="afa">
    <w:name w:val="No Spacing"/>
    <w:uiPriority w:val="1"/>
    <w:qFormat/>
    <w:rsid w:val="00B16A22"/>
    <w:rPr>
      <w:sz w:val="22"/>
      <w:szCs w:val="22"/>
    </w:rPr>
  </w:style>
  <w:style w:type="paragraph" w:styleId="25">
    <w:name w:val="Quote"/>
    <w:basedOn w:val="a"/>
    <w:next w:val="a"/>
    <w:link w:val="26"/>
    <w:uiPriority w:val="29"/>
    <w:qFormat/>
    <w:rsid w:val="00B16A22"/>
    <w:rPr>
      <w:i/>
      <w:iCs/>
      <w:color w:val="000000" w:themeColor="text1"/>
    </w:rPr>
  </w:style>
  <w:style w:type="character" w:customStyle="1" w:styleId="26">
    <w:name w:val="Цитата 2 Знак"/>
    <w:basedOn w:val="a0"/>
    <w:link w:val="25"/>
    <w:uiPriority w:val="29"/>
    <w:qFormat/>
    <w:rsid w:val="00B16A22"/>
    <w:rPr>
      <w:i/>
      <w:iCs/>
      <w:color w:val="000000" w:themeColor="text1"/>
    </w:rPr>
  </w:style>
  <w:style w:type="paragraph" w:styleId="afb">
    <w:name w:val="Intense Quote"/>
    <w:basedOn w:val="a"/>
    <w:next w:val="a"/>
    <w:link w:val="afc"/>
    <w:uiPriority w:val="30"/>
    <w:qFormat/>
    <w:rsid w:val="00B16A22"/>
    <w:pPr>
      <w:pBdr>
        <w:bottom w:val="single" w:sz="4" w:space="4" w:color="4F81BD" w:themeColor="accent1"/>
      </w:pBdr>
      <w:spacing w:before="200" w:after="280"/>
      <w:ind w:left="936" w:right="936"/>
    </w:pPr>
    <w:rPr>
      <w:b/>
      <w:bCs/>
      <w:i/>
      <w:iCs/>
      <w:color w:val="4F81BD" w:themeColor="accent1"/>
    </w:rPr>
  </w:style>
  <w:style w:type="character" w:customStyle="1" w:styleId="afc">
    <w:name w:val="Выделенная цитата Знак"/>
    <w:basedOn w:val="a0"/>
    <w:link w:val="afb"/>
    <w:uiPriority w:val="30"/>
    <w:qFormat/>
    <w:rsid w:val="00B16A22"/>
    <w:rPr>
      <w:b/>
      <w:bCs/>
      <w:i/>
      <w:iCs/>
      <w:color w:val="4F81BD" w:themeColor="accent1"/>
    </w:rPr>
  </w:style>
  <w:style w:type="character" w:customStyle="1" w:styleId="14">
    <w:name w:val="Слабое выделение1"/>
    <w:basedOn w:val="a0"/>
    <w:uiPriority w:val="19"/>
    <w:qFormat/>
    <w:rsid w:val="00B16A22"/>
    <w:rPr>
      <w:i/>
      <w:iCs/>
      <w:color w:val="7F7F7F" w:themeColor="text1" w:themeTint="80"/>
    </w:rPr>
  </w:style>
  <w:style w:type="character" w:customStyle="1" w:styleId="15">
    <w:name w:val="Сильное выделение1"/>
    <w:basedOn w:val="a0"/>
    <w:uiPriority w:val="21"/>
    <w:qFormat/>
    <w:rsid w:val="00B16A22"/>
    <w:rPr>
      <w:b/>
      <w:bCs/>
      <w:i/>
      <w:iCs/>
      <w:color w:val="4F81BD" w:themeColor="accent1"/>
    </w:rPr>
  </w:style>
  <w:style w:type="character" w:customStyle="1" w:styleId="16">
    <w:name w:val="Слабая ссылка1"/>
    <w:basedOn w:val="a0"/>
    <w:uiPriority w:val="31"/>
    <w:qFormat/>
    <w:rsid w:val="00B16A22"/>
    <w:rPr>
      <w:smallCaps/>
      <w:color w:val="C0504D" w:themeColor="accent2"/>
      <w:u w:val="single"/>
    </w:rPr>
  </w:style>
  <w:style w:type="character" w:customStyle="1" w:styleId="17">
    <w:name w:val="Сильная ссылка1"/>
    <w:basedOn w:val="a0"/>
    <w:uiPriority w:val="32"/>
    <w:qFormat/>
    <w:rsid w:val="00B16A22"/>
    <w:rPr>
      <w:b/>
      <w:bCs/>
      <w:smallCaps/>
      <w:color w:val="C0504D" w:themeColor="accent2"/>
      <w:spacing w:val="5"/>
      <w:u w:val="single"/>
    </w:rPr>
  </w:style>
  <w:style w:type="character" w:customStyle="1" w:styleId="18">
    <w:name w:val="Название книги1"/>
    <w:basedOn w:val="a0"/>
    <w:uiPriority w:val="33"/>
    <w:qFormat/>
    <w:rsid w:val="00B16A22"/>
    <w:rPr>
      <w:b/>
      <w:bCs/>
      <w:smallCaps/>
      <w:spacing w:val="5"/>
    </w:rPr>
  </w:style>
  <w:style w:type="paragraph" w:customStyle="1" w:styleId="27">
    <w:name w:val="Заголовок оглавления2"/>
    <w:basedOn w:val="10"/>
    <w:next w:val="a"/>
    <w:uiPriority w:val="39"/>
    <w:semiHidden/>
    <w:unhideWhenUsed/>
    <w:qFormat/>
    <w:rsid w:val="00B16A22"/>
    <w:pPr>
      <w:outlineLvl w:val="9"/>
    </w:pPr>
  </w:style>
  <w:style w:type="paragraph" w:customStyle="1" w:styleId="msonormal0">
    <w:name w:val="msonormal"/>
    <w:basedOn w:val="a"/>
    <w:qFormat/>
    <w:rsid w:val="00B16A2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9">
    <w:name w:val="Сетка таблицы1"/>
    <w:basedOn w:val="a1"/>
    <w:uiPriority w:val="59"/>
    <w:qFormat/>
    <w:rsid w:val="00B16A2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leNormal">
    <w:name w:val="Table Normal"/>
    <w:uiPriority w:val="2"/>
    <w:semiHidden/>
    <w:unhideWhenUsed/>
    <w:qFormat/>
    <w:rsid w:val="00B16A22"/>
    <w:tblPr>
      <w:tblCellMar>
        <w:top w:w="0" w:type="dxa"/>
        <w:left w:w="0" w:type="dxa"/>
        <w:bottom w:w="0" w:type="dxa"/>
        <w:right w:w="0" w:type="dxa"/>
      </w:tblCellMar>
    </w:tblPr>
  </w:style>
  <w:style w:type="numbering" w:customStyle="1" w:styleId="1">
    <w:name w:val="Текущий список1"/>
    <w:uiPriority w:val="99"/>
    <w:rsid w:val="00D56544"/>
    <w:pPr>
      <w:numPr>
        <w:numId w:val="102"/>
      </w:numPr>
    </w:pPr>
  </w:style>
  <w:style w:type="numbering" w:customStyle="1" w:styleId="2">
    <w:name w:val="Текущий список2"/>
    <w:uiPriority w:val="99"/>
    <w:rsid w:val="00D56544"/>
    <w:pPr>
      <w:numPr>
        <w:numId w:val="103"/>
      </w:numPr>
    </w:pPr>
  </w:style>
  <w:style w:type="character" w:customStyle="1" w:styleId="1a">
    <w:name w:val="Неразрешенное упоминание1"/>
    <w:basedOn w:val="a0"/>
    <w:uiPriority w:val="99"/>
    <w:semiHidden/>
    <w:unhideWhenUsed/>
    <w:rsid w:val="009D343D"/>
    <w:rPr>
      <w:color w:val="605E5C"/>
      <w:shd w:val="clear" w:color="auto" w:fill="E1DFDD"/>
    </w:rPr>
  </w:style>
  <w:style w:type="character" w:customStyle="1" w:styleId="28">
    <w:name w:val="Неразрешенное упоминание2"/>
    <w:basedOn w:val="a0"/>
    <w:uiPriority w:val="99"/>
    <w:semiHidden/>
    <w:unhideWhenUsed/>
    <w:rsid w:val="007C6D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russjcardiol.elpub.ru/jour/article/view/6306?locale=ru_RU" TargetMode="External"/><Relationship Id="rId299" Type="http://schemas.openxmlformats.org/officeDocument/2006/relationships/hyperlink" Target="https://russjcardiol.elpub.ru/jour/article/view/6306?locale=ru_RU" TargetMode="External"/><Relationship Id="rId21" Type="http://schemas.openxmlformats.org/officeDocument/2006/relationships/hyperlink" Target="https://russjcardiol.elpub.ru/jour/article/view/6306?locale=ru_RU" TargetMode="External"/><Relationship Id="rId63" Type="http://schemas.openxmlformats.org/officeDocument/2006/relationships/hyperlink" Target="https://russjcardiol.elpub.ru/jour/article/view/6306?locale=ru_RU" TargetMode="External"/><Relationship Id="rId159" Type="http://schemas.openxmlformats.org/officeDocument/2006/relationships/hyperlink" Target="https://russjcardiol.elpub.ru/jour/article/view/6306?locale=ru_RU" TargetMode="External"/><Relationship Id="rId324" Type="http://schemas.openxmlformats.org/officeDocument/2006/relationships/hyperlink" Target="https://doi.org/10.1136/bmj.l4570" TargetMode="External"/><Relationship Id="rId170" Type="http://schemas.openxmlformats.org/officeDocument/2006/relationships/hyperlink" Target="https://russjcardiol.elpub.ru/jour/article/view/6306?locale=ru_RU" TargetMode="External"/><Relationship Id="rId226" Type="http://schemas.openxmlformats.org/officeDocument/2006/relationships/hyperlink" Target="https://russjcardiol.elpub.ru/jour/article/view/6306?locale=ru_RU" TargetMode="External"/><Relationship Id="rId268" Type="http://schemas.openxmlformats.org/officeDocument/2006/relationships/hyperlink" Target="https://russjcardiol.elpub.ru/jour/article/view/6306?locale=ru_RU" TargetMode="External"/><Relationship Id="rId32" Type="http://schemas.openxmlformats.org/officeDocument/2006/relationships/hyperlink" Target="https://russjcardiol.elpub.ru/jour/article/view/6306?locale=ru_RU" TargetMode="External"/><Relationship Id="rId74" Type="http://schemas.openxmlformats.org/officeDocument/2006/relationships/hyperlink" Target="https://russjcardiol.elpub.ru/jour/article/view/6306?locale=ru_RU" TargetMode="External"/><Relationship Id="rId128" Type="http://schemas.openxmlformats.org/officeDocument/2006/relationships/hyperlink" Target="https://russjcardiol.elpub.ru/jour/article/view/6306?locale=ru_RU" TargetMode="External"/><Relationship Id="rId335" Type="http://schemas.openxmlformats.org/officeDocument/2006/relationships/theme" Target="theme/theme1.xml"/><Relationship Id="rId5" Type="http://schemas.openxmlformats.org/officeDocument/2006/relationships/settings" Target="settings.xml"/><Relationship Id="rId181" Type="http://schemas.openxmlformats.org/officeDocument/2006/relationships/hyperlink" Target="https://russjcardiol.elpub.ru/jour/article/view/6306?locale=ru_RU" TargetMode="External"/><Relationship Id="rId237" Type="http://schemas.openxmlformats.org/officeDocument/2006/relationships/hyperlink" Target="https://russjcardiol.elpub.ru/jour/article/view/6306?locale=ru_RU" TargetMode="External"/><Relationship Id="rId279" Type="http://schemas.openxmlformats.org/officeDocument/2006/relationships/hyperlink" Target="https://russjcardiol.elpub.ru/jour/article/view/6306?locale=ru_RU" TargetMode="External"/><Relationship Id="rId43" Type="http://schemas.openxmlformats.org/officeDocument/2006/relationships/hyperlink" Target="https://russjcardiol.elpub.ru/jour/article/view/6306?locale=ru_RU" TargetMode="External"/><Relationship Id="rId139" Type="http://schemas.openxmlformats.org/officeDocument/2006/relationships/hyperlink" Target="https://russjcardiol.elpub.ru/jour/article/view/6306?locale=ru_RU" TargetMode="External"/><Relationship Id="rId290" Type="http://schemas.openxmlformats.org/officeDocument/2006/relationships/hyperlink" Target="https://russjcardiol.elpub.ru/jour/article/view/6306?locale=ru_RU" TargetMode="External"/><Relationship Id="rId304" Type="http://schemas.openxmlformats.org/officeDocument/2006/relationships/hyperlink" Target="https://russjcardiol.elpub.ru/jour/article/view/6306?locale=ru_RU" TargetMode="External"/><Relationship Id="rId85" Type="http://schemas.openxmlformats.org/officeDocument/2006/relationships/hyperlink" Target="https://russjcardiol.elpub.ru/jour/article/view/6306?locale=ru_RU" TargetMode="External"/><Relationship Id="rId150" Type="http://schemas.openxmlformats.org/officeDocument/2006/relationships/hyperlink" Target="https://russjcardiol.elpub.ru/jour/article/view/6306?locale=ru_RU" TargetMode="External"/><Relationship Id="rId192" Type="http://schemas.openxmlformats.org/officeDocument/2006/relationships/hyperlink" Target="https://russjcardiol.elpub.ru/jour/article/view/6306?locale=ru_RU" TargetMode="External"/><Relationship Id="rId206" Type="http://schemas.openxmlformats.org/officeDocument/2006/relationships/hyperlink" Target="https://russjcardiol.elpub.ru/jour/article/view/6306?locale=ru_RU" TargetMode="External"/><Relationship Id="rId248" Type="http://schemas.openxmlformats.org/officeDocument/2006/relationships/hyperlink" Target="https://russjcardiol.elpub.ru/jour/article/view/6306?locale=ru_RU" TargetMode="External"/><Relationship Id="rId12" Type="http://schemas.openxmlformats.org/officeDocument/2006/relationships/hyperlink" Target="https://russjcardiol.elpub.ru/jour/article/view/6306?locale=ru_RU" TargetMode="External"/><Relationship Id="rId108" Type="http://schemas.openxmlformats.org/officeDocument/2006/relationships/hyperlink" Target="https://russjcardiol.elpub.ru/jour/article/view/6306?locale=ru_RU" TargetMode="External"/><Relationship Id="rId315" Type="http://schemas.openxmlformats.org/officeDocument/2006/relationships/hyperlink" Target="https://doi.org/10.1016/j.jcin.2022.01.298.&#8593;" TargetMode="External"/><Relationship Id="rId54" Type="http://schemas.openxmlformats.org/officeDocument/2006/relationships/hyperlink" Target="https://russjcardiol.elpub.ru/jour/article/view/6306?locale=ru_RU" TargetMode="External"/><Relationship Id="rId96" Type="http://schemas.openxmlformats.org/officeDocument/2006/relationships/hyperlink" Target="https://russjcardiol.elpub.ru/jour/article/view/6306?locale=ru_RU" TargetMode="External"/><Relationship Id="rId161" Type="http://schemas.openxmlformats.org/officeDocument/2006/relationships/hyperlink" Target="https://russjcardiol.elpub.ru/jour/article/view/6306?locale=ru_RU" TargetMode="External"/><Relationship Id="rId217" Type="http://schemas.openxmlformats.org/officeDocument/2006/relationships/hyperlink" Target="https://russjcardiol.elpub.ru/jour/article/view/6306?locale=ru_RU" TargetMode="External"/><Relationship Id="rId259" Type="http://schemas.openxmlformats.org/officeDocument/2006/relationships/hyperlink" Target="https://russjcardiol.elpub.ru/jour/article/view/6306?locale=ru_RU" TargetMode="External"/><Relationship Id="rId23" Type="http://schemas.openxmlformats.org/officeDocument/2006/relationships/hyperlink" Target="https://russjcardiol.elpub.ru/jour/article/view/6306?locale=ru_RU" TargetMode="External"/><Relationship Id="rId119" Type="http://schemas.openxmlformats.org/officeDocument/2006/relationships/hyperlink" Target="https://russjcardiol.elpub.ru/jour/article/view/6306?locale=ru_RU" TargetMode="External"/><Relationship Id="rId270" Type="http://schemas.openxmlformats.org/officeDocument/2006/relationships/hyperlink" Target="https://russjcardiol.elpub.ru/jour/article/view/6306?locale=ru_RU" TargetMode="External"/><Relationship Id="rId326" Type="http://schemas.openxmlformats.org/officeDocument/2006/relationships/hyperlink" Target="https://russjcardiol.elpub.ru/jour/article/view/6306?locale=ru_RU" TargetMode="External"/><Relationship Id="rId65" Type="http://schemas.openxmlformats.org/officeDocument/2006/relationships/hyperlink" Target="https://russjcardiol.elpub.ru/jour/article/view/6306?locale=ru_RU" TargetMode="External"/><Relationship Id="rId130" Type="http://schemas.openxmlformats.org/officeDocument/2006/relationships/hyperlink" Target="https://russjcardiol.elpub.ru/jour/article/view/6306?locale=ru_RU" TargetMode="External"/><Relationship Id="rId172" Type="http://schemas.openxmlformats.org/officeDocument/2006/relationships/hyperlink" Target="https://russjcardiol.elpub.ru/jour/article/view/6306?locale=ru_RU" TargetMode="External"/><Relationship Id="rId228" Type="http://schemas.openxmlformats.org/officeDocument/2006/relationships/hyperlink" Target="https://russjcardiol.elpub.ru/jour/article/view/6306?locale=ru_RU" TargetMode="External"/><Relationship Id="rId281" Type="http://schemas.openxmlformats.org/officeDocument/2006/relationships/hyperlink" Target="https://russjcardiol.elpub.ru/jour/article/view/6306?locale=ru_RU" TargetMode="External"/><Relationship Id="rId34" Type="http://schemas.openxmlformats.org/officeDocument/2006/relationships/hyperlink" Target="https://russjcardiol.elpub.ru/jour/article/view/6306?locale=ru_RU" TargetMode="External"/><Relationship Id="rId76" Type="http://schemas.openxmlformats.org/officeDocument/2006/relationships/hyperlink" Target="https://russjcardiol.elpub.ru/jour/article/view/6306?locale=ru_RU" TargetMode="External"/><Relationship Id="rId141" Type="http://schemas.openxmlformats.org/officeDocument/2006/relationships/hyperlink" Target="https://russjcardiol.elpub.ru/jour/article/view/6306?locale=ru_RU" TargetMode="External"/><Relationship Id="rId7" Type="http://schemas.openxmlformats.org/officeDocument/2006/relationships/footnotes" Target="footnotes.xml"/><Relationship Id="rId183" Type="http://schemas.openxmlformats.org/officeDocument/2006/relationships/hyperlink" Target="https://russjcardiol.elpub.ru/jour/article/view/6306?locale=ru_RU" TargetMode="External"/><Relationship Id="rId239" Type="http://schemas.openxmlformats.org/officeDocument/2006/relationships/hyperlink" Target="https://russjcardiol.elpub.ru/jour/article/view/6306?locale=ru_RU" TargetMode="External"/><Relationship Id="rId250" Type="http://schemas.openxmlformats.org/officeDocument/2006/relationships/hyperlink" Target="https://russjcardiol.elpub.ru/jour/article/view/6306?locale=ru_RU" TargetMode="External"/><Relationship Id="rId292" Type="http://schemas.openxmlformats.org/officeDocument/2006/relationships/hyperlink" Target="https://russjcardiol.elpub.ru/jour/article/view/6306?locale=ru_RU" TargetMode="External"/><Relationship Id="rId306" Type="http://schemas.openxmlformats.org/officeDocument/2006/relationships/hyperlink" Target="https://russjcardiol.elpub.ru/jour/article/view/6306?locale=ru_RU" TargetMode="External"/><Relationship Id="rId24" Type="http://schemas.openxmlformats.org/officeDocument/2006/relationships/hyperlink" Target="https://russjcardiol.elpub.ru/jour/article/view/6306?locale=ru_RU" TargetMode="External"/><Relationship Id="rId45" Type="http://schemas.openxmlformats.org/officeDocument/2006/relationships/hyperlink" Target="https://russjcardiol.elpub.ru/jour/article/view/6306?locale=ru_RU" TargetMode="External"/><Relationship Id="rId66" Type="http://schemas.openxmlformats.org/officeDocument/2006/relationships/hyperlink" Target="https://russjcardiol.elpub.ru/jour/article/view/6306?locale=ru_RU" TargetMode="External"/><Relationship Id="rId87" Type="http://schemas.openxmlformats.org/officeDocument/2006/relationships/hyperlink" Target="https://russjcardiol.elpub.ru/jour/article/view/6306?locale=ru_RU" TargetMode="External"/><Relationship Id="rId110" Type="http://schemas.openxmlformats.org/officeDocument/2006/relationships/hyperlink" Target="https://russjcardiol.elpub.ru/jour/article/view/6306?locale=ru_RU" TargetMode="External"/><Relationship Id="rId131" Type="http://schemas.openxmlformats.org/officeDocument/2006/relationships/hyperlink" Target="https://russjcardiol.elpub.ru/jour/article/view/6306?locale=ru_RU" TargetMode="External"/><Relationship Id="rId327" Type="http://schemas.openxmlformats.org/officeDocument/2006/relationships/hyperlink" Target="https://russjcardiol.elpub.ru/jour/article/view/6306?locale=ru_RU" TargetMode="External"/><Relationship Id="rId152" Type="http://schemas.openxmlformats.org/officeDocument/2006/relationships/hyperlink" Target="https://russjcardiol.elpub.ru/jour/article/view/6306?locale=ru_RU" TargetMode="External"/><Relationship Id="rId173" Type="http://schemas.openxmlformats.org/officeDocument/2006/relationships/hyperlink" Target="https://russjcardiol.elpub.ru/jour/article/view/6306?locale=ru_RU" TargetMode="External"/><Relationship Id="rId194" Type="http://schemas.openxmlformats.org/officeDocument/2006/relationships/hyperlink" Target="https://russjcardiol.elpub.ru/jour/article/view/6306?locale=ru_RU" TargetMode="External"/><Relationship Id="rId208" Type="http://schemas.openxmlformats.org/officeDocument/2006/relationships/hyperlink" Target="https://russjcardiol.elpub.ru/jour/article/view/6306?locale=ru_RU" TargetMode="External"/><Relationship Id="rId229" Type="http://schemas.openxmlformats.org/officeDocument/2006/relationships/hyperlink" Target="https://russjcardiol.elpub.ru/jour/article/view/6306?locale=ru_RU" TargetMode="External"/><Relationship Id="rId240" Type="http://schemas.openxmlformats.org/officeDocument/2006/relationships/hyperlink" Target="https://russjcardiol.elpub.ru/jour/article/view/6306?locale=ru_RU" TargetMode="External"/><Relationship Id="rId261" Type="http://schemas.openxmlformats.org/officeDocument/2006/relationships/hyperlink" Target="https://russjcardiol.elpub.ru/jour/article/view/6306?locale=ru_RU" TargetMode="External"/><Relationship Id="rId14" Type="http://schemas.openxmlformats.org/officeDocument/2006/relationships/hyperlink" Target="https://russjcardiol.elpub.ru/jour/article/view/6306?locale=ru_RU" TargetMode="External"/><Relationship Id="rId35" Type="http://schemas.openxmlformats.org/officeDocument/2006/relationships/hyperlink" Target="https://russjcardiol.elpub.ru/jour/article/view/6306?locale=ru_RU" TargetMode="External"/><Relationship Id="rId56" Type="http://schemas.openxmlformats.org/officeDocument/2006/relationships/hyperlink" Target="https://russjcardiol.elpub.ru/jour/article/view/6306?locale=ru_RU" TargetMode="External"/><Relationship Id="rId77" Type="http://schemas.openxmlformats.org/officeDocument/2006/relationships/hyperlink" Target="https://russjcardiol.elpub.ru/jour/article/view/6306?locale=ru_RU" TargetMode="External"/><Relationship Id="rId100" Type="http://schemas.openxmlformats.org/officeDocument/2006/relationships/hyperlink" Target="https://russjcardiol.elpub.ru/jour/article/view/6306?locale=ru_RU" TargetMode="External"/><Relationship Id="rId282" Type="http://schemas.openxmlformats.org/officeDocument/2006/relationships/hyperlink" Target="https://russjcardiol.elpub.ru/jour/article/view/6306?locale=ru_RU" TargetMode="External"/><Relationship Id="rId317" Type="http://schemas.openxmlformats.org/officeDocument/2006/relationships/hyperlink" Target="https://doi.org/10.1016/j.ahj.2016.01.015" TargetMode="External"/><Relationship Id="rId8" Type="http://schemas.openxmlformats.org/officeDocument/2006/relationships/endnotes" Target="endnotes.xml"/><Relationship Id="rId98" Type="http://schemas.openxmlformats.org/officeDocument/2006/relationships/hyperlink" Target="https://russjcardiol.elpub.ru/jour/article/view/6306?locale=ru_RU" TargetMode="External"/><Relationship Id="rId121" Type="http://schemas.openxmlformats.org/officeDocument/2006/relationships/hyperlink" Target="https://russjcardiol.elpub.ru/jour/article/view/6306?locale=ru_RU" TargetMode="External"/><Relationship Id="rId142" Type="http://schemas.openxmlformats.org/officeDocument/2006/relationships/hyperlink" Target="https://russjcardiol.elpub.ru/jour/article/view/6306?locale=ru_RU" TargetMode="External"/><Relationship Id="rId163" Type="http://schemas.openxmlformats.org/officeDocument/2006/relationships/hyperlink" Target="https://russjcardiol.elpub.ru/jour/article/view/6306?locale=ru_RU" TargetMode="External"/><Relationship Id="rId184" Type="http://schemas.openxmlformats.org/officeDocument/2006/relationships/hyperlink" Target="https://russjcardiol.elpub.ru/jour/article/view/6306?locale=ru_RU" TargetMode="External"/><Relationship Id="rId219" Type="http://schemas.openxmlformats.org/officeDocument/2006/relationships/hyperlink" Target="https://russjcardiol.elpub.ru/jour/article/view/6306?locale=ru_RU" TargetMode="External"/><Relationship Id="rId230" Type="http://schemas.openxmlformats.org/officeDocument/2006/relationships/hyperlink" Target="https://russjcardiol.elpub.ru/jour/article/view/6306?locale=ru_RU" TargetMode="External"/><Relationship Id="rId251" Type="http://schemas.openxmlformats.org/officeDocument/2006/relationships/hyperlink" Target="https://russjcardiol.elpub.ru/jour/article/view/6306?locale=ru_RU" TargetMode="External"/><Relationship Id="rId25" Type="http://schemas.openxmlformats.org/officeDocument/2006/relationships/hyperlink" Target="https://russjcardiol.elpub.ru/jour/article/view/6306?locale=ru_RU" TargetMode="External"/><Relationship Id="rId46" Type="http://schemas.openxmlformats.org/officeDocument/2006/relationships/hyperlink" Target="https://russjcardiol.elpub.ru/jour/article/view/6306?locale=ru_RU" TargetMode="External"/><Relationship Id="rId67" Type="http://schemas.openxmlformats.org/officeDocument/2006/relationships/hyperlink" Target="https://russjcardiol.elpub.ru/jour/article/view/6306?locale=ru_RU" TargetMode="External"/><Relationship Id="rId272" Type="http://schemas.openxmlformats.org/officeDocument/2006/relationships/hyperlink" Target="https://russjcardiol.elpub.ru/jour/article/view/6306?locale=ru_RU" TargetMode="External"/><Relationship Id="rId293" Type="http://schemas.openxmlformats.org/officeDocument/2006/relationships/hyperlink" Target="https://russjcardiol.elpub.ru/jour/article/view/6306?locale=ru_RU" TargetMode="External"/><Relationship Id="rId307" Type="http://schemas.openxmlformats.org/officeDocument/2006/relationships/hyperlink" Target="https://elibrary.ru/item.asp?id=16768461" TargetMode="External"/><Relationship Id="rId328" Type="http://schemas.openxmlformats.org/officeDocument/2006/relationships/hyperlink" Target="https://russjcardiol.elpub.ru/jour/article/view/6306?locale=ru_RU" TargetMode="External"/><Relationship Id="rId88" Type="http://schemas.openxmlformats.org/officeDocument/2006/relationships/hyperlink" Target="https://russjcardiol.elpub.ru/jour/article/view/6306?locale=ru_RU" TargetMode="External"/><Relationship Id="rId111" Type="http://schemas.openxmlformats.org/officeDocument/2006/relationships/hyperlink" Target="https://russjcardiol.elpub.ru/jour/article/view/6306?locale=ru_RU" TargetMode="External"/><Relationship Id="rId132" Type="http://schemas.openxmlformats.org/officeDocument/2006/relationships/hyperlink" Target="https://russjcardiol.elpub.ru/jour/article/view/6306?locale=ru_RU" TargetMode="External"/><Relationship Id="rId153" Type="http://schemas.openxmlformats.org/officeDocument/2006/relationships/hyperlink" Target="https://russjcardiol.elpub.ru/jour/article/view/6306?locale=ru_RU" TargetMode="External"/><Relationship Id="rId174" Type="http://schemas.openxmlformats.org/officeDocument/2006/relationships/hyperlink" Target="https://russjcardiol.elpub.ru/jour/article/view/6306?locale=ru_RU" TargetMode="External"/><Relationship Id="rId195" Type="http://schemas.openxmlformats.org/officeDocument/2006/relationships/hyperlink" Target="https://russjcardiol.elpub.ru/jour/article/view/6306?locale=ru_RU" TargetMode="External"/><Relationship Id="rId209" Type="http://schemas.openxmlformats.org/officeDocument/2006/relationships/hyperlink" Target="https://russjcardiol.elpub.ru/jour/article/view/6306?locale=ru_RU" TargetMode="External"/><Relationship Id="rId220" Type="http://schemas.openxmlformats.org/officeDocument/2006/relationships/hyperlink" Target="https://russjcardiol.elpub.ru/jour/article/view/6306?locale=ru_RU" TargetMode="External"/><Relationship Id="rId241" Type="http://schemas.openxmlformats.org/officeDocument/2006/relationships/hyperlink" Target="https://russjcardiol.elpub.ru/jour/article/view/6306?locale=ru_RU" TargetMode="External"/><Relationship Id="rId15" Type="http://schemas.openxmlformats.org/officeDocument/2006/relationships/hyperlink" Target="https://russjcardiol.elpub.ru/jour/article/view/6306?locale=ru_RU" TargetMode="External"/><Relationship Id="rId36" Type="http://schemas.openxmlformats.org/officeDocument/2006/relationships/hyperlink" Target="https://russjcardiol.elpub.ru/jour/article/view/6306?locale=ru_RU" TargetMode="External"/><Relationship Id="rId57" Type="http://schemas.openxmlformats.org/officeDocument/2006/relationships/hyperlink" Target="https://russjcardiol.elpub.ru/jour/article/view/6306?locale=ru_RU" TargetMode="External"/><Relationship Id="rId262" Type="http://schemas.openxmlformats.org/officeDocument/2006/relationships/hyperlink" Target="https://russjcardiol.elpub.ru/jour/article/view/6306?locale=ru_RU" TargetMode="External"/><Relationship Id="rId283" Type="http://schemas.openxmlformats.org/officeDocument/2006/relationships/hyperlink" Target="https://russjcardiol.elpub.ru/jour/article/view/6306?locale=ru_RU" TargetMode="External"/><Relationship Id="rId318" Type="http://schemas.openxmlformats.org/officeDocument/2006/relationships/hyperlink" Target="https://doi.org/10.1093/eurheartj/ehaa739" TargetMode="External"/><Relationship Id="rId78" Type="http://schemas.openxmlformats.org/officeDocument/2006/relationships/hyperlink" Target="https://russjcardiol.elpub.ru/jour/article/view/6306?locale=ru_RU" TargetMode="External"/><Relationship Id="rId99" Type="http://schemas.openxmlformats.org/officeDocument/2006/relationships/hyperlink" Target="https://russjcardiol.elpub.ru/jour/article/view/6306?locale=ru_RU" TargetMode="External"/><Relationship Id="rId101" Type="http://schemas.openxmlformats.org/officeDocument/2006/relationships/hyperlink" Target="https://russjcardiol.elpub.ru/jour/article/view/6306?locale=ru_RU" TargetMode="External"/><Relationship Id="rId122" Type="http://schemas.openxmlformats.org/officeDocument/2006/relationships/hyperlink" Target="https://russjcardiol.elpub.ru/jour/article/view/6306?locale=ru_RU" TargetMode="External"/><Relationship Id="rId143" Type="http://schemas.openxmlformats.org/officeDocument/2006/relationships/hyperlink" Target="https://russjcardiol.elpub.ru/jour/article/view/6306?locale=ru_RU" TargetMode="External"/><Relationship Id="rId164" Type="http://schemas.openxmlformats.org/officeDocument/2006/relationships/hyperlink" Target="https://russjcardiol.elpub.ru/jour/article/view/6306?locale=ru_RU" TargetMode="External"/><Relationship Id="rId185" Type="http://schemas.openxmlformats.org/officeDocument/2006/relationships/hyperlink" Target="https://russjcardiol.elpub.ru/jour/article/view/6306?locale=ru_RU" TargetMode="External"/><Relationship Id="rId9" Type="http://schemas.openxmlformats.org/officeDocument/2006/relationships/hyperlink" Target="https://russjcardiol.elpub.ru/jour/article/view/6306?locale=ru_RU" TargetMode="External"/><Relationship Id="rId210" Type="http://schemas.openxmlformats.org/officeDocument/2006/relationships/hyperlink" Target="https://russjcardiol.elpub.ru/jour/article/view/6306?locale=ru_RU" TargetMode="External"/><Relationship Id="rId26" Type="http://schemas.openxmlformats.org/officeDocument/2006/relationships/hyperlink" Target="https://russjcardiol.elpub.ru/jour/article/view/6306?locale=ru_RU" TargetMode="External"/><Relationship Id="rId231" Type="http://schemas.openxmlformats.org/officeDocument/2006/relationships/hyperlink" Target="https://russjcardiol.elpub.ru/jour/article/view/6306?locale=ru_RU" TargetMode="External"/><Relationship Id="rId252" Type="http://schemas.openxmlformats.org/officeDocument/2006/relationships/hyperlink" Target="https://russjcardiol.elpub.ru/jour/article/view/6306?locale=ru_RU" TargetMode="External"/><Relationship Id="rId273" Type="http://schemas.openxmlformats.org/officeDocument/2006/relationships/hyperlink" Target="https://russjcardiol.elpub.ru/jour/article/view/6306?locale=ru_RU" TargetMode="External"/><Relationship Id="rId294" Type="http://schemas.openxmlformats.org/officeDocument/2006/relationships/hyperlink" Target="https://russjcardiol.elpub.ru/jour/article/view/6306?locale=ru_RU" TargetMode="External"/><Relationship Id="rId308" Type="http://schemas.openxmlformats.org/officeDocument/2006/relationships/hyperlink" Target="https://www.garant.ru/products/ipo/prime/doc/74581688/" TargetMode="External"/><Relationship Id="rId329" Type="http://schemas.openxmlformats.org/officeDocument/2006/relationships/hyperlink" Target="https://russjcardiol.elpub.ru/jour/article/view/6306?locale=ru_RU" TargetMode="External"/><Relationship Id="rId47" Type="http://schemas.openxmlformats.org/officeDocument/2006/relationships/hyperlink" Target="https://russjcardiol.elpub.ru/jour/article/view/6306?locale=ru_RU" TargetMode="External"/><Relationship Id="rId68" Type="http://schemas.openxmlformats.org/officeDocument/2006/relationships/hyperlink" Target="https://russjcardiol.elpub.ru/jour/article/view/6306?locale=ru_RU" TargetMode="External"/><Relationship Id="rId89" Type="http://schemas.openxmlformats.org/officeDocument/2006/relationships/hyperlink" Target="https://russjcardiol.elpub.ru/jour/article/view/6306?locale=ru_RU" TargetMode="External"/><Relationship Id="rId112" Type="http://schemas.openxmlformats.org/officeDocument/2006/relationships/hyperlink" Target="https://russjcardiol.elpub.ru/jour/article/view/6306?locale=ru_RU" TargetMode="External"/><Relationship Id="rId133" Type="http://schemas.openxmlformats.org/officeDocument/2006/relationships/hyperlink" Target="https://russjcardiol.elpub.ru/jour/article/view/6306?locale=ru_RU" TargetMode="External"/><Relationship Id="rId154" Type="http://schemas.openxmlformats.org/officeDocument/2006/relationships/hyperlink" Target="https://russjcardiol.elpub.ru/jour/article/view/6306?locale=ru_RU" TargetMode="External"/><Relationship Id="rId175" Type="http://schemas.openxmlformats.org/officeDocument/2006/relationships/hyperlink" Target="https://russjcardiol.elpub.ru/jour/article/view/6306?locale=ru_RU" TargetMode="External"/><Relationship Id="rId196" Type="http://schemas.openxmlformats.org/officeDocument/2006/relationships/hyperlink" Target="https://russjcardiol.elpub.ru/jour/article/view/6306?locale=ru_RU" TargetMode="External"/><Relationship Id="rId200" Type="http://schemas.openxmlformats.org/officeDocument/2006/relationships/hyperlink" Target="https://russjcardiol.elpub.ru/jour/article/view/6306?locale=ru_RU" TargetMode="External"/><Relationship Id="rId16" Type="http://schemas.openxmlformats.org/officeDocument/2006/relationships/hyperlink" Target="https://russjcardiol.elpub.ru/jour/article/view/6306?locale=ru_RU" TargetMode="External"/><Relationship Id="rId221" Type="http://schemas.openxmlformats.org/officeDocument/2006/relationships/hyperlink" Target="https://russjcardiol.elpub.ru/jour/article/view/6306?locale=ru_RU" TargetMode="External"/><Relationship Id="rId242" Type="http://schemas.openxmlformats.org/officeDocument/2006/relationships/hyperlink" Target="https://russjcardiol.elpub.ru/jour/article/view/6306?locale=ru_RU" TargetMode="External"/><Relationship Id="rId263" Type="http://schemas.openxmlformats.org/officeDocument/2006/relationships/hyperlink" Target="https://russjcardiol.elpub.ru/jour/article/view/6306?locale=ru_RU" TargetMode="External"/><Relationship Id="rId284" Type="http://schemas.openxmlformats.org/officeDocument/2006/relationships/hyperlink" Target="https://russjcardiol.elpub.ru/jour/article/view/6306?locale=ru_RU" TargetMode="External"/><Relationship Id="rId319" Type="http://schemas.openxmlformats.org/officeDocument/2006/relationships/hyperlink" Target="https://doi.org/10.1186/s12872-022-02631-8" TargetMode="External"/><Relationship Id="rId37" Type="http://schemas.openxmlformats.org/officeDocument/2006/relationships/hyperlink" Target="https://russjcardiol.elpub.ru/jour/article/view/6306?locale=ru_RU" TargetMode="External"/><Relationship Id="rId58" Type="http://schemas.openxmlformats.org/officeDocument/2006/relationships/hyperlink" Target="https://russjcardiol.elpub.ru/jour/article/view/6306?locale=ru_RU" TargetMode="External"/><Relationship Id="rId79" Type="http://schemas.openxmlformats.org/officeDocument/2006/relationships/hyperlink" Target="https://russjcardiol.elpub.ru/jour/article/view/6306?locale=ru_RU" TargetMode="External"/><Relationship Id="rId102" Type="http://schemas.openxmlformats.org/officeDocument/2006/relationships/hyperlink" Target="https://russjcardiol.elpub.ru/jour/article/view/6306?locale=ru_RU" TargetMode="External"/><Relationship Id="rId123" Type="http://schemas.openxmlformats.org/officeDocument/2006/relationships/hyperlink" Target="https://russjcardiol.elpub.ru/jour/article/view/6306?locale=ru_RU" TargetMode="External"/><Relationship Id="rId144" Type="http://schemas.openxmlformats.org/officeDocument/2006/relationships/hyperlink" Target="https://russjcardiol.elpub.ru/jour/article/view/6306?locale=ru_RU" TargetMode="External"/><Relationship Id="rId330" Type="http://schemas.openxmlformats.org/officeDocument/2006/relationships/hyperlink" Target="https://russjcardiol.elpub.ru/jour/article/view/6306?locale=ru_RU" TargetMode="External"/><Relationship Id="rId90" Type="http://schemas.openxmlformats.org/officeDocument/2006/relationships/hyperlink" Target="https://russjcardiol.elpub.ru/jour/article/view/6306?locale=ru_RU" TargetMode="External"/><Relationship Id="rId165" Type="http://schemas.openxmlformats.org/officeDocument/2006/relationships/hyperlink" Target="https://russjcardiol.elpub.ru/jour/article/view/6306?locale=ru_RU" TargetMode="External"/><Relationship Id="rId186" Type="http://schemas.openxmlformats.org/officeDocument/2006/relationships/hyperlink" Target="https://russjcardiol.elpub.ru/jour/article/view/6306?locale=ru_RU" TargetMode="External"/><Relationship Id="rId211" Type="http://schemas.openxmlformats.org/officeDocument/2006/relationships/hyperlink" Target="https://russjcardiol.elpub.ru/jour/article/view/6306?locale=ru_RU" TargetMode="External"/><Relationship Id="rId232" Type="http://schemas.openxmlformats.org/officeDocument/2006/relationships/hyperlink" Target="https://russjcardiol.elpub.ru/jour/article/view/6306?locale=ru_RU" TargetMode="External"/><Relationship Id="rId253" Type="http://schemas.openxmlformats.org/officeDocument/2006/relationships/hyperlink" Target="https://russjcardiol.elpub.ru/jour/article/view/6306?locale=ru_RU" TargetMode="External"/><Relationship Id="rId274" Type="http://schemas.openxmlformats.org/officeDocument/2006/relationships/hyperlink" Target="https://russjcardiol.elpub.ru/jour/article/view/6306?locale=ru_RU" TargetMode="External"/><Relationship Id="rId295" Type="http://schemas.openxmlformats.org/officeDocument/2006/relationships/hyperlink" Target="https://russjcardiol.elpub.ru/jour/article/view/6306?locale=ru_RU" TargetMode="External"/><Relationship Id="rId309" Type="http://schemas.openxmlformats.org/officeDocument/2006/relationships/hyperlink" Target="https://doi.org/10.15829/1560-4071-2023-5631" TargetMode="External"/><Relationship Id="rId27" Type="http://schemas.openxmlformats.org/officeDocument/2006/relationships/hyperlink" Target="https://russjcardiol.elpub.ru/jour/article/view/6306?locale=ru_RU" TargetMode="External"/><Relationship Id="rId48" Type="http://schemas.openxmlformats.org/officeDocument/2006/relationships/hyperlink" Target="https://russjcardiol.elpub.ru/jour/article/view/6306?locale=ru_RU" TargetMode="External"/><Relationship Id="rId69" Type="http://schemas.openxmlformats.org/officeDocument/2006/relationships/hyperlink" Target="https://russjcardiol.elpub.ru/jour/article/view/6306?locale=ru_RU" TargetMode="External"/><Relationship Id="rId113" Type="http://schemas.openxmlformats.org/officeDocument/2006/relationships/hyperlink" Target="https://russjcardiol.elpub.ru/jour/article/view/6306?locale=ru_RU" TargetMode="External"/><Relationship Id="rId134" Type="http://schemas.openxmlformats.org/officeDocument/2006/relationships/hyperlink" Target="https://russjcardiol.elpub.ru/jour/article/view/6306?locale=ru_RU" TargetMode="External"/><Relationship Id="rId320" Type="http://schemas.openxmlformats.org/officeDocument/2006/relationships/hyperlink" Target="https://doi.org/10.1161/CIRCULATIONAHA.121.057429" TargetMode="External"/><Relationship Id="rId80" Type="http://schemas.openxmlformats.org/officeDocument/2006/relationships/hyperlink" Target="https://russjcardiol.elpub.ru/jour/article/view/6306?locale=ru_RU" TargetMode="External"/><Relationship Id="rId155" Type="http://schemas.openxmlformats.org/officeDocument/2006/relationships/hyperlink" Target="https://russjcardiol.elpub.ru/jour/article/view/6306?locale=ru_RU" TargetMode="External"/><Relationship Id="rId176" Type="http://schemas.openxmlformats.org/officeDocument/2006/relationships/hyperlink" Target="https://russjcardiol.elpub.ru/jour/article/view/6306?locale=ru_RU" TargetMode="External"/><Relationship Id="rId197" Type="http://schemas.openxmlformats.org/officeDocument/2006/relationships/hyperlink" Target="https://russjcardiol.elpub.ru/jour/article/view/6306?locale=ru_RU" TargetMode="External"/><Relationship Id="rId201" Type="http://schemas.openxmlformats.org/officeDocument/2006/relationships/hyperlink" Target="https://russjcardiol.elpub.ru/jour/article/view/6306?locale=ru_RU" TargetMode="External"/><Relationship Id="rId222" Type="http://schemas.openxmlformats.org/officeDocument/2006/relationships/hyperlink" Target="https://russjcardiol.elpub.ru/jour/article/view/6306?locale=ru_RU" TargetMode="External"/><Relationship Id="rId243" Type="http://schemas.openxmlformats.org/officeDocument/2006/relationships/hyperlink" Target="https://russjcardiol.elpub.ru/jour/article/view/6306?locale=ru_RU" TargetMode="External"/><Relationship Id="rId264" Type="http://schemas.openxmlformats.org/officeDocument/2006/relationships/hyperlink" Target="https://russjcardiol.elpub.ru/jour/article/view/6306?locale=ru_RU" TargetMode="External"/><Relationship Id="rId285" Type="http://schemas.openxmlformats.org/officeDocument/2006/relationships/hyperlink" Target="https://russjcardiol.elpub.ru/jour/article/view/6306?locale=ru_RU" TargetMode="External"/><Relationship Id="rId17" Type="http://schemas.openxmlformats.org/officeDocument/2006/relationships/hyperlink" Target="https://russjcardiol.elpub.ru/jour/article/view/6306?locale=ru_RU" TargetMode="External"/><Relationship Id="rId38" Type="http://schemas.openxmlformats.org/officeDocument/2006/relationships/hyperlink" Target="https://russjcardiol.elpub.ru/jour/article/view/6306?locale=ru_RU" TargetMode="External"/><Relationship Id="rId59" Type="http://schemas.openxmlformats.org/officeDocument/2006/relationships/hyperlink" Target="https://russjcardiol.elpub.ru/jour/article/view/6306?locale=ru_RU" TargetMode="External"/><Relationship Id="rId103" Type="http://schemas.openxmlformats.org/officeDocument/2006/relationships/hyperlink" Target="https://russjcardiol.elpub.ru/jour/article/view/6306?locale=ru_RU" TargetMode="External"/><Relationship Id="rId124" Type="http://schemas.openxmlformats.org/officeDocument/2006/relationships/hyperlink" Target="https://russjcardiol.elpub.ru/jour/article/view/6306?locale=ru_RU" TargetMode="External"/><Relationship Id="rId310" Type="http://schemas.openxmlformats.org/officeDocument/2006/relationships/hyperlink" Target="https://diseases.medelement.com/disease/disease/&#1086;&#1089;&#1090;&#1088;&#1099;&#1081;-&#1080;&#1085;&#1092;&#1072;&#1088;&#1082;&#1090;-&#1084;&#1080;&#1086;&#1082;&#1072;&#1088;&#1076;&#1072;-&#1089;-&#1087;&#1086;&#1076;&#1098;&#1077;&#1084;&#1086;&#1084;-&#1089;&#1077;&#1075;&#1084;&#1077;&#1085;&#1090;&#1072;-st-&#1101;&#1083;&#1077;&#1082;&#1090;&#1088;&#1086;&#1082;&#1072;&#1088;&#1076;&#1080;&#1086;&#1075;&#1088;&#1072;&#1084;&#1084;&#1099;-&#1082;&#1088;-&#1088;&#1092;-2024/18349" TargetMode="External"/><Relationship Id="rId70" Type="http://schemas.openxmlformats.org/officeDocument/2006/relationships/hyperlink" Target="https://russjcardiol.elpub.ru/jour/article/view/6306?locale=ru_RU" TargetMode="External"/><Relationship Id="rId91" Type="http://schemas.openxmlformats.org/officeDocument/2006/relationships/hyperlink" Target="https://russjcardiol.elpub.ru/jour/article/view/6306?locale=ru_RU" TargetMode="External"/><Relationship Id="rId145" Type="http://schemas.openxmlformats.org/officeDocument/2006/relationships/hyperlink" Target="https://russjcardiol.elpub.ru/jour/article/view/6306?locale=ru_RU" TargetMode="External"/><Relationship Id="rId166" Type="http://schemas.openxmlformats.org/officeDocument/2006/relationships/hyperlink" Target="https://russjcardiol.elpub.ru/jour/article/view/6306?locale=ru_RU" TargetMode="External"/><Relationship Id="rId187" Type="http://schemas.openxmlformats.org/officeDocument/2006/relationships/hyperlink" Target="https://russjcardiol.elpub.ru/jour/article/view/6306?locale=ru_RU" TargetMode="External"/><Relationship Id="rId331" Type="http://schemas.openxmlformats.org/officeDocument/2006/relationships/hyperlink" Target="https://russjcardiol.elpub.ru/jour/article/view/6306?locale=ru_RU" TargetMode="External"/><Relationship Id="rId1" Type="http://schemas.openxmlformats.org/officeDocument/2006/relationships/customXml" Target="../customXml/item1.xml"/><Relationship Id="rId212" Type="http://schemas.openxmlformats.org/officeDocument/2006/relationships/hyperlink" Target="https://russjcardiol.elpub.ru/jour/article/view/6306?locale=ru_RU" TargetMode="External"/><Relationship Id="rId233" Type="http://schemas.openxmlformats.org/officeDocument/2006/relationships/hyperlink" Target="https://russjcardiol.elpub.ru/jour/article/view/6306?locale=ru_RU" TargetMode="External"/><Relationship Id="rId254" Type="http://schemas.openxmlformats.org/officeDocument/2006/relationships/hyperlink" Target="https://russjcardiol.elpub.ru/jour/article/view/6306?locale=ru_RU" TargetMode="External"/><Relationship Id="rId28" Type="http://schemas.openxmlformats.org/officeDocument/2006/relationships/hyperlink" Target="https://russjcardiol.elpub.ru/jour/article/view/6306?locale=ru_RU" TargetMode="External"/><Relationship Id="rId49" Type="http://schemas.openxmlformats.org/officeDocument/2006/relationships/hyperlink" Target="https://russjcardiol.elpub.ru/jour/article/view/6306?locale=ru_RU" TargetMode="External"/><Relationship Id="rId114" Type="http://schemas.openxmlformats.org/officeDocument/2006/relationships/hyperlink" Target="https://russjcardiol.elpub.ru/jour/article/view/6306?locale=ru_RU" TargetMode="External"/><Relationship Id="rId275" Type="http://schemas.openxmlformats.org/officeDocument/2006/relationships/hyperlink" Target="https://russjcardiol.elpub.ru/jour/article/view/6306?locale=ru_RU" TargetMode="External"/><Relationship Id="rId296" Type="http://schemas.openxmlformats.org/officeDocument/2006/relationships/hyperlink" Target="https://russjcardiol.elpub.ru/jour/article/view/6306?locale=ru_RU" TargetMode="External"/><Relationship Id="rId300" Type="http://schemas.openxmlformats.org/officeDocument/2006/relationships/hyperlink" Target="https://russjcardiol.elpub.ru/jour/article/view/6306?locale=ru_RU" TargetMode="External"/><Relationship Id="rId60" Type="http://schemas.openxmlformats.org/officeDocument/2006/relationships/hyperlink" Target="https://russjcardiol.elpub.ru/jour/article/view/6306?locale=ru_RU" TargetMode="External"/><Relationship Id="rId81" Type="http://schemas.openxmlformats.org/officeDocument/2006/relationships/hyperlink" Target="https://russjcardiol.elpub.ru/jour/article/view/6306?locale=ru_RU" TargetMode="External"/><Relationship Id="rId135" Type="http://schemas.openxmlformats.org/officeDocument/2006/relationships/hyperlink" Target="https://russjcardiol.elpub.ru/jour/article/view/6306?locale=ru_RU" TargetMode="External"/><Relationship Id="rId156" Type="http://schemas.openxmlformats.org/officeDocument/2006/relationships/hyperlink" Target="https://russjcardiol.elpub.ru/jour/article/view/6306?locale=ru_RU" TargetMode="External"/><Relationship Id="rId177" Type="http://schemas.openxmlformats.org/officeDocument/2006/relationships/hyperlink" Target="https://russjcardiol.elpub.ru/jour/article/view/6306?locale=ru_RU" TargetMode="External"/><Relationship Id="rId198" Type="http://schemas.openxmlformats.org/officeDocument/2006/relationships/hyperlink" Target="https://russjcardiol.elpub.ru/jour/article/view/6306?locale=ru_RU" TargetMode="External"/><Relationship Id="rId321" Type="http://schemas.openxmlformats.org/officeDocument/2006/relationships/hyperlink" Target="https://doi.org/10.1002/ccd.25302" TargetMode="External"/><Relationship Id="rId202" Type="http://schemas.openxmlformats.org/officeDocument/2006/relationships/hyperlink" Target="https://russjcardiol.elpub.ru/jour/article/view/6306?locale=ru_RU" TargetMode="External"/><Relationship Id="rId223" Type="http://schemas.openxmlformats.org/officeDocument/2006/relationships/hyperlink" Target="https://russjcardiol.elpub.ru/jour/article/view/6306?locale=ru_RU" TargetMode="External"/><Relationship Id="rId244" Type="http://schemas.openxmlformats.org/officeDocument/2006/relationships/hyperlink" Target="https://russjcardiol.elpub.ru/jour/article/view/6306?locale=ru_RU" TargetMode="External"/><Relationship Id="rId18" Type="http://schemas.openxmlformats.org/officeDocument/2006/relationships/hyperlink" Target="https://russjcardiol.elpub.ru/jour/article/view/6306?locale=ru_RU" TargetMode="External"/><Relationship Id="rId39" Type="http://schemas.openxmlformats.org/officeDocument/2006/relationships/hyperlink" Target="https://russjcardiol.elpub.ru/jour/article/view/6306?locale=ru_RU" TargetMode="External"/><Relationship Id="rId265" Type="http://schemas.openxmlformats.org/officeDocument/2006/relationships/hyperlink" Target="https://russjcardiol.elpub.ru/jour/article/view/6306?locale=ru_RU" TargetMode="External"/><Relationship Id="rId286" Type="http://schemas.openxmlformats.org/officeDocument/2006/relationships/hyperlink" Target="https://russjcardiol.elpub.ru/jour/article/view/6306?locale=ru_RU" TargetMode="External"/><Relationship Id="rId50" Type="http://schemas.openxmlformats.org/officeDocument/2006/relationships/hyperlink" Target="https://russjcardiol.elpub.ru/jour/article/view/6306?locale=ru_RU" TargetMode="External"/><Relationship Id="rId104" Type="http://schemas.openxmlformats.org/officeDocument/2006/relationships/hyperlink" Target="https://russjcardiol.elpub.ru/jour/article/view/6306?locale=ru_RU" TargetMode="External"/><Relationship Id="rId125" Type="http://schemas.openxmlformats.org/officeDocument/2006/relationships/hyperlink" Target="https://russjcardiol.elpub.ru/jour/article/view/6306?locale=ru_RU" TargetMode="External"/><Relationship Id="rId146" Type="http://schemas.openxmlformats.org/officeDocument/2006/relationships/hyperlink" Target="https://russjcardiol.elpub.ru/jour/article/view/6306?locale=ru_RU" TargetMode="External"/><Relationship Id="rId167" Type="http://schemas.openxmlformats.org/officeDocument/2006/relationships/hyperlink" Target="https://russjcardiol.elpub.ru/jour/article/view/6306?locale=ru_RU" TargetMode="External"/><Relationship Id="rId188" Type="http://schemas.openxmlformats.org/officeDocument/2006/relationships/hyperlink" Target="https://russjcardiol.elpub.ru/jour/article/view/6306?locale=ru_RU" TargetMode="External"/><Relationship Id="rId311" Type="http://schemas.openxmlformats.org/officeDocument/2006/relationships/hyperlink" Target="https://doi.org/10.15829/1560-4071-2023-5631" TargetMode="External"/><Relationship Id="rId332" Type="http://schemas.openxmlformats.org/officeDocument/2006/relationships/image" Target="media/image1.jpeg"/><Relationship Id="rId71" Type="http://schemas.openxmlformats.org/officeDocument/2006/relationships/hyperlink" Target="https://russjcardiol.elpub.ru/jour/article/view/6306?locale=ru_RU" TargetMode="External"/><Relationship Id="rId92" Type="http://schemas.openxmlformats.org/officeDocument/2006/relationships/hyperlink" Target="https://russjcardiol.elpub.ru/jour/article/view/6306?locale=ru_RU" TargetMode="External"/><Relationship Id="rId213" Type="http://schemas.openxmlformats.org/officeDocument/2006/relationships/hyperlink" Target="https://russjcardiol.elpub.ru/jour/article/view/6306?locale=ru_RU" TargetMode="External"/><Relationship Id="rId234" Type="http://schemas.openxmlformats.org/officeDocument/2006/relationships/hyperlink" Target="https://russjcardiol.elpub.ru/jour/article/view/6306?locale=ru_RU" TargetMode="External"/><Relationship Id="rId2" Type="http://schemas.openxmlformats.org/officeDocument/2006/relationships/customXml" Target="../customXml/item2.xml"/><Relationship Id="rId29" Type="http://schemas.openxmlformats.org/officeDocument/2006/relationships/hyperlink" Target="https://russjcardiol.elpub.ru/jour/article/view/6306?locale=ru_RU" TargetMode="External"/><Relationship Id="rId255" Type="http://schemas.openxmlformats.org/officeDocument/2006/relationships/hyperlink" Target="https://russjcardiol.elpub.ru/jour/article/view/6306?locale=ru_RU" TargetMode="External"/><Relationship Id="rId276" Type="http://schemas.openxmlformats.org/officeDocument/2006/relationships/hyperlink" Target="https://russjcardiol.elpub.ru/jour/article/view/6306?locale=ru_RU" TargetMode="External"/><Relationship Id="rId297" Type="http://schemas.openxmlformats.org/officeDocument/2006/relationships/hyperlink" Target="https://russjcardiol.elpub.ru/jour/article/view/6306?locale=ru_RU" TargetMode="External"/><Relationship Id="rId40" Type="http://schemas.openxmlformats.org/officeDocument/2006/relationships/hyperlink" Target="https://russjcardiol.elpub.ru/jour/article/view/6306?locale=ru_RU" TargetMode="External"/><Relationship Id="rId115" Type="http://schemas.openxmlformats.org/officeDocument/2006/relationships/hyperlink" Target="https://russjcardiol.elpub.ru/jour/article/view/6306?locale=ru_RU" TargetMode="External"/><Relationship Id="rId136" Type="http://schemas.openxmlformats.org/officeDocument/2006/relationships/hyperlink" Target="https://russjcardiol.elpub.ru/jour/article/view/6306?locale=ru_RU" TargetMode="External"/><Relationship Id="rId157" Type="http://schemas.openxmlformats.org/officeDocument/2006/relationships/hyperlink" Target="https://russjcardiol.elpub.ru/jour/article/view/6306?locale=ru_RU" TargetMode="External"/><Relationship Id="rId178" Type="http://schemas.openxmlformats.org/officeDocument/2006/relationships/hyperlink" Target="https://russjcardiol.elpub.ru/jour/article/view/6306?locale=ru_RU" TargetMode="External"/><Relationship Id="rId301" Type="http://schemas.openxmlformats.org/officeDocument/2006/relationships/hyperlink" Target="https://russjcardiol.elpub.ru/jour/article/view/6306?locale=ru_RU" TargetMode="External"/><Relationship Id="rId322" Type="http://schemas.openxmlformats.org/officeDocument/2006/relationships/hyperlink" Target="https://doi.org/10.17116/profmed20202305140" TargetMode="External"/><Relationship Id="rId61" Type="http://schemas.openxmlformats.org/officeDocument/2006/relationships/hyperlink" Target="https://russjcardiol.elpub.ru/jour/article/view/6306?locale=ru_RU" TargetMode="External"/><Relationship Id="rId82" Type="http://schemas.openxmlformats.org/officeDocument/2006/relationships/hyperlink" Target="https://russjcardiol.elpub.ru/jour/article/view/6306?locale=ru_RU" TargetMode="External"/><Relationship Id="rId199" Type="http://schemas.openxmlformats.org/officeDocument/2006/relationships/hyperlink" Target="https://russjcardiol.elpub.ru/jour/article/view/6306?locale=ru_RU" TargetMode="External"/><Relationship Id="rId203" Type="http://schemas.openxmlformats.org/officeDocument/2006/relationships/hyperlink" Target="https://russjcardiol.elpub.ru/jour/article/view/6306?locale=ru_RU" TargetMode="External"/><Relationship Id="rId19" Type="http://schemas.openxmlformats.org/officeDocument/2006/relationships/hyperlink" Target="https://russjcardiol.elpub.ru/jour/article/view/6306?locale=ru_RU" TargetMode="External"/><Relationship Id="rId224" Type="http://schemas.openxmlformats.org/officeDocument/2006/relationships/hyperlink" Target="https://russjcardiol.elpub.ru/jour/article/view/6306?locale=ru_RU" TargetMode="External"/><Relationship Id="rId245" Type="http://schemas.openxmlformats.org/officeDocument/2006/relationships/hyperlink" Target="https://russjcardiol.elpub.ru/jour/article/view/6306?locale=ru_RU" TargetMode="External"/><Relationship Id="rId266" Type="http://schemas.openxmlformats.org/officeDocument/2006/relationships/hyperlink" Target="https://russjcardiol.elpub.ru/jour/article/view/6306?locale=ru_RU" TargetMode="External"/><Relationship Id="rId287" Type="http://schemas.openxmlformats.org/officeDocument/2006/relationships/hyperlink" Target="https://russjcardiol.elpub.ru/jour/article/view/6306?locale=ru_RU" TargetMode="External"/><Relationship Id="rId30" Type="http://schemas.openxmlformats.org/officeDocument/2006/relationships/hyperlink" Target="https://russjcardiol.elpub.ru/jour/article/view/6306?locale=ru_RU" TargetMode="External"/><Relationship Id="rId105" Type="http://schemas.openxmlformats.org/officeDocument/2006/relationships/hyperlink" Target="https://russjcardiol.elpub.ru/jour/article/view/6306?locale=ru_RU" TargetMode="External"/><Relationship Id="rId126" Type="http://schemas.openxmlformats.org/officeDocument/2006/relationships/hyperlink" Target="https://russjcardiol.elpub.ru/jour/article/view/6306?locale=ru_RU" TargetMode="External"/><Relationship Id="rId147" Type="http://schemas.openxmlformats.org/officeDocument/2006/relationships/hyperlink" Target="https://russjcardiol.elpub.ru/jour/article/view/6306?locale=ru_RU" TargetMode="External"/><Relationship Id="rId168" Type="http://schemas.openxmlformats.org/officeDocument/2006/relationships/hyperlink" Target="https://russjcardiol.elpub.ru/jour/article/view/6306?locale=ru_RU" TargetMode="External"/><Relationship Id="rId312" Type="http://schemas.openxmlformats.org/officeDocument/2006/relationships/hyperlink" Target="https://doi.org/10.1093/eurheartj/ehz074" TargetMode="External"/><Relationship Id="rId333" Type="http://schemas.openxmlformats.org/officeDocument/2006/relationships/footer" Target="footer1.xml"/><Relationship Id="rId51" Type="http://schemas.openxmlformats.org/officeDocument/2006/relationships/hyperlink" Target="https://russjcardiol.elpub.ru/jour/article/view/6306?locale=ru_RU" TargetMode="External"/><Relationship Id="rId72" Type="http://schemas.openxmlformats.org/officeDocument/2006/relationships/hyperlink" Target="https://russjcardiol.elpub.ru/jour/article/view/6306?locale=ru_RU" TargetMode="External"/><Relationship Id="rId93" Type="http://schemas.openxmlformats.org/officeDocument/2006/relationships/hyperlink" Target="https://russjcardiol.elpub.ru/jour/article/view/6306?locale=ru_RU" TargetMode="External"/><Relationship Id="rId189" Type="http://schemas.openxmlformats.org/officeDocument/2006/relationships/hyperlink" Target="https://russjcardiol.elpub.ru/jour/article/view/6306?locale=ru_RU" TargetMode="External"/><Relationship Id="rId3" Type="http://schemas.openxmlformats.org/officeDocument/2006/relationships/numbering" Target="numbering.xml"/><Relationship Id="rId214" Type="http://schemas.openxmlformats.org/officeDocument/2006/relationships/hyperlink" Target="https://russjcardiol.elpub.ru/jour/article/view/6306?locale=ru_RU" TargetMode="External"/><Relationship Id="rId235" Type="http://schemas.openxmlformats.org/officeDocument/2006/relationships/hyperlink" Target="https://russjcardiol.elpub.ru/jour/article/view/6306?locale=ru_RU" TargetMode="External"/><Relationship Id="rId256" Type="http://schemas.openxmlformats.org/officeDocument/2006/relationships/hyperlink" Target="https://russjcardiol.elpub.ru/jour/article/view/6306?locale=ru_RU" TargetMode="External"/><Relationship Id="rId277" Type="http://schemas.openxmlformats.org/officeDocument/2006/relationships/hyperlink" Target="https://russjcardiol.elpub.ru/jour/article/view/6306?locale=ru_RU" TargetMode="External"/><Relationship Id="rId298" Type="http://schemas.openxmlformats.org/officeDocument/2006/relationships/hyperlink" Target="https://russjcardiol.elpub.ru/jour/article/view/6306?locale=ru_RU" TargetMode="External"/><Relationship Id="rId116" Type="http://schemas.openxmlformats.org/officeDocument/2006/relationships/hyperlink" Target="https://russjcardiol.elpub.ru/jour/article/view/6306?locale=ru_RU" TargetMode="External"/><Relationship Id="rId137" Type="http://schemas.openxmlformats.org/officeDocument/2006/relationships/hyperlink" Target="https://russjcardiol.elpub.ru/jour/article/view/6306?locale=ru_RU" TargetMode="External"/><Relationship Id="rId158" Type="http://schemas.openxmlformats.org/officeDocument/2006/relationships/hyperlink" Target="https://russjcardiol.elpub.ru/jour/article/view/6306?locale=ru_RU" TargetMode="External"/><Relationship Id="rId302" Type="http://schemas.openxmlformats.org/officeDocument/2006/relationships/hyperlink" Target="https://russjcardiol.elpub.ru/jour/article/view/6306?locale=ru_RU" TargetMode="External"/><Relationship Id="rId323" Type="http://schemas.openxmlformats.org/officeDocument/2006/relationships/hyperlink" Target="https://doi.org/10.15829/1560-4071-2015-1-6-52" TargetMode="External"/><Relationship Id="rId20" Type="http://schemas.openxmlformats.org/officeDocument/2006/relationships/hyperlink" Target="https://russjcardiol.elpub.ru/jour/article/view/6306?locale=ru_RU" TargetMode="External"/><Relationship Id="rId41" Type="http://schemas.openxmlformats.org/officeDocument/2006/relationships/hyperlink" Target="https://russjcardiol.elpub.ru/jour/article/view/6306?locale=ru_RU" TargetMode="External"/><Relationship Id="rId62" Type="http://schemas.openxmlformats.org/officeDocument/2006/relationships/hyperlink" Target="https://russjcardiol.elpub.ru/jour/article/view/6306?locale=ru_RU" TargetMode="External"/><Relationship Id="rId83" Type="http://schemas.openxmlformats.org/officeDocument/2006/relationships/hyperlink" Target="https://russjcardiol.elpub.ru/jour/article/view/6306?locale=ru_RU" TargetMode="External"/><Relationship Id="rId179" Type="http://schemas.openxmlformats.org/officeDocument/2006/relationships/hyperlink" Target="https://russjcardiol.elpub.ru/jour/article/view/6306?locale=ru_RU" TargetMode="External"/><Relationship Id="rId190" Type="http://schemas.openxmlformats.org/officeDocument/2006/relationships/hyperlink" Target="https://russjcardiol.elpub.ru/jour/article/view/6306?locale=ru_RU" TargetMode="External"/><Relationship Id="rId204" Type="http://schemas.openxmlformats.org/officeDocument/2006/relationships/hyperlink" Target="https://russjcardiol.elpub.ru/jour/article/view/6306?locale=ru_RU" TargetMode="External"/><Relationship Id="rId225" Type="http://schemas.openxmlformats.org/officeDocument/2006/relationships/hyperlink" Target="https://russjcardiol.elpub.ru/jour/article/view/6306?locale=ru_RU" TargetMode="External"/><Relationship Id="rId246" Type="http://schemas.openxmlformats.org/officeDocument/2006/relationships/hyperlink" Target="https://russjcardiol.elpub.ru/jour/article/view/6306?locale=ru_RU" TargetMode="External"/><Relationship Id="rId267" Type="http://schemas.openxmlformats.org/officeDocument/2006/relationships/hyperlink" Target="https://russjcardiol.elpub.ru/jour/article/view/6306?locale=ru_RU" TargetMode="External"/><Relationship Id="rId288" Type="http://schemas.openxmlformats.org/officeDocument/2006/relationships/hyperlink" Target="https://russjcardiol.elpub.ru/jour/article/view/6306?locale=ru_RU" TargetMode="External"/><Relationship Id="rId106" Type="http://schemas.openxmlformats.org/officeDocument/2006/relationships/hyperlink" Target="https://russjcardiol.elpub.ru/jour/article/view/6306?locale=ru_RU" TargetMode="External"/><Relationship Id="rId127" Type="http://schemas.openxmlformats.org/officeDocument/2006/relationships/hyperlink" Target="https://russjcardiol.elpub.ru/jour/article/view/6306?locale=ru_RU" TargetMode="External"/><Relationship Id="rId313" Type="http://schemas.openxmlformats.org/officeDocument/2006/relationships/hyperlink" Target="https://doi.org/10.1093/eurheartj/ehac763" TargetMode="External"/><Relationship Id="rId10" Type="http://schemas.openxmlformats.org/officeDocument/2006/relationships/hyperlink" Target="https://russjcardiol.elpub.ru/jour/article/view/6306?locale=ru_RU" TargetMode="External"/><Relationship Id="rId31" Type="http://schemas.openxmlformats.org/officeDocument/2006/relationships/hyperlink" Target="https://russjcardiol.elpub.ru/jour/article/view/6306?locale=ru_RU" TargetMode="External"/><Relationship Id="rId52" Type="http://schemas.openxmlformats.org/officeDocument/2006/relationships/hyperlink" Target="https://russjcardiol.elpub.ru/jour/article/view/6306?locale=ru_RU" TargetMode="External"/><Relationship Id="rId73" Type="http://schemas.openxmlformats.org/officeDocument/2006/relationships/hyperlink" Target="https://russjcardiol.elpub.ru/jour/article/view/6306?locale=ru_RU" TargetMode="External"/><Relationship Id="rId94" Type="http://schemas.openxmlformats.org/officeDocument/2006/relationships/hyperlink" Target="https://russjcardiol.elpub.ru/jour/article/view/6306?locale=ru_RU" TargetMode="External"/><Relationship Id="rId148" Type="http://schemas.openxmlformats.org/officeDocument/2006/relationships/hyperlink" Target="https://russjcardiol.elpub.ru/jour/article/view/6306?locale=ru_RU" TargetMode="External"/><Relationship Id="rId169" Type="http://schemas.openxmlformats.org/officeDocument/2006/relationships/hyperlink" Target="https://russjcardiol.elpub.ru/jour/article/view/6306?locale=ru_RU" TargetMode="External"/><Relationship Id="rId334" Type="http://schemas.openxmlformats.org/officeDocument/2006/relationships/fontTable" Target="fontTable.xml"/><Relationship Id="rId4" Type="http://schemas.openxmlformats.org/officeDocument/2006/relationships/styles" Target="styles.xml"/><Relationship Id="rId180" Type="http://schemas.openxmlformats.org/officeDocument/2006/relationships/hyperlink" Target="https://russjcardiol.elpub.ru/jour/article/view/6306?locale=ru_RU" TargetMode="External"/><Relationship Id="rId215" Type="http://schemas.openxmlformats.org/officeDocument/2006/relationships/hyperlink" Target="https://russjcardiol.elpub.ru/jour/article/view/6306?locale=ru_RU" TargetMode="External"/><Relationship Id="rId236" Type="http://schemas.openxmlformats.org/officeDocument/2006/relationships/hyperlink" Target="https://russjcardiol.elpub.ru/jour/article/view/6306?locale=ru_RU" TargetMode="External"/><Relationship Id="rId257" Type="http://schemas.openxmlformats.org/officeDocument/2006/relationships/hyperlink" Target="https://russjcardiol.elpub.ru/jour/article/view/6306?locale=ru_RU" TargetMode="External"/><Relationship Id="rId278" Type="http://schemas.openxmlformats.org/officeDocument/2006/relationships/hyperlink" Target="https://russjcardiol.elpub.ru/jour/article/view/6306?locale=ru_RU" TargetMode="External"/><Relationship Id="rId303" Type="http://schemas.openxmlformats.org/officeDocument/2006/relationships/hyperlink" Target="https://russjcardiol.elpub.ru/jour/article/view/6306?locale=ru_RU" TargetMode="External"/><Relationship Id="rId42" Type="http://schemas.openxmlformats.org/officeDocument/2006/relationships/hyperlink" Target="https://russjcardiol.elpub.ru/jour/article/view/6306?locale=ru_RU" TargetMode="External"/><Relationship Id="rId84" Type="http://schemas.openxmlformats.org/officeDocument/2006/relationships/hyperlink" Target="https://russjcardiol.elpub.ru/jour/article/view/6306?locale=ru_RU" TargetMode="External"/><Relationship Id="rId138" Type="http://schemas.openxmlformats.org/officeDocument/2006/relationships/hyperlink" Target="https://russjcardiol.elpub.ru/jour/article/view/6306?locale=ru_RU" TargetMode="External"/><Relationship Id="rId191" Type="http://schemas.openxmlformats.org/officeDocument/2006/relationships/hyperlink" Target="https://russjcardiol.elpub.ru/jour/article/view/6306?locale=ru_RU" TargetMode="External"/><Relationship Id="rId205" Type="http://schemas.openxmlformats.org/officeDocument/2006/relationships/hyperlink" Target="https://russjcardiol.elpub.ru/jour/article/view/6306?locale=ru_RU" TargetMode="External"/><Relationship Id="rId247" Type="http://schemas.openxmlformats.org/officeDocument/2006/relationships/hyperlink" Target="https://russjcardiol.elpub.ru/jour/article/view/6306?locale=ru_RU" TargetMode="External"/><Relationship Id="rId107" Type="http://schemas.openxmlformats.org/officeDocument/2006/relationships/hyperlink" Target="https://russjcardiol.elpub.ru/jour/article/view/6306?locale=ru_RU" TargetMode="External"/><Relationship Id="rId289" Type="http://schemas.openxmlformats.org/officeDocument/2006/relationships/hyperlink" Target="https://russjcardiol.elpub.ru/jour/article/view/6306?locale=ru_RU" TargetMode="External"/><Relationship Id="rId11" Type="http://schemas.openxmlformats.org/officeDocument/2006/relationships/hyperlink" Target="https://russjcardiol.elpub.ru/jour/article/view/6306?locale=ru_RU" TargetMode="External"/><Relationship Id="rId53" Type="http://schemas.openxmlformats.org/officeDocument/2006/relationships/hyperlink" Target="https://russjcardiol.elpub.ru/jour/article/view/6306?locale=ru_RU" TargetMode="External"/><Relationship Id="rId149" Type="http://schemas.openxmlformats.org/officeDocument/2006/relationships/hyperlink" Target="https://russjcardiol.elpub.ru/jour/article/view/6306?locale=ru_RU" TargetMode="External"/><Relationship Id="rId314" Type="http://schemas.openxmlformats.org/officeDocument/2006/relationships/hyperlink" Target="https://doi.org/10.24183/2409-4080-2019-6-1-13-19" TargetMode="External"/><Relationship Id="rId95" Type="http://schemas.openxmlformats.org/officeDocument/2006/relationships/hyperlink" Target="https://russjcardiol.elpub.ru/jour/article/view/6306?locale=ru_RU" TargetMode="External"/><Relationship Id="rId160" Type="http://schemas.openxmlformats.org/officeDocument/2006/relationships/hyperlink" Target="https://russjcardiol.elpub.ru/jour/article/view/6306?locale=ru_RU" TargetMode="External"/><Relationship Id="rId216" Type="http://schemas.openxmlformats.org/officeDocument/2006/relationships/hyperlink" Target="https://russjcardiol.elpub.ru/jour/article/view/6306?locale=ru_RU" TargetMode="External"/><Relationship Id="rId258" Type="http://schemas.openxmlformats.org/officeDocument/2006/relationships/hyperlink" Target="https://russjcardiol.elpub.ru/jour/article/view/6306?locale=ru_RU" TargetMode="External"/><Relationship Id="rId22" Type="http://schemas.openxmlformats.org/officeDocument/2006/relationships/hyperlink" Target="https://russjcardiol.elpub.ru/jour/article/view/6306?locale=ru_RU" TargetMode="External"/><Relationship Id="rId64" Type="http://schemas.openxmlformats.org/officeDocument/2006/relationships/hyperlink" Target="https://russjcardiol.elpub.ru/jour/article/view/6306?locale=ru_RU" TargetMode="External"/><Relationship Id="rId118" Type="http://schemas.openxmlformats.org/officeDocument/2006/relationships/hyperlink" Target="https://russjcardiol.elpub.ru/jour/article/view/6306?locale=ru_RU" TargetMode="External"/><Relationship Id="rId325" Type="http://schemas.openxmlformats.org/officeDocument/2006/relationships/hyperlink" Target="https://doi.org/10.1016/j.repc.2015.04.006" TargetMode="External"/><Relationship Id="rId171" Type="http://schemas.openxmlformats.org/officeDocument/2006/relationships/hyperlink" Target="https://russjcardiol.elpub.ru/jour/article/view/6306?locale=ru_RU" TargetMode="External"/><Relationship Id="rId227" Type="http://schemas.openxmlformats.org/officeDocument/2006/relationships/hyperlink" Target="https://russjcardiol.elpub.ru/jour/article/view/6306?locale=ru_RU" TargetMode="External"/><Relationship Id="rId269" Type="http://schemas.openxmlformats.org/officeDocument/2006/relationships/hyperlink" Target="https://russjcardiol.elpub.ru/jour/article/view/6306?locale=ru_RU" TargetMode="External"/><Relationship Id="rId33" Type="http://schemas.openxmlformats.org/officeDocument/2006/relationships/hyperlink" Target="https://russjcardiol.elpub.ru/jour/article/view/6306?locale=ru_RU" TargetMode="External"/><Relationship Id="rId129" Type="http://schemas.openxmlformats.org/officeDocument/2006/relationships/hyperlink" Target="https://russjcardiol.elpub.ru/jour/article/view/6306?locale=ru_RU" TargetMode="External"/><Relationship Id="rId280" Type="http://schemas.openxmlformats.org/officeDocument/2006/relationships/hyperlink" Target="https://russjcardiol.elpub.ru/jour/article/view/6306?locale=ru_RU" TargetMode="External"/><Relationship Id="rId75" Type="http://schemas.openxmlformats.org/officeDocument/2006/relationships/hyperlink" Target="https://russjcardiol.elpub.ru/jour/article/view/6306?locale=ru_RU" TargetMode="External"/><Relationship Id="rId140" Type="http://schemas.openxmlformats.org/officeDocument/2006/relationships/hyperlink" Target="https://russjcardiol.elpub.ru/jour/article/view/6306?locale=ru_RU" TargetMode="External"/><Relationship Id="rId182" Type="http://schemas.openxmlformats.org/officeDocument/2006/relationships/hyperlink" Target="https://russjcardiol.elpub.ru/jour/article/view/6306?locale=ru_RU" TargetMode="External"/><Relationship Id="rId6" Type="http://schemas.openxmlformats.org/officeDocument/2006/relationships/webSettings" Target="webSettings.xml"/><Relationship Id="rId238" Type="http://schemas.openxmlformats.org/officeDocument/2006/relationships/hyperlink" Target="https://russjcardiol.elpub.ru/jour/article/view/6306?locale=ru_RU" TargetMode="External"/><Relationship Id="rId291" Type="http://schemas.openxmlformats.org/officeDocument/2006/relationships/hyperlink" Target="https://russjcardiol.elpub.ru/jour/article/view/6306?locale=ru_RU" TargetMode="External"/><Relationship Id="rId305" Type="http://schemas.openxmlformats.org/officeDocument/2006/relationships/hyperlink" Target="https://russjcardiol.elpub.ru/jour/article/view/6306?locale=ru_RU" TargetMode="External"/><Relationship Id="rId44" Type="http://schemas.openxmlformats.org/officeDocument/2006/relationships/hyperlink" Target="https://russjcardiol.elpub.ru/jour/article/view/6306?locale=ru_RU" TargetMode="External"/><Relationship Id="rId86" Type="http://schemas.openxmlformats.org/officeDocument/2006/relationships/hyperlink" Target="https://russjcardiol.elpub.ru/jour/article/view/6306?locale=ru_RU" TargetMode="External"/><Relationship Id="rId151" Type="http://schemas.openxmlformats.org/officeDocument/2006/relationships/hyperlink" Target="https://russjcardiol.elpub.ru/jour/article/view/6306?locale=ru_RU" TargetMode="External"/><Relationship Id="rId193" Type="http://schemas.openxmlformats.org/officeDocument/2006/relationships/hyperlink" Target="https://russjcardiol.elpub.ru/jour/article/view/6306?locale=ru_RU" TargetMode="External"/><Relationship Id="rId207" Type="http://schemas.openxmlformats.org/officeDocument/2006/relationships/hyperlink" Target="https://russjcardiol.elpub.ru/jour/article/view/6306?locale=ru_RU" TargetMode="External"/><Relationship Id="rId249" Type="http://schemas.openxmlformats.org/officeDocument/2006/relationships/hyperlink" Target="https://russjcardiol.elpub.ru/jour/article/view/6306?locale=ru_RU" TargetMode="External"/><Relationship Id="rId13" Type="http://schemas.openxmlformats.org/officeDocument/2006/relationships/hyperlink" Target="https://russjcardiol.elpub.ru/jour/article/view/6306?locale=ru_RU" TargetMode="External"/><Relationship Id="rId109" Type="http://schemas.openxmlformats.org/officeDocument/2006/relationships/hyperlink" Target="https://russjcardiol.elpub.ru/jour/article/view/6306?locale=ru_RU" TargetMode="External"/><Relationship Id="rId260" Type="http://schemas.openxmlformats.org/officeDocument/2006/relationships/hyperlink" Target="https://russjcardiol.elpub.ru/jour/article/view/6306?locale=ru_RU" TargetMode="External"/><Relationship Id="rId316" Type="http://schemas.openxmlformats.org/officeDocument/2006/relationships/hyperlink" Target="https://doi.org/10.1007/s11239-020-02114-7" TargetMode="External"/><Relationship Id="rId55" Type="http://schemas.openxmlformats.org/officeDocument/2006/relationships/hyperlink" Target="https://russjcardiol.elpub.ru/jour/article/view/6306?locale=ru_RU" TargetMode="External"/><Relationship Id="rId97" Type="http://schemas.openxmlformats.org/officeDocument/2006/relationships/hyperlink" Target="https://russjcardiol.elpub.ru/jour/article/view/6306?locale=ru_RU" TargetMode="External"/><Relationship Id="rId120" Type="http://schemas.openxmlformats.org/officeDocument/2006/relationships/hyperlink" Target="https://russjcardiol.elpub.ru/jour/article/view/6306?locale=ru_RU" TargetMode="External"/><Relationship Id="rId162" Type="http://schemas.openxmlformats.org/officeDocument/2006/relationships/hyperlink" Target="https://russjcardiol.elpub.ru/jour/article/view/6306?locale=ru_RU" TargetMode="External"/><Relationship Id="rId218" Type="http://schemas.openxmlformats.org/officeDocument/2006/relationships/hyperlink" Target="https://russjcardiol.elpub.ru/jour/article/view/6306?locale=ru_RU" TargetMode="External"/><Relationship Id="rId271" Type="http://schemas.openxmlformats.org/officeDocument/2006/relationships/hyperlink" Target="https://russjcardiol.elpub.ru/jour/article/view/6306?locale=ru_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475"/>
    <customShpInfo spid="_x0000_s1476"/>
    <customShpInfo spid="_x0000_s1477"/>
    <customShpInfo spid="_x0000_s1478"/>
    <customShpInfo spid="_x0000_s1479"/>
    <customShpInfo spid="_x0000_s1480"/>
    <customShpInfo spid="_x0000_s1481"/>
    <customShpInfo spid="_x0000_s1482"/>
    <customShpInfo spid="_x0000_s1483"/>
    <customShpInfo spid="_x0000_s1484"/>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BE5CB46-9DFC-4DE6-8D6B-5058D9487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49270</Words>
  <Characters>280840</Characters>
  <Application>Microsoft Office Word</Application>
  <DocSecurity>0</DocSecurity>
  <Lines>2340</Lines>
  <Paragraphs>658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Галинская Марина Владимировна</cp:lastModifiedBy>
  <cp:revision>8</cp:revision>
  <dcterms:created xsi:type="dcterms:W3CDTF">2026-08-05T11:18:00Z</dcterms:created>
  <dcterms:modified xsi:type="dcterms:W3CDTF">2026-08-10T06:50:00Z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C1E707BA785F4AE987B8CFDE24078139_12</vt:lpwstr>
  </property>
</Properties>
</file>